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1334770</wp:posOffset>
            </wp:positionH>
            <wp:positionV relativeFrom="page">
              <wp:posOffset>755650</wp:posOffset>
            </wp:positionV>
            <wp:extent cx="5269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9230" cy="8255"/>
                    </a:xfrm>
                    <a:prstGeom prst="rect">
                      <a:avLst/>
                    </a:prstGeom>
                    <a:noFill/>
                  </pic:spPr>
                </pic:pic>
              </a:graphicData>
            </a:graphic>
          </wp:anchor>
        </w:drawing>
        <w:drawing>
          <wp:anchor simplePos="0" relativeHeight="251657728" behindDoc="1" locked="0" layoutInCell="0" allowOverlap="1">
            <wp:simplePos x="0" y="0"/>
            <wp:positionH relativeFrom="page">
              <wp:posOffset>1334770</wp:posOffset>
            </wp:positionH>
            <wp:positionV relativeFrom="page">
              <wp:posOffset>723265</wp:posOffset>
            </wp:positionV>
            <wp:extent cx="5269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69230" cy="8255"/>
                    </a:xfrm>
                    <a:prstGeom prst="rect">
                      <a:avLst/>
                    </a:prstGeom>
                    <a:noFill/>
                  </pic:spPr>
                </pic:pic>
              </a:graphicData>
            </a:graphic>
          </wp:anchor>
        </w:drawing>
        <w:t>UNITED STATES</w:t>
      </w:r>
    </w:p>
    <w:p>
      <w:pPr>
        <w:spacing w:after="0" w:line="42"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4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0"/>
          <w:szCs w:val="10"/>
          <w:color w:val="auto"/>
        </w:rPr>
        <w:t>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7" w:lineRule="exact"/>
        <w:rPr>
          <w:sz w:val="24"/>
          <w:szCs w:val="24"/>
          <w:color w:val="auto"/>
        </w:rPr>
      </w:pPr>
    </w:p>
    <w:p>
      <w:pPr>
        <w:ind w:left="1900" w:hanging="408"/>
        <w:spacing w:after="0"/>
        <w:tabs>
          <w:tab w:leader="none" w:pos="1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9" w:lineRule="exact"/>
        <w:rPr>
          <w:sz w:val="24"/>
          <w:szCs w:val="24"/>
          <w:color w:val="auto"/>
        </w:rPr>
      </w:pPr>
    </w:p>
    <w:p>
      <w:pPr>
        <w:ind w:left="1900" w:hanging="408"/>
        <w:spacing w:after="0"/>
        <w:tabs>
          <w:tab w:leader="none" w:pos="1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27" w:lineRule="exact"/>
        <w:rPr>
          <w:sz w:val="24"/>
          <w:szCs w:val="24"/>
          <w:color w:val="auto"/>
        </w:rPr>
      </w:pPr>
    </w:p>
    <w:p>
      <w:pPr>
        <w:ind w:left="35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3670935</wp:posOffset>
            </wp:positionH>
            <wp:positionV relativeFrom="paragraph">
              <wp:posOffset>-5080</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001-35219</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Marriott Vacations Worldwide Corporation</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78" w:lineRule="exact"/>
        <w:rPr>
          <w:sz w:val="24"/>
          <w:szCs w:val="24"/>
          <w:color w:val="auto"/>
        </w:rPr>
      </w:pPr>
    </w:p>
    <w:tbl>
      <w:tblPr>
        <w:tblLayout w:type="fixed"/>
        <w:tblInd w:w="2520" w:type="dxa"/>
        <w:tblCellMar>
          <w:top w:w="0" w:type="dxa"/>
          <w:left w:w="0" w:type="dxa"/>
          <w:bottom w:w="0" w:type="dxa"/>
          <w:right w:w="0" w:type="dxa"/>
        </w:tblCellMar>
      </w:tblPr>
      <w:tr>
        <w:trPr>
          <w:trHeight w:val="226"/>
        </w:trPr>
        <w:tc>
          <w:tcPr>
            <w:tcW w:w="3680" w:type="dxa"/>
            <w:vAlign w:val="bottom"/>
          </w:tcPr>
          <w:p>
            <w:pPr>
              <w:jc w:val="center"/>
              <w:ind w:right="128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240" w:type="dxa"/>
            <w:vAlign w:val="bottom"/>
          </w:tcPr>
          <w:p>
            <w:pPr>
              <w:jc w:val="right"/>
              <w:ind w:right="65"/>
              <w:spacing w:after="0"/>
              <w:rPr>
                <w:sz w:val="20"/>
                <w:szCs w:val="20"/>
                <w:color w:val="auto"/>
              </w:rPr>
            </w:pPr>
            <w:r>
              <w:rPr>
                <w:rFonts w:ascii="Times New Roman" w:cs="Times New Roman" w:eastAsia="Times New Roman" w:hAnsi="Times New Roman"/>
                <w:sz w:val="17"/>
                <w:szCs w:val="17"/>
                <w:b w:val="1"/>
                <w:bCs w:val="1"/>
                <w:color w:val="auto"/>
              </w:rPr>
              <w:t>45-2598330</w:t>
            </w:r>
          </w:p>
        </w:tc>
      </w:tr>
      <w:tr>
        <w:trPr>
          <w:trHeight w:val="193"/>
        </w:trPr>
        <w:tc>
          <w:tcPr>
            <w:tcW w:w="3680" w:type="dxa"/>
            <w:vAlign w:val="bottom"/>
          </w:tcPr>
          <w:p>
            <w:pPr>
              <w:jc w:val="center"/>
              <w:ind w:right="1265"/>
              <w:spacing w:after="0"/>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2240" w:type="dxa"/>
            <w:vAlign w:val="bottom"/>
          </w:tcPr>
          <w:p>
            <w:pPr>
              <w:jc w:val="center"/>
              <w:ind w:left="1065"/>
              <w:spacing w:after="0"/>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80"/>
        </w:trPr>
        <w:tc>
          <w:tcPr>
            <w:tcW w:w="3680" w:type="dxa"/>
            <w:vAlign w:val="bottom"/>
          </w:tcPr>
          <w:p>
            <w:pPr>
              <w:jc w:val="center"/>
              <w:ind w:right="1265"/>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2240" w:type="dxa"/>
            <w:vAlign w:val="bottom"/>
          </w:tcPr>
          <w:p>
            <w:pPr>
              <w:jc w:val="center"/>
              <w:ind w:left="1085"/>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7812 Palm Parkway  Orlando FL</w:t>
            </w:r>
          </w:p>
        </w:tc>
        <w:tc>
          <w:tcPr>
            <w:tcW w:w="2240" w:type="dxa"/>
            <w:vAlign w:val="bottom"/>
          </w:tcPr>
          <w:p>
            <w:pPr>
              <w:jc w:val="right"/>
              <w:ind w:right="245"/>
              <w:spacing w:after="0"/>
              <w:rPr>
                <w:sz w:val="20"/>
                <w:szCs w:val="20"/>
                <w:color w:val="auto"/>
              </w:rPr>
            </w:pPr>
            <w:r>
              <w:rPr>
                <w:rFonts w:ascii="Times New Roman" w:cs="Times New Roman" w:eastAsia="Times New Roman" w:hAnsi="Times New Roman"/>
                <w:sz w:val="17"/>
                <w:szCs w:val="17"/>
                <w:b w:val="1"/>
                <w:bCs w:val="1"/>
                <w:color w:val="auto"/>
              </w:rPr>
              <w:t>32836</w:t>
            </w:r>
          </w:p>
        </w:tc>
      </w:tr>
      <w:tr>
        <w:trPr>
          <w:trHeight w:val="180"/>
        </w:trPr>
        <w:tc>
          <w:tcPr>
            <w:tcW w:w="3680" w:type="dxa"/>
            <w:vAlign w:val="bottom"/>
          </w:tcPr>
          <w:p>
            <w:pPr>
              <w:jc w:val="center"/>
              <w:ind w:right="1265"/>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2240" w:type="dxa"/>
            <w:vAlign w:val="bottom"/>
          </w:tcPr>
          <w:p>
            <w:pPr>
              <w:jc w:val="center"/>
              <w:ind w:left="1085"/>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57" w:lineRule="exact"/>
        <w:rPr>
          <w:sz w:val="24"/>
          <w:szCs w:val="24"/>
          <w:color w:val="auto"/>
        </w:rPr>
      </w:pPr>
    </w:p>
    <w:p>
      <w:pPr>
        <w:ind w:left="3220" w:right="3220" w:firstLine="309"/>
        <w:spacing w:after="0" w:line="290" w:lineRule="auto"/>
        <w:tabs>
          <w:tab w:leader="none" w:pos="3935"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206-6000 </w:t>
      </w:r>
      <w:r>
        <w:rPr>
          <w:rFonts w:ascii="Times New Roman" w:cs="Times New Roman" w:eastAsia="Times New Roman" w:hAnsi="Times New Roman"/>
          <w:sz w:val="13"/>
          <w:szCs w:val="13"/>
          <w:b w:val="1"/>
          <w:bCs w:val="1"/>
          <w:color w:val="auto"/>
        </w:rPr>
        <w:t>(Registrant’s telephone number, including area code)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4" w:lineRule="exact"/>
        <w:rPr>
          <w:sz w:val="24"/>
          <w:szCs w:val="24"/>
          <w:color w:val="auto"/>
        </w:rPr>
      </w:pPr>
    </w:p>
    <w:tbl>
      <w:tblPr>
        <w:tblLayout w:type="fixed"/>
        <w:tblInd w:w="1490" w:type="dxa"/>
        <w:tblCellMar>
          <w:top w:w="0" w:type="dxa"/>
          <w:left w:w="0" w:type="dxa"/>
          <w:bottom w:w="0" w:type="dxa"/>
          <w:right w:w="0" w:type="dxa"/>
        </w:tblCellMar>
      </w:tblPr>
      <w:tr>
        <w:trPr>
          <w:trHeight w:val="199"/>
        </w:trPr>
        <w:tc>
          <w:tcPr>
            <w:tcW w:w="3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209"/>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VAC</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
        </w:trPr>
        <w:tc>
          <w:tcPr>
            <w:tcW w:w="3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3080" w:type="dxa"/>
            <w:vAlign w:val="bottom"/>
            <w:tcBorders>
              <w:bottom w:val="single" w:sz="8" w:color="auto"/>
              <w:right w:val="single" w:sz="8" w:color="auto"/>
            </w:tcBorders>
          </w:tcPr>
          <w:p>
            <w:pPr>
              <w:spacing w:after="0" w:line="20" w:lineRule="exact"/>
              <w:rPr>
                <w:sz w:val="1"/>
                <w:szCs w:val="1"/>
                <w:color w:val="auto"/>
              </w:rPr>
            </w:pPr>
          </w:p>
        </w:tc>
      </w:tr>
    </w:tbl>
    <w:p>
      <w:pPr>
        <w:spacing w:after="0" w:line="158"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4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ind w:right="120"/>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11" w:right="339" w:bottom="1440" w:gutter="0" w:footer="0" w:header="0"/>
        </w:sectPr>
      </w:pPr>
    </w:p>
    <w:p>
      <w:pPr>
        <w:spacing w:after="0" w:line="20" w:lineRule="exact"/>
        <w:rPr>
          <w:sz w:val="24"/>
          <w:szCs w:val="24"/>
          <w:color w:val="auto"/>
        </w:rPr>
      </w:pPr>
    </w:p>
    <w:p>
      <w:pPr>
        <w:ind w:left="80" w:right="280"/>
        <w:spacing w:after="0" w:line="318" w:lineRule="auto"/>
        <w:rPr>
          <w:sz w:val="20"/>
          <w:szCs w:val="20"/>
          <w:color w:val="auto"/>
        </w:rPr>
      </w:pPr>
      <w:r>
        <w:rPr>
          <w:rFonts w:ascii="Times New Roman" w:cs="Times New Roman" w:eastAsia="Times New Roman" w:hAnsi="Times New Roman"/>
          <w:sz w:val="16"/>
          <w:szCs w:val="16"/>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10" w:lineRule="exact"/>
        <w:rPr>
          <w:sz w:val="24"/>
          <w:szCs w:val="24"/>
          <w:color w:val="auto"/>
        </w:rPr>
      </w:pPr>
    </w:p>
    <w:p>
      <w:pPr>
        <w:sectPr>
          <w:pgSz w:w="11900" w:h="16838" w:orient="portrait"/>
          <w:cols w:equalWidth="0" w:num="8">
            <w:col w:w="2120" w:space="720"/>
            <w:col w:w="140" w:space="360"/>
            <w:col w:w="1120" w:space="720"/>
            <w:col w:w="160" w:space="340"/>
            <w:col w:w="1360" w:space="700"/>
            <w:col w:w="140" w:space="340"/>
            <w:col w:w="1860" w:space="720"/>
            <w:col w:w="440"/>
          </w:cols>
          <w:pgMar w:left="320" w:top="1311" w:right="339" w:bottom="1440" w:gutter="0" w:footer="0" w:header="0"/>
          <w:type w:val="continuous"/>
        </w:sectPr>
      </w:pPr>
    </w:p>
    <w:p>
      <w:pPr>
        <w:ind w:right="580"/>
        <w:spacing w:after="0" w:line="22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5"/>
          <w:szCs w:val="15"/>
          <w:color w:val="auto"/>
        </w:rPr>
        <w:t>☒</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the issuer’s common stock, par value $0.01 per share, as of May 3, 2024 was 35,163,907.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729615</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124460</wp:posOffset>
            </wp:positionV>
            <wp:extent cx="5269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9230"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92075</wp:posOffset>
            </wp:positionV>
            <wp:extent cx="526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69230" cy="825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1" w:name="page2"/>
    <w:bookmarkEnd w:id="1"/>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FORM 10-Q TABLE OF CONTENTS</w:t>
      </w:r>
    </w:p>
    <w:p>
      <w:pPr>
        <w:spacing w:after="0" w:line="35" w:lineRule="exact"/>
        <w:rPr>
          <w:sz w:val="20"/>
          <w:szCs w:val="20"/>
          <w:color w:val="auto"/>
        </w:rPr>
      </w:pPr>
    </w:p>
    <w:tbl>
      <w:tblPr>
        <w:tblLayout w:type="fixed"/>
        <w:tblInd w:w="1500" w:type="dxa"/>
        <w:tblCellMar>
          <w:top w:w="0" w:type="dxa"/>
          <w:left w:w="0" w:type="dxa"/>
          <w:bottom w:w="0" w:type="dxa"/>
          <w:right w:w="0" w:type="dxa"/>
        </w:tblCellMar>
      </w:tblPr>
      <w:tr>
        <w:trPr>
          <w:trHeight w:val="180"/>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6420" w:type="dxa"/>
            <w:vAlign w:val="bottom"/>
            <w:gridSpan w:val="30"/>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960" w:type="dxa"/>
            <w:vAlign w:val="bottom"/>
            <w:vMerge w:val="continue"/>
          </w:tcPr>
          <w:p>
            <w:pPr>
              <w:spacing w:after="0"/>
              <w:rPr>
                <w:sz w:val="13"/>
                <w:szCs w:val="13"/>
                <w:color w:val="auto"/>
              </w:rPr>
            </w:pPr>
          </w:p>
        </w:tc>
        <w:tc>
          <w:tcPr>
            <w:tcW w:w="6420" w:type="dxa"/>
            <w:vAlign w:val="bottom"/>
            <w:gridSpan w:val="30"/>
            <w:vMerge w:val="continue"/>
          </w:tcPr>
          <w:p>
            <w:pPr>
              <w:spacing w:after="0"/>
              <w:rPr>
                <w:sz w:val="13"/>
                <w:szCs w:val="13"/>
                <w:color w:val="auto"/>
              </w:rPr>
            </w:pPr>
          </w:p>
        </w:tc>
        <w:tc>
          <w:tcPr>
            <w:tcW w:w="520" w:type="dxa"/>
            <w:vAlign w:val="bottom"/>
            <w:gridSpan w:val="3"/>
          </w:tcPr>
          <w:p>
            <w:pPr>
              <w:jc w:val="center"/>
              <w:ind w:left="319"/>
              <w:spacing w:after="0" w:line="159" w:lineRule="exact"/>
              <w:rPr>
                <w:sz w:val="20"/>
                <w:szCs w:val="20"/>
                <w:color w:val="auto"/>
              </w:rPr>
            </w:pPr>
            <w:r>
              <w:rPr>
                <w:rFonts w:ascii="Times New Roman" w:cs="Times New Roman" w:eastAsia="Times New Roman" w:hAnsi="Times New Roman"/>
                <w:sz w:val="16"/>
                <w:szCs w:val="16"/>
                <w:color w:val="0000FF"/>
                <w:w w:val="99"/>
              </w:rPr>
              <w:t>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Item 1.</w:t>
            </w:r>
          </w:p>
        </w:tc>
        <w:tc>
          <w:tcPr>
            <w:tcW w:w="180" w:type="dxa"/>
            <w:vAlign w:val="bottom"/>
          </w:tcPr>
          <w:p>
            <w:pPr>
              <w:spacing w:after="0"/>
              <w:rPr>
                <w:sz w:val="19"/>
                <w:szCs w:val="19"/>
                <w:color w:val="auto"/>
              </w:rPr>
            </w:pPr>
          </w:p>
        </w:tc>
        <w:tc>
          <w:tcPr>
            <w:tcW w:w="13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7"/>
              </w:rPr>
              <w:t>Financial Statements</w:t>
            </w:r>
          </w:p>
        </w:tc>
        <w:tc>
          <w:tcPr>
            <w:tcW w:w="600" w:type="dxa"/>
            <w:vAlign w:val="bottom"/>
            <w:gridSpan w:val="5"/>
          </w:tcPr>
          <w:p>
            <w:pPr>
              <w:spacing w:after="0"/>
              <w:rPr>
                <w:sz w:val="19"/>
                <w:szCs w:val="19"/>
                <w:color w:val="auto"/>
              </w:rPr>
            </w:pPr>
          </w:p>
        </w:tc>
        <w:tc>
          <w:tcPr>
            <w:tcW w:w="4300" w:type="dxa"/>
            <w:vAlign w:val="bottom"/>
            <w:gridSpan w:val="16"/>
          </w:tcPr>
          <w:p>
            <w:pPr>
              <w:spacing w:after="0"/>
              <w:rPr>
                <w:sz w:val="19"/>
                <w:szCs w:val="19"/>
                <w:color w:val="auto"/>
              </w:rPr>
            </w:pP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Interim Consolidated Statements of Income</w:t>
            </w: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Interim Consolidated Statements of Comprehensive Income</w:t>
            </w:r>
          </w:p>
        </w:tc>
        <w:tc>
          <w:tcPr>
            <w:tcW w:w="2120" w:type="dxa"/>
            <w:vAlign w:val="bottom"/>
            <w:gridSpan w:val="4"/>
          </w:tcPr>
          <w:p>
            <w:pPr>
              <w:spacing w:after="0"/>
              <w:rPr>
                <w:sz w:val="19"/>
                <w:szCs w:val="19"/>
                <w:color w:val="auto"/>
              </w:rPr>
            </w:pP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w w:val="97"/>
              </w:rPr>
              <w:t>Interim Consolidated Balance Sheets</w:t>
            </w:r>
          </w:p>
        </w:tc>
        <w:tc>
          <w:tcPr>
            <w:tcW w:w="1540" w:type="dxa"/>
            <w:vAlign w:val="bottom"/>
            <w:gridSpan w:val="6"/>
          </w:tcPr>
          <w:p>
            <w:pPr>
              <w:spacing w:after="0"/>
              <w:rPr>
                <w:sz w:val="19"/>
                <w:szCs w:val="19"/>
                <w:color w:val="auto"/>
              </w:rPr>
            </w:pPr>
          </w:p>
        </w:tc>
        <w:tc>
          <w:tcPr>
            <w:tcW w:w="2120" w:type="dxa"/>
            <w:vAlign w:val="bottom"/>
            <w:gridSpan w:val="4"/>
          </w:tcPr>
          <w:p>
            <w:pPr>
              <w:spacing w:after="0"/>
              <w:rPr>
                <w:sz w:val="19"/>
                <w:szCs w:val="19"/>
                <w:color w:val="auto"/>
              </w:rPr>
            </w:pP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Interim Consolidated Statements of Cash Flows</w:t>
            </w:r>
          </w:p>
        </w:tc>
        <w:tc>
          <w:tcPr>
            <w:tcW w:w="2900" w:type="dxa"/>
            <w:vAlign w:val="bottom"/>
            <w:gridSpan w:val="6"/>
          </w:tcPr>
          <w:p>
            <w:pPr>
              <w:spacing w:after="0"/>
              <w:rPr>
                <w:sz w:val="19"/>
                <w:szCs w:val="19"/>
                <w:color w:val="auto"/>
              </w:rPr>
            </w:pP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w w:val="99"/>
              </w:rPr>
              <w:t>Interim Consolidated Statements of Stockholders’ Equity</w:t>
            </w:r>
          </w:p>
        </w:tc>
        <w:tc>
          <w:tcPr>
            <w:tcW w:w="2320" w:type="dxa"/>
            <w:vAlign w:val="bottom"/>
            <w:gridSpan w:val="5"/>
          </w:tcPr>
          <w:p>
            <w:pPr>
              <w:spacing w:after="0"/>
              <w:rPr>
                <w:sz w:val="19"/>
                <w:szCs w:val="19"/>
                <w:color w:val="auto"/>
              </w:rPr>
            </w:pP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Interim Condensed Notes to Consolidated Financial Statements</w:t>
            </w:r>
          </w:p>
        </w:tc>
        <w:tc>
          <w:tcPr>
            <w:tcW w:w="1900" w:type="dxa"/>
            <w:vAlign w:val="bottom"/>
            <w:gridSpan w:val="3"/>
          </w:tcPr>
          <w:p>
            <w:pPr>
              <w:spacing w:after="0"/>
              <w:rPr>
                <w:sz w:val="19"/>
                <w:szCs w:val="19"/>
                <w:color w:val="auto"/>
              </w:rPr>
            </w:pP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340" w:type="dxa"/>
            <w:vAlign w:val="bottom"/>
            <w:gridSpan w:val="2"/>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1.</w:t>
            </w:r>
          </w:p>
        </w:tc>
        <w:tc>
          <w:tcPr>
            <w:tcW w:w="136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w w:val="96"/>
              </w:rPr>
              <w:t>Basis of Presentation</w:t>
            </w:r>
          </w:p>
        </w:tc>
        <w:tc>
          <w:tcPr>
            <w:tcW w:w="2300" w:type="dxa"/>
            <w:vAlign w:val="bottom"/>
            <w:gridSpan w:val="12"/>
          </w:tcPr>
          <w:p>
            <w:pPr>
              <w:spacing w:after="0"/>
              <w:rPr>
                <w:sz w:val="19"/>
                <w:szCs w:val="19"/>
                <w:color w:val="auto"/>
              </w:rPr>
            </w:pPr>
          </w:p>
        </w:tc>
        <w:tc>
          <w:tcPr>
            <w:tcW w:w="1900" w:type="dxa"/>
            <w:vAlign w:val="bottom"/>
            <w:gridSpan w:val="3"/>
          </w:tcPr>
          <w:p>
            <w:pPr>
              <w:spacing w:after="0"/>
              <w:rPr>
                <w:sz w:val="19"/>
                <w:szCs w:val="19"/>
                <w:color w:val="auto"/>
              </w:rPr>
            </w:pP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2.</w:t>
            </w:r>
          </w:p>
        </w:tc>
        <w:tc>
          <w:tcPr>
            <w:tcW w:w="556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Significant Accounting Policies and Recent Accounting Standards</w:t>
            </w: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3.</w:t>
            </w:r>
          </w:p>
        </w:tc>
        <w:tc>
          <w:tcPr>
            <w:tcW w:w="432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Acquisitions</w:t>
            </w:r>
          </w:p>
        </w:tc>
        <w:tc>
          <w:tcPr>
            <w:tcW w:w="1240" w:type="dxa"/>
            <w:vAlign w:val="bottom"/>
            <w:gridSpan w:val="2"/>
          </w:tcPr>
          <w:p>
            <w:pPr>
              <w:spacing w:after="0"/>
              <w:rPr>
                <w:sz w:val="19"/>
                <w:szCs w:val="19"/>
                <w:color w:val="auto"/>
              </w:rPr>
            </w:pP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4.</w:t>
            </w:r>
          </w:p>
        </w:tc>
        <w:tc>
          <w:tcPr>
            <w:tcW w:w="556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Revenue and Receivables</w:t>
            </w:r>
          </w:p>
        </w:tc>
        <w:tc>
          <w:tcPr>
            <w:tcW w:w="52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color w:val="0000FF"/>
                <w:w w:val="99"/>
              </w:rPr>
              <w:t>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5.</w:t>
            </w: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w w:val="95"/>
              </w:rPr>
              <w:t>Income Taxes</w:t>
            </w:r>
          </w:p>
        </w:tc>
        <w:tc>
          <w:tcPr>
            <w:tcW w:w="760" w:type="dxa"/>
            <w:vAlign w:val="bottom"/>
            <w:gridSpan w:val="7"/>
          </w:tcPr>
          <w:p>
            <w:pPr>
              <w:spacing w:after="0"/>
              <w:rPr>
                <w:sz w:val="19"/>
                <w:szCs w:val="19"/>
                <w:color w:val="auto"/>
              </w:rPr>
            </w:pPr>
          </w:p>
        </w:tc>
        <w:tc>
          <w:tcPr>
            <w:tcW w:w="3880" w:type="dxa"/>
            <w:vAlign w:val="bottom"/>
            <w:gridSpan w:val="12"/>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6.</w:t>
            </w:r>
          </w:p>
        </w:tc>
        <w:tc>
          <w:tcPr>
            <w:tcW w:w="556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Vacation Ownership Notes Receivable</w:t>
            </w:r>
          </w:p>
        </w:tc>
        <w:tc>
          <w:tcPr>
            <w:tcW w:w="520" w:type="dxa"/>
            <w:vAlign w:val="bottom"/>
            <w:gridSpan w:val="3"/>
          </w:tcPr>
          <w:p>
            <w:pPr>
              <w:jc w:val="center"/>
              <w:ind w:left="299"/>
              <w:spacing w:after="0"/>
              <w:rPr>
                <w:sz w:val="20"/>
                <w:szCs w:val="20"/>
                <w:color w:val="auto"/>
              </w:rPr>
            </w:pPr>
            <w:r>
              <w:rPr>
                <w:rFonts w:ascii="Times New Roman" w:cs="Times New Roman" w:eastAsia="Times New Roman" w:hAnsi="Times New Roman"/>
                <w:sz w:val="16"/>
                <w:szCs w:val="16"/>
                <w:color w:val="0000FF"/>
                <w:w w:val="87"/>
              </w:rPr>
              <w:t>11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7.</w:t>
            </w:r>
          </w:p>
        </w:tc>
        <w:tc>
          <w:tcPr>
            <w:tcW w:w="144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0000FF"/>
              </w:rPr>
              <w:t>Financial Instruments</w:t>
            </w:r>
          </w:p>
        </w:tc>
        <w:tc>
          <w:tcPr>
            <w:tcW w:w="1080" w:type="dxa"/>
            <w:vAlign w:val="bottom"/>
            <w:gridSpan w:val="7"/>
          </w:tcPr>
          <w:p>
            <w:pPr>
              <w:spacing w:after="0"/>
              <w:rPr>
                <w:sz w:val="19"/>
                <w:szCs w:val="19"/>
                <w:color w:val="auto"/>
              </w:rPr>
            </w:pPr>
          </w:p>
        </w:tc>
        <w:tc>
          <w:tcPr>
            <w:tcW w:w="3040" w:type="dxa"/>
            <w:vAlign w:val="bottom"/>
            <w:gridSpan w:val="7"/>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8.</w:t>
            </w:r>
          </w:p>
        </w:tc>
        <w:tc>
          <w:tcPr>
            <w:tcW w:w="144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0000FF"/>
              </w:rPr>
              <w:t>Earnings Per Share</w:t>
            </w:r>
          </w:p>
        </w:tc>
        <w:tc>
          <w:tcPr>
            <w:tcW w:w="4120" w:type="dxa"/>
            <w:vAlign w:val="bottom"/>
            <w:gridSpan w:val="14"/>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9.</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6"/>
              </w:rPr>
              <w:t>Inventory</w:t>
            </w:r>
          </w:p>
        </w:tc>
        <w:tc>
          <w:tcPr>
            <w:tcW w:w="600" w:type="dxa"/>
            <w:vAlign w:val="bottom"/>
            <w:gridSpan w:val="5"/>
          </w:tcPr>
          <w:p>
            <w:pPr>
              <w:spacing w:after="0"/>
              <w:rPr>
                <w:sz w:val="19"/>
                <w:szCs w:val="19"/>
                <w:color w:val="auto"/>
              </w:rPr>
            </w:pPr>
          </w:p>
        </w:tc>
        <w:tc>
          <w:tcPr>
            <w:tcW w:w="4300" w:type="dxa"/>
            <w:vAlign w:val="bottom"/>
            <w:gridSpan w:val="16"/>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10. Contingencies and Commitments</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11. Securitized Debt</w:t>
            </w:r>
          </w:p>
        </w:tc>
        <w:tc>
          <w:tcPr>
            <w:tcW w:w="3300" w:type="dxa"/>
            <w:vAlign w:val="bottom"/>
            <w:gridSpan w:val="9"/>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20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12. Debt</w:t>
            </w:r>
          </w:p>
        </w:tc>
        <w:tc>
          <w:tcPr>
            <w:tcW w:w="4380" w:type="dxa"/>
            <w:vAlign w:val="bottom"/>
            <w:gridSpan w:val="17"/>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21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13. Stockholders’ Equity</w:t>
            </w:r>
          </w:p>
        </w:tc>
        <w:tc>
          <w:tcPr>
            <w:tcW w:w="3860" w:type="dxa"/>
            <w:vAlign w:val="bottom"/>
            <w:gridSpan w:val="11"/>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14. Share-Based Compensation</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24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15. Variable Interest Entities</w:t>
            </w:r>
          </w:p>
        </w:tc>
        <w:tc>
          <w:tcPr>
            <w:tcW w:w="3660" w:type="dxa"/>
            <w:vAlign w:val="bottom"/>
            <w:gridSpan w:val="10"/>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25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w w:val="97"/>
              </w:rPr>
              <w:t>16. Business Segments</w:t>
            </w:r>
          </w:p>
        </w:tc>
        <w:tc>
          <w:tcPr>
            <w:tcW w:w="340" w:type="dxa"/>
            <w:vAlign w:val="bottom"/>
            <w:gridSpan w:val="4"/>
          </w:tcPr>
          <w:p>
            <w:pPr>
              <w:spacing w:after="0"/>
              <w:rPr>
                <w:sz w:val="19"/>
                <w:szCs w:val="19"/>
                <w:color w:val="auto"/>
              </w:rPr>
            </w:pPr>
          </w:p>
        </w:tc>
        <w:tc>
          <w:tcPr>
            <w:tcW w:w="3860" w:type="dxa"/>
            <w:vAlign w:val="bottom"/>
            <w:gridSpan w:val="11"/>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27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Item 2.</w:t>
            </w:r>
          </w:p>
        </w:tc>
        <w:tc>
          <w:tcPr>
            <w:tcW w:w="180" w:type="dxa"/>
            <w:vAlign w:val="bottom"/>
          </w:tcPr>
          <w:p>
            <w:pPr>
              <w:spacing w:after="0"/>
              <w:rPr>
                <w:sz w:val="19"/>
                <w:szCs w:val="19"/>
                <w:color w:val="auto"/>
              </w:rPr>
            </w:pPr>
          </w:p>
        </w:tc>
        <w:tc>
          <w:tcPr>
            <w:tcW w:w="624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29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80" w:type="dxa"/>
            <w:vAlign w:val="bottom"/>
            <w:gridSpan w:val="13"/>
            <w:shd w:val="clear" w:color="auto" w:fill="0000FF"/>
          </w:tcPr>
          <w:p>
            <w:pPr>
              <w:spacing w:after="0" w:line="20" w:lineRule="exact"/>
              <w:rPr>
                <w:sz w:val="1"/>
                <w:szCs w:val="1"/>
                <w:color w:val="auto"/>
              </w:rPr>
            </w:pPr>
          </w:p>
        </w:tc>
        <w:tc>
          <w:tcPr>
            <w:tcW w:w="190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Item 3.</w:t>
            </w:r>
          </w:p>
        </w:tc>
        <w:tc>
          <w:tcPr>
            <w:tcW w:w="180" w:type="dxa"/>
            <w:vAlign w:val="bottom"/>
          </w:tcPr>
          <w:p>
            <w:pPr>
              <w:spacing w:after="0"/>
              <w:rPr>
                <w:sz w:val="19"/>
                <w:szCs w:val="19"/>
                <w:color w:val="auto"/>
              </w:rPr>
            </w:pPr>
          </w:p>
        </w:tc>
        <w:tc>
          <w:tcPr>
            <w:tcW w:w="3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00" w:type="dxa"/>
            <w:vAlign w:val="bottom"/>
            <w:gridSpan w:val="4"/>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48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80" w:type="dxa"/>
            <w:vAlign w:val="bottom"/>
            <w:gridSpan w:val="13"/>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Item 4.</w:t>
            </w:r>
          </w:p>
        </w:tc>
        <w:tc>
          <w:tcPr>
            <w:tcW w:w="180" w:type="dxa"/>
            <w:vAlign w:val="bottom"/>
          </w:tcPr>
          <w:p>
            <w:pPr>
              <w:spacing w:after="0"/>
              <w:rPr>
                <w:sz w:val="19"/>
                <w:szCs w:val="19"/>
                <w:color w:val="auto"/>
              </w:rPr>
            </w:pPr>
          </w:p>
        </w:tc>
        <w:tc>
          <w:tcPr>
            <w:tcW w:w="16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Controls and Procedures</w:t>
            </w:r>
          </w:p>
        </w:tc>
        <w:tc>
          <w:tcPr>
            <w:tcW w:w="2320" w:type="dxa"/>
            <w:vAlign w:val="bottom"/>
            <w:gridSpan w:val="14"/>
          </w:tcPr>
          <w:p>
            <w:pPr>
              <w:spacing w:after="0"/>
              <w:rPr>
                <w:sz w:val="19"/>
                <w:szCs w:val="19"/>
                <w:color w:val="auto"/>
              </w:rPr>
            </w:pPr>
          </w:p>
        </w:tc>
        <w:tc>
          <w:tcPr>
            <w:tcW w:w="2320" w:type="dxa"/>
            <w:vAlign w:val="bottom"/>
            <w:gridSpan w:val="5"/>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48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1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82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0000FF"/>
                <w:w w:val="99"/>
              </w:rPr>
              <w:t>OTHER INFORMATION</w:t>
            </w:r>
          </w:p>
        </w:tc>
        <w:tc>
          <w:tcPr>
            <w:tcW w:w="4600" w:type="dxa"/>
            <w:vAlign w:val="bottom"/>
            <w:gridSpan w:val="18"/>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280" w:type="dxa"/>
            <w:vAlign w:val="bottom"/>
            <w:gridSpan w:val="1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Item 1.</w:t>
            </w:r>
          </w:p>
        </w:tc>
        <w:tc>
          <w:tcPr>
            <w:tcW w:w="180" w:type="dxa"/>
            <w:vAlign w:val="bottom"/>
          </w:tcPr>
          <w:p>
            <w:pPr>
              <w:spacing w:after="0"/>
              <w:rPr>
                <w:sz w:val="19"/>
                <w:szCs w:val="19"/>
                <w:color w:val="auto"/>
              </w:rPr>
            </w:pPr>
          </w:p>
        </w:tc>
        <w:tc>
          <w:tcPr>
            <w:tcW w:w="16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4600" w:type="dxa"/>
            <w:vAlign w:val="bottom"/>
            <w:gridSpan w:val="18"/>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tcBorders>
              <w:left w:val="single" w:sz="8" w:color="0000FF"/>
            </w:tcBorders>
            <w:gridSpan w:val="17"/>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Item 1A.</w:t>
            </w:r>
          </w:p>
        </w:tc>
        <w:tc>
          <w:tcPr>
            <w:tcW w:w="180" w:type="dxa"/>
            <w:vAlign w:val="bottom"/>
          </w:tcPr>
          <w:p>
            <w:pPr>
              <w:spacing w:after="0"/>
              <w:rPr>
                <w:sz w:val="19"/>
                <w:szCs w:val="19"/>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4"/>
              </w:rPr>
              <w:t>Risk Factors</w:t>
            </w:r>
          </w:p>
        </w:tc>
        <w:tc>
          <w:tcPr>
            <w:tcW w:w="380" w:type="dxa"/>
            <w:vAlign w:val="bottom"/>
            <w:gridSpan w:val="2"/>
          </w:tcPr>
          <w:p>
            <w:pPr>
              <w:spacing w:after="0"/>
              <w:rPr>
                <w:sz w:val="19"/>
                <w:szCs w:val="19"/>
                <w:color w:val="auto"/>
              </w:rPr>
            </w:pPr>
          </w:p>
        </w:tc>
        <w:tc>
          <w:tcPr>
            <w:tcW w:w="5060" w:type="dxa"/>
            <w:vAlign w:val="bottom"/>
            <w:gridSpan w:val="22"/>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740" w:type="dxa"/>
            <w:vAlign w:val="bottom"/>
            <w:gridSpan w:val="17"/>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Item 2.</w:t>
            </w:r>
          </w:p>
        </w:tc>
        <w:tc>
          <w:tcPr>
            <w:tcW w:w="180" w:type="dxa"/>
            <w:vAlign w:val="bottom"/>
          </w:tcPr>
          <w:p>
            <w:pPr>
              <w:spacing w:after="0"/>
              <w:rPr>
                <w:sz w:val="19"/>
                <w:szCs w:val="19"/>
                <w:color w:val="auto"/>
              </w:rPr>
            </w:pPr>
          </w:p>
        </w:tc>
        <w:tc>
          <w:tcPr>
            <w:tcW w:w="624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tcBorders>
              <w:left w:val="single" w:sz="8" w:color="0000FF"/>
            </w:tcBorders>
            <w:gridSpan w:val="17"/>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Item 5.</w:t>
            </w:r>
          </w:p>
        </w:tc>
        <w:tc>
          <w:tcPr>
            <w:tcW w:w="180" w:type="dxa"/>
            <w:vAlign w:val="bottom"/>
          </w:tcPr>
          <w:p>
            <w:pPr>
              <w:spacing w:after="0"/>
              <w:rPr>
                <w:sz w:val="19"/>
                <w:szCs w:val="19"/>
                <w:color w:val="auto"/>
              </w:rPr>
            </w:pPr>
          </w:p>
        </w:tc>
        <w:tc>
          <w:tcPr>
            <w:tcW w:w="3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2320" w:type="dxa"/>
            <w:vAlign w:val="bottom"/>
            <w:gridSpan w:val="5"/>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49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Item 6.</w:t>
            </w:r>
          </w:p>
        </w:tc>
        <w:tc>
          <w:tcPr>
            <w:tcW w:w="18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50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40" w:type="dxa"/>
            <w:vAlign w:val="bottom"/>
            <w:gridSpan w:val="2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64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52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637540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20"/>
          </w:cols>
          <w:pgMar w:left="320" w:top="1144"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5"/>
          </w:tcPr>
          <w:p>
            <w:pPr>
              <w:ind w:left="520"/>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199"/>
        </w:trPr>
        <w:tc>
          <w:tcPr>
            <w:tcW w:w="14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r>
      <w:tr>
        <w:trPr>
          <w:trHeight w:val="224"/>
        </w:trPr>
        <w:tc>
          <w:tcPr>
            <w:tcW w:w="1480" w:type="dxa"/>
            <w:vAlign w:val="bottom"/>
          </w:tcPr>
          <w:p>
            <w:pPr>
              <w:spacing w:after="0"/>
              <w:rPr>
                <w:sz w:val="19"/>
                <w:szCs w:val="19"/>
                <w:color w:val="auto"/>
              </w:rPr>
            </w:pPr>
          </w:p>
        </w:tc>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460" w:type="dxa"/>
            <w:vAlign w:val="bottom"/>
          </w:tcPr>
          <w:p>
            <w:pPr>
              <w:spacing w:after="0"/>
              <w:rPr>
                <w:sz w:val="19"/>
                <w:szCs w:val="19"/>
                <w:color w:val="auto"/>
              </w:rPr>
            </w:pPr>
          </w:p>
        </w:tc>
      </w:tr>
      <w:tr>
        <w:trPr>
          <w:trHeight w:val="237"/>
        </w:trPr>
        <w:tc>
          <w:tcPr>
            <w:tcW w:w="14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352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375</w:t>
            </w: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151</w:t>
            </w: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78</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365</w:t>
            </w:r>
          </w:p>
        </w:tc>
        <w:tc>
          <w:tcPr>
            <w:tcW w:w="1460" w:type="dxa"/>
            <w:vAlign w:val="bottom"/>
          </w:tcPr>
          <w:p>
            <w:pPr>
              <w:spacing w:after="0"/>
              <w:rPr>
                <w:sz w:val="20"/>
                <w:szCs w:val="20"/>
                <w:color w:val="auto"/>
              </w:rPr>
            </w:pPr>
          </w:p>
        </w:tc>
      </w:tr>
      <w:tr>
        <w:trPr>
          <w:trHeight w:val="229"/>
        </w:trPr>
        <w:tc>
          <w:tcPr>
            <w:tcW w:w="1480" w:type="dxa"/>
            <w:vAlign w:val="bottom"/>
          </w:tcPr>
          <w:p>
            <w:pPr>
              <w:spacing w:after="0"/>
              <w:rPr>
                <w:sz w:val="19"/>
                <w:szCs w:val="19"/>
                <w:color w:val="auto"/>
              </w:rPr>
            </w:pPr>
          </w:p>
        </w:tc>
        <w:tc>
          <w:tcPr>
            <w:tcW w:w="5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1,169</w:t>
            </w:r>
          </w:p>
        </w:tc>
        <w:tc>
          <w:tcPr>
            <w:tcW w:w="1460" w:type="dxa"/>
            <w:vAlign w:val="bottom"/>
          </w:tcPr>
          <w:p>
            <w:pPr>
              <w:spacing w:after="0"/>
              <w:rPr>
                <w:sz w:val="19"/>
                <w:szCs w:val="19"/>
                <w:color w:val="auto"/>
              </w:rPr>
            </w:pPr>
          </w:p>
        </w:tc>
      </w:tr>
      <w:tr>
        <w:trPr>
          <w:trHeight w:val="217"/>
        </w:trPr>
        <w:tc>
          <w:tcPr>
            <w:tcW w:w="148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9"/>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210</w:t>
            </w: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113</w:t>
            </w: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w:t>
            </w: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w:t>
            </w: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365</w:t>
            </w:r>
          </w:p>
        </w:tc>
        <w:tc>
          <w:tcPr>
            <w:tcW w:w="1460" w:type="dxa"/>
            <w:vAlign w:val="bottom"/>
          </w:tcPr>
          <w:p>
            <w:pPr>
              <w:spacing w:after="0"/>
              <w:rPr>
                <w:sz w:val="20"/>
                <w:szCs w:val="20"/>
                <w:color w:val="auto"/>
              </w:rPr>
            </w:pPr>
          </w:p>
        </w:tc>
      </w:tr>
      <w:tr>
        <w:trPr>
          <w:trHeight w:val="229"/>
        </w:trPr>
        <w:tc>
          <w:tcPr>
            <w:tcW w:w="1480" w:type="dxa"/>
            <w:vAlign w:val="bottom"/>
          </w:tcPr>
          <w:p>
            <w:pPr>
              <w:spacing w:after="0"/>
              <w:rPr>
                <w:sz w:val="19"/>
                <w:szCs w:val="19"/>
                <w:color w:val="auto"/>
              </w:rPr>
            </w:pPr>
          </w:p>
        </w:tc>
        <w:tc>
          <w:tcPr>
            <w:tcW w:w="5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1,015</w:t>
            </w:r>
          </w:p>
        </w:tc>
        <w:tc>
          <w:tcPr>
            <w:tcW w:w="1460" w:type="dxa"/>
            <w:vAlign w:val="bottom"/>
          </w:tcPr>
          <w:p>
            <w:pPr>
              <w:spacing w:after="0"/>
              <w:rPr>
                <w:sz w:val="19"/>
                <w:szCs w:val="19"/>
                <w:color w:val="auto"/>
              </w:rPr>
            </w:pPr>
          </w:p>
        </w:tc>
      </w:tr>
      <w:tr>
        <w:trPr>
          <w:trHeight w:val="219"/>
        </w:trPr>
        <w:tc>
          <w:tcPr>
            <w:tcW w:w="1480" w:type="dxa"/>
            <w:vAlign w:val="bottom"/>
          </w:tcPr>
          <w:p>
            <w:pPr>
              <w:spacing w:after="0"/>
              <w:rPr>
                <w:sz w:val="19"/>
                <w:szCs w:val="19"/>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w:t>
            </w:r>
          </w:p>
        </w:tc>
        <w:tc>
          <w:tcPr>
            <w:tcW w:w="1460" w:type="dxa"/>
            <w:vAlign w:val="bottom"/>
          </w:tcPr>
          <w:p>
            <w:pPr>
              <w:spacing w:after="0"/>
              <w:rPr>
                <w:sz w:val="19"/>
                <w:szCs w:val="19"/>
                <w:color w:val="auto"/>
              </w:rPr>
            </w:pPr>
          </w:p>
        </w:tc>
      </w:tr>
      <w:tr>
        <w:trPr>
          <w:trHeight w:val="248"/>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6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1"/>
                <w:szCs w:val="21"/>
                <w:color w:val="auto"/>
              </w:rPr>
            </w:pPr>
          </w:p>
        </w:tc>
      </w:tr>
      <w:tr>
        <w:trPr>
          <w:trHeight w:val="146"/>
        </w:trPr>
        <w:tc>
          <w:tcPr>
            <w:tcW w:w="1480" w:type="dxa"/>
            <w:vAlign w:val="bottom"/>
          </w:tcPr>
          <w:p>
            <w:pPr>
              <w:spacing w:after="0"/>
              <w:rPr>
                <w:sz w:val="12"/>
                <w:szCs w:val="12"/>
                <w:color w:val="auto"/>
              </w:rPr>
            </w:pPr>
          </w:p>
        </w:tc>
        <w:tc>
          <w:tcPr>
            <w:tcW w:w="5620" w:type="dxa"/>
            <w:vAlign w:val="bottom"/>
          </w:tcPr>
          <w:p>
            <w:pPr>
              <w:ind w:left="20"/>
              <w:spacing w:after="0" w:line="147" w:lineRule="exact"/>
              <w:rPr>
                <w:sz w:val="20"/>
                <w:szCs w:val="20"/>
                <w:color w:val="auto"/>
              </w:rPr>
            </w:pPr>
            <w:r>
              <w:rPr>
                <w:rFonts w:ascii="Times New Roman" w:cs="Times New Roman" w:eastAsia="Times New Roman" w:hAnsi="Times New Roman"/>
                <w:sz w:val="16"/>
                <w:szCs w:val="16"/>
                <w:b w:val="1"/>
                <w:bCs w:val="1"/>
                <w:color w:val="auto"/>
              </w:rPr>
              <w:t>INCOME BEFORE INCOME TAXES AND NONCONTROLLING</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30"/>
        </w:trPr>
        <w:tc>
          <w:tcPr>
            <w:tcW w:w="148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128</w:t>
            </w:r>
          </w:p>
        </w:tc>
        <w:tc>
          <w:tcPr>
            <w:tcW w:w="1460" w:type="dxa"/>
            <w:vAlign w:val="bottom"/>
          </w:tcPr>
          <w:p>
            <w:pPr>
              <w:spacing w:after="0"/>
              <w:rPr>
                <w:sz w:val="20"/>
                <w:szCs w:val="20"/>
                <w:color w:val="auto"/>
              </w:rPr>
            </w:pPr>
          </w:p>
        </w:tc>
      </w:tr>
      <w:tr>
        <w:trPr>
          <w:trHeight w:val="243"/>
        </w:trPr>
        <w:tc>
          <w:tcPr>
            <w:tcW w:w="1480" w:type="dxa"/>
            <w:vAlign w:val="bottom"/>
          </w:tcPr>
          <w:p>
            <w:pPr>
              <w:spacing w:after="0"/>
              <w:rPr>
                <w:sz w:val="21"/>
                <w:szCs w:val="21"/>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60" w:type="dxa"/>
            <w:vAlign w:val="bottom"/>
          </w:tcPr>
          <w:p>
            <w:pPr>
              <w:spacing w:after="0"/>
              <w:rPr>
                <w:sz w:val="21"/>
                <w:szCs w:val="21"/>
                <w:color w:val="auto"/>
              </w:rPr>
            </w:pPr>
          </w:p>
        </w:tc>
      </w:tr>
      <w:tr>
        <w:trPr>
          <w:trHeight w:val="219"/>
        </w:trPr>
        <w:tc>
          <w:tcPr>
            <w:tcW w:w="148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w:t>
            </w:r>
          </w:p>
        </w:tc>
        <w:tc>
          <w:tcPr>
            <w:tcW w:w="1460" w:type="dxa"/>
            <w:vAlign w:val="bottom"/>
          </w:tcPr>
          <w:p>
            <w:pPr>
              <w:spacing w:after="0"/>
              <w:rPr>
                <w:sz w:val="19"/>
                <w:szCs w:val="19"/>
                <w:color w:val="auto"/>
              </w:rPr>
            </w:pPr>
          </w:p>
        </w:tc>
      </w:tr>
      <w:tr>
        <w:trPr>
          <w:trHeight w:val="248"/>
        </w:trPr>
        <w:tc>
          <w:tcPr>
            <w:tcW w:w="1480" w:type="dxa"/>
            <w:vAlign w:val="bottom"/>
          </w:tcPr>
          <w:p>
            <w:pPr>
              <w:spacing w:after="0"/>
              <w:rPr>
                <w:sz w:val="21"/>
                <w:szCs w:val="21"/>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1"/>
                <w:szCs w:val="21"/>
                <w:color w:val="auto"/>
              </w:rPr>
            </w:pPr>
          </w:p>
        </w:tc>
      </w:tr>
      <w:tr>
        <w:trPr>
          <w:trHeight w:val="210"/>
        </w:trPr>
        <w:tc>
          <w:tcPr>
            <w:tcW w:w="148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87</w:t>
            </w:r>
          </w:p>
        </w:tc>
        <w:tc>
          <w:tcPr>
            <w:tcW w:w="146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5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60" w:type="dxa"/>
            <w:vAlign w:val="bottom"/>
          </w:tcPr>
          <w:p>
            <w:pPr>
              <w:spacing w:after="0"/>
              <w:rPr>
                <w:sz w:val="19"/>
                <w:szCs w:val="19"/>
                <w:color w:val="auto"/>
              </w:rPr>
            </w:pPr>
          </w:p>
        </w:tc>
      </w:tr>
      <w:tr>
        <w:trPr>
          <w:trHeight w:val="166"/>
        </w:trPr>
        <w:tc>
          <w:tcPr>
            <w:tcW w:w="1480" w:type="dxa"/>
            <w:vAlign w:val="bottom"/>
          </w:tcPr>
          <w:p>
            <w:pPr>
              <w:spacing w:after="0"/>
              <w:rPr>
                <w:sz w:val="14"/>
                <w:szCs w:val="14"/>
                <w:color w:val="auto"/>
              </w:rPr>
            </w:pPr>
          </w:p>
        </w:tc>
        <w:tc>
          <w:tcPr>
            <w:tcW w:w="56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EARNINGS PER SHARE ATTRIBUTABLE TO COMMON</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28"/>
        </w:trPr>
        <w:tc>
          <w:tcPr>
            <w:tcW w:w="148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6"/>
        </w:trPr>
        <w:tc>
          <w:tcPr>
            <w:tcW w:w="1480" w:type="dxa"/>
            <w:vAlign w:val="bottom"/>
          </w:tcPr>
          <w:p>
            <w:pPr>
              <w:spacing w:after="0"/>
              <w:rPr>
                <w:sz w:val="21"/>
                <w:szCs w:val="21"/>
                <w:color w:val="auto"/>
              </w:rPr>
            </w:pPr>
          </w:p>
        </w:tc>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2.32</w:t>
            </w:r>
          </w:p>
        </w:tc>
        <w:tc>
          <w:tcPr>
            <w:tcW w:w="1460" w:type="dxa"/>
            <w:vAlign w:val="bottom"/>
          </w:tcPr>
          <w:p>
            <w:pPr>
              <w:spacing w:after="0"/>
              <w:rPr>
                <w:sz w:val="21"/>
                <w:szCs w:val="21"/>
                <w:color w:val="auto"/>
              </w:rPr>
            </w:pPr>
          </w:p>
        </w:tc>
      </w:tr>
      <w:tr>
        <w:trPr>
          <w:trHeight w:val="237"/>
        </w:trPr>
        <w:tc>
          <w:tcPr>
            <w:tcW w:w="14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2.06</w:t>
            </w:r>
          </w:p>
        </w:tc>
        <w:tc>
          <w:tcPr>
            <w:tcW w:w="1460" w:type="dxa"/>
            <w:vAlign w:val="bottom"/>
          </w:tcPr>
          <w:p>
            <w:pPr>
              <w:spacing w:after="0"/>
              <w:rPr>
                <w:sz w:val="20"/>
                <w:szCs w:val="20"/>
                <w:color w:val="auto"/>
              </w:rPr>
            </w:pPr>
          </w:p>
        </w:tc>
      </w:tr>
      <w:tr>
        <w:trPr>
          <w:trHeight w:val="262"/>
        </w:trPr>
        <w:tc>
          <w:tcPr>
            <w:tcW w:w="1480" w:type="dxa"/>
            <w:vAlign w:val="bottom"/>
          </w:tcPr>
          <w:p>
            <w:pPr>
              <w:spacing w:after="0"/>
              <w:rPr>
                <w:sz w:val="22"/>
                <w:szCs w:val="22"/>
                <w:color w:val="auto"/>
              </w:rPr>
            </w:pPr>
          </w:p>
        </w:tc>
        <w:tc>
          <w:tcPr>
            <w:tcW w:w="5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60" w:type="dxa"/>
            <w:vAlign w:val="bottom"/>
          </w:tcPr>
          <w:p>
            <w:pPr>
              <w:spacing w:after="0"/>
              <w:rPr>
                <w:sz w:val="22"/>
                <w:szCs w:val="22"/>
                <w:color w:val="auto"/>
              </w:rPr>
            </w:pPr>
          </w:p>
        </w:tc>
      </w:tr>
      <w:tr>
        <w:trPr>
          <w:trHeight w:val="231"/>
        </w:trPr>
        <w:tc>
          <w:tcPr>
            <w:tcW w:w="148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DIVIDENDS DECLARED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0.76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0.72</w:t>
            </w:r>
          </w:p>
        </w:tc>
        <w:tc>
          <w:tcPr>
            <w:tcW w:w="1460" w:type="dxa"/>
            <w:vAlign w:val="bottom"/>
          </w:tcPr>
          <w:p>
            <w:pPr>
              <w:spacing w:after="0"/>
              <w:rPr>
                <w:sz w:val="20"/>
                <w:szCs w:val="20"/>
                <w:color w:val="auto"/>
              </w:rPr>
            </w:pPr>
          </w:p>
        </w:tc>
      </w:tr>
      <w:tr>
        <w:trPr>
          <w:trHeight w:val="359"/>
        </w:trPr>
        <w:tc>
          <w:tcPr>
            <w:tcW w:w="1480" w:type="dxa"/>
            <w:vAlign w:val="bottom"/>
          </w:tcPr>
          <w:p>
            <w:pPr>
              <w:spacing w:after="0"/>
              <w:rPr>
                <w:sz w:val="24"/>
                <w:szCs w:val="24"/>
                <w:color w:val="auto"/>
              </w:rPr>
            </w:pPr>
          </w:p>
        </w:tc>
        <w:tc>
          <w:tcPr>
            <w:tcW w:w="7020" w:type="dxa"/>
            <w:vAlign w:val="bottom"/>
            <w:gridSpan w:val="4"/>
          </w:tcPr>
          <w:p>
            <w:pPr>
              <w:ind w:left="1700"/>
              <w:spacing w:after="0"/>
              <w:rPr>
                <w:sz w:val="20"/>
                <w:szCs w:val="20"/>
                <w:color w:val="auto"/>
              </w:rPr>
            </w:pPr>
            <w:r>
              <w:rPr>
                <w:rFonts w:ascii="Times New Roman" w:cs="Times New Roman" w:eastAsia="Times New Roman" w:hAnsi="Times New Roman"/>
                <w:sz w:val="17"/>
                <w:szCs w:val="17"/>
                <w:b w:val="1"/>
                <w:bCs w:val="1"/>
                <w:color w:val="auto"/>
              </w:rPr>
              <w:t>See Interim Condensed Notes to Consolidated Financial Statements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89"/>
        </w:trPr>
        <w:tc>
          <w:tcPr>
            <w:tcW w:w="7100" w:type="dxa"/>
            <w:vAlign w:val="bottom"/>
            <w:gridSpan w:val="2"/>
          </w:tcPr>
          <w:p>
            <w:pPr>
              <w:jc w:val="right"/>
              <w:ind w:right="103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COMPREHENSIVE INCOME</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(In millions)</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(Unaudited)</w:t>
      </w:r>
    </w:p>
    <w:p>
      <w:pPr>
        <w:spacing w:after="0" w:line="338"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5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7"/>
                <w:szCs w:val="17"/>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Derivative instrument adjustment, net of tax</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(LOSS) GAIN, NET OF TAX</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5480" w:type="dxa"/>
            <w:vAlign w:val="bottom"/>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COMPREHENSIVE LOSS ATTRIBUTABLE TO NONCONTROLLING</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5480" w:type="dxa"/>
            <w:vAlign w:val="bottom"/>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COMPREHENSIVE INCOME ATTRIBUTABLE TO COMMON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BALANCE SHEETS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 millions, except share and per share data)</w:t>
      </w:r>
    </w:p>
    <w:p>
      <w:pPr>
        <w:spacing w:after="0" w:line="121"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8"/>
                <w:szCs w:val="18"/>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2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(including $128 and $79 from VIEs, respectively)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166"/>
        </w:trPr>
        <w:tc>
          <w:tcPr>
            <w:tcW w:w="51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Accounts and contracts receivable, net (including $15 and $15 from VIEs,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166"/>
        </w:trPr>
        <w:tc>
          <w:tcPr>
            <w:tcW w:w="51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Vacation ownership notes receivable, net (including $1,914 and $1,912</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from VIEs, respectively)</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4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(including $110 and $99 from VIEs, respectively)</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35"/>
        </w:trPr>
        <w:tc>
          <w:tcPr>
            <w:tcW w:w="5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 (including $4 and $4 from VIEs, respectively)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Payroll and benefits liability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166"/>
        </w:trPr>
        <w:tc>
          <w:tcPr>
            <w:tcW w:w="51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Securitized debt, net (including $2,205 and $2,121 from VIEs,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23"/>
        </w:trPr>
        <w:tc>
          <w:tcPr>
            <w:tcW w:w="5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7,298</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Contingencies and Commitments (Note 10)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66"/>
        </w:trPr>
        <w:tc>
          <w:tcPr>
            <w:tcW w:w="51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Preferred stock — $0.01 par value; 2,000,000 shares authorized; none</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issued or outstanding</w:t>
            </w:r>
          </w:p>
        </w:tc>
        <w:tc>
          <w:tcPr>
            <w:tcW w:w="1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51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stock — $0.01 par value; 100,000,000 shares authorized;</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75,847,526 and 75,807,882 shares issued, respectively</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Treasury stock — at cost; 40,683,846 and 40,488,576 shares, respectively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r>
      <w:tr>
        <w:trPr>
          <w:trHeight w:val="223"/>
        </w:trPr>
        <w:tc>
          <w:tcPr>
            <w:tcW w:w="516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MVW STOCKHOLDERS' EQUITY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2,382</w:t>
            </w:r>
          </w:p>
        </w:tc>
      </w:tr>
      <w:tr>
        <w:trPr>
          <w:trHeight w:val="235"/>
        </w:trPr>
        <w:tc>
          <w:tcPr>
            <w:tcW w:w="5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i w:val="1"/>
          <w:iCs w:val="1"/>
          <w:color w:val="auto"/>
        </w:rPr>
        <w:t>The abbreviation VIEs above means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See Interim Condensed Notes to Financial Statements</w:t>
      </w:r>
    </w:p>
    <w:p>
      <w:pPr>
        <w:spacing w:after="0" w:line="39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CASH FLOWS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 millions)</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(Unaudited)</w:t>
      </w:r>
    </w:p>
    <w:p>
      <w:pPr>
        <w:spacing w:after="0" w:line="69"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5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199"/>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w:t>
            </w:r>
          </w:p>
        </w:tc>
      </w:tr>
      <w:tr>
        <w:trPr>
          <w:trHeight w:val="179"/>
        </w:trPr>
        <w:tc>
          <w:tcPr>
            <w:tcW w:w="5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7"/>
                <w:szCs w:val="17"/>
                <w:color w:val="auto"/>
              </w:rPr>
              <w:t>Adjustments to reconcile net income to net cash, cash equivalents and restricted</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intangibles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w:t>
            </w:r>
          </w:p>
        </w:tc>
      </w:tr>
      <w:tr>
        <w:trPr>
          <w:trHeight w:val="24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Vacation ownership notes receivable reserve</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w:t>
            </w:r>
          </w:p>
        </w:tc>
      </w:tr>
      <w:tr>
        <w:trPr>
          <w:trHeight w:val="24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charges</w:t>
            </w:r>
          </w:p>
        </w:tc>
        <w:tc>
          <w:tcPr>
            <w:tcW w:w="1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r>
      <w:tr>
        <w:trPr>
          <w:trHeight w:val="24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w:t>
            </w: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change in assets and liabilities:</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and contracts receivable</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43"/>
        </w:trPr>
        <w:tc>
          <w:tcPr>
            <w:tcW w:w="56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43"/>
        </w:trPr>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collections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161</w:t>
            </w:r>
          </w:p>
        </w:tc>
      </w:tr>
      <w:tr>
        <w:trPr>
          <w:trHeight w:val="243"/>
        </w:trPr>
        <w:tc>
          <w:tcPr>
            <w:tcW w:w="56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Inventory</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w:t>
            </w:r>
          </w:p>
        </w:tc>
      </w:tr>
      <w:tr>
        <w:trPr>
          <w:trHeight w:val="243"/>
        </w:trPr>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43"/>
        </w:trPr>
        <w:tc>
          <w:tcPr>
            <w:tcW w:w="56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payable, advance deposits and accrued liabilities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43"/>
        </w:trPr>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w:t>
            </w:r>
          </w:p>
        </w:tc>
      </w:tr>
      <w:tr>
        <w:trPr>
          <w:trHeight w:val="243"/>
        </w:trPr>
        <w:tc>
          <w:tcPr>
            <w:tcW w:w="56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Payroll and benefit liabilities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43"/>
        </w:trPr>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56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liabilities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r>
      <w:tr>
        <w:trPr>
          <w:trHeight w:val="24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Purchase of property for future transfer to inventory</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43"/>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46"/>
        </w:trPr>
        <w:tc>
          <w:tcPr>
            <w:tcW w:w="5660" w:type="dxa"/>
            <w:vAlign w:val="bottom"/>
            <w:shd w:val="clear" w:color="auto" w:fill="CCEEFF"/>
          </w:tcPr>
          <w:p>
            <w:pPr>
              <w:ind w:left="640"/>
              <w:spacing w:after="0" w:line="147" w:lineRule="exact"/>
              <w:rPr>
                <w:sz w:val="20"/>
                <w:szCs w:val="20"/>
                <w:color w:val="auto"/>
              </w:rPr>
            </w:pPr>
            <w:r>
              <w:rPr>
                <w:rFonts w:ascii="Times New Roman" w:cs="Times New Roman" w:eastAsia="Times New Roman" w:hAnsi="Times New Roman"/>
                <w:sz w:val="16"/>
                <w:szCs w:val="16"/>
                <w:color w:val="auto"/>
              </w:rPr>
              <w:t>Net cash, cash equivalents and restricted cash provided by (used in)</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30"/>
        </w:trPr>
        <w:tc>
          <w:tcPr>
            <w:tcW w:w="5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activities</w:t>
            </w: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 for property and equipment (excluding inventory)</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company owned life insurance</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and development of property for future sale</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6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Net cash, cash equivalents and restricted cash used in investing activities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bl>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1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See Interim Condensed Notes to Consolidated Financial Statements</w:t>
      </w:r>
    </w:p>
    <w:p>
      <w:pPr>
        <w:spacing w:after="0" w:line="39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CASH FLOWS (CONTINUED)</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(In millions)</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(Unaudited)</w:t>
      </w:r>
    </w:p>
    <w:p>
      <w:pPr>
        <w:spacing w:after="0" w:line="223"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5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199"/>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224"/>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43"/>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Borrowings from securitization transactions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43"/>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 of debt related to securitization transactions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43"/>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debt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43"/>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Repayments of debt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43"/>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 incentive</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43"/>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 lease payment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43"/>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 of dividends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43"/>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 of withholding taxes on vesting of restricted stock units</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146"/>
        </w:trPr>
        <w:tc>
          <w:tcPr>
            <w:tcW w:w="5640" w:type="dxa"/>
            <w:vAlign w:val="bottom"/>
          </w:tcPr>
          <w:p>
            <w:pPr>
              <w:ind w:left="620"/>
              <w:spacing w:after="0" w:line="147" w:lineRule="exact"/>
              <w:rPr>
                <w:sz w:val="20"/>
                <w:szCs w:val="20"/>
                <w:color w:val="auto"/>
              </w:rPr>
            </w:pPr>
            <w:r>
              <w:rPr>
                <w:rFonts w:ascii="Times New Roman" w:cs="Times New Roman" w:eastAsia="Times New Roman" w:hAnsi="Times New Roman"/>
                <w:sz w:val="16"/>
                <w:szCs w:val="16"/>
                <w:color w:val="auto"/>
              </w:rPr>
              <w:t>Net cash, cash equivalents and restricted cash provided by (used in)</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30"/>
        </w:trPr>
        <w:tc>
          <w:tcPr>
            <w:tcW w:w="56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color w:val="auto"/>
              </w:rPr>
              <w:t>financing activities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146"/>
        </w:trPr>
        <w:tc>
          <w:tcPr>
            <w:tcW w:w="5640" w:type="dxa"/>
            <w:vAlign w:val="bottom"/>
            <w:shd w:val="clear" w:color="auto" w:fill="CCEEFF"/>
          </w:tcPr>
          <w:p>
            <w:pPr>
              <w:ind w:left="200"/>
              <w:spacing w:after="0" w:line="147" w:lineRule="exact"/>
              <w:rPr>
                <w:sz w:val="20"/>
                <w:szCs w:val="20"/>
                <w:color w:val="auto"/>
              </w:rPr>
            </w:pPr>
            <w:r>
              <w:rPr>
                <w:rFonts w:ascii="Times New Roman" w:cs="Times New Roman" w:eastAsia="Times New Roman" w:hAnsi="Times New Roman"/>
                <w:sz w:val="16"/>
                <w:szCs w:val="16"/>
                <w:color w:val="auto"/>
              </w:rPr>
              <w:t>Effect of changes in exchange rates on cash, cash equivalents and restricted</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3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Non-cash issuance of treasury stock for employee stock purchase plan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transfer from inventory to property and equipment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3"/>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Non-cash transfer from property and equipment to inventory</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43"/>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transfer from property and equipment to other assets</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Right-of-use asset obtained in exchange for finance lease obligation</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43"/>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issuance of debt in connection with finance lease</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43"/>
        </w:trPr>
        <w:tc>
          <w:tcPr>
            <w:tcW w:w="5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paid, net of amounts capitalized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43"/>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bl>
    <w:p>
      <w:pPr>
        <w:spacing w:after="0" w:line="200" w:lineRule="exact"/>
        <w:rPr>
          <w:sz w:val="20"/>
          <w:szCs w:val="20"/>
          <w:color w:val="auto"/>
        </w:rPr>
      </w:pPr>
    </w:p>
    <w:p>
      <w:pPr>
        <w:spacing w:after="0" w:line="29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20"/>
        <w:spacing w:after="0" w:line="236" w:lineRule="auto"/>
        <w:rPr>
          <w:sz w:val="20"/>
          <w:szCs w:val="20"/>
          <w:color w:val="auto"/>
        </w:rPr>
      </w:pPr>
      <w:r>
        <w:rPr>
          <w:rFonts w:ascii="Times New Roman" w:cs="Times New Roman" w:eastAsia="Times New Roman" w:hAnsi="Times New Roman"/>
          <w:sz w:val="15"/>
          <w:szCs w:val="15"/>
          <w:b w:val="1"/>
          <w:bCs w:val="1"/>
          <w:color w:val="auto"/>
        </w:rPr>
        <w:t>Common Stock Issued</w:t>
      </w:r>
    </w:p>
    <w:p>
      <w:pPr>
        <w:spacing w:after="0" w:line="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75.8</w:t>
      </w:r>
    </w:p>
    <w:p>
      <w:pPr>
        <w:spacing w:after="0" w:line="1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p>
    <w:p>
      <w:pPr>
        <w:spacing w:after="0" w:line="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24765</wp:posOffset>
            </wp:positionV>
            <wp:extent cx="4470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10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73025</wp:posOffset>
            </wp:positionV>
            <wp:extent cx="4470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36" w:lineRule="auto"/>
        <w:rPr>
          <w:sz w:val="20"/>
          <w:szCs w:val="20"/>
          <w:color w:val="auto"/>
        </w:rPr>
      </w:pPr>
      <w:r>
        <w:rPr>
          <w:rFonts w:ascii="Times New Roman" w:cs="Times New Roman" w:eastAsia="Times New Roman" w:hAnsi="Times New Roman"/>
          <w:sz w:val="15"/>
          <w:szCs w:val="15"/>
          <w:b w:val="1"/>
          <w:bCs w:val="1"/>
          <w:color w:val="auto"/>
        </w:rPr>
        <w:t>Common Stock Issued</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75.7</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0.1</w:t>
      </w:r>
    </w:p>
    <w:p>
      <w:pPr>
        <w:spacing w:after="0" w:line="1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w:t>
      </w:r>
    </w:p>
    <w:p>
      <w:pPr>
        <w:spacing w:after="0" w:line="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24765</wp:posOffset>
            </wp:positionV>
            <wp:extent cx="438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8785" cy="8255"/>
                    </a:xfrm>
                    <a:prstGeom prst="rect">
                      <a:avLst/>
                    </a:prstGeom>
                    <a:noFill/>
                  </pic:spPr>
                </pic:pic>
              </a:graphicData>
            </a:graphic>
          </wp:anchor>
        </w:drawing>
      </w:r>
    </w:p>
    <w:p>
      <w:pPr>
        <w:spacing w:after="0" w:line="10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73025</wp:posOffset>
            </wp:positionV>
            <wp:extent cx="4387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8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STOCKHOLDERS’ EQUITY</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(In millions)</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MVW</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13"/>
                <w:szCs w:val="13"/>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9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3"/>
                <w:szCs w:val="13"/>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2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140" w:type="dxa"/>
            <w:vAlign w:val="bottom"/>
          </w:tcPr>
          <w:p>
            <w:pPr>
              <w:spacing w:after="0"/>
              <w:rPr>
                <w:sz w:val="13"/>
                <w:szCs w:val="13"/>
                <w:color w:val="auto"/>
              </w:rPr>
            </w:pPr>
          </w:p>
        </w:tc>
        <w:tc>
          <w:tcPr>
            <w:tcW w:w="640" w:type="dxa"/>
            <w:vAlign w:val="bottom"/>
            <w:vMerge w:val="restart"/>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54"/>
        </w:trPr>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Paid-In</w:t>
            </w:r>
          </w:p>
        </w:tc>
        <w:tc>
          <w:tcPr>
            <w:tcW w:w="1300" w:type="dxa"/>
            <w:vAlign w:val="bottom"/>
            <w:gridSpan w:val="4"/>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180" w:type="dxa"/>
            <w:vAlign w:val="bottom"/>
            <w:gridSpan w:val="4"/>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12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2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2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37"/>
        </w:trPr>
        <w:tc>
          <w:tcPr>
            <w:tcW w:w="222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150"/>
        </w:trPr>
        <w:tc>
          <w:tcPr>
            <w:tcW w:w="220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31, 2023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178"/>
        </w:trPr>
        <w:tc>
          <w:tcPr>
            <w:tcW w:w="2220" w:type="dxa"/>
            <w:vAlign w:val="bottom"/>
            <w:gridSpan w:val="2"/>
          </w:tcPr>
          <w:p>
            <w:pPr>
              <w:ind w:left="100"/>
              <w:spacing w:after="0" w:line="179"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100" w:type="dxa"/>
            <w:vAlign w:val="bottom"/>
          </w:tcPr>
          <w:p>
            <w:pPr>
              <w:spacing w:after="0"/>
              <w:rPr>
                <w:sz w:val="15"/>
                <w:szCs w:val="15"/>
                <w:color w:val="auto"/>
              </w:rPr>
            </w:pPr>
          </w:p>
        </w:tc>
        <w:tc>
          <w:tcPr>
            <w:tcW w:w="8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42"/>
        </w:trPr>
        <w:tc>
          <w:tcPr>
            <w:tcW w:w="2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adjustments</w:t>
            </w:r>
          </w:p>
        </w:tc>
        <w:tc>
          <w:tcPr>
            <w:tcW w:w="1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22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7"/>
                <w:szCs w:val="17"/>
                <w:color w:val="auto"/>
              </w:rPr>
              <w:t>Derivative instrument</w:t>
            </w:r>
          </w:p>
        </w:tc>
        <w:tc>
          <w:tcPr>
            <w:tcW w:w="100" w:type="dxa"/>
            <w:vAlign w:val="bottom"/>
          </w:tcPr>
          <w:p>
            <w:pPr>
              <w:spacing w:after="0"/>
              <w:rPr>
                <w:sz w:val="15"/>
                <w:szCs w:val="15"/>
                <w:color w:val="auto"/>
              </w:rPr>
            </w:pPr>
          </w:p>
        </w:tc>
        <w:tc>
          <w:tcPr>
            <w:tcW w:w="8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2"/>
        </w:trPr>
        <w:tc>
          <w:tcPr>
            <w:tcW w:w="2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adjustment</w:t>
            </w:r>
          </w:p>
        </w:tc>
        <w:tc>
          <w:tcPr>
            <w:tcW w:w="1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22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7"/>
                <w:szCs w:val="17"/>
                <w:color w:val="auto"/>
              </w:rPr>
              <w:t>Share-based compensation</w:t>
            </w:r>
          </w:p>
        </w:tc>
        <w:tc>
          <w:tcPr>
            <w:tcW w:w="100" w:type="dxa"/>
            <w:vAlign w:val="bottom"/>
          </w:tcPr>
          <w:p>
            <w:pPr>
              <w:spacing w:after="0"/>
              <w:rPr>
                <w:sz w:val="15"/>
                <w:szCs w:val="15"/>
                <w:color w:val="auto"/>
              </w:rPr>
            </w:pPr>
          </w:p>
        </w:tc>
        <w:tc>
          <w:tcPr>
            <w:tcW w:w="8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42"/>
        </w:trPr>
        <w:tc>
          <w:tcPr>
            <w:tcW w:w="2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plans</w:t>
            </w:r>
          </w:p>
        </w:tc>
        <w:tc>
          <w:tcPr>
            <w:tcW w:w="1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8"/>
        </w:trPr>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Dividends</w:t>
            </w:r>
          </w:p>
        </w:tc>
        <w:tc>
          <w:tcPr>
            <w:tcW w:w="100" w:type="dxa"/>
            <w:vAlign w:val="bottom"/>
          </w:tcPr>
          <w:p>
            <w:pPr>
              <w:spacing w:after="0"/>
              <w:rPr>
                <w:sz w:val="21"/>
                <w:szCs w:val="21"/>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4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0" w:type="dxa"/>
            <w:vAlign w:val="bottom"/>
          </w:tcPr>
          <w:p>
            <w:pPr>
              <w:spacing w:after="0"/>
              <w:rPr>
                <w:sz w:val="1"/>
                <w:szCs w:val="1"/>
                <w:color w:val="auto"/>
              </w:rPr>
            </w:pPr>
          </w:p>
        </w:tc>
      </w:tr>
      <w:tr>
        <w:trPr>
          <w:trHeight w:val="141"/>
        </w:trPr>
        <w:tc>
          <w:tcPr>
            <w:tcW w:w="220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10"/>
        </w:trPr>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20" w:type="dxa"/>
            <w:vAlign w:val="bottom"/>
          </w:tcPr>
          <w:p>
            <w:pPr>
              <w:spacing w:after="0"/>
              <w:rPr>
                <w:sz w:val="24"/>
                <w:szCs w:val="24"/>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Total MVW</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13"/>
                <w:szCs w:val="13"/>
                <w:color w:val="auto"/>
              </w:rPr>
            </w:pPr>
          </w:p>
        </w:tc>
        <w:tc>
          <w:tcPr>
            <w:tcW w:w="8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9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3"/>
                <w:szCs w:val="13"/>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2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140" w:type="dxa"/>
            <w:vAlign w:val="bottom"/>
          </w:tcPr>
          <w:p>
            <w:pPr>
              <w:spacing w:after="0"/>
              <w:rPr>
                <w:sz w:val="13"/>
                <w:szCs w:val="13"/>
                <w:color w:val="auto"/>
              </w:rPr>
            </w:pPr>
          </w:p>
        </w:tc>
        <w:tc>
          <w:tcPr>
            <w:tcW w:w="640" w:type="dxa"/>
            <w:vAlign w:val="bottom"/>
            <w:vMerge w:val="restart"/>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54"/>
        </w:trPr>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Paid-In</w:t>
            </w:r>
          </w:p>
        </w:tc>
        <w:tc>
          <w:tcPr>
            <w:tcW w:w="1300" w:type="dxa"/>
            <w:vAlign w:val="bottom"/>
            <w:gridSpan w:val="4"/>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180" w:type="dxa"/>
            <w:vAlign w:val="bottom"/>
            <w:gridSpan w:val="4"/>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12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AT DECEMBER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00" w:type="dxa"/>
            <w:vAlign w:val="bottom"/>
          </w:tcPr>
          <w:p>
            <w:pPr>
              <w:spacing w:after="0"/>
              <w:rPr>
                <w:sz w:val="17"/>
                <w:szCs w:val="17"/>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2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80" w:type="dxa"/>
            <w:vAlign w:val="bottom"/>
          </w:tcPr>
          <w:p>
            <w:pPr>
              <w:spacing w:after="0"/>
              <w:rPr>
                <w:sz w:val="17"/>
                <w:szCs w:val="17"/>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40" w:type="dxa"/>
            <w:vAlign w:val="bottom"/>
          </w:tcPr>
          <w:p>
            <w:pPr>
              <w:spacing w:after="0"/>
              <w:rPr>
                <w:sz w:val="17"/>
                <w:szCs w:val="17"/>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color w:val="auto"/>
              </w:rPr>
              <w:t>2,496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2,498</w:t>
            </w:r>
          </w:p>
        </w:tc>
        <w:tc>
          <w:tcPr>
            <w:tcW w:w="0" w:type="dxa"/>
            <w:vAlign w:val="bottom"/>
          </w:tcPr>
          <w:p>
            <w:pPr>
              <w:spacing w:after="0"/>
              <w:rPr>
                <w:sz w:val="1"/>
                <w:szCs w:val="1"/>
                <w:color w:val="auto"/>
              </w:rPr>
            </w:pPr>
          </w:p>
        </w:tc>
      </w:tr>
      <w:tr>
        <w:trPr>
          <w:trHeight w:val="150"/>
        </w:trPr>
        <w:tc>
          <w:tcPr>
            <w:tcW w:w="2200" w:type="dxa"/>
            <w:vAlign w:val="bottom"/>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31, 2022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spacing w:after="0"/>
              <w:rPr>
                <w:sz w:val="19"/>
                <w:szCs w:val="19"/>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178"/>
        </w:trPr>
        <w:tc>
          <w:tcPr>
            <w:tcW w:w="2220" w:type="dxa"/>
            <w:vAlign w:val="bottom"/>
            <w:gridSpan w:val="2"/>
          </w:tcPr>
          <w:p>
            <w:pPr>
              <w:ind w:left="100"/>
              <w:spacing w:after="0" w:line="179"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100" w:type="dxa"/>
            <w:vAlign w:val="bottom"/>
          </w:tcPr>
          <w:p>
            <w:pPr>
              <w:spacing w:after="0"/>
              <w:rPr>
                <w:sz w:val="15"/>
                <w:szCs w:val="15"/>
                <w:color w:val="auto"/>
              </w:rPr>
            </w:pPr>
          </w:p>
        </w:tc>
        <w:tc>
          <w:tcPr>
            <w:tcW w:w="8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6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94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42"/>
        </w:trPr>
        <w:tc>
          <w:tcPr>
            <w:tcW w:w="2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adjustments</w:t>
            </w:r>
          </w:p>
        </w:tc>
        <w:tc>
          <w:tcPr>
            <w:tcW w:w="1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22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7"/>
                <w:szCs w:val="17"/>
                <w:color w:val="auto"/>
              </w:rPr>
              <w:t>Derivative instrument</w:t>
            </w:r>
          </w:p>
        </w:tc>
        <w:tc>
          <w:tcPr>
            <w:tcW w:w="100" w:type="dxa"/>
            <w:vAlign w:val="bottom"/>
          </w:tcPr>
          <w:p>
            <w:pPr>
              <w:spacing w:after="0"/>
              <w:rPr>
                <w:sz w:val="15"/>
                <w:szCs w:val="15"/>
                <w:color w:val="auto"/>
              </w:rPr>
            </w:pPr>
          </w:p>
        </w:tc>
        <w:tc>
          <w:tcPr>
            <w:tcW w:w="8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42"/>
        </w:trPr>
        <w:tc>
          <w:tcPr>
            <w:tcW w:w="2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adjustment</w:t>
            </w:r>
          </w:p>
        </w:tc>
        <w:tc>
          <w:tcPr>
            <w:tcW w:w="1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22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7"/>
                <w:szCs w:val="17"/>
                <w:color w:val="auto"/>
              </w:rPr>
              <w:t>Share-based compensation</w:t>
            </w:r>
          </w:p>
        </w:tc>
        <w:tc>
          <w:tcPr>
            <w:tcW w:w="100" w:type="dxa"/>
            <w:vAlign w:val="bottom"/>
          </w:tcPr>
          <w:p>
            <w:pPr>
              <w:spacing w:after="0"/>
              <w:rPr>
                <w:sz w:val="15"/>
                <w:szCs w:val="15"/>
                <w:color w:val="auto"/>
              </w:rPr>
            </w:pPr>
          </w:p>
        </w:tc>
        <w:tc>
          <w:tcPr>
            <w:tcW w:w="8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2"/>
        </w:trPr>
        <w:tc>
          <w:tcPr>
            <w:tcW w:w="2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plans</w:t>
            </w:r>
          </w:p>
        </w:tc>
        <w:tc>
          <w:tcPr>
            <w:tcW w:w="1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2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0" w:type="dxa"/>
            <w:vAlign w:val="bottom"/>
          </w:tcPr>
          <w:p>
            <w:pPr>
              <w:spacing w:after="0"/>
              <w:rPr>
                <w:sz w:val="20"/>
                <w:szCs w:val="20"/>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48"/>
        </w:trPr>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Dividends</w:t>
            </w:r>
          </w:p>
        </w:tc>
        <w:tc>
          <w:tcPr>
            <w:tcW w:w="100" w:type="dxa"/>
            <w:vAlign w:val="bottom"/>
          </w:tcPr>
          <w:p>
            <w:pPr>
              <w:spacing w:after="0"/>
              <w:rPr>
                <w:sz w:val="21"/>
                <w:szCs w:val="21"/>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MARCH 31,</w:t>
            </w: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3,937</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2,480</w:t>
            </w:r>
          </w:p>
        </w:tc>
        <w:tc>
          <w:tcPr>
            <w:tcW w:w="0" w:type="dxa"/>
            <w:vAlign w:val="bottom"/>
          </w:tcPr>
          <w:p>
            <w:pPr>
              <w:spacing w:after="0"/>
              <w:rPr>
                <w:sz w:val="1"/>
                <w:szCs w:val="1"/>
                <w:color w:val="auto"/>
              </w:rPr>
            </w:pPr>
          </w:p>
        </w:tc>
      </w:tr>
      <w:tr>
        <w:trPr>
          <w:trHeight w:val="141"/>
        </w:trPr>
        <w:tc>
          <w:tcPr>
            <w:tcW w:w="2200" w:type="dxa"/>
            <w:vAlign w:val="bottom"/>
          </w:tcPr>
          <w:p>
            <w:pPr>
              <w:spacing w:after="0" w:line="141"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-3837305</wp:posOffset>
            </wp:positionV>
            <wp:extent cx="7199630" cy="252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9630" cy="25209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-3333115</wp:posOffset>
            </wp:positionV>
            <wp:extent cx="7199630" cy="252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9630" cy="25209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-2926715</wp:posOffset>
            </wp:positionV>
            <wp:extent cx="71996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9630" cy="15430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-4243705</wp:posOffset>
            </wp:positionV>
            <wp:extent cx="7199630" cy="25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9630" cy="25209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-1324610</wp:posOffset>
            </wp:positionV>
            <wp:extent cx="7196455" cy="252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25209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-820420</wp:posOffset>
            </wp:positionV>
            <wp:extent cx="7196455" cy="252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25209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-414020</wp:posOffset>
            </wp:positionV>
            <wp:extent cx="719645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15430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-1731645</wp:posOffset>
            </wp:positionV>
            <wp:extent cx="7196455" cy="252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252095"/>
                    </a:xfrm>
                    <a:prstGeom prst="rect">
                      <a:avLst/>
                    </a:prstGeom>
                    <a:noFill/>
                  </pic:spPr>
                </pic:pic>
              </a:graphicData>
            </a:graphic>
          </wp:anchor>
        </w:drawing>
      </w:r>
    </w:p>
    <w:p>
      <w:pPr>
        <w:spacing w:after="0" w:line="28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See Interim Condensed Notes to Consolidated Financial Statements</w:t>
      </w:r>
    </w:p>
    <w:p>
      <w:pPr>
        <w:spacing w:after="0" w:line="39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280035</wp:posOffset>
            </wp:positionV>
            <wp:extent cx="7164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2">
            <w:col w:w="620" w:space="160"/>
            <w:col w:w="10520"/>
          </w:cols>
          <w:pgMar w:left="360" w:top="124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INTERIM CONDENSED NOTES TO CONSOLIDATED FINANCIAL STATEMENTS</w:t>
      </w:r>
    </w:p>
    <w:p>
      <w:pPr>
        <w:spacing w:after="0" w:line="155" w:lineRule="exact"/>
        <w:rPr>
          <w:sz w:val="20"/>
          <w:szCs w:val="20"/>
          <w:color w:val="auto"/>
        </w:rPr>
      </w:pPr>
    </w:p>
    <w:p>
      <w:pPr>
        <w:ind w:left="400" w:hanging="381"/>
        <w:spacing w:after="0"/>
        <w:tabs>
          <w:tab w:leader="none" w:pos="40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unless otherwise noted. Capitalized terms used and not</w:t>
      </w:r>
    </w:p>
    <w:p>
      <w:pPr>
        <w:spacing w:after="0" w:line="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specifically defined herein have the same meanings given those terms in our Annual Report on Form 10-K for the fiscal year ended December 31, 2023 (the “2023 Annual Report”). We also use certain other terms that are defined within these Financial Statements.</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variable interest entities (“VIEs”) for which Marriott Vacations Worldwide is the primary beneficiary in accordance with consolidation accounting guidance. References in these Financial Statements to net income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accounting for acquired vacation ownership notes receivable, vacation ownership notes receivable reserves, income taxes, and loss contingencies. The uncertainties in the broader macroeconomic environment, including inflation outpacing wage growth, continuing high interest rates, mixed economic indicators and increased global insecurity, have made it more challenging to make these estimates. Actual results could differ from our estimates, and such differences may be material.</w:t>
      </w:r>
    </w:p>
    <w:p>
      <w:pPr>
        <w:spacing w:after="0" w:line="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2023 Annual Report.</w:t>
      </w:r>
    </w:p>
    <w:p>
      <w:pPr>
        <w:spacing w:after="0" w:line="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refer to the business and brands that we acquired in the acquisition of ILG, LLC, formerly known as ILG, Inc. (“ILG”), in 2018 (the “ILG Acquisition”) as “Legacy-ILG.” We refer to the business we conducted prior to the ILG Acquisition and the associated brands as “Legacy-MVW.” We refer to the business and brand that we acquired in the acquisition of Welk Hospitality Group, Inc. (“Welk”) in 2021 (the “Welk Acquisition”) as “Legacy-Welk.” During 2023, we rebranded all Legacy-Welk resorts as Hyatt Vacation Club resorts. Additionally, we use the term “Marriott Vacation Ownership” to refer to our Marriott-, Sheraton-, and Westin-brands and the term “Hyatt Vacation Ownership” to refer to our Hyatt-brands.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reclassified certain prior year amounts to conform with our current year presentation.</w:t>
      </w:r>
    </w:p>
    <w:p>
      <w:pPr>
        <w:spacing w:after="0" w:line="26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0" w:hanging="381"/>
        <w:spacing w:after="0"/>
        <w:tabs>
          <w:tab w:leader="none" w:pos="40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AND RECENT ACCOUNTING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Adoption of Accounting Standards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2023-07 –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(“ASU 2023-07”)</w:t>
      </w:r>
    </w:p>
    <w:p>
      <w:pPr>
        <w:spacing w:after="0" w:line="11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November 2023, the FASB issued ASU 2023-07, which updates reportable segment disclosure requirements, primarily through enhanced disclosures about significant segment expenses and information used to assess segment performance. This update is effective for fiscal years beginning after December 15, 2023, and interim periods within fiscal years beginning after December 15, 2024, with early adoption permitted. This update will be applied retrospectively for all prior periods presented in the financial statements. We will begin providing the enhanced disclosures required by this standard with our Annual Report on Form 10-K for the year ending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2023-09 –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w:t>
      </w:r>
    </w:p>
    <w:p>
      <w:pPr>
        <w:spacing w:after="0" w:line="11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2023-09, which is intended to enhance the transparency and decision usefulness of income tax disclosures. ASU 2023-09 primarily enhances and expands both the annual income tax rate reconciliation disclosure and the annual income taxes paid disclosure. This update is effective for fiscal years beginning after December 15, 2024 and may be adopted on a prospective or retrospective basis, with early adoption permitted. We will begin providing the enhanced disclosures required by this standard with our Annual Report on Form 10-K for the year ending December 31, 2025.</w:t>
      </w:r>
    </w:p>
    <w:p>
      <w:pPr>
        <w:spacing w:after="0" w:line="154" w:lineRule="exact"/>
        <w:rPr>
          <w:sz w:val="20"/>
          <w:szCs w:val="20"/>
          <w:color w:val="auto"/>
        </w:rPr>
      </w:pPr>
    </w:p>
    <w:p>
      <w:pPr>
        <w:ind w:left="400" w:hanging="381"/>
        <w:spacing w:after="0"/>
        <w:tabs>
          <w:tab w:leader="none" w:pos="4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Savannah, Georgia</w:t>
      </w:r>
    </w:p>
    <w:p>
      <w:pPr>
        <w:spacing w:after="0" w:line="11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7"/>
          <w:szCs w:val="17"/>
          <w:color w:val="auto"/>
        </w:rPr>
        <w:t>During the third quarter of 2023, we acquired a property in Savannah, Georgia for $19 million. We plan to convert the property into a 73-unit vacation ownership property. The transaction was accounted for as an asset acquisition and was recorded in Property and equipment, 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Charleston, South Carolina</w:t>
      </w:r>
    </w:p>
    <w:p>
      <w:pPr>
        <w:spacing w:after="0" w:line="11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During the first quarter of 2023, we acquired a parcel of land and an adjacent retail space in Charleston, South Carolina for $17 million. We plan to develop the parcel of land into a 50-unit vacation ownership property and use a portion of the retail space to operate a sales center. The transaction was accounted for as an asset acquisition and was recorded in Property and equipment, net.</w:t>
      </w:r>
    </w:p>
    <w:p>
      <w:pPr>
        <w:spacing w:after="0" w:line="125"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4.</w:t>
        <w:tab/>
        <w:t>REVENUE AND RECEIVABLES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Revenue by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March 31, 2024</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4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2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480" w:type="dxa"/>
            <w:vAlign w:val="bottom"/>
          </w:tcPr>
          <w:p>
            <w:pPr>
              <w:spacing w:after="0"/>
              <w:rPr>
                <w:sz w:val="17"/>
                <w:szCs w:val="17"/>
                <w:color w:val="auto"/>
              </w:rPr>
            </w:pPr>
          </w:p>
        </w:tc>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1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3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March 31, 2023</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2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43"/>
        </w:trPr>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0"/>
        </w:trPr>
        <w:tc>
          <w:tcPr>
            <w:tcW w:w="3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Revenue from Contracts with Customers by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detail the timing of revenue from contracts with customers by segment for the time periods presented.</w:t>
      </w:r>
    </w:p>
    <w:p>
      <w:pPr>
        <w:spacing w:after="0" w:line="48"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March 31, 2024</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22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22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4"/>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35"/>
        </w:trPr>
        <w:tc>
          <w:tcPr>
            <w:tcW w:w="35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March 31, 2023</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2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22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Vacation Ownership Products</w:t>
      </w:r>
    </w:p>
    <w:p>
      <w:pPr>
        <w:spacing w:after="0" w:line="11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Revenues were reduced during the first quarter of 2024 by $4 million due to changes in our estimates of variable consideration for performance obligations that were satisfied in prior periods.</w:t>
      </w:r>
    </w:p>
    <w:p>
      <w:pPr>
        <w:spacing w:after="0" w:line="2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900"/>
          </w:cols>
          <w:pgMar w:left="320" w:top="226"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from Contracts with Customers, Contract Assets, &amp; Contract Liabilities</w:t>
      </w:r>
    </w:p>
    <w:p>
      <w:pPr>
        <w:spacing w:after="0" w:line="11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color w:val="auto"/>
        </w:rPr>
        <w:t>The following table shows the composition of our receivables from contracts with customers and contract liabilities. We had no contract assets at either March 31, 2024 or December 31, 2023.</w:t>
      </w:r>
    </w:p>
    <w:p>
      <w:pPr>
        <w:spacing w:after="0" w:line="88"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At March 31, 2024</w:t>
            </w:r>
          </w:p>
        </w:tc>
        <w:tc>
          <w:tcPr>
            <w:tcW w:w="140" w:type="dxa"/>
            <w:vAlign w:val="bottom"/>
          </w:tcPr>
          <w:p>
            <w:pPr>
              <w:spacing w:after="0"/>
              <w:rPr>
                <w:sz w:val="17"/>
                <w:szCs w:val="17"/>
                <w:color w:val="auto"/>
              </w:rPr>
            </w:pPr>
          </w:p>
        </w:tc>
        <w:tc>
          <w:tcPr>
            <w:tcW w:w="1640" w:type="dxa"/>
            <w:vAlign w:val="bottom"/>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6"/>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 from Contracts with Customers</w:t>
            </w: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43"/>
        </w:trPr>
        <w:tc>
          <w:tcPr>
            <w:tcW w:w="4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and contracts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43"/>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2,336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10"/>
        </w:trPr>
        <w:tc>
          <w:tcPr>
            <w:tcW w:w="4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2,608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43"/>
        </w:trPr>
        <w:tc>
          <w:tcPr>
            <w:tcW w:w="4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Advance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43"/>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10"/>
        </w:trPr>
        <w:tc>
          <w:tcPr>
            <w:tcW w:w="4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1340"/>
        <w:spacing w:after="0" w:line="408" w:lineRule="auto"/>
        <w:rPr>
          <w:sz w:val="20"/>
          <w:szCs w:val="20"/>
          <w:color w:val="auto"/>
        </w:rPr>
      </w:pPr>
      <w:r>
        <w:rPr>
          <w:rFonts w:ascii="Times New Roman" w:cs="Times New Roman" w:eastAsia="Times New Roman" w:hAnsi="Times New Roman"/>
          <w:sz w:val="17"/>
          <w:szCs w:val="17"/>
          <w:color w:val="auto"/>
        </w:rPr>
        <w:t xml:space="preserve">Revenue recognized during the first quarter of 2024 that was included in our contract liabilities balance at December 31, 2023 was $121 million. </w:t>
      </w:r>
      <w:r>
        <w:rPr>
          <w:rFonts w:ascii="Times New Roman" w:cs="Times New Roman" w:eastAsia="Times New Roman" w:hAnsi="Times New Roman"/>
          <w:sz w:val="17"/>
          <w:szCs w:val="17"/>
          <w:b w:val="1"/>
          <w:bCs w:val="1"/>
          <w:i w:val="1"/>
          <w:iCs w:val="1"/>
          <w:color w:val="auto"/>
        </w:rPr>
        <w:t>Remaining Performance Obligations</w:t>
      </w:r>
    </w:p>
    <w:p>
      <w:pPr>
        <w:spacing w:after="0" w:line="1"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color w:val="auto"/>
        </w:rPr>
        <w:t>Our remaining performance obligations represent the expected transaction price allocated to our contracts that we expect to recognize as revenue in future periods when we perform under the contracts. At March 31, 2024, approximately 93% of this amount is expected to be recognized as revenue over the next two years.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and Contracts Receivable</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Accounts and contracts receivable is composed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03"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At March 31, 2024</w:t>
            </w:r>
          </w:p>
        </w:tc>
        <w:tc>
          <w:tcPr>
            <w:tcW w:w="140" w:type="dxa"/>
            <w:vAlign w:val="bottom"/>
          </w:tcPr>
          <w:p>
            <w:pPr>
              <w:spacing w:after="0"/>
              <w:rPr>
                <w:sz w:val="17"/>
                <w:szCs w:val="17"/>
                <w:color w:val="auto"/>
              </w:rPr>
            </w:pPr>
          </w:p>
        </w:tc>
        <w:tc>
          <w:tcPr>
            <w:tcW w:w="1640" w:type="dxa"/>
            <w:vAlign w:val="bottom"/>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6"/>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from contracts with customers,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receivable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receivable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assets</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tax credit receivable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5"/>
        </w:trPr>
        <w:tc>
          <w:tcPr>
            <w:tcW w:w="4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400" w:hanging="381"/>
        <w:spacing w:after="0"/>
        <w:tabs>
          <w:tab w:leader="none" w:pos="4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41"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Our provision for income taxes is calculated using an estimated annual effective tax rate (“AETR”), based upon expected annual income less losses in certain jurisdictions, non-deductible expenses under federal and local tax laws, statutory rates and planned tax strategies in the various jurisdictions in which we operate. Certain items that do not relate directly to ordinary income are excluded from the AETR and included in the period in which they occur.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effective tax rate was 43.0% and 32.3% for the three months ended March 31, 2024 and March 31, 2023, respectively.</w:t>
      </w:r>
    </w:p>
    <w:p>
      <w:pPr>
        <w:spacing w:after="0" w:line="1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2024 differed from the blended statutory tax rate for the same period due to income tax adjustments for discrete items, including $11 million primarily related to a $20 million increase to remove the permanent reinvestment assertion for certain non-U.S. entities offset by a $9 million decrease for the expiration of statutes of limitation on certain unrecognized tax benefits. The effective tax rate for the three months ended March 31, 2023 differed from the blended statutory tax rate for the same period due to income tax adjustments for discrete items, including $9 million primarily related to an increase in uncertain tax benefits of $20 million for new unrecognized tax benefits in a foreign jurisdiction, offset by decreases in stock compensation of $7 million and $4 million related to prior year true-up adjustments.</w:t>
      </w:r>
    </w:p>
    <w:p>
      <w:pPr>
        <w:spacing w:after="0" w:line="23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Unrecognized Tax Benefits</w:t>
      </w:r>
    </w:p>
    <w:p>
      <w:pPr>
        <w:spacing w:after="0" w:line="11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activity related to our unrecognized tax benefits (excluding interest and penalties) during the three months ended March 31, 2024.</w:t>
      </w:r>
    </w:p>
    <w:p>
      <w:pPr>
        <w:spacing w:after="0" w:line="140"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Unrecognized Tax Benefits</w:t>
            </w:r>
          </w:p>
        </w:tc>
      </w:tr>
      <w:tr>
        <w:trPr>
          <w:trHeight w:val="22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43"/>
        </w:trPr>
        <w:tc>
          <w:tcPr>
            <w:tcW w:w="6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Increases to tax positions related to a prior period</w:t>
            </w: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Decreases to tax positions related to a prior period</w:t>
            </w:r>
          </w:p>
        </w:tc>
        <w:tc>
          <w:tcPr>
            <w:tcW w:w="7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43"/>
        </w:trPr>
        <w:tc>
          <w:tcPr>
            <w:tcW w:w="6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Decreases as a result of a lapse of the applicable statute of limitation</w:t>
            </w:r>
          </w:p>
        </w:tc>
        <w:tc>
          <w:tcPr>
            <w:tcW w:w="7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The total amount of gross interest and penalties accrued related to unrecognized tax benefits was $41 million at March 31, 2024 and $48 million at December 31, 2023, a decrease of $7 million, which is predominantly attributable to the expiration of statutes of limitation, partially offset by additional interest and penalties related to non-U.S. uncertain tax positions. At March 31, 2024, unrecognized tax benefits (including interest and penalties) of $26 million, net of indemnification, would impact the effective tax rate if recognized.</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anticipate $38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6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7"/>
          <w:szCs w:val="17"/>
          <w:color w:val="auto"/>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pacing w:after="0" w:line="225" w:lineRule="exact"/>
        <w:rPr>
          <w:sz w:val="20"/>
          <w:szCs w:val="20"/>
          <w:color w:val="auto"/>
        </w:rPr>
      </w:pPr>
    </w:p>
    <w:p>
      <w:pPr>
        <w:ind w:left="400" w:hanging="381"/>
        <w:spacing w:after="0"/>
        <w:tabs>
          <w:tab w:leader="none" w:pos="4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VACATION OWNERSHIP NOTES RECEIVABLE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vacation ownership notes receivable balances, net of reserves.</w:t>
      </w:r>
    </w:p>
    <w:p>
      <w:pPr>
        <w:spacing w:after="0" w:line="151"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2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99"/>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w w:val="99"/>
              </w:rPr>
              <w:t>Originated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Originated</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r>
      <w:tr>
        <w:trPr>
          <w:trHeight w:val="154"/>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43"/>
        </w:trPr>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Eligible for securitization</w:t>
            </w:r>
            <w:r>
              <w:rPr>
                <w:rFonts w:ascii="Times New Roman" w:cs="Times New Roman" w:eastAsia="Times New Roman" w:hAnsi="Times New Roman"/>
                <w:sz w:val="9"/>
                <w:szCs w:val="9"/>
                <w:color w:val="auto"/>
              </w:rPr>
              <w:t>(1)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166"/>
        </w:trPr>
        <w:tc>
          <w:tcPr>
            <w:tcW w:w="204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Not eligible for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0"/>
        </w:trPr>
        <w:tc>
          <w:tcPr>
            <w:tcW w:w="2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securitization</w:t>
            </w:r>
            <w:r>
              <w:rPr>
                <w:rFonts w:ascii="Times New Roman" w:cs="Times New Roman" w:eastAsia="Times New Roman" w:hAnsi="Times New Roman"/>
                <w:sz w:val="9"/>
                <w:szCs w:val="9"/>
                <w:color w:val="auto"/>
              </w:rPr>
              <w:t>(1)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154"/>
        </w:trPr>
        <w:tc>
          <w:tcPr>
            <w:tcW w:w="20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235"/>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800" w:right="1580" w:hanging="308"/>
        <w:spacing w:after="0" w:line="228" w:lineRule="auto"/>
        <w:tabs>
          <w:tab w:leader="none" w:pos="178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 to Footnote 7 “Financial Instruments” for discussion of eligibility of our vacation ownership notes receivable for securitization.</w:t>
      </w:r>
    </w:p>
    <w:p>
      <w:pPr>
        <w:spacing w:after="0" w:line="27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7"/>
          <w:szCs w:val="17"/>
          <w:color w:val="auto"/>
        </w:rPr>
        <w:t>We reflect interest income associated with vacation ownership notes receivable on our Income Statements in the Financing revenues caption. The following table summarizes interest income associated with vacation ownership notes receivable.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20" w:type="dxa"/>
            <w:vAlign w:val="bottom"/>
            <w:gridSpan w:val="2"/>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associated with securitized vacation ownership notes receivable</w:t>
            </w:r>
          </w:p>
        </w:tc>
        <w:tc>
          <w:tcPr>
            <w:tcW w:w="34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7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Interest income associated with non-securitized vacation ownership notes</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80" w:type="dxa"/>
            <w:vAlign w:val="bottom"/>
          </w:tcPr>
          <w:p>
            <w:pPr>
              <w:spacing w:after="0"/>
              <w:rPr>
                <w:sz w:val="19"/>
                <w:szCs w:val="19"/>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receivable</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income associated with vacation ownership notes receivable</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76</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20" w:lineRule="exact"/>
              <w:rPr>
                <w:sz w:val="1"/>
                <w:szCs w:val="1"/>
                <w:color w:val="auto"/>
              </w:rPr>
            </w:pPr>
          </w:p>
        </w:tc>
        <w:tc>
          <w:tcPr>
            <w:tcW w:w="5740" w:type="dxa"/>
            <w:vAlign w:val="bottom"/>
            <w:tcBorders>
              <w:top w:val="single" w:sz="8" w:color="CCEEFF"/>
              <w:bottom w:val="single" w:sz="8" w:color="CCEEFF"/>
            </w:tcBorders>
            <w:vMerge w:val="restart"/>
          </w:tcPr>
          <w:p>
            <w:pPr>
              <w:ind w:left="4360"/>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1480" w:type="dxa"/>
            <w:vAlign w:val="bottom"/>
            <w:vMerge w:val="continue"/>
          </w:tcPr>
          <w:p>
            <w:pPr>
              <w:spacing w:after="0"/>
              <w:rPr>
                <w:sz w:val="24"/>
                <w:szCs w:val="24"/>
                <w:color w:val="auto"/>
              </w:rPr>
            </w:pPr>
          </w:p>
        </w:tc>
        <w:tc>
          <w:tcPr>
            <w:tcW w:w="5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Quality Indicators - Vacation Ownership Notes Receivable</w:t>
      </w:r>
    </w:p>
    <w:p>
      <w:pPr>
        <w:spacing w:after="0" w:line="1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vacation ownership interest (“VOI”) they have acquired. 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6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The weighted average FICO score within our consolidated vacation ownership notes receivable pool was 724 and 723, at March 31, 2024 and December 31, 2023, respectively, based upon the FICO score of the borrower at the time of origination.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Vacation Ownership Notes Receivable</w:t>
      </w:r>
    </w:p>
    <w:p>
      <w:pPr>
        <w:spacing w:after="0" w:line="118"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Acquired vacation ownership notes receivable represent vacation ownership notes receivable acquired as part of the ILG Acquisition and the Welk Acquisition. The following table shows future contractual principal payments, net of a $14 million reserve, and interest rates for our acquired vacation ownership notes receivable at March 31, 2024.</w:t>
      </w:r>
    </w:p>
    <w:p>
      <w:pPr>
        <w:spacing w:after="0" w:line="103"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3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7"/>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w:t>
            </w:r>
          </w:p>
        </w:tc>
        <w:tc>
          <w:tcPr>
            <w:tcW w:w="0" w:type="dxa"/>
            <w:vAlign w:val="bottom"/>
          </w:tcPr>
          <w:p>
            <w:pPr>
              <w:spacing w:after="0"/>
              <w:rPr>
                <w:sz w:val="1"/>
                <w:szCs w:val="1"/>
                <w:color w:val="auto"/>
              </w:rPr>
            </w:pPr>
          </w:p>
        </w:tc>
      </w:tr>
      <w:tr>
        <w:trPr>
          <w:trHeight w:val="199"/>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60" w:type="dxa"/>
            <w:vAlign w:val="bottom"/>
          </w:tcPr>
          <w:p>
            <w:pPr>
              <w:spacing w:after="0"/>
              <w:rPr>
                <w:sz w:val="17"/>
                <w:szCs w:val="17"/>
                <w:color w:val="auto"/>
              </w:rPr>
            </w:pPr>
          </w:p>
        </w:tc>
        <w:tc>
          <w:tcPr>
            <w:tcW w:w="1320" w:type="dxa"/>
            <w:vAlign w:val="bottom"/>
          </w:tcPr>
          <w:p>
            <w:pPr>
              <w:jc w:val="center"/>
              <w:ind w:right="96"/>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24"/>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remaining</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6"/>
              <w:spacing w:after="0" w:line="189" w:lineRule="exact"/>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76"/>
              <w:spacing w:after="0" w:line="189" w:lineRule="exact"/>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6"/>
              <w:spacing w:after="0" w:line="189" w:lineRule="exact"/>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w w:val="98"/>
              </w:rPr>
              <w:t>0.0% to 21.9%</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0.0% to 21.9%</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rPr>
              <w:t>0.0% to 21.9%</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the acquired vacation ownership notes receivable, before reserves, by brand and borrower FICO score at origination.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40" w:type="dxa"/>
            <w:vAlign w:val="bottom"/>
            <w:gridSpan w:val="14"/>
          </w:tcPr>
          <w:p>
            <w:pPr>
              <w:jc w:val="center"/>
              <w:ind w:right="1700"/>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as of March 31, 2024</w:t>
            </w:r>
          </w:p>
        </w:tc>
      </w:tr>
      <w:tr>
        <w:trPr>
          <w:trHeight w:val="199"/>
        </w:trPr>
        <w:tc>
          <w:tcPr>
            <w:tcW w:w="148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700+</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60" w:type="dxa"/>
            <w:vAlign w:val="bottom"/>
          </w:tcPr>
          <w:p>
            <w:pPr>
              <w:spacing w:after="0"/>
              <w:rPr>
                <w:sz w:val="17"/>
                <w:szCs w:val="17"/>
                <w:color w:val="auto"/>
              </w:rPr>
            </w:pPr>
          </w:p>
        </w:tc>
      </w:tr>
      <w:tr>
        <w:trPr>
          <w:trHeight w:val="224"/>
        </w:trPr>
        <w:tc>
          <w:tcPr>
            <w:tcW w:w="1480" w:type="dxa"/>
            <w:vAlign w:val="bottom"/>
          </w:tcPr>
          <w:p>
            <w:pPr>
              <w:spacing w:after="0"/>
              <w:rPr>
                <w:sz w:val="19"/>
                <w:szCs w:val="19"/>
                <w:color w:val="auto"/>
              </w:rPr>
            </w:pPr>
          </w:p>
        </w:tc>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460" w:type="dxa"/>
            <w:vAlign w:val="bottom"/>
          </w:tcPr>
          <w:p>
            <w:pPr>
              <w:spacing w:after="0"/>
              <w:rPr>
                <w:sz w:val="19"/>
                <w:szCs w:val="19"/>
                <w:color w:val="auto"/>
              </w:rPr>
            </w:pPr>
          </w:p>
        </w:tc>
      </w:tr>
      <w:tr>
        <w:trPr>
          <w:trHeight w:val="243"/>
        </w:trPr>
        <w:tc>
          <w:tcPr>
            <w:tcW w:w="1480" w:type="dxa"/>
            <w:vAlign w:val="bottom"/>
          </w:tcPr>
          <w:p>
            <w:pPr>
              <w:spacing w:after="0"/>
              <w:rPr>
                <w:sz w:val="21"/>
                <w:szCs w:val="21"/>
                <w:color w:val="auto"/>
              </w:rPr>
            </w:pPr>
          </w:p>
        </w:tc>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460" w:type="dxa"/>
            <w:vAlign w:val="bottom"/>
          </w:tcPr>
          <w:p>
            <w:pPr>
              <w:spacing w:after="0"/>
              <w:rPr>
                <w:sz w:val="21"/>
                <w:szCs w:val="21"/>
                <w:color w:val="auto"/>
              </w:rPr>
            </w:pPr>
          </w:p>
        </w:tc>
      </w:tr>
      <w:tr>
        <w:trPr>
          <w:trHeight w:val="235"/>
        </w:trPr>
        <w:tc>
          <w:tcPr>
            <w:tcW w:w="148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460" w:type="dxa"/>
            <w:vAlign w:val="bottom"/>
          </w:tcPr>
          <w:p>
            <w:pPr>
              <w:spacing w:after="0"/>
              <w:rPr>
                <w:sz w:val="20"/>
                <w:szCs w:val="20"/>
                <w:color w:val="auto"/>
              </w:rPr>
            </w:pPr>
          </w:p>
        </w:tc>
      </w:tr>
      <w:tr>
        <w:trPr>
          <w:trHeight w:val="20"/>
        </w:trPr>
        <w:tc>
          <w:tcPr>
            <w:tcW w:w="148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91"/>
        </w:trPr>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14"/>
          </w:tcPr>
          <w:p>
            <w:pPr>
              <w:jc w:val="center"/>
              <w:ind w:right="1680"/>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as of December 31, 2023</w:t>
            </w:r>
          </w:p>
        </w:tc>
      </w:tr>
      <w:tr>
        <w:trPr>
          <w:trHeight w:val="199"/>
        </w:trPr>
        <w:tc>
          <w:tcPr>
            <w:tcW w:w="148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700+</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60" w:type="dxa"/>
            <w:vAlign w:val="bottom"/>
          </w:tcPr>
          <w:p>
            <w:pPr>
              <w:spacing w:after="0"/>
              <w:rPr>
                <w:sz w:val="17"/>
                <w:szCs w:val="17"/>
                <w:color w:val="auto"/>
              </w:rPr>
            </w:pPr>
          </w:p>
        </w:tc>
      </w:tr>
      <w:tr>
        <w:trPr>
          <w:trHeight w:val="224"/>
        </w:trPr>
        <w:tc>
          <w:tcPr>
            <w:tcW w:w="1480" w:type="dxa"/>
            <w:vAlign w:val="bottom"/>
          </w:tcPr>
          <w:p>
            <w:pPr>
              <w:spacing w:after="0"/>
              <w:rPr>
                <w:sz w:val="19"/>
                <w:szCs w:val="19"/>
                <w:color w:val="auto"/>
              </w:rPr>
            </w:pPr>
          </w:p>
        </w:tc>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60" w:type="dxa"/>
            <w:vAlign w:val="bottom"/>
          </w:tcPr>
          <w:p>
            <w:pPr>
              <w:spacing w:after="0"/>
              <w:rPr>
                <w:sz w:val="19"/>
                <w:szCs w:val="19"/>
                <w:color w:val="auto"/>
              </w:rPr>
            </w:pPr>
          </w:p>
        </w:tc>
      </w:tr>
      <w:tr>
        <w:trPr>
          <w:trHeight w:val="243"/>
        </w:trPr>
        <w:tc>
          <w:tcPr>
            <w:tcW w:w="1480" w:type="dxa"/>
            <w:vAlign w:val="bottom"/>
          </w:tcPr>
          <w:p>
            <w:pPr>
              <w:spacing w:after="0"/>
              <w:rPr>
                <w:sz w:val="21"/>
                <w:szCs w:val="21"/>
                <w:color w:val="auto"/>
              </w:rPr>
            </w:pPr>
          </w:p>
        </w:tc>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460" w:type="dxa"/>
            <w:vAlign w:val="bottom"/>
          </w:tcPr>
          <w:p>
            <w:pPr>
              <w:spacing w:after="0"/>
              <w:rPr>
                <w:sz w:val="21"/>
                <w:szCs w:val="21"/>
                <w:color w:val="auto"/>
              </w:rPr>
            </w:pPr>
          </w:p>
        </w:tc>
      </w:tr>
      <w:tr>
        <w:trPr>
          <w:trHeight w:val="235"/>
        </w:trPr>
        <w:tc>
          <w:tcPr>
            <w:tcW w:w="148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460" w:type="dxa"/>
            <w:vAlign w:val="bottom"/>
          </w:tcPr>
          <w:p>
            <w:pPr>
              <w:spacing w:after="0"/>
              <w:rPr>
                <w:sz w:val="20"/>
                <w:szCs w:val="20"/>
                <w:color w:val="auto"/>
              </w:rPr>
            </w:pPr>
          </w:p>
        </w:tc>
      </w:tr>
      <w:tr>
        <w:trPr>
          <w:trHeight w:val="20"/>
        </w:trPr>
        <w:tc>
          <w:tcPr>
            <w:tcW w:w="148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23"/>
        </w:trPr>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Originated Vacation Ownership Notes Receivable</w:t>
      </w:r>
    </w:p>
    <w:p>
      <w:pPr>
        <w:spacing w:after="0" w:line="6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March 31, 2024.</w:t>
      </w:r>
    </w:p>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7"/>
          </w:tcPr>
          <w:p>
            <w:pPr>
              <w:jc w:val="center"/>
              <w:ind w:right="96"/>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w:t>
            </w:r>
          </w:p>
        </w:tc>
        <w:tc>
          <w:tcPr>
            <w:tcW w:w="0" w:type="dxa"/>
            <w:vAlign w:val="bottom"/>
          </w:tcPr>
          <w:p>
            <w:pPr>
              <w:spacing w:after="0"/>
              <w:rPr>
                <w:sz w:val="1"/>
                <w:szCs w:val="1"/>
                <w:color w:val="auto"/>
              </w:rPr>
            </w:pPr>
          </w:p>
        </w:tc>
      </w:tr>
      <w:tr>
        <w:trPr>
          <w:trHeight w:val="19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80" w:type="dxa"/>
            <w:vAlign w:val="bottom"/>
          </w:tcPr>
          <w:p>
            <w:pPr>
              <w:spacing w:after="0"/>
              <w:rPr>
                <w:sz w:val="17"/>
                <w:szCs w:val="17"/>
                <w:color w:val="auto"/>
              </w:rPr>
            </w:pPr>
          </w:p>
        </w:tc>
        <w:tc>
          <w:tcPr>
            <w:tcW w:w="1320" w:type="dxa"/>
            <w:vAlign w:val="bottom"/>
          </w:tcPr>
          <w:p>
            <w:pPr>
              <w:jc w:val="center"/>
              <w:ind w:right="96"/>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remaining</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0" w:type="dxa"/>
            <w:vAlign w:val="bottom"/>
          </w:tcPr>
          <w:p>
            <w:pPr>
              <w:spacing w:after="0"/>
              <w:rPr>
                <w:sz w:val="1"/>
                <w:szCs w:val="1"/>
                <w:color w:val="auto"/>
              </w:rPr>
            </w:pPr>
          </w:p>
        </w:tc>
      </w:tr>
      <w:tr>
        <w:trPr>
          <w:trHeight w:val="23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6"/>
              <w:spacing w:after="0" w:line="189" w:lineRule="exact"/>
              <w:rPr>
                <w:sz w:val="20"/>
                <w:szCs w:val="20"/>
                <w:color w:val="auto"/>
              </w:rPr>
            </w:pPr>
            <w:r>
              <w:rPr>
                <w:rFonts w:ascii="Times New Roman" w:cs="Times New Roman" w:eastAsia="Times New Roman" w:hAnsi="Times New Roman"/>
                <w:sz w:val="17"/>
                <w:szCs w:val="17"/>
                <w:color w:val="auto"/>
              </w:rPr>
              <w:t>11.9%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6"/>
              <w:spacing w:after="0" w:line="189" w:lineRule="exact"/>
              <w:rPr>
                <w:sz w:val="20"/>
                <w:szCs w:val="20"/>
                <w:color w:val="auto"/>
              </w:rPr>
            </w:pPr>
            <w:r>
              <w:rPr>
                <w:rFonts w:ascii="Times New Roman" w:cs="Times New Roman" w:eastAsia="Times New Roman" w:hAnsi="Times New Roman"/>
                <w:sz w:val="17"/>
                <w:szCs w:val="17"/>
                <w:color w:val="auto"/>
              </w:rPr>
              <w:t>13.3%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6"/>
              <w:spacing w:after="0" w:line="189" w:lineRule="exact"/>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rPr>
              <w:t>0.0% to 20.9%</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0.0% to 20.9%</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rPr>
              <w:t>0.0% to 20.9%</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related to our originated vacation ownership notes receivable reserve.</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22860</wp:posOffset>
            </wp:positionV>
            <wp:extent cx="29762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76245" cy="8255"/>
                    </a:xfrm>
                    <a:prstGeom prst="rect">
                      <a:avLst/>
                    </a:prstGeom>
                    <a:noFill/>
                  </pic:spPr>
                </pic:pic>
              </a:graphicData>
            </a:graphic>
          </wp:anchor>
        </w:drawing>
      </w:r>
    </w:p>
    <w:p>
      <w:pPr>
        <w:spacing w:after="0" w:line="51" w:lineRule="exact"/>
        <w:rPr>
          <w:sz w:val="20"/>
          <w:szCs w:val="20"/>
          <w:color w:val="auto"/>
        </w:rPr>
      </w:pPr>
    </w:p>
    <w:p>
      <w:pPr>
        <w:ind w:left="1500"/>
        <w:spacing w:after="0"/>
        <w:tabs>
          <w:tab w:leader="none" w:pos="5280" w:val="left"/>
          <w:tab w:leader="none" w:pos="7060" w:val="left"/>
          <w:tab w:leader="none" w:pos="8860" w:val="left"/>
        </w:tabs>
        <w:rPr>
          <w:sz w:val="20"/>
          <w:szCs w:val="20"/>
          <w:color w:val="auto"/>
        </w:rPr>
      </w:pPr>
      <w:r>
        <w:rPr>
          <w:rFonts w:ascii="Times New Roman" w:cs="Times New Roman" w:eastAsia="Times New Roman" w:hAnsi="Times New Roman"/>
          <w:sz w:val="14"/>
          <w:szCs w:val="14"/>
          <w:b w:val="1"/>
          <w:bCs w:val="1"/>
          <w:i w:val="1"/>
          <w:iCs w:val="1"/>
          <w:color w:val="auto"/>
        </w:rPr>
        <w:t>($ in millions)</w:t>
      </w:r>
      <w:r>
        <w:rPr>
          <w:sz w:val="20"/>
          <w:szCs w:val="20"/>
          <w:color w:val="auto"/>
        </w:rPr>
        <w:tab/>
      </w:r>
      <w:r>
        <w:rPr>
          <w:rFonts w:ascii="Times New Roman" w:cs="Times New Roman" w:eastAsia="Times New Roman" w:hAnsi="Times New Roman"/>
          <w:sz w:val="15"/>
          <w:szCs w:val="15"/>
          <w:b w:val="1"/>
          <w:bCs w:val="1"/>
          <w:color w:val="auto"/>
        </w:rPr>
        <w:t>Non-Securitized</w:t>
      </w:r>
      <w:r>
        <w:rPr>
          <w:sz w:val="20"/>
          <w:szCs w:val="20"/>
          <w:color w:val="auto"/>
        </w:rPr>
        <w:tab/>
      </w:r>
      <w:r>
        <w:rPr>
          <w:rFonts w:ascii="Times New Roman" w:cs="Times New Roman" w:eastAsia="Times New Roman" w:hAnsi="Times New Roman"/>
          <w:sz w:val="15"/>
          <w:szCs w:val="15"/>
          <w:b w:val="1"/>
          <w:bCs w:val="1"/>
          <w:color w:val="auto"/>
        </w:rPr>
        <w:t>Securitized</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22860</wp:posOffset>
            </wp:positionV>
            <wp:extent cx="526923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69230" cy="15430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45" w:lineRule="exact"/>
        <w:rPr>
          <w:sz w:val="20"/>
          <w:szCs w:val="20"/>
          <w:color w:val="auto"/>
        </w:rPr>
      </w:pPr>
    </w:p>
    <w:p>
      <w:pPr>
        <w:ind w:left="1500"/>
        <w:spacing w:after="0"/>
        <w:tabs>
          <w:tab w:leader="none" w:pos="5080" w:val="left"/>
        </w:tabs>
        <w:rPr>
          <w:sz w:val="20"/>
          <w:szCs w:val="20"/>
          <w:color w:val="auto"/>
        </w:rPr>
      </w:pPr>
      <w:r>
        <w:rPr>
          <w:rFonts w:ascii="Times New Roman" w:cs="Times New Roman" w:eastAsia="Times New Roman" w:hAnsi="Times New Roman"/>
          <w:sz w:val="17"/>
          <w:szCs w:val="17"/>
          <w:color w:val="auto"/>
        </w:rPr>
        <w:t>Balance at December 31, 2023</w:t>
      </w:r>
      <w:r>
        <w:rPr>
          <w:sz w:val="20"/>
          <w:szCs w:val="20"/>
          <w:color w:val="auto"/>
        </w:rPr>
        <w:tab/>
      </w:r>
      <w:r>
        <w:rPr>
          <w:rFonts w:ascii="Times New Roman" w:cs="Times New Roman" w:eastAsia="Times New Roman" w:hAnsi="Times New Roman"/>
          <w:sz w:val="16"/>
          <w:szCs w:val="16"/>
          <w:color w:val="auto"/>
        </w:rPr>
        <w:t>$</w:t>
      </w:r>
    </w:p>
    <w:p>
      <w:pPr>
        <w:spacing w:after="0" w:line="39" w:lineRule="exact"/>
        <w:rPr>
          <w:sz w:val="20"/>
          <w:szCs w:val="20"/>
          <w:color w:val="auto"/>
        </w:rPr>
      </w:pPr>
    </w:p>
    <w:p>
      <w:pPr>
        <w:ind w:left="1580" w:right="680"/>
        <w:spacing w:after="0" w:line="235" w:lineRule="auto"/>
        <w:rPr>
          <w:sz w:val="20"/>
          <w:szCs w:val="20"/>
          <w:color w:val="auto"/>
        </w:rPr>
      </w:pPr>
      <w:r>
        <w:rPr>
          <w:rFonts w:ascii="Times New Roman" w:cs="Times New Roman" w:eastAsia="Times New Roman" w:hAnsi="Times New Roman"/>
          <w:sz w:val="17"/>
          <w:szCs w:val="17"/>
          <w:color w:val="auto"/>
        </w:rPr>
        <w:t>Increase (decrease) in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8255</wp:posOffset>
            </wp:positionV>
            <wp:extent cx="526923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69230" cy="154305"/>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Securitizations</w:t>
      </w:r>
    </w:p>
    <w:p>
      <w:pPr>
        <w:spacing w:after="0" w:line="4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Clean-up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24765</wp:posOffset>
            </wp:positionV>
            <wp:extent cx="526923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69230" cy="154305"/>
                    </a:xfrm>
                    <a:prstGeom prst="rect">
                      <a:avLst/>
                    </a:prstGeom>
                    <a:noFill/>
                  </pic:spPr>
                </pic:pic>
              </a:graphicData>
            </a:graphic>
          </wp:anchor>
        </w:drawing>
      </w:r>
    </w:p>
    <w:p>
      <w:pPr>
        <w:spacing w:after="0" w:line="2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Write-offs</w:t>
      </w:r>
    </w:p>
    <w:p>
      <w:pPr>
        <w:spacing w:after="0" w:line="35" w:lineRule="exact"/>
        <w:rPr>
          <w:sz w:val="20"/>
          <w:szCs w:val="20"/>
          <w:color w:val="auto"/>
        </w:rPr>
      </w:pPr>
    </w:p>
    <w:p>
      <w:pPr>
        <w:ind w:left="1580" w:right="740"/>
        <w:spacing w:after="0" w:line="238" w:lineRule="auto"/>
        <w:rPr>
          <w:sz w:val="20"/>
          <w:szCs w:val="20"/>
          <w:color w:val="auto"/>
        </w:rPr>
      </w:pPr>
      <w:r>
        <w:rPr>
          <w:rFonts w:ascii="Times New Roman" w:cs="Times New Roman" w:eastAsia="Times New Roman" w:hAnsi="Times New Roman"/>
          <w:sz w:val="17"/>
          <w:szCs w:val="17"/>
          <w:color w:val="auto"/>
        </w:rPr>
        <w:t>Defaulted vacation ownership notes receivable repurchase activity</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8255</wp:posOffset>
            </wp:positionV>
            <wp:extent cx="526923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69230" cy="162560"/>
                    </a:xfrm>
                    <a:prstGeom prst="rect">
                      <a:avLst/>
                    </a:prstGeom>
                    <a:noFill/>
                  </pic:spPr>
                </pic:pic>
              </a:graphicData>
            </a:graphic>
          </wp:anchor>
        </w:drawing>
      </w:r>
    </w:p>
    <w:p>
      <w:pPr>
        <w:spacing w:after="0" w:line="2" w:lineRule="exact"/>
        <w:rPr>
          <w:sz w:val="20"/>
          <w:szCs w:val="20"/>
          <w:color w:val="auto"/>
        </w:rPr>
      </w:pPr>
    </w:p>
    <w:p>
      <w:pPr>
        <w:ind w:left="1500"/>
        <w:spacing w:after="0"/>
        <w:tabs>
          <w:tab w:leader="none" w:pos="5080" w:val="left"/>
        </w:tabs>
        <w:rPr>
          <w:sz w:val="20"/>
          <w:szCs w:val="20"/>
          <w:color w:val="auto"/>
        </w:rPr>
      </w:pPr>
      <w:r>
        <w:rPr>
          <w:rFonts w:ascii="Times New Roman" w:cs="Times New Roman" w:eastAsia="Times New Roman" w:hAnsi="Times New Roman"/>
          <w:sz w:val="17"/>
          <w:szCs w:val="17"/>
          <w:color w:val="auto"/>
        </w:rPr>
        <w:t>Balance at March 31, 2024</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195</w:t>
            </w: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Pr>
          <w:p>
            <w:pPr>
              <w:spacing w:after="0"/>
              <w:rPr>
                <w:sz w:val="19"/>
                <w:szCs w:val="19"/>
                <w:color w:val="auto"/>
              </w:rPr>
            </w:pPr>
          </w:p>
        </w:tc>
        <w:tc>
          <w:tcPr>
            <w:tcW w:w="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397"/>
        </w:trPr>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47</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43"/>
        </w:trPr>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8"/>
              </w:rPr>
              <w:t>(63)</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34</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8"/>
              </w:rPr>
              <w:t>(45)</w:t>
            </w:r>
          </w:p>
        </w:tc>
        <w:tc>
          <w:tcPr>
            <w:tcW w:w="6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396"/>
        </w:trPr>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33</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201</w:t>
            </w:r>
          </w:p>
        </w:tc>
        <w:tc>
          <w:tcPr>
            <w:tcW w:w="6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w:t>
            </w:r>
          </w:p>
        </w:tc>
      </w:tr>
      <w:tr>
        <w:trPr>
          <w:trHeight w:val="20"/>
        </w:trPr>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-7620</wp:posOffset>
            </wp:positionV>
            <wp:extent cx="951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5520" w:space="720"/>
            <w:col w:w="5000"/>
          </w:cols>
          <w:pgMar w:left="320" w:top="226" w:right="339" w:bottom="1440" w:gutter="0" w:footer="0" w:header="0"/>
          <w:type w:val="continuous"/>
        </w:sectPr>
      </w:pPr>
    </w:p>
    <w:p>
      <w:pPr>
        <w:jc w:val="both"/>
        <w:ind w:left="1800" w:right="2140" w:hanging="308"/>
        <w:spacing w:after="0" w:line="235" w:lineRule="auto"/>
        <w:tabs>
          <w:tab w:leader="none" w:pos="178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originated vacation ownership notes receivable, before reserves, by brand and borrower FICO score at origination.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00" w:type="dxa"/>
            <w:vAlign w:val="bottom"/>
            <w:gridSpan w:val="21"/>
          </w:tcPr>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as of March 31, 2024</w:t>
            </w:r>
          </w:p>
        </w:tc>
      </w:tr>
      <w:tr>
        <w:trPr>
          <w:trHeight w:val="199"/>
        </w:trPr>
        <w:tc>
          <w:tcPr>
            <w:tcW w:w="1480" w:type="dxa"/>
            <w:vAlign w:val="bottom"/>
          </w:tcPr>
          <w:p>
            <w:pPr>
              <w:spacing w:after="0"/>
              <w:rPr>
                <w:sz w:val="17"/>
                <w:szCs w:val="17"/>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700 +</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60" w:type="dxa"/>
            <w:vAlign w:val="bottom"/>
          </w:tcPr>
          <w:p>
            <w:pPr>
              <w:spacing w:after="0"/>
              <w:rPr>
                <w:sz w:val="17"/>
                <w:szCs w:val="17"/>
                <w:color w:val="auto"/>
              </w:rPr>
            </w:pPr>
          </w:p>
        </w:tc>
      </w:tr>
      <w:tr>
        <w:trPr>
          <w:trHeight w:val="224"/>
        </w:trPr>
        <w:tc>
          <w:tcPr>
            <w:tcW w:w="1480" w:type="dxa"/>
            <w:vAlign w:val="bottom"/>
          </w:tcPr>
          <w:p>
            <w:pPr>
              <w:spacing w:after="0"/>
              <w:rPr>
                <w:sz w:val="19"/>
                <w:szCs w:val="19"/>
                <w:color w:val="auto"/>
              </w:rPr>
            </w:pPr>
          </w:p>
        </w:tc>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60" w:type="dxa"/>
            <w:vAlign w:val="bottom"/>
            <w:tcBorders>
              <w:top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1460" w:type="dxa"/>
            <w:vAlign w:val="bottom"/>
          </w:tcPr>
          <w:p>
            <w:pPr>
              <w:spacing w:after="0"/>
              <w:rPr>
                <w:sz w:val="19"/>
                <w:szCs w:val="19"/>
                <w:color w:val="auto"/>
              </w:rPr>
            </w:pPr>
          </w:p>
        </w:tc>
      </w:tr>
      <w:tr>
        <w:trPr>
          <w:trHeight w:val="243"/>
        </w:trPr>
        <w:tc>
          <w:tcPr>
            <w:tcW w:w="1480" w:type="dxa"/>
            <w:vAlign w:val="bottom"/>
          </w:tcPr>
          <w:p>
            <w:pPr>
              <w:spacing w:after="0"/>
              <w:rPr>
                <w:sz w:val="21"/>
                <w:szCs w:val="21"/>
                <w:color w:val="auto"/>
              </w:rPr>
            </w:pPr>
          </w:p>
        </w:tc>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460" w:type="dxa"/>
            <w:vAlign w:val="bottom"/>
          </w:tcPr>
          <w:p>
            <w:pPr>
              <w:spacing w:after="0"/>
              <w:rPr>
                <w:sz w:val="21"/>
                <w:szCs w:val="21"/>
                <w:color w:val="auto"/>
              </w:rPr>
            </w:pPr>
          </w:p>
        </w:tc>
      </w:tr>
      <w:tr>
        <w:trPr>
          <w:trHeight w:val="235"/>
        </w:trPr>
        <w:tc>
          <w:tcPr>
            <w:tcW w:w="1480" w:type="dxa"/>
            <w:vAlign w:val="bottom"/>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2,639</w:t>
            </w:r>
          </w:p>
        </w:tc>
        <w:tc>
          <w:tcPr>
            <w:tcW w:w="1460" w:type="dxa"/>
            <w:vAlign w:val="bottom"/>
          </w:tcPr>
          <w:p>
            <w:pPr>
              <w:spacing w:after="0"/>
              <w:rPr>
                <w:sz w:val="20"/>
                <w:szCs w:val="20"/>
                <w:color w:val="auto"/>
              </w:rPr>
            </w:pPr>
          </w:p>
        </w:tc>
      </w:tr>
      <w:tr>
        <w:trPr>
          <w:trHeight w:val="20"/>
        </w:trPr>
        <w:tc>
          <w:tcPr>
            <w:tcW w:w="148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30"/>
        </w:trPr>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00" w:type="dxa"/>
            <w:vAlign w:val="bottom"/>
            <w:gridSpan w:val="21"/>
          </w:tcPr>
          <w:p>
            <w:pPr>
              <w:ind w:left="280"/>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as of December 31, 2023</w:t>
            </w:r>
          </w:p>
        </w:tc>
      </w:tr>
      <w:tr>
        <w:trPr>
          <w:trHeight w:val="199"/>
        </w:trPr>
        <w:tc>
          <w:tcPr>
            <w:tcW w:w="1480" w:type="dxa"/>
            <w:vAlign w:val="bottom"/>
          </w:tcPr>
          <w:p>
            <w:pPr>
              <w:spacing w:after="0"/>
              <w:rPr>
                <w:sz w:val="17"/>
                <w:szCs w:val="17"/>
                <w:color w:val="auto"/>
              </w:rPr>
            </w:pPr>
          </w:p>
        </w:tc>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700 +</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60" w:type="dxa"/>
            <w:vAlign w:val="bottom"/>
          </w:tcPr>
          <w:p>
            <w:pPr>
              <w:spacing w:after="0"/>
              <w:rPr>
                <w:sz w:val="17"/>
                <w:szCs w:val="17"/>
                <w:color w:val="auto"/>
              </w:rPr>
            </w:pPr>
          </w:p>
        </w:tc>
      </w:tr>
      <w:tr>
        <w:trPr>
          <w:trHeight w:val="224"/>
        </w:trPr>
        <w:tc>
          <w:tcPr>
            <w:tcW w:w="148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1460" w:type="dxa"/>
            <w:vAlign w:val="bottom"/>
          </w:tcPr>
          <w:p>
            <w:pPr>
              <w:spacing w:after="0"/>
              <w:rPr>
                <w:sz w:val="19"/>
                <w:szCs w:val="19"/>
                <w:color w:val="auto"/>
              </w:rPr>
            </w:pPr>
          </w:p>
        </w:tc>
      </w:tr>
      <w:tr>
        <w:trPr>
          <w:trHeight w:val="243"/>
        </w:trPr>
        <w:tc>
          <w:tcPr>
            <w:tcW w:w="1480" w:type="dxa"/>
            <w:vAlign w:val="bottom"/>
          </w:tcPr>
          <w:p>
            <w:pPr>
              <w:spacing w:after="0"/>
              <w:rPr>
                <w:sz w:val="21"/>
                <w:szCs w:val="21"/>
                <w:color w:val="auto"/>
              </w:rPr>
            </w:pPr>
          </w:p>
        </w:tc>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Vacation Ownership</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460" w:type="dxa"/>
            <w:vAlign w:val="bottom"/>
          </w:tcPr>
          <w:p>
            <w:pPr>
              <w:spacing w:after="0"/>
              <w:rPr>
                <w:sz w:val="21"/>
                <w:szCs w:val="21"/>
                <w:color w:val="auto"/>
              </w:rPr>
            </w:pPr>
          </w:p>
        </w:tc>
      </w:tr>
      <w:tr>
        <w:trPr>
          <w:trHeight w:val="235"/>
        </w:trPr>
        <w:tc>
          <w:tcPr>
            <w:tcW w:w="1480" w:type="dxa"/>
            <w:vAlign w:val="bottom"/>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1460" w:type="dxa"/>
            <w:vAlign w:val="bottom"/>
          </w:tcPr>
          <w:p>
            <w:pPr>
              <w:spacing w:after="0"/>
              <w:rPr>
                <w:sz w:val="20"/>
                <w:szCs w:val="20"/>
                <w:color w:val="auto"/>
              </w:rPr>
            </w:pPr>
          </w:p>
        </w:tc>
      </w:tr>
      <w:tr>
        <w:trPr>
          <w:trHeight w:val="20"/>
        </w:trPr>
        <w:tc>
          <w:tcPr>
            <w:tcW w:w="148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23"/>
        </w:trPr>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7"/>
          <w:szCs w:val="17"/>
          <w:color w:val="auto"/>
        </w:rPr>
        <w:t>The following tables detail the origination year of our originated vacation ownership notes receivable, before reserves, by brand and borrower FICO score at origination as of March 31, 2024, and gross write-offs by brand for the first quarter of 2024.</w:t>
      </w:r>
    </w:p>
    <w:p>
      <w:pPr>
        <w:spacing w:after="0" w:line="140"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60" w:type="dxa"/>
            <w:vAlign w:val="bottom"/>
            <w:tcBorders>
              <w:bottom w:val="single" w:sz="8" w:color="auto"/>
            </w:tcBorders>
            <w:gridSpan w:val="21"/>
          </w:tcPr>
          <w:p>
            <w:pPr>
              <w:jc w:val="right"/>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Marriott Vacation Ownership</w:t>
            </w:r>
          </w:p>
        </w:tc>
        <w:tc>
          <w:tcPr>
            <w:tcW w:w="740" w:type="dxa"/>
            <w:vAlign w:val="bottom"/>
            <w:tcBorders>
              <w:bottom w:val="single" w:sz="8" w:color="auto"/>
            </w:tcBorders>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2020 &amp; Prior</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24"/>
        </w:trPr>
        <w:tc>
          <w:tcPr>
            <w:tcW w:w="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7"/>
              </w:rPr>
              <w:t>700</w:t>
            </w:r>
          </w:p>
        </w:tc>
        <w:tc>
          <w:tcPr>
            <w:tcW w:w="1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r>
      <w:tr>
        <w:trPr>
          <w:trHeight w:val="243"/>
        </w:trPr>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7"/>
              </w:rPr>
              <w:t>600</w:t>
            </w:r>
          </w:p>
        </w:tc>
        <w:tc>
          <w:tcPr>
            <w:tcW w:w="1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43"/>
        </w:trPr>
        <w:tc>
          <w:tcPr>
            <w:tcW w:w="1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No Score</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35"/>
        </w:trPr>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w:t>
            </w:r>
          </w:p>
        </w:tc>
      </w:tr>
      <w:tr>
        <w:trPr>
          <w:trHeight w:val="20"/>
        </w:trPr>
        <w:tc>
          <w:tcPr>
            <w:tcW w:w="14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420"/>
        </w:trPr>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1"/>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Hyatt Vacation Ownership</w:t>
            </w:r>
          </w:p>
        </w:tc>
        <w:tc>
          <w:tcPr>
            <w:tcW w:w="740" w:type="dxa"/>
            <w:vAlign w:val="bottom"/>
            <w:tcBorders>
              <w:bottom w:val="single" w:sz="8" w:color="auto"/>
            </w:tcBorders>
          </w:tcPr>
          <w:p>
            <w:pPr>
              <w:spacing w:after="0"/>
              <w:rPr>
                <w:sz w:val="24"/>
                <w:szCs w:val="24"/>
                <w:color w:val="auto"/>
              </w:rPr>
            </w:pPr>
          </w:p>
        </w:tc>
      </w:tr>
      <w:tr>
        <w:trPr>
          <w:trHeight w:val="199"/>
        </w:trPr>
        <w:tc>
          <w:tcPr>
            <w:tcW w:w="1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2020 &amp; Prior</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24"/>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7"/>
              </w:rPr>
              <w:t>700</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43"/>
        </w:trPr>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7"/>
              </w:rPr>
              <w:t>600</w:t>
            </w:r>
          </w:p>
        </w:tc>
        <w:tc>
          <w:tcPr>
            <w:tcW w:w="1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 Score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5"/>
        </w:trPr>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0"/>
        </w:trPr>
        <w:tc>
          <w:tcPr>
            <w:tcW w:w="14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r>
        <w:trPr>
          <w:trHeight w:val="99"/>
        </w:trPr>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on Non-Accrual Status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both non-securitized and securitized vacation ownership notes receivable, we estimated the average remaining default rates of 12.62% as of March 31, 2024 and 13.00% as of December 31, 2023. A 0.5 percentage point increase in the estimated default rate would have resulted in an increase in the related vacation ownership notes receivable reserve of $13 million as of both March 31, 2024 and December 31, 2023.</w:t>
      </w:r>
    </w:p>
    <w:p>
      <w:pPr>
        <w:spacing w:after="0" w:line="6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240"/>
          </w:cols>
          <w:pgMar w:left="320" w:top="226" w:right="339" w:bottom="1440" w:gutter="0" w:footer="0" w:header="0"/>
        </w:sectPr>
      </w:pPr>
    </w:p>
    <w:p>
      <w:pPr>
        <w:spacing w:after="0" w:line="3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39"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16"/>
          <w:szCs w:val="16"/>
          <w:color w:val="auto"/>
        </w:rPr>
        <w:t>Investment in vacation ownership notes receivable on non-accrual status at March 31, 2024</w:t>
      </w:r>
    </w:p>
    <w:p>
      <w:pPr>
        <w:spacing w:after="0" w:line="1" w:lineRule="exact"/>
        <w:rPr>
          <w:sz w:val="20"/>
          <w:szCs w:val="20"/>
          <w:color w:val="auto"/>
        </w:rPr>
      </w:pPr>
    </w:p>
    <w:p>
      <w:pPr>
        <w:ind w:left="1500"/>
        <w:spacing w:after="0" w:line="266" w:lineRule="auto"/>
        <w:rPr>
          <w:sz w:val="20"/>
          <w:szCs w:val="20"/>
          <w:color w:val="auto"/>
        </w:rPr>
      </w:pPr>
      <w:r>
        <w:rPr>
          <w:rFonts w:ascii="Times New Roman" w:cs="Times New Roman" w:eastAsia="Times New Roman" w:hAnsi="Times New Roman"/>
          <w:sz w:val="16"/>
          <w:szCs w:val="16"/>
          <w:color w:val="auto"/>
        </w:rPr>
        <w:t>Investment in vacation ownership notes receivable on non-accrual status at December 31, 2023</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Vacation Ownership Notes Receivable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9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8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tcPr>
          <w:p>
            <w:pPr>
              <w:spacing w:after="0"/>
              <w:rPr>
                <w:sz w:val="24"/>
                <w:szCs w:val="24"/>
                <w:color w:val="auto"/>
              </w:rPr>
            </w:pPr>
          </w:p>
        </w:tc>
        <w:tc>
          <w:tcPr>
            <w:tcW w:w="1180" w:type="dxa"/>
            <w:vAlign w:val="bottom"/>
            <w:tcBorders>
              <w:top w:val="single" w:sz="8" w:color="auto"/>
            </w:tcBorders>
          </w:tcPr>
          <w:p>
            <w:pPr>
              <w:jc w:val="right"/>
              <w:ind w:right="997"/>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4"/>
                <w:szCs w:val="24"/>
                <w:color w:val="auto"/>
              </w:rPr>
            </w:pPr>
          </w:p>
        </w:tc>
        <w:tc>
          <w:tcPr>
            <w:tcW w:w="3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39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0" w:type="dxa"/>
            <w:vAlign w:val="bottom"/>
          </w:tcPr>
          <w:p>
            <w:pPr>
              <w:spacing w:after="0"/>
              <w:rPr>
                <w:sz w:val="24"/>
                <w:szCs w:val="24"/>
                <w:color w:val="auto"/>
              </w:rPr>
            </w:pPr>
          </w:p>
        </w:tc>
        <w:tc>
          <w:tcPr>
            <w:tcW w:w="1180" w:type="dxa"/>
            <w:vAlign w:val="bottom"/>
          </w:tcPr>
          <w:p>
            <w:pPr>
              <w:jc w:val="right"/>
              <w:ind w:right="997"/>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4"/>
                <w:szCs w:val="24"/>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-447040</wp:posOffset>
            </wp:positionV>
            <wp:extent cx="5269230" cy="252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69230" cy="25209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940" w:space="100"/>
            <w:col w:w="6200"/>
          </w:cols>
          <w:pgMar w:left="320" w:top="226" w:right="339" w:bottom="1440" w:gutter="0" w:footer="0" w:header="0"/>
          <w:type w:val="continuous"/>
        </w:sectPr>
      </w:pPr>
    </w:p>
    <w:p>
      <w:pPr>
        <w:spacing w:after="0" w:line="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7"/>
          <w:szCs w:val="17"/>
          <w:color w:val="auto"/>
        </w:rPr>
        <w:t>The following table shows the aging of the recorded investment in principal, before reserves, in vacation ownership notes receivable as of March 31, 2024 and December 31, 2023.</w:t>
      </w:r>
    </w:p>
    <w:p>
      <w:pPr>
        <w:spacing w:after="0" w:line="88" w:lineRule="exact"/>
        <w:rPr>
          <w:sz w:val="20"/>
          <w:szCs w:val="20"/>
          <w:color w:val="auto"/>
        </w:rPr>
      </w:pPr>
    </w:p>
    <w:tbl>
      <w:tblPr>
        <w:tblLayout w:type="fixed"/>
        <w:tblInd w:w="1500" w:type="dxa"/>
        <w:tblCellMar>
          <w:top w:w="0" w:type="dxa"/>
          <w:left w:w="0" w:type="dxa"/>
          <w:bottom w:w="0" w:type="dxa"/>
          <w:right w:w="0" w:type="dxa"/>
        </w:tblCellMar>
      </w:tblPr>
      <w:tr>
        <w:trPr>
          <w:trHeight w:val="206"/>
        </w:trPr>
        <w:tc>
          <w:tcPr>
            <w:tcW w:w="2040" w:type="dxa"/>
            <w:vAlign w:val="bottom"/>
          </w:tcPr>
          <w:p>
            <w:pPr>
              <w:spacing w:after="0"/>
              <w:rPr>
                <w:sz w:val="17"/>
                <w:szCs w:val="17"/>
                <w:color w:val="auto"/>
              </w:rPr>
            </w:pPr>
          </w:p>
        </w:tc>
        <w:tc>
          <w:tcPr>
            <w:tcW w:w="232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5"/>
                <w:szCs w:val="15"/>
                <w:b w:val="1"/>
                <w:bCs w:val="1"/>
                <w:color w:val="auto"/>
              </w:rPr>
              <w:t>As of March 31, 2024</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3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3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26" w:right="339" w:bottom="1440" w:gutter="0" w:footer="0" w:header="0"/>
          <w:type w:val="continuous"/>
        </w:sectPr>
      </w:pPr>
    </w:p>
    <w:p>
      <w:pPr>
        <w:ind w:left="1600"/>
        <w:spacing w:after="0"/>
        <w:tabs>
          <w:tab w:leader="none" w:pos="3520" w:val="left"/>
        </w:tabs>
        <w:rPr>
          <w:sz w:val="20"/>
          <w:szCs w:val="20"/>
          <w:color w:val="auto"/>
        </w:rPr>
      </w:pPr>
      <w:r>
        <w:rPr>
          <w:rFonts w:ascii="Times New Roman" w:cs="Times New Roman" w:eastAsia="Times New Roman" w:hAnsi="Times New Roman"/>
          <w:sz w:val="17"/>
          <w:szCs w:val="17"/>
          <w:color w:val="auto"/>
        </w:rPr>
        <w:t>31 – 90 days past due</w:t>
      </w:r>
      <w:r>
        <w:rPr>
          <w:sz w:val="20"/>
          <w:szCs w:val="20"/>
          <w:color w:val="auto"/>
        </w:rPr>
        <w:tab/>
      </w:r>
      <w:r>
        <w:rPr>
          <w:rFonts w:ascii="Times New Roman" w:cs="Times New Roman" w:eastAsia="Times New Roman" w:hAnsi="Times New Roman"/>
          <w:sz w:val="17"/>
          <w:szCs w:val="17"/>
          <w:color w:val="auto"/>
        </w:rPr>
        <w:t>$</w:t>
      </w:r>
    </w:p>
    <w:p>
      <w:pPr>
        <w:spacing w:after="0" w:line="5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91 – 120 days past due</w:t>
      </w:r>
    </w:p>
    <w:p>
      <w:pPr>
        <w:spacing w:after="0" w:line="4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Greater than 120 days past</w:t>
      </w:r>
    </w:p>
    <w:p>
      <w:pPr>
        <w:spacing w:after="0" w:line="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due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w:t>
            </w:r>
          </w:p>
        </w:tc>
        <w:tc>
          <w:tcPr>
            <w:tcW w:w="5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68</w:t>
            </w:r>
          </w:p>
        </w:tc>
        <w:tc>
          <w:tcPr>
            <w:tcW w:w="4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31</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w:t>
            </w:r>
          </w:p>
        </w:tc>
        <w:tc>
          <w:tcPr>
            <w:tcW w:w="4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43"/>
        </w:trPr>
        <w:tc>
          <w:tcPr>
            <w:tcW w:w="3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500" w:type="dxa"/>
            <w:vAlign w:val="bottom"/>
          </w:tcPr>
          <w:p>
            <w:pPr>
              <w:spacing w:after="0"/>
              <w:rPr>
                <w:sz w:val="21"/>
                <w:szCs w:val="21"/>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w:t>
            </w:r>
          </w:p>
        </w:tc>
        <w:tc>
          <w:tcPr>
            <w:tcW w:w="42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440" w:type="dxa"/>
            <w:vAlign w:val="bottom"/>
          </w:tcPr>
          <w:p>
            <w:pPr>
              <w:spacing w:after="0"/>
              <w:rPr>
                <w:sz w:val="21"/>
                <w:szCs w:val="21"/>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48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4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96"/>
        </w:trPr>
        <w:tc>
          <w:tcPr>
            <w:tcW w:w="3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86"/>
              </w:rPr>
              <w:t>141</w:t>
            </w:r>
          </w:p>
        </w:tc>
        <w:tc>
          <w:tcPr>
            <w:tcW w:w="500" w:type="dxa"/>
            <w:vAlign w:val="bottom"/>
          </w:tcPr>
          <w:p>
            <w:pPr>
              <w:spacing w:after="0"/>
              <w:rPr>
                <w:sz w:val="24"/>
                <w:szCs w:val="24"/>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420" w:type="dxa"/>
            <w:vAlign w:val="bottom"/>
          </w:tcPr>
          <w:p>
            <w:pPr>
              <w:spacing w:after="0"/>
              <w:rPr>
                <w:sz w:val="24"/>
                <w:szCs w:val="24"/>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153</w:t>
            </w:r>
          </w:p>
        </w:tc>
        <w:tc>
          <w:tcPr>
            <w:tcW w:w="440" w:type="dxa"/>
            <w:vAlign w:val="bottom"/>
          </w:tcPr>
          <w:p>
            <w:pPr>
              <w:spacing w:after="0"/>
              <w:rPr>
                <w:sz w:val="24"/>
                <w:szCs w:val="24"/>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134</w:t>
            </w:r>
          </w:p>
        </w:tc>
        <w:tc>
          <w:tcPr>
            <w:tcW w:w="480" w:type="dxa"/>
            <w:vAlign w:val="bottom"/>
          </w:tcPr>
          <w:p>
            <w:pPr>
              <w:spacing w:after="0"/>
              <w:rPr>
                <w:sz w:val="24"/>
                <w:szCs w:val="24"/>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-251460</wp:posOffset>
            </wp:positionV>
            <wp:extent cx="5260975" cy="252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60975" cy="25209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-560705</wp:posOffset>
            </wp:positionV>
            <wp:extent cx="526097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60975"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40" w:space="520"/>
            <w:col w:w="708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48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past due</w:t>
            </w: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185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280</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2,078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2,522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2,542</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2060" w:type="dxa"/>
            <w:vAlign w:val="bottom"/>
          </w:tcPr>
          <w:p>
            <w:pPr>
              <w:ind w:left="20"/>
              <w:spacing w:after="0" w:line="156" w:lineRule="exact"/>
              <w:rPr>
                <w:sz w:val="20"/>
                <w:szCs w:val="20"/>
                <w:color w:val="auto"/>
              </w:rPr>
            </w:pPr>
            <w:r>
              <w:rPr>
                <w:rFonts w:ascii="Times New Roman" w:cs="Times New Roman" w:eastAsia="Times New Roman" w:hAnsi="Times New Roman"/>
                <w:sz w:val="17"/>
                <w:szCs w:val="17"/>
                <w:color w:val="auto"/>
              </w:rPr>
              <w:t>Total vacation ownership</w:t>
            </w:r>
          </w:p>
        </w:tc>
        <w:tc>
          <w:tcPr>
            <w:tcW w:w="36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629</w:t>
            </w:r>
          </w:p>
        </w:tc>
        <w:tc>
          <w:tcPr>
            <w:tcW w:w="120" w:type="dxa"/>
            <w:vAlign w:val="bottom"/>
          </w:tcPr>
          <w:p>
            <w:pPr>
              <w:spacing w:after="0"/>
              <w:rPr>
                <w:sz w:val="13"/>
                <w:szCs w:val="13"/>
                <w:color w:val="auto"/>
              </w:rPr>
            </w:pPr>
          </w:p>
        </w:tc>
        <w:tc>
          <w:tcPr>
            <w:tcW w:w="28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2,173</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2,802</w:t>
            </w:r>
          </w:p>
        </w:tc>
        <w:tc>
          <w:tcPr>
            <w:tcW w:w="120" w:type="dxa"/>
            <w:vAlign w:val="bottom"/>
          </w:tcPr>
          <w:p>
            <w:pPr>
              <w:spacing w:after="0"/>
              <w:rPr>
                <w:sz w:val="13"/>
                <w:szCs w:val="13"/>
                <w:color w:val="auto"/>
              </w:rPr>
            </w:pPr>
          </w:p>
        </w:tc>
        <w:tc>
          <w:tcPr>
            <w:tcW w:w="34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tcPr>
          <w:p>
            <w:pPr>
              <w:spacing w:after="0"/>
              <w:rPr>
                <w:sz w:val="13"/>
                <w:szCs w:val="13"/>
                <w:color w:val="auto"/>
              </w:rPr>
            </w:pP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2,181</w:t>
            </w:r>
          </w:p>
        </w:tc>
        <w:tc>
          <w:tcPr>
            <w:tcW w:w="120" w:type="dxa"/>
            <w:vAlign w:val="bottom"/>
          </w:tcPr>
          <w:p>
            <w:pPr>
              <w:spacing w:after="0"/>
              <w:rPr>
                <w:sz w:val="13"/>
                <w:szCs w:val="13"/>
                <w:color w:val="auto"/>
              </w:rPr>
            </w:pPr>
          </w:p>
        </w:tc>
        <w:tc>
          <w:tcPr>
            <w:tcW w:w="28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2,813</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w:t>
            </w:r>
          </w:p>
        </w:tc>
        <w:tc>
          <w:tcPr>
            <w:tcW w:w="3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7.</w:t>
        <w:tab/>
        <w:t>FINANCIAL INSTRUMENTS</w:t>
      </w:r>
    </w:p>
    <w:p>
      <w:pPr>
        <w:spacing w:after="0" w:line="1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8"/>
          </w:tcPr>
          <w:p>
            <w:pPr>
              <w:ind w:left="400"/>
              <w:spacing w:after="0"/>
              <w:rPr>
                <w:sz w:val="20"/>
                <w:szCs w:val="20"/>
                <w:color w:val="auto"/>
              </w:rPr>
            </w:pPr>
            <w:r>
              <w:rPr>
                <w:rFonts w:ascii="Times New Roman" w:cs="Times New Roman" w:eastAsia="Times New Roman" w:hAnsi="Times New Roman"/>
                <w:sz w:val="15"/>
                <w:szCs w:val="15"/>
                <w:b w:val="1"/>
                <w:bCs w:val="1"/>
                <w:color w:val="auto"/>
              </w:rPr>
              <w:t>At March 31, 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5"/>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32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176"/>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76"/>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204"/>
        </w:trPr>
        <w:tc>
          <w:tcPr>
            <w:tcW w:w="148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76"/>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200" w:type="dxa"/>
            <w:vAlign w:val="bottom"/>
            <w:tcBorders>
              <w:top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33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Contracts receivable for financed VOI sales,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48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48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financial assets</w:t>
            </w:r>
          </w:p>
        </w:tc>
        <w:tc>
          <w:tcPr>
            <w:tcW w:w="2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1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8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100" w:type="dxa"/>
            <w:vAlign w:val="bottom"/>
          </w:tcPr>
          <w:p>
            <w:pPr>
              <w:spacing w:after="0"/>
              <w:rPr>
                <w:sz w:val="20"/>
                <w:szCs w:val="20"/>
                <w:color w:val="auto"/>
              </w:rPr>
            </w:pPr>
          </w:p>
        </w:tc>
        <w:tc>
          <w:tcPr>
            <w:tcW w:w="2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0" w:type="dxa"/>
            <w:vAlign w:val="bottom"/>
          </w:tcPr>
          <w:p>
            <w:pPr>
              <w:spacing w:after="0"/>
              <w:rPr>
                <w:sz w:val="1"/>
                <w:szCs w:val="1"/>
                <w:color w:val="auto"/>
              </w:rPr>
            </w:pPr>
          </w:p>
        </w:tc>
      </w:tr>
      <w:tr>
        <w:trPr>
          <w:trHeight w:val="25"/>
        </w:trPr>
        <w:tc>
          <w:tcPr>
            <w:tcW w:w="1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48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Corporate Credit Facility, net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49"/>
        </w:trPr>
        <w:tc>
          <w:tcPr>
            <w:tcW w:w="148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Notes, net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 Notes, net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49"/>
        </w:trPr>
        <w:tc>
          <w:tcPr>
            <w:tcW w:w="148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Convertible Notes, net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 Convertible Notes, net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49"/>
        </w:trPr>
        <w:tc>
          <w:tcPr>
            <w:tcW w:w="148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note payable, net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20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8"/>
          </w:tcPr>
          <w:p>
            <w:pPr>
              <w:ind w:left="420"/>
              <w:spacing w:after="0"/>
              <w:rPr>
                <w:sz w:val="20"/>
                <w:szCs w:val="20"/>
                <w:color w:val="auto"/>
              </w:rPr>
            </w:pPr>
            <w:r>
              <w:rPr>
                <w:rFonts w:ascii="Times New Roman" w:cs="Times New Roman" w:eastAsia="Times New Roman" w:hAnsi="Times New Roman"/>
                <w:sz w:val="15"/>
                <w:szCs w:val="15"/>
                <w:b w:val="1"/>
                <w:bCs w:val="1"/>
                <w:color w:val="auto"/>
              </w:rPr>
              <w:t>At March 31, 2024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5"/>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56"/>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204"/>
        </w:trPr>
        <w:tc>
          <w:tcPr>
            <w:tcW w:w="148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0" w:type="dxa"/>
            <w:vAlign w:val="bottom"/>
          </w:tcPr>
          <w:p>
            <w:pPr>
              <w:spacing w:after="0"/>
              <w:rPr>
                <w:sz w:val="1"/>
                <w:szCs w:val="1"/>
                <w:color w:val="auto"/>
              </w:rPr>
            </w:pPr>
          </w:p>
        </w:tc>
      </w:tr>
      <w:tr>
        <w:trPr>
          <w:trHeight w:val="154"/>
        </w:trPr>
        <w:tc>
          <w:tcPr>
            <w:tcW w:w="14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Eligible for securitization</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3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Not eligible for securitization</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154"/>
        </w:trPr>
        <w:tc>
          <w:tcPr>
            <w:tcW w:w="1480" w:type="dxa"/>
            <w:vAlign w:val="bottom"/>
          </w:tcPr>
          <w:p>
            <w:pPr>
              <w:spacing w:after="0"/>
              <w:rPr>
                <w:sz w:val="13"/>
                <w:szCs w:val="13"/>
                <w:color w:val="auto"/>
              </w:rPr>
            </w:pPr>
          </w:p>
        </w:tc>
        <w:tc>
          <w:tcPr>
            <w:tcW w:w="3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2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Contracts Receivable for Financed VOI Sales</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At the time at which we recognize revenue for Marriott-branded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p>
      <w:pPr>
        <w:spacing w:after="0" w:line="11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Other assets include $110 million and $99 million of company owned insurance policies (the “COLI policies”) acquired on the lives of certain participants in the Marriott Vacations Worldwide Deferred Compensation Plan (the “Deferred Compensation Plan”) at March 31, 2024 and December 31, 2023, respectively, that are held in a rabbi trust. The carrying value of the COLI policies is equal to their cash surrender value (Level 2 inputs).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Securitized Debt</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18"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Corporate Credit Facility</w:t>
      </w:r>
    </w:p>
    <w:p>
      <w:pPr>
        <w:spacing w:after="0" w:line="11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color w:val="auto"/>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18"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2028 Notes and 2029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8"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2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hanging="381"/>
        <w:spacing w:after="0"/>
        <w:tabs>
          <w:tab w:leader="none" w:pos="4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0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Basic earnings per common share attributable to common stockholders is calculated by dividing net income attributable to common stockholders by the weighted average number of shares of common stock outstanding during the reporting period. Diluted earnings per common share attributable to common stockholders reflects the assumed conversion of all dilutive securities, calculated using the treasury stock method.</w:t>
      </w:r>
    </w:p>
    <w:p>
      <w:pPr>
        <w:spacing w:after="0" w:line="6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7"/>
          <w:szCs w:val="17"/>
          <w:color w:val="auto"/>
        </w:rPr>
        <w:t>The table below illustrates the reconciliation of the earnings and number of shares used in our calculation of basic earnings per share attributable to common stockholders.</w:t>
      </w:r>
    </w:p>
    <w:p>
      <w:pPr>
        <w:spacing w:after="0" w:line="3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0"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4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for basic earnings per share</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3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7"/>
          <w:szCs w:val="17"/>
          <w:color w:val="auto"/>
        </w:rPr>
        <w:t>The table below illustrates the reconciliation of the earnings and number of shares used in our calculation of diluted earnings per share attributable to common stockholders.</w:t>
      </w:r>
    </w:p>
    <w:p>
      <w:pPr>
        <w:spacing w:after="0" w:line="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0"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4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Add back of interest expense related to convertible notes, net of tax</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used to calculate 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56"/>
        </w:trPr>
        <w:tc>
          <w:tcPr>
            <w:tcW w:w="5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for basic earnings per share</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shares outstanding</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Employee SARs</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43"/>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Restricted stock units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43"/>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2026 Convertible Notes ($575 million of principal)</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3"/>
        </w:trPr>
        <w:tc>
          <w:tcPr>
            <w:tcW w:w="5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2027 Convertible Notes ($575 million of principal)</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for diluted earnings per share</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The computations of diluted earnings per share attributable to common stockholders in the table above exclude approximately 396,000 and 239,000 shares of common stock, the maximum number of shares issuable as of March 31, 2024 and March 31, 2023, respectively, upon the vesting of certain performance-based awards, because the performance conditions required to be met for the shares subject to such awards to vest were not achieved by the end of the reporting period.</w:t>
      </w:r>
    </w:p>
    <w:p>
      <w:pPr>
        <w:spacing w:after="0" w:line="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accordance with the applicable accounting guidance for calculating earnings per share, for the first quarter of 2024, we excluded from our calculation of diluted earnings per share 645,524 shares underlying stock appreciation rights (“SARs”) that may settle in shares of common stock because the exercise prices of such SARs, which ranged from $93.73 to $173.88, were greater than the average market price of our common stock for the applicable period.</w:t>
      </w:r>
    </w:p>
    <w:p>
      <w:pPr>
        <w:spacing w:after="0" w:line="6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For the first quarter of 2023, we excluded from our calculation of diluted earnings per share 237,249 shares underlying SARs that may settle in shares of common stock because the exercise prices of such SARs, which ranged from $153.10 to $173.88, were greater than the average market price of our common stock for the applicable period.</w:t>
      </w:r>
    </w:p>
    <w:p>
      <w:pPr>
        <w:spacing w:after="0" w:line="2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9.</w:t>
        <w:tab/>
        <w:t>INVENTORY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inventory balances:</w:t>
      </w:r>
    </w:p>
    <w:p>
      <w:pPr>
        <w:spacing w:after="0" w:line="151"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At March 31, 2024</w:t>
            </w:r>
          </w:p>
        </w:tc>
        <w:tc>
          <w:tcPr>
            <w:tcW w:w="140" w:type="dxa"/>
            <w:vAlign w:val="bottom"/>
          </w:tcPr>
          <w:p>
            <w:pPr>
              <w:spacing w:after="0"/>
              <w:rPr>
                <w:sz w:val="17"/>
                <w:szCs w:val="17"/>
                <w:color w:val="auto"/>
              </w:rPr>
            </w:pPr>
          </w:p>
        </w:tc>
        <w:tc>
          <w:tcPr>
            <w:tcW w:w="1640" w:type="dxa"/>
            <w:vAlign w:val="bottom"/>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6"/>
        </w:trPr>
        <w:tc>
          <w:tcPr>
            <w:tcW w:w="4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Finished goods</w:t>
            </w:r>
            <w:r>
              <w:rPr>
                <w:rFonts w:ascii="Times New Roman" w:cs="Times New Roman" w:eastAsia="Times New Roman" w:hAnsi="Times New Roman"/>
                <w:sz w:val="8"/>
                <w:szCs w:val="8"/>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43"/>
        </w:trPr>
        <w:tc>
          <w:tcPr>
            <w:tcW w:w="4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Work-in-progress</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inventory</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4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4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1800" w:right="1520" w:hanging="308"/>
        <w:spacing w:after="0" w:line="228" w:lineRule="auto"/>
        <w:tabs>
          <w:tab w:leader="none" w:pos="178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completed inventory that is registered for sale as VOIs and vacation ownership inventory expected to be reacquired pursuant to estimated future defaults on originated vacation ownership notes receivable.</w:t>
      </w:r>
    </w:p>
    <w:p>
      <w:pPr>
        <w:spacing w:after="0" w:line="15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7"/>
          <w:szCs w:val="17"/>
          <w:color w:val="auto"/>
        </w:rPr>
        <w:t>Product cost true-up activity relating to vacation ownership products increased carrying values of inventory by $5 million during the first quarter of 2024 and $11 million during the first quarter of 2023.</w:t>
      </w:r>
    </w:p>
    <w:p>
      <w:pPr>
        <w:spacing w:after="0" w:line="5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In addition to the above, at March 31, 2024 and December 31, 2023, we had $349 million and $370 million, respectively, of completed vacation ownership units which are classified as a component of Property and equipment, net until the time at which they are available and legally registered for sale as vacation ownership products. We also had deposits on future purchases of inventory of $9 million at March 31, 2024, of which $5 million was included in Other assets and $4 million was included in Accounts and contracts receivable, net on our Balance Sheet, and $3 million at December 31, 2023, which was included in Other assets on our Balance Sheet.</w:t>
      </w:r>
    </w:p>
    <w:p>
      <w:pPr>
        <w:spacing w:after="0" w:line="247" w:lineRule="exact"/>
        <w:rPr>
          <w:sz w:val="20"/>
          <w:szCs w:val="20"/>
          <w:color w:val="auto"/>
        </w:rPr>
      </w:pPr>
    </w:p>
    <w:p>
      <w:pPr>
        <w:ind w:left="460" w:hanging="441"/>
        <w:spacing w:after="0"/>
        <w:tabs>
          <w:tab w:leader="none" w:pos="46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CONTINGENCIES AND COMMITMENTS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Letters of Credit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2024, we had the following commitments outstanding:</w:t>
      </w:r>
    </w:p>
    <w:p>
      <w:pPr>
        <w:spacing w:after="0" w:line="112" w:lineRule="exact"/>
        <w:rPr>
          <w:sz w:val="20"/>
          <w:szCs w:val="20"/>
          <w:color w:val="auto"/>
        </w:rPr>
      </w:pPr>
    </w:p>
    <w:p>
      <w:pPr>
        <w:ind w:left="460" w:hanging="304"/>
        <w:spacing w:after="0" w:line="267" w:lineRule="auto"/>
        <w:tabs>
          <w:tab w:leader="none" w:pos="45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various contracts for the use of information technology hardware and software that we use in the normal course of business. Our aggregate commitment under these contracts was $81 million, of which we expect $29 million, $26 million, $16 million, $6 million, $4 million and less than $1 million will be paid in the remainder of 2024, 2025, 2026, 2027, 2028, and thereafter, respectively.</w:t>
      </w:r>
    </w:p>
    <w:p>
      <w:pPr>
        <w:spacing w:after="0" w:line="64" w:lineRule="exact"/>
        <w:rPr>
          <w:rFonts w:ascii="Times New Roman" w:cs="Times New Roman" w:eastAsia="Times New Roman" w:hAnsi="Times New Roman"/>
          <w:sz w:val="17"/>
          <w:szCs w:val="17"/>
          <w:color w:val="auto"/>
        </w:rPr>
      </w:pPr>
    </w:p>
    <w:p>
      <w:pPr>
        <w:ind w:left="460" w:right="20" w:hanging="304"/>
        <w:spacing w:after="0" w:line="256" w:lineRule="auto"/>
        <w:tabs>
          <w:tab w:leader="none" w:pos="45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remaining commitments of $36 million to purchase vacation ownership units located in Bali, Indonesia in two separate transactions, contingent upon completion of construction to agreed-upon standards within specified timeframes, for use in our Vacation Ownership segment. We expect to complete the acquisition of 32 vacation ownership units in 2025 pursuant to one of the commitments, and to make remaining payments with respect to these units when specific construction milestones are completed as follows: $4 million in the remainder of 2024, $10 million in 2025, and $1 million in 2026. We expect to complete the acquisition of 26 vacation ownership units in 2026 pursuant to the other commitment, and to make remaining payments with respect to these units when specific construction milestones are completed as follows: $4 million in the remainder of 2024, $2 million in 2025, $14 million in 2026, and $1 million in 2027.</w:t>
      </w:r>
    </w:p>
    <w:p>
      <w:pPr>
        <w:spacing w:after="0" w:line="77" w:lineRule="exact"/>
        <w:rPr>
          <w:rFonts w:ascii="Times New Roman" w:cs="Times New Roman" w:eastAsia="Times New Roman" w:hAnsi="Times New Roman"/>
          <w:sz w:val="17"/>
          <w:szCs w:val="17"/>
          <w:color w:val="auto"/>
        </w:rPr>
      </w:pPr>
    </w:p>
    <w:p>
      <w:pPr>
        <w:ind w:left="460" w:right="100" w:hanging="304"/>
        <w:spacing w:after="0" w:line="262" w:lineRule="auto"/>
        <w:tabs>
          <w:tab w:leader="none" w:pos="45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remaining commitment of $37 million to purchase 60 vacation ownership units located in Khao Lak, Thailand, contingent upon completion of construction to agreed-upon standards within specified timeframes, for use in our Vacation Ownership segment. We expect to complete the acquisition of these vacation ownership units in 2026. We expect to make remaining payments when specific construction milestones are completed as follows: $4 million in 2025, $31 million in 2026 and $2 million in 2027.</w:t>
      </w:r>
    </w:p>
    <w:p>
      <w:pPr>
        <w:spacing w:after="0" w:line="68" w:lineRule="exact"/>
        <w:rPr>
          <w:rFonts w:ascii="Times New Roman" w:cs="Times New Roman" w:eastAsia="Times New Roman" w:hAnsi="Times New Roman"/>
          <w:sz w:val="17"/>
          <w:szCs w:val="17"/>
          <w:color w:val="auto"/>
        </w:rPr>
      </w:pPr>
    </w:p>
    <w:p>
      <w:pPr>
        <w:ind w:left="460" w:right="520" w:hanging="304"/>
        <w:spacing w:after="0" w:line="284" w:lineRule="auto"/>
        <w:tabs>
          <w:tab w:leader="none" w:pos="45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commitment to acquire real estate in Waikiki, Hawaii for use in our Vacation Ownership segment via our involvement with a VIE. Refer to Footnote 15 “Variable Interest Entities” for additional information and our activities relating to the VIE involved in this transaction.</w:t>
      </w:r>
    </w:p>
    <w:p>
      <w:pPr>
        <w:spacing w:after="0" w:line="5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As of March 31, 2024, we had $33 million of letters of credit outstanding under our Revolving Corporate Credit Facility (as defined in Footnote 12 “Debt”), of which $32 million were related to and in lieu of reserves required for our most recent outstanding securitization transactions completed during the first quarter of 2024 and the fourth quarter of 2023. In addition, as of March 31, 2024, we had $1 million in letters of credit outstanding that were not issued pursuant to, nor do they impact our borrowing capacity under, the Revolving Corporate Credit Facility.</w:t>
      </w:r>
    </w:p>
    <w:p>
      <w:pPr>
        <w:spacing w:after="0" w:line="2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Surety bonds issued as of March 31, 2024 totaled $122 million, the majority of which were requested by federal, state or local governments in connection with our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1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of the rental revenue (if any) as our fee or we make up the deficit if the owners have not received their guaranteed amounts. At March 31, 2024, our maximum exposure under fixed dollar guarantees was $4 million, of which $1 million, $1 million, $1 million, $1 million, and less than $1 million relate to the remainder of 2024, 2025, 2026, 2027, and 2028, respectively.</w:t>
      </w:r>
    </w:p>
    <w:p>
      <w:pPr>
        <w:spacing w:after="0" w:line="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March 31, 2024, our expected commitment for the remainder of 2024 is $9 million, which will ultimately be recorded as a component of rental expense on our income statement.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is seeking unspecified damages, punitive damages and disgorgement of payments under the management and purchase agreements. In February 2022, the Court granted our motion to dismiss the complaint and dismissed with prejudice all claims except one (such claim, the “Remaining Claim”), with respect to which the plaintiff was granted leave to amend its complaint. The plaintiff filed an amended complaint with respect to the Remaining Claim and appealed the dismissal of the other claims. In June 2023, the appellate court upheld the dismissal of those claims. Plaintiff filed a motion for reconsideration of that appellate ruling, and in October 2023, the appellate court denied that motion. In November 2022, the Court granted our motion to dismiss the amended complaint with respect to the Remaining Claim and again granted plaintiff leave to amend its complaint. The plaintiff filed an amended complaint with respect to the Remaining Claim and again appealed the dismissal of the other claims. In January 2024, the appellate court upheld the dismissal of the other claims. In September 2023, the Court granted our motion to dismiss the amended complaint with respect to the Remaining Claim and denied plaintiff permission to file any additional amended complaints. Plaintiff has appealed that dismissal. As of March 31, 2024, the appeal remains pending. We believe we have meritorious defenses to the claims in this matter and intend to vigorously defend against them.</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have not accrued for the pending matter described above and we cannot estimate a range of the potential liability associated with this pending matter,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23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hanging="441"/>
        <w:spacing w:after="0"/>
        <w:tabs>
          <w:tab w:leader="none" w:pos="46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SECURITIZED DEBT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securitized debt, net of unamortized debt discount and issuance costs.</w:t>
      </w:r>
    </w:p>
    <w:p>
      <w:pPr>
        <w:spacing w:after="0" w:line="138"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At March 31, 2024</w:t>
            </w:r>
          </w:p>
        </w:tc>
        <w:tc>
          <w:tcPr>
            <w:tcW w:w="120" w:type="dxa"/>
            <w:vAlign w:val="bottom"/>
          </w:tcPr>
          <w:p>
            <w:pPr>
              <w:spacing w:after="0"/>
              <w:rPr>
                <w:sz w:val="17"/>
                <w:szCs w:val="17"/>
                <w:color w:val="auto"/>
              </w:rPr>
            </w:pPr>
          </w:p>
        </w:tc>
        <w:tc>
          <w:tcPr>
            <w:tcW w:w="1640" w:type="dxa"/>
            <w:vAlign w:val="bottom"/>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securitizations, gross</w:t>
            </w:r>
            <w:r>
              <w:rPr>
                <w:rFonts w:ascii="Times New Roman" w:cs="Times New Roman" w:eastAsia="Times New Roman" w:hAnsi="Times New Roman"/>
                <w:sz w:val="9"/>
                <w:szCs w:val="9"/>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r>
      <w:tr>
        <w:trPr>
          <w:trHeight w:val="24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3"/>
        </w:trPr>
        <w:tc>
          <w:tcPr>
            <w:tcW w:w="4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r>
      <w:tr>
        <w:trPr>
          <w:trHeight w:val="243"/>
        </w:trPr>
        <w:tc>
          <w:tcPr>
            <w:tcW w:w="4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Facility, gross</w:t>
            </w: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4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r>
              <w:rPr>
                <w:rFonts w:ascii="Times New Roman" w:cs="Times New Roman" w:eastAsia="Times New Roman" w:hAnsi="Times New Roman"/>
                <w:sz w:val="9"/>
                <w:szCs w:val="9"/>
                <w:color w:val="auto"/>
              </w:rPr>
              <w:t>(2)</w:t>
            </w: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4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43"/>
        </w:trPr>
        <w:tc>
          <w:tcPr>
            <w:tcW w:w="4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235"/>
        </w:trPr>
        <w:tc>
          <w:tcPr>
            <w:tcW w:w="4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1780" w:hanging="288"/>
        <w:spacing w:after="0"/>
        <w:tabs>
          <w:tab w:leader="none" w:pos="17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rates as of March 31, 2024 range from 1.5% to 6.6%, with a weighted average interest rate of 4.7%.</w:t>
      </w:r>
    </w:p>
    <w:p>
      <w:pPr>
        <w:spacing w:after="0" w:line="72" w:lineRule="exact"/>
        <w:rPr>
          <w:rFonts w:ascii="Times New Roman" w:cs="Times New Roman" w:eastAsia="Times New Roman" w:hAnsi="Times New Roman"/>
          <w:sz w:val="22"/>
          <w:szCs w:val="22"/>
          <w:color w:val="auto"/>
          <w:vertAlign w:val="superscript"/>
        </w:rPr>
      </w:pPr>
    </w:p>
    <w:p>
      <w:pPr>
        <w:ind w:left="1800" w:right="2180" w:hanging="308"/>
        <w:spacing w:after="0" w:line="228" w:lineRule="auto"/>
        <w:tabs>
          <w:tab w:leader="none" w:pos="178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$1 million of unamortized debt issuance costs as of March 31, 2024, as no cash borrowings were outstanding on the Warehouse Credit Facility at that time.</w:t>
      </w:r>
    </w:p>
    <w:p>
      <w:pPr>
        <w:spacing w:after="0" w:line="253"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color w:val="auto"/>
        </w:rPr>
        <w:t>All of our securitized debt is non-recourse. See Footnote 15 “Variable Interest Entities” for a discussion of the collateral for the non-recourse debt associated with our securitized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anticipated future principal payments for our securitized debt as of March 31, 2024.</w:t>
      </w:r>
    </w:p>
    <w:p>
      <w:pPr>
        <w:spacing w:after="0" w:line="16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Vacation Ownership</w:t>
            </w:r>
          </w:p>
        </w:tc>
      </w:tr>
      <w:tr>
        <w:trPr>
          <w:trHeight w:val="204"/>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Notes Receivable Securitizations</w:t>
            </w: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Payment Year</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43"/>
        </w:trPr>
        <w:tc>
          <w:tcPr>
            <w:tcW w:w="5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2024, remaining</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43"/>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43"/>
        </w:trPr>
        <w:tc>
          <w:tcPr>
            <w:tcW w:w="5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43"/>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43"/>
        </w:trPr>
        <w:tc>
          <w:tcPr>
            <w:tcW w:w="5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43"/>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Borders>
              <w:bottom w:val="single" w:sz="8" w:color="auto"/>
            </w:tcBorders>
            <w:shd w:val="clear" w:color="auto" w:fill="CCEEFF"/>
          </w:tcPr>
          <w:p>
            <w:pPr>
              <w:spacing w:after="0"/>
              <w:rPr>
                <w:sz w:val="21"/>
                <w:szCs w:val="21"/>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r>
      <w:tr>
        <w:trPr>
          <w:trHeight w:val="210"/>
        </w:trPr>
        <w:tc>
          <w:tcPr>
            <w:tcW w:w="59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2,205</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Securitizations</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first quarter of 2024, and as of March 31, 2024, we had 14 securitized vacation ownership notes receivable pools outstanding, none of which were out of compliance with their respective established parameters.</w:t>
      </w:r>
    </w:p>
    <w:p>
      <w:pPr>
        <w:spacing w:after="0" w:line="7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During the first quarter of 2024, we securitized a pool of $439 million of vacation ownership notes receivable. In connection with the securitization, $430 million in vacation ownership loan backed notes were issued by MVW 2024-1 LLC (the “2024-1 LLC”) in a private placement. Three classes of vacation ownership loan backed notes were issued by the 2024-1 LLC: $284 million of Class A Notes, $89 million of Class B Notes, and $57 million of Class C Notes. The Class A Notes have an interest rate of 5.32%, the Class B Notes have an interest rate of 5.51%, and the Class C Notes have an interest rate of 6.20%, for an overall weighted average interest rate of 5.48%. Proceeds from the transaction, net of fees and a reserve, were used to repay the outstanding obligations on our warehouse credit facility (the “Warehouse Credit Facility”) and for other general corporate purposes.</w:t>
      </w:r>
    </w:p>
    <w:p>
      <w:pPr>
        <w:spacing w:after="0" w:line="23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hanging="441"/>
        <w:spacing w:after="0"/>
        <w:tabs>
          <w:tab w:leader="none" w:pos="46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debt balances, net of unamortized debt discount and issuance costs.</w:t>
      </w:r>
    </w:p>
    <w:p>
      <w:pPr>
        <w:spacing w:after="0" w:line="189"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At March 31, 2024</w:t>
            </w:r>
          </w:p>
        </w:tc>
        <w:tc>
          <w:tcPr>
            <w:tcW w:w="100" w:type="dxa"/>
            <w:vAlign w:val="bottom"/>
          </w:tcPr>
          <w:p>
            <w:pPr>
              <w:spacing w:after="0"/>
              <w:rPr>
                <w:sz w:val="17"/>
                <w:szCs w:val="17"/>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Credit Facility</w:t>
            </w: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43"/>
        </w:trPr>
        <w:tc>
          <w:tcPr>
            <w:tcW w:w="4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r>
      <w:tr>
        <w:trPr>
          <w:trHeight w:val="243"/>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43"/>
        </w:trPr>
        <w:tc>
          <w:tcPr>
            <w:tcW w:w="4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Revolving Corporate Credit Facility</w:t>
            </w:r>
            <w:r>
              <w:rPr>
                <w:rFonts w:ascii="Times New Roman" w:cs="Times New Roman" w:eastAsia="Times New Roman" w:hAnsi="Times New Roman"/>
                <w:sz w:val="8"/>
                <w:szCs w:val="8"/>
                <w:color w:val="auto"/>
              </w:rPr>
              <w:t>(1)</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43"/>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3"/>
        </w:trPr>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Senior Unsecured Notes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2028 Notes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43"/>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43"/>
        </w:trPr>
        <w:tc>
          <w:tcPr>
            <w:tcW w:w="4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2029 Notes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43"/>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Convertible Notes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2026 Convertible Notes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3"/>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3"/>
        </w:trPr>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43"/>
        </w:trPr>
        <w:tc>
          <w:tcPr>
            <w:tcW w:w="4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2027 Convertible Notes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3"/>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r>
      <w:tr>
        <w:trPr>
          <w:trHeight w:val="243"/>
        </w:trPr>
        <w:tc>
          <w:tcPr>
            <w:tcW w:w="4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43"/>
        </w:trPr>
        <w:tc>
          <w:tcPr>
            <w:tcW w:w="4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bearing note payable</w:t>
            </w: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5"/>
        </w:trPr>
        <w:tc>
          <w:tcPr>
            <w:tcW w:w="48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1780" w:hanging="288"/>
        <w:spacing w:after="0"/>
        <w:tabs>
          <w:tab w:leader="none" w:pos="17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interest rate as of March 31, 2024 was 7.2%.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scheduled principal payments for our debt, excluding finance leases, as of March 31, 2024.</w:t>
      </w:r>
    </w:p>
    <w:p>
      <w:pPr>
        <w:spacing w:after="0" w:line="99"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1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Payments Year</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5"/>
                <w:szCs w:val="15"/>
                <w:b w:val="1"/>
                <w:bCs w:val="1"/>
                <w:color w:val="auto"/>
              </w:rPr>
              <w:t>Remaining</w:t>
            </w:r>
          </w:p>
        </w:tc>
        <w:tc>
          <w:tcPr>
            <w:tcW w:w="180" w:type="dxa"/>
            <w:vAlign w:val="bottom"/>
          </w:tcPr>
          <w:p>
            <w:pPr>
              <w:spacing w:after="0"/>
              <w:rPr>
                <w:sz w:val="12"/>
                <w:szCs w:val="12"/>
                <w:color w:val="auto"/>
              </w:rPr>
            </w:pPr>
          </w:p>
        </w:tc>
        <w:tc>
          <w:tcPr>
            <w:tcW w:w="640" w:type="dxa"/>
            <w:vAlign w:val="bottom"/>
            <w:vMerge w:val="restart"/>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w w:val="98"/>
              </w:rPr>
              <w:t>Thereafter</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166"/>
        </w:trPr>
        <w:tc>
          <w:tcPr>
            <w:tcW w:w="16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Revolving Corporate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 Facility</w:t>
            </w:r>
          </w:p>
        </w:tc>
        <w:tc>
          <w:tcPr>
            <w:tcW w:w="200" w:type="dxa"/>
            <w:vAlign w:val="bottom"/>
          </w:tcPr>
          <w:p>
            <w:pPr>
              <w:spacing w:after="0"/>
              <w:rPr>
                <w:sz w:val="20"/>
                <w:szCs w:val="20"/>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Notes</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43"/>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 Notes</w:t>
            </w:r>
          </w:p>
        </w:tc>
        <w:tc>
          <w:tcPr>
            <w:tcW w:w="20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166"/>
        </w:trPr>
        <w:tc>
          <w:tcPr>
            <w:tcW w:w="16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2026 Convertible</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166"/>
        </w:trPr>
        <w:tc>
          <w:tcPr>
            <w:tcW w:w="16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2027 Convertible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200" w:type="dxa"/>
            <w:vAlign w:val="bottom"/>
          </w:tcPr>
          <w:p>
            <w:pPr>
              <w:spacing w:after="0"/>
              <w:rPr>
                <w:sz w:val="20"/>
                <w:szCs w:val="20"/>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35"/>
        </w:trPr>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25" w:right="1440" w:bottom="1440" w:gutter="0" w:footer="0" w:header="0"/>
        </w:sectPr>
      </w:pPr>
    </w:p>
    <w:p>
      <w:pPr>
        <w:spacing w:after="0" w:line="1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Credit Facility</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corporate credit facility (“Corporate Credit Facility”), which provides support for our business, including ongoing liquidity and letters of credit, includes a $900 million term loan facility (the “Term Loan”), which, as of March 31, 2024, was scheduled to mature on August 31, 2025, and a revolving credit facility with a borrowing capacity of $750 million (the “Revolving Corporate Credit Facility”), which includes a letter of credit sub-facility of $75 million, that terminates on March 31, 2027.</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Subsequent to the end of the first quarter of 2024, we entered into an amendment to the Corporate Credit Facility (the “Amendment”), which, among other things, provides for a new $800 million term loan facility scheduled to mature on April 1, 2031 (the “New Term Loan”). The proceeds of the New Term Loan were used to refinance in full the Term Loan, which was scheduled to mature on August 31, 2025. The interest rate applicable to the New Term Loan is the Secured Overnight Financing Rate (“SOFR”) plus 2.25%. There were no changes to the borrowing capacity or the termination date of the Revolving Corporate Credit Facility or its letter of credit sub-facility.</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As of March 31, 2024, we have $200 million of interest rate swaps, under which we may pay a fixed rate of 2.17% and receive a floating interest rate through April 2024, and a $100 million interest rate collar with a cap strike price of 2.43% through April 2024, in each case, that we entered into prior to 2023 to hedge a portion of our interest rate risk on the Term Loan. Both the interest rate swap and the interest rate collar have been designated and qualify as cash flow hedges of interest rate risk and are recorded in Other assets on our Balance Sheets as of March 31, 2024 and December 31, 2023. We characterize payments we make or receive in connection with these derivative instruments as interest expense and a reclassification of accumulated other comprehensive income or loss for presentation purposes.</w:t>
      </w:r>
    </w:p>
    <w:p>
      <w:pPr>
        <w:spacing w:after="0" w:line="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following table reflects the activity in accumulated other comprehensive income or loss related to our derivative instruments during the first quarter of 2024 and 2023. There were no reclassifications to the Income Statement for any of the periods presented below.</w:t>
      </w:r>
    </w:p>
    <w:p>
      <w:pPr>
        <w:spacing w:after="0" w:line="88"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balance, January 1</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center"/>
              <w:ind w:left="937"/>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13</w:t>
            </w:r>
          </w:p>
        </w:tc>
      </w:tr>
      <w:tr>
        <w:trPr>
          <w:trHeight w:val="243"/>
        </w:trPr>
        <w:tc>
          <w:tcPr>
            <w:tcW w:w="4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comprehensive loss before reclassifications</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left="89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balance, March 31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937"/>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10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senior notes include:</w:t>
      </w:r>
    </w:p>
    <w:p>
      <w:pPr>
        <w:spacing w:after="0" w:line="61" w:lineRule="exact"/>
        <w:rPr>
          <w:sz w:val="20"/>
          <w:szCs w:val="20"/>
          <w:color w:val="auto"/>
        </w:rPr>
      </w:pPr>
    </w:p>
    <w:p>
      <w:pPr>
        <w:ind w:left="300" w:right="140" w:hanging="298"/>
        <w:spacing w:after="0" w:line="282" w:lineRule="auto"/>
        <w:tabs>
          <w:tab w:leader="none" w:pos="2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 million aggregate principal amount of 4.750% Senior Unsecured Notes due 2028 issued in the fourth quarter of 2019 with a maturity date of January 15, 2028 (the “2028 Notes”).</w:t>
      </w:r>
    </w:p>
    <w:p>
      <w:pPr>
        <w:spacing w:after="0" w:line="1" w:lineRule="exact"/>
        <w:rPr>
          <w:rFonts w:ascii="Times New Roman" w:cs="Times New Roman" w:eastAsia="Times New Roman" w:hAnsi="Times New Roman"/>
          <w:sz w:val="17"/>
          <w:szCs w:val="17"/>
          <w:color w:val="auto"/>
        </w:rPr>
      </w:pPr>
    </w:p>
    <w:p>
      <w:pPr>
        <w:ind w:left="300" w:right="300" w:hanging="298"/>
        <w:spacing w:after="0" w:line="284" w:lineRule="auto"/>
        <w:tabs>
          <w:tab w:leader="none" w:pos="2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4.500% Senior Unsecured Notes due 2029 issued in the second quarter of 2021 with a maturity date of June 15, 2029 (the “2029 Notes”).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2021, we issued $575 million aggregate principal amount of convertible senior notes (the “2026 Convertible Notes”) that bear interest at a rate of 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2026 Convertible Notes mature on January 15, 2026, unless earlier repurchased or converted in accordance with their terms prior to that date.</w:t>
      </w:r>
    </w:p>
    <w:p>
      <w:pPr>
        <w:spacing w:after="0" w:line="9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The conversion rate of the 2026 Convertible Notes is subject to adjustment for certain events as described in the indenture governing the notes, and was subject to adjustment as of March 31, 2024 to 6.2076 shares of common stock per $1,000 principal amount of 2026 Convertible Notes (equivalent to a conversion price of $161.09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March 31, 2024, the effective interest rate was 0.55%.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interest expense information related to the 2026 Convertible Notes.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20" w:type="dxa"/>
            <w:vAlign w:val="bottom"/>
            <w:gridSpan w:val="5"/>
          </w:tcPr>
          <w:p>
            <w:pPr>
              <w:ind w:left="820"/>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199"/>
        </w:trPr>
        <w:tc>
          <w:tcPr>
            <w:tcW w:w="1480" w:type="dxa"/>
            <w:vAlign w:val="bottom"/>
          </w:tcPr>
          <w:p>
            <w:pPr>
              <w:spacing w:after="0"/>
              <w:rPr>
                <w:sz w:val="17"/>
                <w:szCs w:val="17"/>
                <w:color w:val="auto"/>
              </w:rPr>
            </w:pPr>
          </w:p>
        </w:tc>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r>
      <w:tr>
        <w:trPr>
          <w:trHeight w:val="224"/>
        </w:trPr>
        <w:tc>
          <w:tcPr>
            <w:tcW w:w="148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tcPr>
          <w:p>
            <w:pPr>
              <w:spacing w:after="0"/>
              <w:rPr>
                <w:sz w:val="19"/>
                <w:szCs w:val="19"/>
                <w:color w:val="auto"/>
              </w:rPr>
            </w:pPr>
          </w:p>
        </w:tc>
      </w:tr>
      <w:tr>
        <w:trPr>
          <w:trHeight w:val="551"/>
        </w:trPr>
        <w:tc>
          <w:tcPr>
            <w:tcW w:w="1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 Hedges and Warrants</w:t>
      </w:r>
    </w:p>
    <w:p>
      <w:pPr>
        <w:spacing w:after="0" w:line="1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3.6 million shares of our common stock, and warrant transactions (the “2026 Warrants”), whereby we sold to the counterparties to the 2026 Convertible Note Hedges warrants to acquire 3.6 million shares of our common stock, in each case, as of March 31, 2024. The strike prices of the 2026 Convertible Note Hedges and the 2026 Warrants were subject to adjustment to $161.09 and $201.36, respectively, as of March 31, 2024, and no 2026 Convertible Note Hedges or 2026 Warrants have been exercised.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2022, we issued $575 million aggregate principal amount of convertible senior notes (the “2027 Convertible Notes”) that bear interest at a rate of 3.25%.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2027 Convertible Notes mature on December 15, 2027, unless earlier repurchased or converted in accordance with their terms prior to that date.</w:t>
      </w:r>
    </w:p>
    <w:p>
      <w:pPr>
        <w:spacing w:after="0" w:line="9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 conversion rate of the 2027 Convertible Notes is subject to adjustment for certain events as described in the indenture governing the notes, and was subject to adjustment as of March 31, 2024 to 5.2776 shares of common stock per $1,000 principal amount of 2027 Convertible Notes (equivalent to a conversion price of $189.48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March 31, 2024, the effective interest rate was 3.88%.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interest expense information related to the 2027 Convertible Notes</w:t>
      </w:r>
      <w:r>
        <w:rPr>
          <w:rFonts w:ascii="Times New Roman" w:cs="Times New Roman" w:eastAsia="Times New Roman" w:hAnsi="Times New Roman"/>
          <w:sz w:val="17"/>
          <w:szCs w:val="17"/>
          <w:color w:val="EE2724"/>
        </w:rPr>
        <w:t>.</w:t>
      </w:r>
    </w:p>
    <w:p>
      <w:pPr>
        <w:spacing w:after="0" w:line="99"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4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957"/>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19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20" w:type="dxa"/>
            <w:vAlign w:val="bottom"/>
          </w:tcPr>
          <w:p>
            <w:pPr>
              <w:spacing w:after="0"/>
              <w:rPr>
                <w:sz w:val="17"/>
                <w:szCs w:val="17"/>
                <w:color w:val="auto"/>
              </w:rPr>
            </w:pPr>
          </w:p>
        </w:tc>
        <w:tc>
          <w:tcPr>
            <w:tcW w:w="1460" w:type="dxa"/>
            <w:vAlign w:val="bottom"/>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5"/>
        </w:trPr>
        <w:tc>
          <w:tcPr>
            <w:tcW w:w="4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 Hedges and Warrants</w:t>
      </w:r>
    </w:p>
    <w:p>
      <w:pPr>
        <w:spacing w:after="0" w:line="1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in each case, as of March 31, 2024. The strike prices of the 2027 Convertible Note Hedges and the 2027 Warrants were subject to adjustment to $189.48 and $286.01, respectively, as of March 31, 2024, and no 2027 Convertible Note Hedges or 2027 Warrants have been exercised.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Security and Guarantees</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subject to certain exceptions. In addition, the Corporate Credit Facility, the 2026 Convertible Notes, the 2027 Convertible Notes, the 2028 Notes, and the 2029 Notes are guaranteed by MVWC and certain of our direct and indirect, existing and future, domestic subsidiaries, excluding bankruptcy remote special purpose subsidiaries.</w:t>
      </w:r>
    </w:p>
    <w:p>
      <w:pPr>
        <w:spacing w:after="0" w:line="247" w:lineRule="exact"/>
        <w:rPr>
          <w:sz w:val="20"/>
          <w:szCs w:val="20"/>
          <w:color w:val="auto"/>
        </w:rPr>
      </w:pPr>
    </w:p>
    <w:p>
      <w:pPr>
        <w:ind w:left="460" w:hanging="441"/>
        <w:spacing w:after="0"/>
        <w:tabs>
          <w:tab w:leader="none" w:pos="46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Marriott Vacations Worldwide has 100,000,000 authorized shares of common stock, par value of $0.01 per share. At March 31, 2024, there were 75,847,526 shares of Marriott Vacations Worldwide common stock issued, of which 35,163,680 shares were outstanding and 40,683,846 shares were held as treasury stock. At December 31, 2023, there were 75,807,882 shares of Marriott Vacations Worldwide common stock issued, of which 35,319,306 shares were outstanding and 40,488,576 shares were held as treasury stock. Marriott Vacations Worldwide has 2,000,000 authorized shares of preferred stock, par value of $0.01 per share, none of which were issued or outstanding as of March 31, 2024 or December 31, 2023.</w:t>
      </w:r>
    </w:p>
    <w:p>
      <w:pPr>
        <w:spacing w:after="0" w:line="2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1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color w:val="auto"/>
        </w:rPr>
        <w:t>From time to time, with the approval of our Board of Directors, we may undertake programs to purchase shares of our common stock (each, a “Share Repurchase Program”). As of March 31, 2024, approximately $414 million remained available for share repurchases under the current Share Repurchase Program.</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Share Repurchase Program:</w:t>
      </w:r>
    </w:p>
    <w:p>
      <w:pPr>
        <w:spacing w:after="0" w:line="33"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2860" w:type="dxa"/>
            <w:vAlign w:val="bottom"/>
          </w:tcPr>
          <w:p>
            <w:pPr>
              <w:spacing w:after="0"/>
              <w:rPr>
                <w:sz w:val="15"/>
                <w:szCs w:val="15"/>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60" w:type="dxa"/>
            <w:vAlign w:val="bottom"/>
          </w:tcPr>
          <w:p>
            <w:pPr>
              <w:spacing w:after="0"/>
              <w:rPr>
                <w:sz w:val="15"/>
                <w:szCs w:val="15"/>
                <w:color w:val="auto"/>
              </w:rPr>
            </w:pPr>
          </w:p>
        </w:tc>
        <w:tc>
          <w:tcPr>
            <w:tcW w:w="1600" w:type="dxa"/>
            <w:vAlign w:val="bottom"/>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Cost Basis of Shares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Average Price</w:t>
            </w:r>
          </w:p>
        </w:tc>
      </w:tr>
      <w:tr>
        <w:trPr>
          <w:trHeight w:val="204"/>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7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Paid per Share</w:t>
            </w:r>
          </w:p>
        </w:tc>
      </w:tr>
      <w:tr>
        <w:trPr>
          <w:trHeight w:val="22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25,141,073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w:t>
            </w:r>
          </w:p>
        </w:tc>
      </w:tr>
      <w:tr>
        <w:trPr>
          <w:trHeight w:val="243"/>
        </w:trPr>
        <w:tc>
          <w:tcPr>
            <w:tcW w:w="2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first quarter of 2024</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87.37</w:t>
            </w:r>
          </w:p>
        </w:tc>
      </w:tr>
      <w:tr>
        <w:trPr>
          <w:trHeight w:val="23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March 31,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25,420,650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95.56</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1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color w:val="auto"/>
        </w:rPr>
        <w:t>We declared cash dividends to holders of common stock during the first quarter of 2024 as follows. Any future dividend payments will be subject to the restrictions imposed under the agreements covering our debt and approval of our Board of Directors. There can be no assurance that we will pay dividends in the future.</w:t>
      </w:r>
    </w:p>
    <w:p>
      <w:pPr>
        <w:spacing w:after="0" w:line="37"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Dividend per Share</w:t>
            </w:r>
          </w:p>
        </w:tc>
      </w:tr>
      <w:tr>
        <w:trPr>
          <w:trHeight w:val="226"/>
        </w:trPr>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February 15, 2024</w:t>
            </w:r>
          </w:p>
        </w:tc>
        <w:tc>
          <w:tcPr>
            <w:tcW w:w="14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February 29, 2024</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March 14, 2024</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rPr>
              <w:t>$0.76</w:t>
            </w:r>
          </w:p>
        </w:tc>
      </w:tr>
    </w:tbl>
    <w:p>
      <w:pPr>
        <w:spacing w:after="0" w:line="351" w:lineRule="exact"/>
        <w:rPr>
          <w:sz w:val="20"/>
          <w:szCs w:val="20"/>
          <w:color w:val="auto"/>
        </w:rPr>
      </w:pPr>
    </w:p>
    <w:p>
      <w:pPr>
        <w:ind w:left="460" w:hanging="441"/>
        <w:spacing w:after="0"/>
        <w:tabs>
          <w:tab w:leader="none" w:pos="46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9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We maintain the Marriott Vacations Worldwide Corporation 2020 Equity Incentive Plan (the “MVW Equity Plan”)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1.8 million shares are authorized for issuance pursuant to grants under the MVW Equity Plan. As of March 31, 2024, less than 1 million shares were available for grants under the MVW Equity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our share-based compensation expense related to award grants to our officers, directors, and employees: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7"/>
          </w:tcPr>
          <w:p>
            <w:pPr>
              <w:ind w:left="8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4"/>
          </w:tcPr>
          <w:p>
            <w:pPr>
              <w:ind w:left="1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The following table details our deferred compensation costs related to unvested awards:</w:t>
            </w: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3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480" w:type="dxa"/>
            <w:vAlign w:val="bottom"/>
          </w:tcPr>
          <w:p>
            <w:pPr>
              <w:spacing w:after="0"/>
              <w:rPr>
                <w:sz w:val="24"/>
                <w:szCs w:val="24"/>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At March 31, 2024</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80" w:type="dxa"/>
            <w:vAlign w:val="bottom"/>
          </w:tcPr>
          <w:p>
            <w:pPr>
              <w:spacing w:after="0"/>
              <w:rPr>
                <w:sz w:val="19"/>
                <w:szCs w:val="19"/>
                <w:color w:val="auto"/>
              </w:rPr>
            </w:pP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8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ind w:left="4360"/>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1480" w:type="dxa"/>
            <w:vAlign w:val="bottom"/>
            <w:vMerge w:val="continue"/>
          </w:tcPr>
          <w:p>
            <w:pPr>
              <w:spacing w:after="0"/>
              <w:rPr>
                <w:sz w:val="24"/>
                <w:szCs w:val="24"/>
                <w:color w:val="auto"/>
              </w:rPr>
            </w:pPr>
          </w:p>
        </w:tc>
        <w:tc>
          <w:tcPr>
            <w:tcW w:w="4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18"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7"/>
          <w:szCs w:val="17"/>
          <w:color w:val="auto"/>
        </w:rPr>
        <w:t>We granted 380,924 service-based RSUs, which are subject to time-based vesting conditions, with a weighted average grant-date fair value of $87.00, to our employees and non-employee directors during the first quarter of 2024. During the first quarter of 2024, we also granted performance-based RSUs, which are subject to performance-based vesting conditions, to members of management. A maximum of 204,020 RSUs may be earned under the performance-based RSU awards granted during the first quarter of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granted 86,759 SARs, with a weighted average grant-date fair value of $34.58 and a weighted average exercise price of $93.73, to members of management during the first quarter of 2024.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outlines the assumptions used to estimate the fair value of grants during the first quarter of 2024:</w:t>
      </w:r>
    </w:p>
    <w:p>
      <w:pPr>
        <w:spacing w:after="0" w:line="154" w:lineRule="exact"/>
        <w:rPr>
          <w:sz w:val="20"/>
          <w:szCs w:val="20"/>
          <w:color w:val="auto"/>
        </w:rPr>
      </w:pPr>
    </w:p>
    <w:tbl>
      <w:tblPr>
        <w:tblLayout w:type="fixed"/>
        <w:tblInd w:w="1840" w:type="dxa"/>
        <w:tblCellMar>
          <w:top w:w="0" w:type="dxa"/>
          <w:left w:w="0" w:type="dxa"/>
          <w:bottom w:w="0" w:type="dxa"/>
          <w:right w:w="0" w:type="dxa"/>
        </w:tblCellMar>
      </w:tblP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200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7"/>
                <w:szCs w:val="17"/>
                <w:color w:val="auto"/>
              </w:rPr>
              <w:t>45.78%</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000" w:type="dxa"/>
            <w:vAlign w:val="bottom"/>
          </w:tcPr>
          <w:p>
            <w:pPr>
              <w:jc w:val="center"/>
              <w:ind w:left="315"/>
              <w:spacing w:after="0"/>
              <w:rPr>
                <w:sz w:val="20"/>
                <w:szCs w:val="20"/>
                <w:color w:val="auto"/>
              </w:rPr>
            </w:pPr>
            <w:r>
              <w:rPr>
                <w:rFonts w:ascii="Times New Roman" w:cs="Times New Roman" w:eastAsia="Times New Roman" w:hAnsi="Times New Roman"/>
                <w:sz w:val="17"/>
                <w:szCs w:val="17"/>
                <w:color w:val="auto"/>
              </w:rPr>
              <w:t>3.21%</w:t>
            </w: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00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4.23%</w:t>
            </w:r>
          </w:p>
        </w:tc>
      </w:tr>
      <w:tr>
        <w:trPr>
          <w:trHeight w:val="244"/>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2000" w:type="dxa"/>
            <w:vAlign w:val="bottom"/>
          </w:tcPr>
          <w:p>
            <w:pPr>
              <w:jc w:val="center"/>
              <w:ind w:left="335"/>
              <w:spacing w:after="0"/>
              <w:rPr>
                <w:sz w:val="20"/>
                <w:szCs w:val="20"/>
                <w:color w:val="auto"/>
              </w:rPr>
            </w:pPr>
            <w:r>
              <w:rPr>
                <w:rFonts w:ascii="Times New Roman" w:cs="Times New Roman" w:eastAsia="Times New Roman" w:hAnsi="Times New Roman"/>
                <w:sz w:val="17"/>
                <w:szCs w:val="17"/>
                <w:color w:val="auto"/>
              </w:rPr>
              <w:t>6.25</w:t>
            </w:r>
          </w:p>
        </w:tc>
      </w:tr>
    </w:tbl>
    <w:p>
      <w:pPr>
        <w:spacing w:after="0" w:line="350" w:lineRule="exact"/>
        <w:rPr>
          <w:sz w:val="20"/>
          <w:szCs w:val="20"/>
          <w:color w:val="auto"/>
        </w:rPr>
      </w:pPr>
    </w:p>
    <w:p>
      <w:pPr>
        <w:ind w:left="460" w:hanging="441"/>
        <w:spacing w:after="0"/>
        <w:tabs>
          <w:tab w:leader="none" w:pos="46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VARIABLE INTEREST ENTITIES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 Related to Our Vacation Ownership Notes Receivable Securitizations</w:t>
      </w:r>
    </w:p>
    <w:p>
      <w:pPr>
        <w:spacing w:after="0" w:line="118" w:lineRule="exact"/>
        <w:rPr>
          <w:sz w:val="20"/>
          <w:szCs w:val="20"/>
          <w:color w:val="auto"/>
        </w:rPr>
      </w:pPr>
    </w:p>
    <w:p>
      <w:pPr>
        <w:ind w:right="1040"/>
        <w:spacing w:after="0" w:line="284" w:lineRule="auto"/>
        <w:rPr>
          <w:sz w:val="20"/>
          <w:szCs w:val="20"/>
          <w:color w:val="auto"/>
        </w:rPr>
      </w:pPr>
      <w:r>
        <w:rPr>
          <w:rFonts w:ascii="Times New Roman" w:cs="Times New Roman" w:eastAsia="Times New Roman" w:hAnsi="Times New Roman"/>
          <w:sz w:val="17"/>
          <w:szCs w:val="17"/>
          <w:color w:val="auto"/>
        </w:rPr>
        <w:t>The following table shows consolidated assets, which are collateral for the obligations of the VIEs related to our vacation ownership notes receivable securitizations, and consolidated liabilities included on our Balance Sheet at March 31, 2024:</w:t>
      </w:r>
    </w:p>
    <w:p>
      <w:pPr>
        <w:spacing w:after="0" w:line="22"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200" w:type="dxa"/>
            <w:vAlign w:val="bottom"/>
          </w:tcPr>
          <w:p>
            <w:pPr>
              <w:spacing w:after="0"/>
              <w:rPr>
                <w:sz w:val="15"/>
                <w:szCs w:val="15"/>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Warehouse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2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Credit Facility</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Assets</w:t>
            </w:r>
          </w:p>
        </w:tc>
        <w:tc>
          <w:tcPr>
            <w:tcW w:w="1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Vacation ownership notes receivable, net of</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10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receivable</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35"/>
        </w:trPr>
        <w:tc>
          <w:tcPr>
            <w:tcW w:w="3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0" w:type="dxa"/>
            <w:vAlign w:val="bottom"/>
          </w:tcPr>
          <w:p>
            <w:pPr>
              <w:spacing w:after="0"/>
              <w:rPr>
                <w:sz w:val="1"/>
                <w:szCs w:val="1"/>
                <w:color w:val="auto"/>
              </w:rPr>
            </w:pPr>
          </w:p>
        </w:tc>
      </w:tr>
      <w:tr>
        <w:trPr>
          <w:trHeight w:val="235"/>
        </w:trPr>
        <w:tc>
          <w:tcPr>
            <w:tcW w:w="3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interest income and expense recognized as a result of our involvement with these VIEs during the first quarter of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180" w:type="dxa"/>
            <w:vAlign w:val="bottom"/>
          </w:tcPr>
          <w:p>
            <w:pPr>
              <w:spacing w:after="0"/>
              <w:rPr>
                <w:sz w:val="15"/>
                <w:szCs w:val="15"/>
                <w:color w:val="auto"/>
              </w:rPr>
            </w:pPr>
          </w:p>
        </w:tc>
        <w:tc>
          <w:tcPr>
            <w:tcW w:w="14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Warehouse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148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Credit Facility</w:t>
            </w:r>
          </w:p>
        </w:tc>
        <w:tc>
          <w:tcPr>
            <w:tcW w:w="320" w:type="dxa"/>
            <w:vAlign w:val="bottom"/>
          </w:tcPr>
          <w:p>
            <w:pPr>
              <w:spacing w:after="0"/>
              <w:rPr>
                <w:sz w:val="17"/>
                <w:szCs w:val="17"/>
                <w:color w:val="auto"/>
              </w:rPr>
            </w:pPr>
          </w:p>
        </w:tc>
        <w:tc>
          <w:tcPr>
            <w:tcW w:w="2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1"/>
        </w:trPr>
        <w:tc>
          <w:tcPr>
            <w:tcW w:w="14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478"/>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vacation ownership notes receivable securitization VIEs: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proceeds from vacation ownership notes receivable securitizations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Principal receipts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receipts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Reserve release</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payments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Voluntary repurchases of defaulted vacation ownership notes receivable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Voluntary clean-up call</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payments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Warehouse Credit Facility VIE:</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4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vacation ownership notes receivable securitizations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Principal receipts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receipts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Reserve release</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payments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Voluntary repurchases of defaulted vacation ownership notes receivable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Repayment of Warehouse Credit Facility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payments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22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Variable Interest Entities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have a commitment to purchase a property located in Waikiki, Hawaii. The property is held by a VIE for which we are not the primary beneficiary. We do not control the decisions that most significantly impact the economic performance of the entity during construction. Further, our purchase commitment is generally contingent upon the property being redeveloped to our brand standards. Accordingly, we have not consolidated the VIE. We expect to acquire the property over time and as of March 31, 2024, we expect to make remaining payments for the property as follows: $65 million in the remainder of 2024, $82 million in 2025, and $41 million in 2026. As of March 31, 2024, our Balance Sheet reflected $1 million in Accounts and contracts receivable, net, including a note receivable of less than $1 million, $8 million in Property and equipment, net, $1 million in Accrued liabilities and $1 million in the Other line within liabilities on our Balance Sheets. We believe that our maximum exposure to loss as a result of our involvement with this VIE is approximately $10 million as of March 31, 2024. During the first quarter of 2024, we fulfilled our outstanding commitment to purchase retail space for $48 million and incurred $1 million of cost related to the fit-out of this space. We have an agreement to sell the retail space to a third party, at cost, upon completion of construction, which we expect to occur in the second half of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Plan</w:t>
      </w:r>
    </w:p>
    <w:p>
      <w:pPr>
        <w:spacing w:after="0" w:line="118"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7"/>
          <w:szCs w:val="17"/>
          <w:color w:val="auto"/>
        </w:rPr>
        <w:t>We consolidate the liabilities of the Deferred Compensation Plan and the related assets, which consist of the COLI policies held in a rabbi trust. The rabbi trust is considered a VIE. We are the primary beneficiary of the rabbi trust because we direct the activities of the trust and are the beneficiary of the trust. At March 31, 2024 and December 31, 2023, the value of the assets held in the rabbi trust was $110 million and $99 million, respectively, and was included in the Other line within assets on our Balance Sheets.</w:t>
      </w:r>
    </w:p>
    <w:p>
      <w:pPr>
        <w:spacing w:after="0" w:line="231" w:lineRule="exact"/>
        <w:rPr>
          <w:sz w:val="20"/>
          <w:szCs w:val="20"/>
          <w:color w:val="auto"/>
        </w:rPr>
      </w:pPr>
    </w:p>
    <w:p>
      <w:pPr>
        <w:ind w:left="460" w:hanging="441"/>
        <w:spacing w:after="0"/>
        <w:tabs>
          <w:tab w:leader="none" w:pos="46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SEGMENTS</w:t>
      </w:r>
    </w:p>
    <w:p>
      <w:pPr>
        <w:spacing w:after="0" w:line="20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7"/>
          <w:szCs w:val="17"/>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50" w:lineRule="exact"/>
        <w:rPr>
          <w:sz w:val="20"/>
          <w:szCs w:val="20"/>
          <w:color w:val="auto"/>
        </w:rPr>
      </w:pPr>
    </w:p>
    <w:p>
      <w:pPr>
        <w:ind w:left="300" w:right="80" w:hanging="298"/>
        <w:spacing w:after="0" w:line="258" w:lineRule="auto"/>
        <w:tabs>
          <w:tab w:leader="none" w:pos="2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70" w:lineRule="exact"/>
        <w:rPr>
          <w:rFonts w:ascii="Times New Roman" w:cs="Times New Roman" w:eastAsia="Times New Roman" w:hAnsi="Times New Roman"/>
          <w:sz w:val="17"/>
          <w:szCs w:val="17"/>
          <w:color w:val="auto"/>
        </w:rPr>
      </w:pPr>
    </w:p>
    <w:p>
      <w:pPr>
        <w:ind w:left="300"/>
        <w:spacing w:after="0" w:line="28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49" w:lineRule="exact"/>
        <w:rPr>
          <w:rFonts w:ascii="Times New Roman" w:cs="Times New Roman" w:eastAsia="Times New Roman" w:hAnsi="Times New Roman"/>
          <w:sz w:val="17"/>
          <w:szCs w:val="17"/>
          <w:color w:val="auto"/>
        </w:rPr>
      </w:pPr>
    </w:p>
    <w:p>
      <w:pPr>
        <w:ind w:left="300" w:right="160" w:hanging="298"/>
        <w:spacing w:after="0" w:line="262" w:lineRule="auto"/>
        <w:tabs>
          <w:tab w:leader="none" w:pos="29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property and owners’ association management, and other related products and services.</w:t>
      </w:r>
    </w:p>
    <w:p>
      <w:pPr>
        <w:spacing w:after="0" w:line="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2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Our CODM uses Adjusted Earnings before Interest Expense, Taxes, Depreciation and Amortization (“Adjusted EBITDA”) to evaluate the profitability of our operating segments, and the components of net income attributable to common stockholders excluded from Adjusted EBITDA are not separately evaluated. Adjusted EBITDA is defined as net income attributable to common stockholders, before interest expense (excluding consumer financing interest expense associated with term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attributable to common stockholders is presented below.</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8"/>
          </w:tcPr>
          <w:p>
            <w:pPr>
              <w:ind w:left="8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00" w:type="dxa"/>
            <w:vAlign w:val="bottom"/>
            <w:tcBorders>
              <w:top w:val="single" w:sz="8" w:color="auto"/>
              <w:bottom w:val="single" w:sz="8" w:color="CCEEFF"/>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7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segment revenues</w:t>
            </w: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Property Owners’ Associations</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8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65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Reconciliation to Net Income Attributable to Common Stockholders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8"/>
          </w:tcPr>
          <w:p>
            <w:pPr>
              <w:ind w:left="8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00" w:type="dxa"/>
            <w:vAlign w:val="bottom"/>
            <w:tcBorders>
              <w:top w:val="single" w:sz="8" w:color="auto"/>
              <w:bottom w:val="single" w:sz="8" w:color="CCEEFF"/>
            </w:tcBorders>
            <w:gridSpan w:val="2"/>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Vacation Ownership</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229</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 Exchange &amp; Third-Party Management</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37</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Reconciling items:</w:t>
            </w: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and other</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provision</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Certain items</w:t>
            </w: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7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87</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Assets</w:t>
            </w: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4"/>
                <w:szCs w:val="24"/>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At March 31, 2024</w:t>
            </w:r>
          </w:p>
        </w:tc>
        <w:tc>
          <w:tcPr>
            <w:tcW w:w="120" w:type="dxa"/>
            <w:vAlign w:val="bottom"/>
            <w:tcBorders>
              <w:bottom w:val="single" w:sz="8" w:color="CCEEFF"/>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8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7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segment assets</w:t>
            </w: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7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Excluding Cost Reimbursements</w:t>
            </w:r>
          </w:p>
        </w:tc>
        <w:tc>
          <w:tcPr>
            <w:tcW w:w="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56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8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00" w:type="dxa"/>
            <w:vAlign w:val="bottom"/>
            <w:gridSpan w:val="8"/>
          </w:tcPr>
          <w:p>
            <w:pPr>
              <w:ind w:left="8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top w:val="single" w:sz="8" w:color="auto"/>
              <w:bottom w:val="single" w:sz="8" w:color="CCEEFF"/>
            </w:tcBorders>
            <w:gridSpan w:val="3"/>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countries</w:t>
            </w:r>
          </w:p>
        </w:tc>
        <w:tc>
          <w:tcPr>
            <w:tcW w:w="7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14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We make forward-looking statements throughout this Management’s Discussion and Analysis of Financial Condition and Results of Operations, and elsewhere in this Quarterly Report on Form 10-Q (this “Quarterly Report”), based on our management’s beliefs and assumptions and on information currently available to our management. Forward-looking statements include, among other things, the information concerning: our possible or assumed future results of operations, financial condition, leverage, liquidity, returns on investments, margins including financing profit and development profit margins; dividend payments; business strategies; financing plans; our competitive position; our plans to pursue growth opportunities; potential operating performance, including our expectations regarding contract sales, including contract sales from our Maui sales centers; our expectation regarding consumer financing interest expense; our expectation that inventory spending will exceed cost of sales for the remainder of 2024 and the impact of inventory repurchases; indemnification; capital requirements; taxes, including the impact of Pillar 2; our ability to securitize consumer loans and related default rates and reserve requirements; and the pace of originations of vacation ownership notes receivable compared to payoffs.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a future health crisis and responses to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worker absenteeism; price inflation; difficulties associated with implementing new or maintaining existing technology; changes in privacy laws; the impact of a future banking crisis; impacts from natural or man-made disasters and wildfires, including the Maui wildfires; global supply chain disruptions; volatility in the international and national economy and credit markets, including as a result of the ongoing conflicts between Russia and Ukraine, Israel and Gaza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political or social strife; and other matters referred to under the heading “Risk Factors” contained herein and also in our 2023 Annual Report, and which may be updated in our future periodic filings with the U.S. Securities and Exchange Commission (the “SEC”).</w:t>
      </w:r>
    </w:p>
    <w:p>
      <w:pPr>
        <w:spacing w:after="0" w:line="7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All forward-looking statements in this Quarterly Report apply only as of the date of this Quarterly Report or as of the date they were made or as otherwise specified herein. We do not undertake any obligation to publicly update or revise any forward-looking statement, whether as a result of new information, future events, or otherwise. You should not put undue reliance on any forward-looking statements in this Quarterly Report. We do not have any intention or obligation to update forward-looking statements after the date of this Quarterly Report, except as required by law.</w:t>
      </w:r>
    </w:p>
    <w:p>
      <w:pPr>
        <w:spacing w:after="0" w:line="6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risk factors discussed in “Risk Factors” in our 2023 Annual Report could cause actual results to differ materially from those expressed or implied in forward-looking statements in this Quarterly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68"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7"/>
          <w:szCs w:val="17"/>
          <w:color w:val="auto"/>
        </w:rPr>
        <w:t>Our Financial Statements (as defined below), which we discuss below, reflect our historical financial condition, results of operations and cash flows. However, the financial information discussed below and included in this Quarterly Report may not necessarily reflect what our financial condition, results of operations or cash flows may be in the future.</w:t>
      </w:r>
    </w:p>
    <w:p>
      <w:pPr>
        <w:spacing w:after="0" w:line="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that we include in the Financial Statements of this Quarterly Report.</w:t>
      </w:r>
    </w:p>
    <w:p>
      <w:pPr>
        <w:spacing w:after="0" w:line="2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0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5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7"/>
          <w:szCs w:val="17"/>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7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5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w:t>
      </w:r>
    </w:p>
    <w:p>
      <w:pPr>
        <w:spacing w:after="0" w:line="68"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7"/>
          <w:szCs w:val="17"/>
          <w:color w:val="auto"/>
        </w:rPr>
        <w:t>Corporate and other represents that portion of our results that are not allocable to our segments, including those relating to consolidated property owners’ associations (“Consolidated Property Owners’ Associations”).</w:t>
      </w:r>
    </w:p>
    <w:p>
      <w:pPr>
        <w:spacing w:after="0" w:line="5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We routinely post important information, including news releases, announcements and other statements about our business and results of operations, that may be deemed material to investors on the Investor Relations section of our website, www.marriottvacationsworldwide.com. We use our website as a means of disclosing material, nonpublic information and for complying with our disclosure obligations under Regulation FD. Investors should monitor the Investor Relations section of our website in addition to following our press releases, filings with the SEC, public conference calls and webcasts. The information on our website is not part of, and is not incorporated by reference into this Quarterly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Measures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measure operating performance using the key metrics described below:</w:t>
      </w:r>
    </w:p>
    <w:p>
      <w:pPr>
        <w:spacing w:after="0" w:line="108" w:lineRule="exact"/>
        <w:rPr>
          <w:sz w:val="20"/>
          <w:szCs w:val="20"/>
          <w:color w:val="auto"/>
        </w:rPr>
      </w:pPr>
    </w:p>
    <w:p>
      <w:pPr>
        <w:ind w:left="300" w:right="200" w:hanging="298"/>
        <w:spacing w:after="0" w:line="256" w:lineRule="auto"/>
        <w:tabs>
          <w:tab w:leader="none" w:pos="2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Contract sales from the sale of vacation ownership products, </w:t>
      </w:r>
      <w:r>
        <w:rPr>
          <w:rFonts w:ascii="Times New Roman" w:cs="Times New Roman" w:eastAsia="Times New Roman" w:hAnsi="Times New Roman"/>
          <w:sz w:val="17"/>
          <w:szCs w:val="17"/>
          <w:color w:val="auto"/>
        </w:rPr>
        <w:t>which consists of the total amount of vacation ownership product sales under contracts signed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period where we have generally received a down payment of at least ten percent of the contract price, reduced by actual rescissions during the period, inclusive of contracts associated with sales of vacation ownership products on behalf of third parties, which we refer to as “resales contract sales.” In circumstances where customers apply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and adjustments for sales incentives that will not be recognized as Sale of vacation ownership products revenue and other adjustments to Sale of vacation ownership products revenue. We consider contract sales to be an important operating measure because it reflects the pace of sales in our business.</w:t>
      </w:r>
    </w:p>
    <w:p>
      <w:pPr>
        <w:spacing w:after="0" w:line="5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 sales include contract sales from the sale of vacation ownership products including non-consolidated joint ventures.</w:t>
      </w:r>
    </w:p>
    <w:p>
      <w:pPr>
        <w:spacing w:after="0" w:line="9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contract sales exclude contract sales from the sale of vacation ownership products for non-consolidated joint ventures.</w:t>
      </w:r>
    </w:p>
    <w:p>
      <w:pPr>
        <w:spacing w:after="0" w:line="95" w:lineRule="exact"/>
        <w:rPr>
          <w:rFonts w:ascii="Times New Roman" w:cs="Times New Roman" w:eastAsia="Times New Roman" w:hAnsi="Times New Roman"/>
          <w:sz w:val="17"/>
          <w:szCs w:val="17"/>
          <w:color w:val="auto"/>
        </w:rPr>
      </w:pPr>
    </w:p>
    <w:p>
      <w:pPr>
        <w:ind w:left="300" w:hanging="298"/>
        <w:spacing w:after="0" w:line="270" w:lineRule="auto"/>
        <w:tabs>
          <w:tab w:leader="none" w:pos="2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Volume per guest </w:t>
      </w:r>
      <w:r>
        <w:rPr>
          <w:rFonts w:ascii="Times New Roman" w:cs="Times New Roman" w:eastAsia="Times New Roman" w:hAnsi="Times New Roman"/>
          <w:sz w:val="17"/>
          <w:szCs w:val="17"/>
          <w:color w:val="auto"/>
        </w:rPr>
        <w:t>(“VPG”) is calculated by dividing consolidated vacation ownership contract sales, excluding fractional sales, telesales, resales, and other sales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are not attributed to a tour, by the number of tours in a given period. We believe that this operating metric is valuable in evaluating the effectiveness of the sales process as it combines the impact of average contract price with the number of touring guests who make a purchase.</w:t>
      </w:r>
    </w:p>
    <w:p>
      <w:pPr>
        <w:spacing w:after="0" w:line="57" w:lineRule="exact"/>
        <w:rPr>
          <w:rFonts w:ascii="Times New Roman" w:cs="Times New Roman" w:eastAsia="Times New Roman" w:hAnsi="Times New Roman"/>
          <w:sz w:val="17"/>
          <w:szCs w:val="17"/>
          <w:color w:val="auto"/>
        </w:rPr>
      </w:pPr>
    </w:p>
    <w:p>
      <w:pPr>
        <w:ind w:left="300" w:right="140" w:hanging="298"/>
        <w:spacing w:after="0" w:line="270" w:lineRule="auto"/>
        <w:tabs>
          <w:tab w:leader="none" w:pos="2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Development profit margin </w:t>
      </w:r>
      <w:r>
        <w:rPr>
          <w:rFonts w:ascii="Times New Roman" w:cs="Times New Roman" w:eastAsia="Times New Roman" w:hAnsi="Times New Roman"/>
          <w:sz w:val="17"/>
          <w:szCs w:val="17"/>
          <w:color w:val="auto"/>
        </w:rPr>
        <w:t>is calculated by dividing Development profit by revenues from the sale of vacation ownership products. We refer to revenues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sale of vacation ownership products less the cost of vacation ownership products and marketing and sales costs as Development profit. We believe that Development profit margin is an important measure of the profitability of our development and subsequent marketing and sales of VOIs.</w:t>
      </w:r>
    </w:p>
    <w:p>
      <w:pPr>
        <w:spacing w:after="0" w:line="2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0" w:right="300" w:hanging="298"/>
        <w:spacing w:after="0" w:line="289" w:lineRule="auto"/>
        <w:tabs>
          <w:tab w:leader="none" w:pos="2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active members </w:t>
      </w:r>
      <w:r>
        <w:rPr>
          <w:rFonts w:ascii="Times New Roman" w:cs="Times New Roman" w:eastAsia="Times New Roman" w:hAnsi="Times New Roman"/>
          <w:sz w:val="17"/>
          <w:szCs w:val="17"/>
          <w:color w:val="auto"/>
        </w:rPr>
        <w:t>is the number of Interval Network active members at the end of the applicable period. We consider active members to be an important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metric because it represents the population of owners eligible to book transactions using the Interval Network.</w:t>
      </w:r>
    </w:p>
    <w:p>
      <w:pPr>
        <w:spacing w:after="0" w:line="41" w:lineRule="exact"/>
        <w:rPr>
          <w:rFonts w:ascii="Times New Roman" w:cs="Times New Roman" w:eastAsia="Times New Roman" w:hAnsi="Times New Roman"/>
          <w:sz w:val="17"/>
          <w:szCs w:val="17"/>
          <w:color w:val="auto"/>
        </w:rPr>
      </w:pPr>
    </w:p>
    <w:p>
      <w:pPr>
        <w:ind w:left="300" w:right="60" w:hanging="298"/>
        <w:spacing w:after="0" w:line="270" w:lineRule="auto"/>
        <w:tabs>
          <w:tab w:leader="none" w:pos="2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Average revenue per member </w:t>
      </w:r>
      <w:r>
        <w:rPr>
          <w:rFonts w:ascii="Times New Roman" w:cs="Times New Roman" w:eastAsia="Times New Roman" w:hAnsi="Times New Roman"/>
          <w:sz w:val="17"/>
          <w:szCs w:val="17"/>
          <w:color w:val="auto"/>
        </w:rPr>
        <w:t>is calculated by dividing membership fee revenue, transaction revenue, rental revenue, and other member revenue for the Interval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Network by the monthly weighted average number of Interval Network active members during the applicable period. We believe this metric is valuable in measuring the overall engagement of our Interval Network active members.</w:t>
      </w:r>
    </w:p>
    <w:p>
      <w:pPr>
        <w:spacing w:after="0" w:line="57" w:lineRule="exact"/>
        <w:rPr>
          <w:rFonts w:ascii="Times New Roman" w:cs="Times New Roman" w:eastAsia="Times New Roman" w:hAnsi="Times New Roman"/>
          <w:sz w:val="17"/>
          <w:szCs w:val="17"/>
          <w:color w:val="auto"/>
        </w:rPr>
      </w:pPr>
    </w:p>
    <w:p>
      <w:pPr>
        <w:ind w:left="300" w:right="160" w:hanging="298"/>
        <w:spacing w:after="0" w:line="270" w:lineRule="auto"/>
        <w:tabs>
          <w:tab w:leader="none" w:pos="2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Segment financial results attributable to common stockholders </w:t>
      </w:r>
      <w:r>
        <w:rPr>
          <w:rFonts w:ascii="Times New Roman" w:cs="Times New Roman" w:eastAsia="Times New Roman" w:hAnsi="Times New Roman"/>
          <w:sz w:val="17"/>
          <w:szCs w:val="17"/>
          <w:color w:val="auto"/>
        </w:rPr>
        <w:t>represents revenues less expenses directly attributable to each applicable reportable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(Vacation Ownership and Exchange &amp; Third-Party Management). We consider this measure to be important in evaluating the performance of our reportable business segments. See Footnote 16 “Business Segments” to our Financial Statements for further information on our reportable business segments.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5"/>
          </w:tcPr>
          <w:p>
            <w:pPr>
              <w:ind w:left="5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Marketing and sales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 charges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Restructuring</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Royalty fee</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Impairment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566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INCOME BEFORE INCOME TAXES AND NONCONTROLLING</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8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1035"/>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7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Statistics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148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2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1480" w:type="dxa"/>
            <w:vAlign w:val="bottom"/>
          </w:tcPr>
          <w:p>
            <w:pPr>
              <w:spacing w:after="0"/>
              <w:rPr>
                <w:sz w:val="19"/>
                <w:szCs w:val="19"/>
                <w:color w:val="auto"/>
              </w:rPr>
            </w:pPr>
          </w:p>
        </w:tc>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Vacation Ownership</w:t>
            </w: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43"/>
        </w:trPr>
        <w:tc>
          <w:tcPr>
            <w:tcW w:w="1480" w:type="dxa"/>
            <w:vAlign w:val="bottom"/>
          </w:tcPr>
          <w:p>
            <w:pPr>
              <w:spacing w:after="0"/>
              <w:rPr>
                <w:sz w:val="21"/>
                <w:szCs w:val="21"/>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contract sales</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20" w:type="dxa"/>
            <w:vAlign w:val="bottom"/>
          </w:tcPr>
          <w:p>
            <w:pPr>
              <w:spacing w:after="0"/>
              <w:rPr>
                <w:sz w:val="21"/>
                <w:szCs w:val="21"/>
                <w:color w:val="auto"/>
              </w:rPr>
            </w:pPr>
          </w:p>
        </w:tc>
        <w:tc>
          <w:tcPr>
            <w:tcW w:w="70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w:t>
            </w:r>
          </w:p>
        </w:tc>
      </w:tr>
      <w:tr>
        <w:trPr>
          <w:trHeight w:val="243"/>
        </w:trPr>
        <w:tc>
          <w:tcPr>
            <w:tcW w:w="1480" w:type="dxa"/>
            <w:vAlign w:val="bottom"/>
          </w:tcPr>
          <w:p>
            <w:pPr>
              <w:spacing w:after="0"/>
              <w:rPr>
                <w:sz w:val="21"/>
                <w:szCs w:val="21"/>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Consolidated contract sales</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w:t>
            </w:r>
          </w:p>
        </w:tc>
      </w:tr>
      <w:tr>
        <w:trPr>
          <w:trHeight w:val="243"/>
        </w:trPr>
        <w:tc>
          <w:tcPr>
            <w:tcW w:w="1480" w:type="dxa"/>
            <w:vAlign w:val="bottom"/>
          </w:tcPr>
          <w:p>
            <w:pPr>
              <w:spacing w:after="0"/>
              <w:rPr>
                <w:sz w:val="21"/>
                <w:szCs w:val="21"/>
                <w:color w:val="auto"/>
              </w:rPr>
            </w:pPr>
          </w:p>
        </w:tc>
        <w:tc>
          <w:tcPr>
            <w:tcW w:w="3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Joint venture contract sales</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1"/>
                <w:szCs w:val="21"/>
                <w:color w:val="auto"/>
              </w:rPr>
            </w:pPr>
          </w:p>
        </w:tc>
        <w:tc>
          <w:tcPr>
            <w:tcW w:w="70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(49%)</w:t>
            </w:r>
          </w:p>
        </w:tc>
      </w:tr>
      <w:tr>
        <w:trPr>
          <w:trHeight w:val="243"/>
        </w:trPr>
        <w:tc>
          <w:tcPr>
            <w:tcW w:w="1480" w:type="dxa"/>
            <w:vAlign w:val="bottom"/>
          </w:tcPr>
          <w:p>
            <w:pPr>
              <w:spacing w:after="0"/>
              <w:rPr>
                <w:sz w:val="21"/>
                <w:szCs w:val="21"/>
                <w:color w:val="auto"/>
              </w:rPr>
            </w:pPr>
          </w:p>
        </w:tc>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VPG</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4,129</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w:t>
            </w:r>
          </w:p>
        </w:tc>
      </w:tr>
      <w:tr>
        <w:trPr>
          <w:trHeight w:val="243"/>
        </w:trPr>
        <w:tc>
          <w:tcPr>
            <w:tcW w:w="148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active members at end of period (000's)</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r>
      <w:tr>
        <w:trPr>
          <w:trHeight w:val="244"/>
        </w:trPr>
        <w:tc>
          <w:tcPr>
            <w:tcW w:w="1480" w:type="dxa"/>
            <w:vAlign w:val="bottom"/>
          </w:tcPr>
          <w:p>
            <w:pPr>
              <w:spacing w:after="0"/>
              <w:rPr>
                <w:sz w:val="21"/>
                <w:szCs w:val="21"/>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Average revenue per member</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41.74</w:t>
            </w:r>
          </w:p>
        </w:tc>
        <w:tc>
          <w:tcPr>
            <w:tcW w:w="120" w:type="dxa"/>
            <w:vAlign w:val="bottom"/>
          </w:tcPr>
          <w:p>
            <w:pPr>
              <w:spacing w:after="0"/>
              <w:rPr>
                <w:sz w:val="21"/>
                <w:szCs w:val="21"/>
                <w:color w:val="auto"/>
              </w:rPr>
            </w:pPr>
          </w:p>
        </w:tc>
        <w:tc>
          <w:tcPr>
            <w:tcW w:w="70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w:t>
            </w:r>
          </w:p>
        </w:tc>
      </w:tr>
      <w:tr>
        <w:trPr>
          <w:trHeight w:val="499"/>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7"/>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2"/>
        </w:trPr>
        <w:tc>
          <w:tcPr>
            <w:tcW w:w="1480" w:type="dxa"/>
            <w:vAlign w:val="bottom"/>
          </w:tcPr>
          <w:p>
            <w:pPr>
              <w:spacing w:after="0"/>
              <w:rPr>
                <w:sz w:val="17"/>
                <w:szCs w:val="17"/>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37"/>
        </w:trPr>
        <w:tc>
          <w:tcPr>
            <w:tcW w:w="1480" w:type="dxa"/>
            <w:vAlign w:val="bottom"/>
          </w:tcPr>
          <w:p>
            <w:pPr>
              <w:spacing w:after="0"/>
              <w:rPr>
                <w:sz w:val="20"/>
                <w:szCs w:val="20"/>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w:t>
            </w:r>
          </w:p>
        </w:tc>
      </w:tr>
      <w:tr>
        <w:trPr>
          <w:trHeight w:val="256"/>
        </w:trPr>
        <w:tc>
          <w:tcPr>
            <w:tcW w:w="1480" w:type="dxa"/>
            <w:vAlign w:val="bottom"/>
          </w:tcPr>
          <w:p>
            <w:pPr>
              <w:spacing w:after="0"/>
              <w:rPr>
                <w:sz w:val="22"/>
                <w:szCs w:val="22"/>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9"/>
              </w:rPr>
              <w:t>(8%)</w:t>
            </w:r>
          </w:p>
        </w:tc>
      </w:tr>
      <w:tr>
        <w:trPr>
          <w:trHeight w:val="236"/>
        </w:trPr>
        <w:tc>
          <w:tcPr>
            <w:tcW w:w="148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Segment Revenues</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w:t>
            </w:r>
          </w:p>
        </w:tc>
      </w:tr>
      <w:tr>
        <w:trPr>
          <w:trHeight w:val="256"/>
        </w:trPr>
        <w:tc>
          <w:tcPr>
            <w:tcW w:w="1480" w:type="dxa"/>
            <w:vAlign w:val="bottom"/>
          </w:tcPr>
          <w:p>
            <w:pPr>
              <w:spacing w:after="0"/>
              <w:rPr>
                <w:sz w:val="22"/>
                <w:szCs w:val="22"/>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Consolidated Property Owners’ Associations</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4"/>
              </w:rPr>
              <w:t>NM</w:t>
            </w:r>
          </w:p>
        </w:tc>
      </w:tr>
      <w:tr>
        <w:trPr>
          <w:trHeight w:val="230"/>
        </w:trPr>
        <w:tc>
          <w:tcPr>
            <w:tcW w:w="148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w:t>
            </w:r>
          </w:p>
        </w:tc>
      </w:tr>
      <w:tr>
        <w:trPr>
          <w:trHeight w:val="20"/>
        </w:trPr>
        <w:tc>
          <w:tcPr>
            <w:tcW w:w="148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Before Interest Expense, Taxes, Depreciation and Amortization (“EBITDA”) and Adjusted EBITDA</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EBITDA, a financial measure that is not prescribed by GAAP, is defined as earnings, or net income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13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attributable to common stockholders, which is the most directly comparable GAAP financial measure.</w:t>
      </w:r>
    </w:p>
    <w:p>
      <w:pPr>
        <w:spacing w:after="0" w:line="22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8"/>
              </w:rPr>
              <w:t>(46%)</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6"/>
              </w:rPr>
              <w:t>17%</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8"/>
              </w:rPr>
              <w:t>(15%)</w:t>
            </w:r>
          </w:p>
        </w:tc>
      </w:tr>
      <w:tr>
        <w:trPr>
          <w:trHeight w:val="24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0" w:type="dxa"/>
            <w:vAlign w:val="bottom"/>
            <w:tcBorders>
              <w:bottom w:val="single" w:sz="8" w:color="CCEEFF"/>
            </w:tcBorders>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6"/>
              </w:rPr>
              <w:t>16%</w:t>
            </w:r>
          </w:p>
        </w:tc>
      </w:tr>
      <w:tr>
        <w:trPr>
          <w:trHeight w:val="223"/>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EBITDA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8"/>
              </w:rPr>
              <w:t>(18%)</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8"/>
              </w:rPr>
              <w:t>(13%)</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NM</w:t>
            </w:r>
          </w:p>
        </w:tc>
      </w:tr>
      <w:tr>
        <w:trPr>
          <w:trHeight w:val="210"/>
        </w:trPr>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(8%)</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20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EBITDA Margin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(2 pts)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the three months ended March 31, 2024 and March 31, 2023.</w:t>
      </w:r>
    </w:p>
    <w:p>
      <w:pPr>
        <w:spacing w:after="0" w:line="48"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4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ind w:right="75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Borders>
              <w:bottom w:val="single" w:sz="8" w:color="auto"/>
            </w:tcBorders>
          </w:tcPr>
          <w:p>
            <w:pPr>
              <w:spacing w:after="0"/>
              <w:rPr>
                <w:sz w:val="17"/>
                <w:szCs w:val="17"/>
                <w:color w:val="auto"/>
              </w:rPr>
            </w:pPr>
          </w:p>
        </w:tc>
      </w:tr>
      <w:tr>
        <w:trPr>
          <w:trHeight w:val="19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380" w:type="dxa"/>
            <w:vAlign w:val="bottom"/>
            <w:tcBorders>
              <w:bottom w:val="single" w:sz="8" w:color="auto"/>
            </w:tcBorders>
          </w:tcPr>
          <w:p>
            <w:pPr>
              <w:spacing w:after="0"/>
              <w:rPr>
                <w:sz w:val="17"/>
                <w:szCs w:val="17"/>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ILG integration</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3"/>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4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Welk acquisition and integration</w:t>
            </w: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accounting adjustments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4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Early redemption of senior secured notes</w:t>
            </w:r>
          </w:p>
        </w:tc>
        <w:tc>
          <w:tcPr>
            <w:tcW w:w="260" w:type="dxa"/>
            <w:vAlign w:val="bottom"/>
          </w:tcPr>
          <w:p>
            <w:pPr>
              <w:spacing w:after="0"/>
              <w:rPr>
                <w:sz w:val="21"/>
                <w:szCs w:val="21"/>
                <w:color w:val="auto"/>
              </w:rPr>
            </w:pPr>
          </w:p>
        </w:tc>
        <w:tc>
          <w:tcPr>
            <w:tcW w:w="880" w:type="dxa"/>
            <w:vAlign w:val="bottom"/>
            <w:gridSpan w:val="3"/>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43"/>
        </w:trPr>
        <w:tc>
          <w:tcPr>
            <w:tcW w:w="4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proceeds</w:t>
            </w:r>
          </w:p>
        </w:tc>
        <w:tc>
          <w:tcPr>
            <w:tcW w:w="260" w:type="dxa"/>
            <w:vAlign w:val="bottom"/>
          </w:tcPr>
          <w:p>
            <w:pPr>
              <w:spacing w:after="0"/>
              <w:rPr>
                <w:sz w:val="21"/>
                <w:szCs w:val="21"/>
                <w:color w:val="auto"/>
              </w:rPr>
            </w:pPr>
          </w:p>
        </w:tc>
        <w:tc>
          <w:tcPr>
            <w:tcW w:w="880" w:type="dxa"/>
            <w:vAlign w:val="bottom"/>
            <w:gridSpan w:val="3"/>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indemnification asset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43"/>
        </w:trPr>
        <w:tc>
          <w:tcPr>
            <w:tcW w:w="4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21"/>
                <w:szCs w:val="21"/>
                <w:color w:val="auto"/>
              </w:rPr>
            </w:pPr>
          </w:p>
        </w:tc>
        <w:tc>
          <w:tcPr>
            <w:tcW w:w="880" w:type="dxa"/>
            <w:vAlign w:val="bottom"/>
            <w:gridSpan w:val="3"/>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2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4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5"/>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1480" w:type="dxa"/>
            <w:vAlign w:val="bottom"/>
          </w:tcPr>
          <w:p>
            <w:pPr>
              <w:spacing w:after="0"/>
              <w:rPr>
                <w:sz w:val="17"/>
                <w:szCs w:val="17"/>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60" w:type="dxa"/>
            <w:vAlign w:val="bottom"/>
          </w:tcPr>
          <w:p>
            <w:pPr>
              <w:spacing w:after="0"/>
              <w:rPr>
                <w:sz w:val="17"/>
                <w:szCs w:val="17"/>
                <w:color w:val="auto"/>
              </w:rPr>
            </w:pPr>
          </w:p>
        </w:tc>
      </w:tr>
      <w:tr>
        <w:trPr>
          <w:trHeight w:val="224"/>
        </w:trPr>
        <w:tc>
          <w:tcPr>
            <w:tcW w:w="148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(7%)</w:t>
            </w:r>
          </w:p>
        </w:tc>
        <w:tc>
          <w:tcPr>
            <w:tcW w:w="1460" w:type="dxa"/>
            <w:vAlign w:val="bottom"/>
          </w:tcPr>
          <w:p>
            <w:pPr>
              <w:spacing w:after="0"/>
              <w:rPr>
                <w:sz w:val="19"/>
                <w:szCs w:val="19"/>
                <w:color w:val="auto"/>
              </w:rPr>
            </w:pPr>
          </w:p>
        </w:tc>
      </w:tr>
      <w:tr>
        <w:trPr>
          <w:trHeight w:val="243"/>
        </w:trPr>
        <w:tc>
          <w:tcPr>
            <w:tcW w:w="1480" w:type="dxa"/>
            <w:vAlign w:val="bottom"/>
          </w:tcPr>
          <w:p>
            <w:pPr>
              <w:spacing w:after="0"/>
              <w:rPr>
                <w:sz w:val="21"/>
                <w:szCs w:val="21"/>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0" w:type="dxa"/>
            <w:vAlign w:val="bottom"/>
            <w:tcBorders>
              <w:bottom w:val="single" w:sz="8" w:color="CCEEFF"/>
            </w:tcBorders>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8"/>
              </w:rPr>
              <w:t>(14%)</w:t>
            </w:r>
          </w:p>
        </w:tc>
        <w:tc>
          <w:tcPr>
            <w:tcW w:w="1460" w:type="dxa"/>
            <w:vAlign w:val="bottom"/>
          </w:tcPr>
          <w:p>
            <w:pPr>
              <w:spacing w:after="0"/>
              <w:rPr>
                <w:sz w:val="21"/>
                <w:szCs w:val="21"/>
                <w:color w:val="auto"/>
              </w:rPr>
            </w:pPr>
          </w:p>
        </w:tc>
      </w:tr>
      <w:tr>
        <w:trPr>
          <w:trHeight w:val="223"/>
        </w:trPr>
        <w:tc>
          <w:tcPr>
            <w:tcW w:w="148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Segment adjusted EBITDA</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(8%)</w:t>
            </w:r>
          </w:p>
        </w:tc>
        <w:tc>
          <w:tcPr>
            <w:tcW w:w="1460" w:type="dxa"/>
            <w:vAlign w:val="bottom"/>
          </w:tcPr>
          <w:p>
            <w:pPr>
              <w:spacing w:after="0"/>
              <w:rPr>
                <w:sz w:val="19"/>
                <w:szCs w:val="19"/>
                <w:color w:val="auto"/>
              </w:rPr>
            </w:pPr>
          </w:p>
        </w:tc>
      </w:tr>
      <w:tr>
        <w:trPr>
          <w:trHeight w:val="243"/>
        </w:trPr>
        <w:tc>
          <w:tcPr>
            <w:tcW w:w="148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6"/>
              </w:rPr>
              <w:t>8%</w:t>
            </w:r>
          </w:p>
        </w:tc>
        <w:tc>
          <w:tcPr>
            <w:tcW w:w="146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8"/>
              </w:rPr>
              <w:t>(13%)</w:t>
            </w:r>
          </w:p>
        </w:tc>
        <w:tc>
          <w:tcPr>
            <w:tcW w:w="1460" w:type="dxa"/>
            <w:vAlign w:val="bottom"/>
          </w:tcPr>
          <w:p>
            <w:pPr>
              <w:spacing w:after="0"/>
              <w:rPr>
                <w:sz w:val="21"/>
                <w:szCs w:val="21"/>
                <w:color w:val="auto"/>
              </w:rPr>
            </w:pPr>
          </w:p>
        </w:tc>
      </w:tr>
      <w:tr>
        <w:trPr>
          <w:trHeight w:val="210"/>
        </w:trPr>
        <w:tc>
          <w:tcPr>
            <w:tcW w:w="148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Adjusted EBITDA</w:t>
            </w:r>
          </w:p>
        </w:tc>
        <w:tc>
          <w:tcPr>
            <w:tcW w:w="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(8%)</w:t>
            </w:r>
          </w:p>
        </w:tc>
        <w:tc>
          <w:tcPr>
            <w:tcW w:w="146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43"/>
        </w:trPr>
        <w:tc>
          <w:tcPr>
            <w:tcW w:w="14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segment financial results attributable to common stockholders reconciled to segment Adjusted EBITDA.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financial results</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8"/>
              </w:rPr>
              <w:t>(11%)</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6"/>
              </w:rPr>
              <w:t>11%</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6"/>
              </w:rPr>
              <w:t>8%</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NM</w:t>
            </w:r>
          </w:p>
        </w:tc>
      </w:tr>
      <w:tr>
        <w:trPr>
          <w:trHeight w:val="235"/>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0" w:type="dxa"/>
            <w:vAlign w:val="bottom"/>
            <w:tcBorders>
              <w:top w:val="single" w:sz="8" w:color="CCEEFF"/>
              <w:bottom w:val="single" w:sz="8" w:color="CCEEFF"/>
            </w:tcBorders>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329"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7"/>
          <w:szCs w:val="17"/>
          <w:color w:val="auto"/>
        </w:rPr>
        <w:t>The table below details the components of Certain items for Vacation Ownership segment financial results for the three months ended March 31, 2024 and March 31, 2023.</w:t>
      </w:r>
    </w:p>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45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jc w:val="right"/>
              <w:ind w:right="75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Borders>
              <w:bottom w:val="single" w:sz="8" w:color="auto"/>
            </w:tcBorders>
          </w:tcPr>
          <w:p>
            <w:pPr>
              <w:spacing w:after="0"/>
              <w:rPr>
                <w:sz w:val="17"/>
                <w:szCs w:val="17"/>
                <w:color w:val="auto"/>
              </w:rPr>
            </w:pPr>
          </w:p>
        </w:tc>
      </w:tr>
      <w:tr>
        <w:trPr>
          <w:trHeight w:val="19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340" w:type="dxa"/>
            <w:vAlign w:val="bottom"/>
            <w:tcBorders>
              <w:bottom w:val="single" w:sz="8" w:color="auto"/>
            </w:tcBorders>
          </w:tcPr>
          <w:p>
            <w:pPr>
              <w:spacing w:after="0"/>
              <w:rPr>
                <w:sz w:val="17"/>
                <w:szCs w:val="17"/>
                <w:color w:val="auto"/>
              </w:rPr>
            </w:pPr>
          </w:p>
        </w:tc>
      </w:tr>
      <w:tr>
        <w:trPr>
          <w:trHeight w:val="22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accounting adjustments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20" w:type="dxa"/>
            <w:vAlign w:val="bottom"/>
            <w:gridSpan w:val="4"/>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proceeds</w:t>
            </w: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indemnification asset</w:t>
            </w:r>
          </w:p>
        </w:tc>
        <w:tc>
          <w:tcPr>
            <w:tcW w:w="11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8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1480" w:type="dxa"/>
            <w:vAlign w:val="bottom"/>
          </w:tcPr>
          <w:p>
            <w:pPr>
              <w:spacing w:after="0"/>
              <w:rPr>
                <w:sz w:val="17"/>
                <w:szCs w:val="17"/>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60" w:type="dxa"/>
            <w:vAlign w:val="bottom"/>
          </w:tcPr>
          <w:p>
            <w:pPr>
              <w:spacing w:after="0"/>
              <w:rPr>
                <w:sz w:val="17"/>
                <w:szCs w:val="17"/>
                <w:color w:val="auto"/>
              </w:rPr>
            </w:pPr>
          </w:p>
        </w:tc>
      </w:tr>
      <w:tr>
        <w:trPr>
          <w:trHeight w:val="224"/>
        </w:trPr>
        <w:tc>
          <w:tcPr>
            <w:tcW w:w="148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financial results</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8"/>
              </w:rPr>
              <w:t>(13%)</w:t>
            </w:r>
          </w:p>
        </w:tc>
        <w:tc>
          <w:tcPr>
            <w:tcW w:w="1460" w:type="dxa"/>
            <w:vAlign w:val="bottom"/>
          </w:tcPr>
          <w:p>
            <w:pPr>
              <w:spacing w:after="0"/>
              <w:rPr>
                <w:sz w:val="19"/>
                <w:szCs w:val="19"/>
                <w:color w:val="auto"/>
              </w:rPr>
            </w:pPr>
          </w:p>
        </w:tc>
      </w:tr>
      <w:tr>
        <w:trPr>
          <w:trHeight w:val="243"/>
        </w:trPr>
        <w:tc>
          <w:tcPr>
            <w:tcW w:w="148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8"/>
              </w:rPr>
              <w:t>(14%)</w:t>
            </w:r>
          </w:p>
        </w:tc>
        <w:tc>
          <w:tcPr>
            <w:tcW w:w="146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3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8"/>
              </w:rPr>
              <w:t>(11%)</w:t>
            </w:r>
          </w:p>
        </w:tc>
        <w:tc>
          <w:tcPr>
            <w:tcW w:w="1460" w:type="dxa"/>
            <w:vAlign w:val="bottom"/>
          </w:tcPr>
          <w:p>
            <w:pPr>
              <w:spacing w:after="0"/>
              <w:rPr>
                <w:sz w:val="21"/>
                <w:szCs w:val="21"/>
                <w:color w:val="auto"/>
              </w:rPr>
            </w:pPr>
          </w:p>
        </w:tc>
      </w:tr>
      <w:tr>
        <w:trPr>
          <w:trHeight w:val="210"/>
        </w:trPr>
        <w:tc>
          <w:tcPr>
            <w:tcW w:w="148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8"/>
              </w:rPr>
              <w:t>(14%)</w:t>
            </w:r>
          </w:p>
        </w:tc>
        <w:tc>
          <w:tcPr>
            <w:tcW w:w="146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43"/>
        </w:trPr>
        <w:tc>
          <w:tcPr>
            <w:tcW w:w="14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6"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7"/>
          <w:szCs w:val="17"/>
          <w:color w:val="auto"/>
        </w:rPr>
        <w:t>Our business is grouped into two reportable business segments: Vacation Ownership and Exchange &amp; Third-Party Management. See Footnote 16 “Business Segments” to our Financial Statements for further information on our segments.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5"/>
          </w:tcPr>
          <w:p>
            <w:pPr>
              <w:ind w:left="5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Marketing and sales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Litigation charges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Royalty fee</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Impairment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566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SEGMENT FINANCIAL RESULTS BEFORE NONCONTROLLING</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8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566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SEGMENT FINANCIAL RESULTS ATTRIBUTABLE TO COMMON</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4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1035"/>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7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 of</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Consolidated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13"/>
                <w:szCs w:val="13"/>
                <w:color w:val="auto"/>
              </w:rPr>
            </w:pPr>
          </w:p>
        </w:tc>
        <w:tc>
          <w:tcPr>
            <w:tcW w:w="112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Contract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13"/>
                <w:szCs w:val="13"/>
                <w:color w:val="auto"/>
              </w:rPr>
            </w:pPr>
          </w:p>
        </w:tc>
        <w:tc>
          <w:tcPr>
            <w:tcW w:w="112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Contract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Sales, Net of</w:t>
            </w: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5"/>
                <w:szCs w:val="15"/>
                <w:b w:val="1"/>
                <w:bCs w:val="1"/>
                <w:color w:val="auto"/>
              </w:rPr>
              <w:t>Sales, Net of</w:t>
            </w:r>
          </w:p>
        </w:tc>
        <w:tc>
          <w:tcPr>
            <w:tcW w:w="100" w:type="dxa"/>
            <w:vAlign w:val="bottom"/>
          </w:tcPr>
          <w:p>
            <w:pPr>
              <w:spacing w:after="0"/>
              <w:rPr>
                <w:sz w:val="13"/>
                <w:szCs w:val="13"/>
                <w:color w:val="auto"/>
              </w:rPr>
            </w:pPr>
          </w:p>
        </w:tc>
        <w:tc>
          <w:tcPr>
            <w:tcW w:w="700" w:type="dxa"/>
            <w:vAlign w:val="bottom"/>
            <w:vMerge w:val="restart"/>
          </w:tcPr>
          <w:p>
            <w:pPr>
              <w:jc w:val="right"/>
              <w:ind w:right="7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Pr>
          <w:p>
            <w:pPr>
              <w:spacing w:after="0"/>
              <w:rPr>
                <w:sz w:val="13"/>
                <w:szCs w:val="13"/>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Resales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Resales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contract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(1%)</w:t>
            </w: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Joint venture contract sales</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80" w:type="dxa"/>
            <w:vAlign w:val="bottom"/>
            <w:tcBorders>
              <w:bottom w:val="single" w:sz="8" w:color="CCEEFF"/>
            </w:tcBorders>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8"/>
              </w:rPr>
              <w:t>(49%)</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contract sales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(2%)</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Resales contract sales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Joint venture contract sales</w:t>
            </w: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line="156" w:lineRule="exact"/>
              <w:rPr>
                <w:sz w:val="20"/>
                <w:szCs w:val="20"/>
                <w:color w:val="auto"/>
              </w:rPr>
            </w:pPr>
            <w:r>
              <w:rPr>
                <w:rFonts w:ascii="Times New Roman" w:cs="Times New Roman" w:eastAsia="Times New Roman" w:hAnsi="Times New Roman"/>
                <w:sz w:val="17"/>
                <w:szCs w:val="17"/>
                <w:color w:val="auto"/>
              </w:rPr>
              <w:t>Consolidated contract sales, net of</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resales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(2%)</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Settlement revenue</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12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12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Resales revenue</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12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12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recognition adjustments: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Reportability</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12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reserve</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12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8"/>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12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9"/>
                <w:szCs w:val="9"/>
                <w:color w:val="auto"/>
              </w:rPr>
              <w:t>(1)</w:t>
            </w: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12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12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line="156" w:lineRule="exact"/>
              <w:rPr>
                <w:sz w:val="20"/>
                <w:szCs w:val="20"/>
                <w:color w:val="auto"/>
              </w:rPr>
            </w:pPr>
            <w:r>
              <w:rPr>
                <w:rFonts w:ascii="Times New Roman" w:cs="Times New Roman" w:eastAsia="Times New Roman" w:hAnsi="Times New Roman"/>
                <w:sz w:val="17"/>
                <w:szCs w:val="17"/>
                <w:color w:val="auto"/>
              </w:rPr>
              <w:t>Sale of vacation ownership</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products</w:t>
            </w: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12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6"/>
              </w:rPr>
              <w:t>84%</w:t>
            </w: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1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53.4%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54.2%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8"/>
              </w:rPr>
              <w:t>(0.8 pts)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Average FICO Score </w:t>
            </w:r>
            <w:r>
              <w:rPr>
                <w:rFonts w:ascii="Times New Roman" w:cs="Times New Roman" w:eastAsia="Times New Roman" w:hAnsi="Times New Roman"/>
                <w:sz w:val="9"/>
                <w:szCs w:val="9"/>
                <w:color w:val="auto"/>
              </w:rPr>
              <w:t>(2)</w:t>
            </w:r>
          </w:p>
        </w:tc>
        <w:tc>
          <w:tcPr>
            <w:tcW w:w="140" w:type="dxa"/>
            <w:vAlign w:val="bottom"/>
          </w:tcPr>
          <w:p>
            <w:pPr>
              <w:spacing w:after="0"/>
              <w:rPr>
                <w:sz w:val="21"/>
                <w:szCs w:val="21"/>
                <w:color w:val="auto"/>
              </w:rPr>
            </w:pPr>
          </w:p>
        </w:tc>
        <w:tc>
          <w:tcPr>
            <w:tcW w:w="6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3"/>
              </w:rPr>
              <w:t>737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738</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00" w:hanging="298"/>
        <w:spacing w:after="0" w:line="228" w:lineRule="auto"/>
        <w:tabs>
          <w:tab w:leader="none" w:pos="288"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 for sales incentives that will not be recognized as Sale of vacation ownership products revenue and other adjustments to Sale of vacation ownership products revenue.</w:t>
      </w:r>
    </w:p>
    <w:p>
      <w:pPr>
        <w:spacing w:after="0" w:line="4"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customers who financed a vacation ownership purchase and for whom a credit score was available, generally U.S. and Canadian residents.</w:t>
      </w:r>
    </w:p>
    <w:p>
      <w:pPr>
        <w:spacing w:after="0" w:line="13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Contract sales in the first quarter of 2024 declined due to a 5% decrease in VPG, partially offset by a 4% increase in tours primarily attributed to our Asia Pacific locations. The 5% decrease in VPG was due to lower performance in both North America and international sales operations, a larger mix of international tours, which carry a lower VPG than our North America business, and the on-going impact from our Maui sales centers. Excluding the $16 million decline in contract sales at our Maui sales centers, contract sales increased 3%. We expect that full year 2024 contract sales from our Maui sales centers will be generally in-line with 2023 results and that full year 2024 consolidated contract sales, net of resales will exceed 2023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revenue reportability adjustment for the first quarter of 2024 resulted from contracts that remained in the contractual rescission period at the end of the quarter.</w:t>
      </w:r>
    </w:p>
    <w:p>
      <w:pPr>
        <w:spacing w:after="0" w:line="1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the latter half of 2023, we increased our vacation ownership notes receivable reserve to reflect trends in delinquencies and default rates. We estimated the amount of the increase in our sales reserve primarily using a historical period of increased defaults. The additional reserves recorded in 2023 adjusted our future default rate estimate to reflect then-current macroeconomic conditions, including inflation outpacing wage growth, continuing high interest rates, mixed economic indicators and increased global insecurity. The sales reserve for the first quarter of 2024 continues to reflect these ongoing macroeconomic conditions and remains in-line with the reserve recorded in the fourth quarter of 2023.</w:t>
      </w:r>
    </w:p>
    <w:p>
      <w:pPr>
        <w:spacing w:after="0" w:line="2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Profit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2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8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00" w:type="dxa"/>
            <w:vAlign w:val="bottom"/>
          </w:tcPr>
          <w:p>
            <w:pPr>
              <w:spacing w:after="0"/>
              <w:rPr>
                <w:sz w:val="12"/>
                <w:szCs w:val="12"/>
                <w:color w:val="auto"/>
              </w:rPr>
            </w:pPr>
          </w:p>
        </w:tc>
        <w:tc>
          <w:tcPr>
            <w:tcW w:w="1080" w:type="dxa"/>
            <w:vAlign w:val="bottom"/>
            <w:gridSpan w:val="3"/>
          </w:tcPr>
          <w:p>
            <w:pPr>
              <w:jc w:val="center"/>
              <w:ind w:right="115"/>
              <w:spacing w:after="0" w:line="149" w:lineRule="exact"/>
              <w:rPr>
                <w:sz w:val="20"/>
                <w:szCs w:val="20"/>
                <w:color w:val="auto"/>
              </w:rPr>
            </w:pPr>
            <w:r>
              <w:rPr>
                <w:rFonts w:ascii="Times New Roman" w:cs="Times New Roman" w:eastAsia="Times New Roman" w:hAnsi="Times New Roman"/>
                <w:sz w:val="15"/>
                <w:szCs w:val="15"/>
                <w:b w:val="1"/>
                <w:bCs w:val="1"/>
                <w:color w:val="auto"/>
              </w:rPr>
              <w:t>% of</w:t>
            </w:r>
          </w:p>
        </w:tc>
        <w:tc>
          <w:tcPr>
            <w:tcW w:w="78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 of</w:t>
            </w:r>
          </w:p>
        </w:tc>
        <w:tc>
          <w:tcPr>
            <w:tcW w:w="260" w:type="dxa"/>
            <w:vAlign w:val="bottom"/>
            <w:gridSpan w:val="2"/>
          </w:tcPr>
          <w:p>
            <w:pPr>
              <w:spacing w:after="0"/>
              <w:rPr>
                <w:sz w:val="12"/>
                <w:szCs w:val="12"/>
                <w:color w:val="auto"/>
              </w:rPr>
            </w:pPr>
          </w:p>
        </w:tc>
        <w:tc>
          <w:tcPr>
            <w:tcW w:w="760" w:type="dxa"/>
            <w:vAlign w:val="bottom"/>
            <w:vMerge w:val="restart"/>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1080" w:type="dxa"/>
            <w:vAlign w:val="bottom"/>
            <w:gridSpan w:val="3"/>
          </w:tcPr>
          <w:p>
            <w:pPr>
              <w:jc w:val="center"/>
              <w:ind w:right="115"/>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780" w:type="dxa"/>
            <w:vAlign w:val="bottom"/>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7"/>
                <w:szCs w:val="17"/>
                <w:color w:val="auto"/>
              </w:rPr>
            </w:pPr>
          </w:p>
        </w:tc>
        <w:tc>
          <w:tcPr>
            <w:tcW w:w="1120" w:type="dxa"/>
            <w:vAlign w:val="bottom"/>
            <w:gridSpan w:val="3"/>
          </w:tcPr>
          <w:p>
            <w:pPr>
              <w:jc w:val="center"/>
              <w:ind w:right="155"/>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4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color w:val="auto"/>
              </w:rPr>
              <w:t>Sale of vacation ownership</w:t>
            </w: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352</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(6%)</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Cost of vacation ownership</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9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8"/>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8"/>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9%</w:t>
            </w: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and sales</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96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8"/>
              </w:rPr>
              <w:t>(63%)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(56%)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(6%)</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8"/>
              </w:rPr>
              <w:t>(29%)</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profit margin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28.5%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(7.0 pts)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7"/>
          <w:szCs w:val="17"/>
          <w:color w:val="auto"/>
        </w:rPr>
        <w:t>The decrease in Development profit reflects higher marketing and sales costs, including $6 million of higher preview costs, and lower sales of vacation ownership products, including $8 million from the higher sales reserve and $7 million from unfavorable revenue reportability, partially offset by $2 million due primarily to the sale of lower cost inventory. We expect Development profit margin for the full year to decline slightly compared to 2023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Resort Management and Other Services Revenues, Expenses and Profit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3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fee revenues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15%</w:t>
            </w:r>
          </w:p>
        </w:tc>
      </w:tr>
      <w:tr>
        <w:trPr>
          <w:trHeight w:val="25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revenues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7%</w:t>
            </w:r>
          </w:p>
        </w:tc>
      </w:tr>
      <w:tr>
        <w:trPr>
          <w:trHeight w:val="25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management and exchange revenues</w:t>
            </w: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7%</w:t>
            </w: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revenues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10%</w:t>
            </w:r>
          </w:p>
        </w:tc>
      </w:tr>
      <w:tr>
        <w:trPr>
          <w:trHeight w:val="25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expenses</w:t>
            </w: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(11%)</w:t>
            </w: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profit</w:t>
            </w: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8%</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profit margin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rPr>
              <w:t>51.8%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7"/>
                <w:szCs w:val="17"/>
                <w:color w:val="auto"/>
              </w:rPr>
              <w:t>52.7%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(0.9 pts)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91"/>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Resort occupancy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24"/>
                <w:szCs w:val="24"/>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90.2%</w:t>
            </w:r>
          </w:p>
        </w:tc>
        <w:tc>
          <w:tcPr>
            <w:tcW w:w="140" w:type="dxa"/>
            <w:vAlign w:val="bottom"/>
          </w:tcPr>
          <w:p>
            <w:pPr>
              <w:spacing w:after="0"/>
              <w:rPr>
                <w:sz w:val="24"/>
                <w:szCs w:val="24"/>
                <w:color w:val="auto"/>
              </w:rPr>
            </w:pPr>
          </w:p>
        </w:tc>
        <w:tc>
          <w:tcPr>
            <w:tcW w:w="840" w:type="dxa"/>
            <w:vAlign w:val="bottom"/>
          </w:tcPr>
          <w:p>
            <w:pPr>
              <w:jc w:val="center"/>
              <w:ind w:left="276"/>
              <w:spacing w:after="0"/>
              <w:rPr>
                <w:sz w:val="20"/>
                <w:szCs w:val="20"/>
                <w:color w:val="auto"/>
              </w:rPr>
            </w:pPr>
            <w:r>
              <w:rPr>
                <w:rFonts w:ascii="Times New Roman" w:cs="Times New Roman" w:eastAsia="Times New Roman" w:hAnsi="Times New Roman"/>
                <w:sz w:val="17"/>
                <w:szCs w:val="17"/>
                <w:color w:val="auto"/>
              </w:rPr>
              <w:t>88.9%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rPr>
              <w:t>1.3 pts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28" w:lineRule="exact"/>
        <w:rPr>
          <w:sz w:val="20"/>
          <w:szCs w:val="20"/>
          <w:color w:val="auto"/>
        </w:rPr>
      </w:pPr>
    </w:p>
    <w:p>
      <w:pPr>
        <w:ind w:left="1800" w:right="1560" w:hanging="308"/>
        <w:spacing w:after="0" w:line="207" w:lineRule="auto"/>
        <w:tabs>
          <w:tab w:leader="none" w:pos="1788"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Resort occupancy represents all transient, previews, and owner keys divided by total keys available, net of keys out of service.</w:t>
      </w:r>
    </w:p>
    <w:p>
      <w:pPr>
        <w:spacing w:after="0" w:line="17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increase in Other management and exchange revenues is attributed to higher club dues. The increase in Resort management and other services expenses reflects an increase in ancillary expenses of $4 million, and an increase in customer service and exchange company expenses of $3 million due to incremental headcount, wages, benefits, and other operating cost increases.</w:t>
      </w:r>
    </w:p>
    <w:p>
      <w:pPr>
        <w:spacing w:after="0" w:line="2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Revenues, Expenses and Profit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7"/>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top w:val="single" w:sz="8" w:color="auto"/>
              <w:bottom w:val="single" w:sz="8" w:color="CCEEFF"/>
            </w:tcBorders>
            <w:gridSpan w:val="2"/>
          </w:tcPr>
          <w:p>
            <w:pPr>
              <w:spacing w:after="0"/>
              <w:rPr>
                <w:sz w:val="17"/>
                <w:szCs w:val="17"/>
                <w:color w:val="auto"/>
              </w:rPr>
            </w:pPr>
          </w:p>
        </w:tc>
        <w:tc>
          <w:tcPr>
            <w:tcW w:w="12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24"/>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4%</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Rental expenses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20" w:type="dxa"/>
            <w:vAlign w:val="bottom"/>
            <w:tcBorders>
              <w:bottom w:val="single" w:sz="8" w:color="CCEEFF"/>
            </w:tcBorders>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5%</w:t>
            </w:r>
          </w:p>
        </w:tc>
        <w:tc>
          <w:tcPr>
            <w:tcW w:w="0" w:type="dxa"/>
            <w:vAlign w:val="bottom"/>
          </w:tcPr>
          <w:p>
            <w:pPr>
              <w:spacing w:after="0"/>
              <w:rPr>
                <w:sz w:val="1"/>
                <w:szCs w:val="1"/>
                <w:color w:val="auto"/>
              </w:rPr>
            </w:pPr>
          </w:p>
        </w:tc>
      </w:tr>
      <w:tr>
        <w:trPr>
          <w:trHeight w:val="235"/>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profit</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20" w:type="dxa"/>
            <w:vAlign w:val="bottom"/>
            <w:tcBorders>
              <w:bottom w:val="single" w:sz="8" w:color="CCEEFF"/>
            </w:tcBorders>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47%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Rental profit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7"/>
              <w:spacing w:after="0" w:line="194" w:lineRule="exact"/>
              <w:rPr>
                <w:sz w:val="20"/>
                <w:szCs w:val="20"/>
                <w:color w:val="auto"/>
              </w:rPr>
            </w:pPr>
            <w:r>
              <w:rPr>
                <w:rFonts w:ascii="Times New Roman" w:cs="Times New Roman" w:eastAsia="Times New Roman" w:hAnsi="Times New Roman"/>
                <w:sz w:val="17"/>
                <w:szCs w:val="17"/>
                <w:color w:val="auto"/>
              </w:rPr>
              <w:t>25.3%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5"/>
              <w:spacing w:after="0" w:line="194" w:lineRule="exact"/>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77"/>
              <w:spacing w:after="0" w:line="194" w:lineRule="exact"/>
              <w:rPr>
                <w:sz w:val="20"/>
                <w:szCs w:val="20"/>
                <w:color w:val="auto"/>
              </w:rPr>
            </w:pPr>
            <w:r>
              <w:rPr>
                <w:rFonts w:ascii="Times New Roman" w:cs="Times New Roman" w:eastAsia="Times New Roman" w:hAnsi="Times New Roman"/>
                <w:sz w:val="17"/>
                <w:szCs w:val="17"/>
                <w:color w:val="auto"/>
              </w:rPr>
              <w:t>7.4 pts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7"/>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top w:val="single" w:sz="8" w:color="auto"/>
              <w:bottom w:val="single" w:sz="8" w:color="CCEEFF"/>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24"/>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Transient keys rented</w:t>
            </w:r>
            <w:r>
              <w:rPr>
                <w:rFonts w:ascii="Times New Roman" w:cs="Times New Roman" w:eastAsia="Times New Roman" w:hAnsi="Times New Roman"/>
                <w:sz w:val="9"/>
                <w:szCs w:val="9"/>
                <w:color w:val="auto"/>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542,970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10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Average transient rate</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24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occupancy</w:t>
            </w:r>
            <w:r>
              <w:rPr>
                <w:rFonts w:ascii="Times New Roman" w:cs="Times New Roman" w:eastAsia="Times New Roman" w:hAnsi="Times New Roman"/>
                <w:sz w:val="9"/>
                <w:szCs w:val="9"/>
                <w:color w:val="auto"/>
              </w:rPr>
              <w:t>(2)</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center"/>
              <w:ind w:right="157"/>
              <w:spacing w:after="0"/>
              <w:rPr>
                <w:sz w:val="20"/>
                <w:szCs w:val="20"/>
                <w:color w:val="auto"/>
              </w:rPr>
            </w:pPr>
            <w:r>
              <w:rPr>
                <w:rFonts w:ascii="Times New Roman" w:cs="Times New Roman" w:eastAsia="Times New Roman" w:hAnsi="Times New Roman"/>
                <w:sz w:val="17"/>
                <w:szCs w:val="17"/>
                <w:color w:val="auto"/>
              </w:rPr>
              <w:t>72.7%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right="175"/>
              <w:spacing w:after="0"/>
              <w:rPr>
                <w:sz w:val="20"/>
                <w:szCs w:val="20"/>
                <w:color w:val="auto"/>
              </w:rPr>
            </w:pPr>
            <w:r>
              <w:rPr>
                <w:rFonts w:ascii="Times New Roman" w:cs="Times New Roman" w:eastAsia="Times New Roman" w:hAnsi="Times New Roman"/>
                <w:sz w:val="17"/>
                <w:szCs w:val="17"/>
                <w:color w:val="auto"/>
              </w:rPr>
              <w:t>70.4%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77"/>
              <w:spacing w:after="0"/>
              <w:rPr>
                <w:sz w:val="20"/>
                <w:szCs w:val="20"/>
                <w:color w:val="auto"/>
              </w:rPr>
            </w:pPr>
            <w:r>
              <w:rPr>
                <w:rFonts w:ascii="Times New Roman" w:cs="Times New Roman" w:eastAsia="Times New Roman" w:hAnsi="Times New Roman"/>
                <w:sz w:val="17"/>
                <w:szCs w:val="17"/>
                <w:color w:val="auto"/>
              </w:rPr>
              <w:t>2.3 pts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00" w:hanging="298"/>
        <w:spacing w:after="0"/>
        <w:tabs>
          <w:tab w:leader="none" w:pos="30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Transient keys rented exclude plus points and preview stays.</w:t>
      </w:r>
    </w:p>
    <w:p>
      <w:pPr>
        <w:ind w:left="300" w:hanging="298"/>
        <w:spacing w:after="0"/>
        <w:tabs>
          <w:tab w:leader="none" w:pos="30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Rental occupancy represents transient and preview keys divided by keys available to rent, which is total available keys excluding owner usage.</w:t>
      </w:r>
    </w:p>
    <w:p>
      <w:pPr>
        <w:spacing w:after="0" w:line="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Rental profit for transient keys, including plus points and excluding keys from owned hotels, increased due to higher plus points revenue of $11 million, a $6 million increase in costs allocated to marketing and sales expense for occupancy used for previews and $2 million of lower unsold maintenance fees associated with developer owned inventory. These changes were partially offset by $4 million of decreased profit due to fewer transient keys rented and higher tidy and variable costs and $3 million of increased costs associated with higher owner utilization of third-party vacation and other offerings. Rental profit for our owned hotels remained in-line with the first quarter of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Revenues, Expenses and Profit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revenues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7"/>
                <w:szCs w:val="17"/>
                <w:color w:val="auto"/>
                <w:w w:val="93"/>
              </w:rPr>
              <w:t>5</w:t>
            </w:r>
          </w:p>
        </w:tc>
        <w:tc>
          <w:tcPr>
            <w:tcW w:w="10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6%</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expenses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3"/>
              </w:rPr>
              <w:t>1</w:t>
            </w:r>
          </w:p>
        </w:tc>
        <w:tc>
          <w:tcPr>
            <w:tcW w:w="10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11%</w:t>
            </w: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 financing interest expense</w:t>
            </w: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7"/>
                <w:szCs w:val="17"/>
                <w:color w:val="auto"/>
              </w:rPr>
              <w:t>(9)</w:t>
            </w:r>
          </w:p>
        </w:tc>
        <w:tc>
          <w:tcPr>
            <w:tcW w:w="10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(50%)</w:t>
            </w: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profit</w:t>
            </w: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7"/>
                <w:szCs w:val="17"/>
                <w:color w:val="auto"/>
              </w:rPr>
              <w:t>(3)</w:t>
            </w:r>
          </w:p>
        </w:tc>
        <w:tc>
          <w:tcPr>
            <w:tcW w:w="10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(4%)</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profit margin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59.5%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7"/>
                <w:szCs w:val="17"/>
                <w:color w:val="auto"/>
              </w:rPr>
              <w:t>65.7%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(6.2 pts)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240" w:type="dxa"/>
            <w:vAlign w:val="bottom"/>
          </w:tcPr>
          <w:p>
            <w:pPr>
              <w:spacing w:after="0"/>
              <w:rPr>
                <w:sz w:val="21"/>
                <w:szCs w:val="21"/>
                <w:color w:val="auto"/>
              </w:rPr>
            </w:pPr>
          </w:p>
        </w:tc>
        <w:tc>
          <w:tcPr>
            <w:tcW w:w="9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53.4%</w:t>
            </w:r>
          </w:p>
        </w:tc>
        <w:tc>
          <w:tcPr>
            <w:tcW w:w="120" w:type="dxa"/>
            <w:vAlign w:val="bottom"/>
          </w:tcPr>
          <w:p>
            <w:pPr>
              <w:spacing w:after="0"/>
              <w:rPr>
                <w:sz w:val="21"/>
                <w:szCs w:val="21"/>
                <w:color w:val="auto"/>
              </w:rPr>
            </w:pPr>
          </w:p>
        </w:tc>
        <w:tc>
          <w:tcPr>
            <w:tcW w:w="860" w:type="dxa"/>
            <w:vAlign w:val="bottom"/>
          </w:tcPr>
          <w:p>
            <w:pPr>
              <w:jc w:val="center"/>
              <w:ind w:left="276"/>
              <w:spacing w:after="0"/>
              <w:rPr>
                <w:sz w:val="20"/>
                <w:szCs w:val="20"/>
                <w:color w:val="auto"/>
              </w:rPr>
            </w:pPr>
            <w:r>
              <w:rPr>
                <w:rFonts w:ascii="Times New Roman" w:cs="Times New Roman" w:eastAsia="Times New Roman" w:hAnsi="Times New Roman"/>
                <w:sz w:val="17"/>
                <w:szCs w:val="17"/>
                <w:color w:val="auto"/>
              </w:rPr>
              <w:t>54.2%</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rPr>
              <w:t>(0.8 pts)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162"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Financing revenues reflect $5 million of higher interest income as a result of a higher average notes receivable balance and a slightly higher average interest rate. The higher average notes receivable balance was the result of new loan originations in excess of the repayment of existing vacation ownership notes receivable, which we expect to continue in 2024.</w:t>
      </w:r>
    </w:p>
    <w:p>
      <w:pPr>
        <w:spacing w:after="0" w:line="6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The increase in consumer financing interest expense is attributable to the higher average securitized debt at a higher average interest rate for our more recent term securitization transactions. We expect consumer financing interest expense to continue to remain higher than our average outstanding interest rates on existing securitization transactions as a result of higher interest rates until meaningful market interest rate declines occur. We do not adjust interest rates on consumer financing offerings at the same pace as, or in lock-step with, broader market interest rates; as a result, we expect our financing profit margin to continue to decrease in 2024, as we repay existing securitization transactions with lower interest rates and enter into new securitization transactions with higher interest rates.</w:t>
      </w:r>
    </w:p>
    <w:p>
      <w:pPr>
        <w:spacing w:after="0" w:line="2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Royalty Fee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2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Royalty fee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(4%)</w:t>
            </w:r>
          </w:p>
        </w:tc>
      </w:tr>
    </w:tbl>
    <w:p>
      <w:pPr>
        <w:spacing w:after="0" w:line="22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7"/>
          <w:szCs w:val="17"/>
          <w:color w:val="auto"/>
        </w:rPr>
        <w:t>Royalty fee expense decreased in the first quarter of 2024 due to higher sales of pre-owned inventory, which carry a lower royalty fee as compared to initial sales (one percent versus two percent).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and Other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NM</w:t>
            </w:r>
          </w:p>
        </w:tc>
      </w:tr>
    </w:tbl>
    <w:p>
      <w:pPr>
        <w:spacing w:after="0" w:line="227"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7"/>
          <w:szCs w:val="17"/>
          <w:color w:val="auto"/>
        </w:rPr>
        <w:t>During the first quarter of 2023, we recorded a $4 million gain associated with the earn out of additional proceeds from the 2019 disposition of a land parcel in Cancun, Mexico, a $3 million reduction in certain pre-acquisition contingencies associated with the ILG Acquisition and $2 million related to the receipt of business interruption insurance proceeds.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Charges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2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rPr>
              <w:t>2%</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Litigation charges during the first quarter of 2024, as well as the first quarter of 2023, relate primarily to business in Europe.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5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564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SEGMENT FINANCIAL RESULTS ATTRIBUTABLE TO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480" w:type="dxa"/>
            <w:vAlign w:val="bottom"/>
          </w:tcPr>
          <w:p>
            <w:pPr>
              <w:spacing w:after="0"/>
              <w:rPr>
                <w:sz w:val="19"/>
                <w:szCs w:val="19"/>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ind w:left="4360"/>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1480" w:type="dxa"/>
            <w:vAlign w:val="bottom"/>
            <w:vMerge w:val="continue"/>
          </w:tcPr>
          <w:p>
            <w:pPr>
              <w:spacing w:after="0"/>
              <w:rPr>
                <w:sz w:val="24"/>
                <w:szCs w:val="24"/>
                <w:color w:val="auto"/>
              </w:rPr>
            </w:pPr>
          </w:p>
        </w:tc>
        <w:tc>
          <w:tcPr>
            <w:tcW w:w="5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and Exchange Profit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revenue</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w w:val="93"/>
              </w:rPr>
              <w:t>52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3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(9%)</w:t>
            </w: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Management and exchange expense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7"/>
                <w:szCs w:val="17"/>
                <w:color w:val="auto"/>
                <w:w w:val="98"/>
              </w:rPr>
              <w:t>(31)</w:t>
            </w: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(30)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300" w:type="dxa"/>
            <w:vAlign w:val="bottom"/>
            <w:tcBorders>
              <w:bottom w:val="single" w:sz="8" w:color="CCEEFF"/>
            </w:tcBorders>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(3%)</w:t>
            </w:r>
          </w:p>
        </w:tc>
        <w:tc>
          <w:tcPr>
            <w:tcW w:w="0" w:type="dxa"/>
            <w:vAlign w:val="bottom"/>
          </w:tcPr>
          <w:p>
            <w:pPr>
              <w:spacing w:after="0"/>
              <w:rPr>
                <w:sz w:val="1"/>
                <w:szCs w:val="1"/>
                <w:color w:val="auto"/>
              </w:rPr>
            </w:pPr>
          </w:p>
        </w:tc>
      </w:tr>
      <w:tr>
        <w:trPr>
          <w:trHeight w:val="235"/>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w w:val="93"/>
              </w:rPr>
              <w:t>21</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300" w:type="dxa"/>
            <w:vAlign w:val="bottom"/>
            <w:tcBorders>
              <w:bottom w:val="single" w:sz="8" w:color="CCEEFF"/>
            </w:tcBorders>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(21%)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96"/>
              <w:spacing w:after="0" w:line="194" w:lineRule="exact"/>
              <w:rPr>
                <w:sz w:val="20"/>
                <w:szCs w:val="20"/>
                <w:color w:val="auto"/>
              </w:rPr>
            </w:pPr>
            <w:r>
              <w:rPr>
                <w:rFonts w:ascii="Times New Roman" w:cs="Times New Roman" w:eastAsia="Times New Roman" w:hAnsi="Times New Roman"/>
                <w:sz w:val="17"/>
                <w:szCs w:val="17"/>
                <w:color w:val="auto"/>
              </w:rPr>
              <w:t>40.6%</w:t>
            </w:r>
          </w:p>
        </w:tc>
        <w:tc>
          <w:tcPr>
            <w:tcW w:w="14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47.1%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236"/>
              <w:spacing w:after="0" w:line="194" w:lineRule="exact"/>
              <w:rPr>
                <w:sz w:val="20"/>
                <w:szCs w:val="20"/>
                <w:color w:val="auto"/>
              </w:rPr>
            </w:pPr>
            <w:r>
              <w:rPr>
                <w:rFonts w:ascii="Times New Roman" w:cs="Times New Roman" w:eastAsia="Times New Roman" w:hAnsi="Times New Roman"/>
                <w:sz w:val="17"/>
                <w:szCs w:val="17"/>
                <w:color w:val="auto"/>
              </w:rPr>
              <w:t>(6.5 pts)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decrease in management and exchange revenue reflects a $2 million decline in Aqua-Aston management revenues resulting from fewer available nights for rent and a lower average daily rate in the Hawaii market due to changes in demand. Interval International management and exchange revenues declined $2 million or 5% primarily attributed to lower exchange transaction volume.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decrease in management and exchange profit was primarily attributed to lower revenues and higher information technology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Revenues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2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rPr>
              <w:t>7%</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Results reflect a 2% increase in volume of transactions and a 4% increase in average fee per transaction.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and Other</w:t>
      </w:r>
    </w:p>
    <w:p>
      <w:pPr>
        <w:spacing w:after="0" w:line="6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80" w:type="dxa"/>
            <w:vAlign w:val="bottom"/>
          </w:tcPr>
          <w:p>
            <w:pPr>
              <w:spacing w:after="0"/>
              <w:rPr>
                <w:sz w:val="17"/>
                <w:szCs w:val="17"/>
                <w:color w:val="auto"/>
              </w:rPr>
            </w:pPr>
          </w:p>
        </w:tc>
        <w:tc>
          <w:tcPr>
            <w:tcW w:w="13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3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72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3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3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3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Restructuring</w:t>
            </w: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2"/>
          </w:tcPr>
          <w:p>
            <w:pPr>
              <w:jc w:val="right"/>
              <w:ind w:right="15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3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3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4340" w:type="dxa"/>
            <w:vAlign w:val="bottom"/>
          </w:tcPr>
          <w:p>
            <w:pPr>
              <w:ind w:left="20"/>
              <w:spacing w:after="0" w:line="147" w:lineRule="exact"/>
              <w:rPr>
                <w:sz w:val="20"/>
                <w:szCs w:val="20"/>
                <w:color w:val="auto"/>
              </w:rPr>
            </w:pPr>
            <w:r>
              <w:rPr>
                <w:rFonts w:ascii="Times New Roman" w:cs="Times New Roman" w:eastAsia="Times New Roman" w:hAnsi="Times New Roman"/>
                <w:sz w:val="16"/>
                <w:szCs w:val="16"/>
                <w:b w:val="1"/>
                <w:bCs w:val="1"/>
                <w:color w:val="auto"/>
              </w:rPr>
              <w:t>FINANCIAL RESULTS BEFORE INCOME TAXES AND</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3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43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6"/>
                <w:szCs w:val="16"/>
                <w:b w:val="1"/>
                <w:bCs w:val="1"/>
                <w:color w:val="auto"/>
              </w:rPr>
              <w:t>FINANCIAL RESULTS ATTRIBUTABLE TO COMMON</w:t>
            </w:r>
          </w:p>
        </w:tc>
        <w:tc>
          <w:tcPr>
            <w:tcW w:w="1720" w:type="dxa"/>
            <w:vAlign w:val="bottom"/>
            <w:gridSpan w:val="2"/>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8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72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1095"/>
              <w:spacing w:after="0"/>
              <w:rPr>
                <w:sz w:val="20"/>
                <w:szCs w:val="20"/>
                <w:color w:val="auto"/>
              </w:rPr>
            </w:pPr>
            <w:r>
              <w:rPr>
                <w:rFonts w:ascii="Times New Roman" w:cs="Times New Roman" w:eastAsia="Times New Roman" w:hAnsi="Times New Roman"/>
                <w:sz w:val="17"/>
                <w:szCs w:val="17"/>
                <w:color w:val="auto"/>
              </w:rPr>
              <w:t>40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14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Property Owners’ Associations</w:t>
      </w:r>
    </w:p>
    <w:p>
      <w:pPr>
        <w:spacing w:after="0" w:line="6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The following table illustrates the impact of certain Consolidated Property Owners’ Associations under the relevant accounting guidance and the changes attributed to the deconsolidation of individual Consolidated Property Owners’ Associations.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12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3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4460" w:type="dxa"/>
            <w:vAlign w:val="bottom"/>
            <w:gridSpan w:val="4"/>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FINANCIAL RESULTS BEFORE INCOME TAXES AND</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8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4460" w:type="dxa"/>
            <w:vAlign w:val="bottom"/>
            <w:gridSpan w:val="4"/>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FINANCIAL RESULTS ATTRIBUTABLE TO COMMON</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vMerge w:val="restart"/>
          </w:tcPr>
          <w:p>
            <w:pPr>
              <w:jc w:val="right"/>
              <w:ind w:right="12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millions)</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color w:val="auto"/>
        </w:rPr>
        <w:t>The change in General and administrative expenses is due to $4 million of lower wages and benefits and $2 million of lower insurance expense, partially offset by $1 million of higher other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(Losses) and Other Income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52"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rPr>
              <w:t>(101%)</w:t>
            </w:r>
          </w:p>
        </w:tc>
      </w:tr>
    </w:tbl>
    <w:p>
      <w:pPr>
        <w:spacing w:after="0" w:line="163"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7"/>
          <w:szCs w:val="17"/>
          <w:color w:val="auto"/>
        </w:rPr>
        <w:t>In the first quarter of 2024, we recorded $2 million of foreign currency translation losses, offset by $2 million of non-income tax related adjustments to the receivable for the indemnification we expect to receive from Marriott International for indemnified tax matters.</w:t>
      </w:r>
    </w:p>
    <w:p>
      <w:pPr>
        <w:spacing w:after="0" w:line="5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the first quarter of 2023, we recorded a $20 million increase in our receivable from Marriott International for indemnified tax matters (the true-up to the offsetting accrual is included in the Provision for income taxes line) and $2 million of foreign currency translation gains, partially offset by $10 million attributed to the redemption premium and write-off of unamortized debt issuance costs resulting from the early redemption of our senior secured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2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7"/>
                <w:szCs w:val="17"/>
                <w:color w:val="auto"/>
              </w:rPr>
              <w:t>(17%)</w:t>
            </w:r>
          </w:p>
        </w:tc>
      </w:tr>
    </w:tbl>
    <w:p>
      <w:pPr>
        <w:spacing w:after="0" w:line="17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The increase in Interest expense, net is attributed to $2 million associated with higher borrowings and higher variable interest rates on both the Warehouse Credit Facility and the Revolving Corporate Credit Facility, $2 million of higher variable interest expense on the Term Loan, and $2 million of interest expense related to leased assets.</w:t>
      </w:r>
    </w:p>
    <w:p>
      <w:pPr>
        <w:spacing w:after="0" w:line="2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First Quarter</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2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24"/>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7"/>
                <w:szCs w:val="17"/>
                <w:color w:val="auto"/>
              </w:rPr>
              <w:t>15%</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effective tax rate was 43.0% and 32.3% for the three months ended March 31, 2024 and March 31, 2023, respectively.</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2024 differed from the blended statutory tax rate for the same period due to income tax adjustments for discrete items, including $11 million primarily related to a $20 million increase to remove the permanent reinvestment assertion for certain non-U.S. entities offset by a $9 million decrease for the expiration of statutes of limitation on certain unrecognized tax benefits. The effective tax rate for the three months ended March 31, 2023 differed from the blended statutory tax rate for the same period due to income tax adjustments for discrete items including $9 million primarily related to an increase in uncertain tax benefits of $20 million for new unrecognized tax benefits in a foreign jurisdiction, offset by decreases in stock compensation of $7 million and $4 million related to prior year true-up adjustments.</w:t>
      </w:r>
    </w:p>
    <w:p>
      <w:pPr>
        <w:spacing w:after="0" w:line="7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7"/>
          <w:szCs w:val="17"/>
          <w:color w:val="auto"/>
        </w:rPr>
        <w:t>The Organization for Economic Co-operation and Development has proposed a global minimum tax of 15% of reported profits (“Pillar 2”) that has been agreed upon in principle by over 140 non-U.S. countries. Although the model rules provide a framework for applying the minimum tax, countries may enact Pillar 2 differently than the model rules and/or on different timelines. While we continue to monitor legislative developments, we do not anticipate Pillar 2 will have a material impact on our 2024 or long-term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w:t>
      </w:r>
    </w:p>
    <w:p>
      <w:pPr>
        <w:spacing w:after="0" w:line="7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7"/>
          <w:szCs w:val="17"/>
          <w:color w:val="auto"/>
        </w:rPr>
        <w:t>At March 31, 2024, our corporate debt, net of cash and equivalents, to Adjusted EBITDA ratio was 3.9, above our targeted range of 2.5 to 3.0, and we remain committed to reducing this ratio to 3.0 by the end of 2025.</w:t>
      </w:r>
    </w:p>
    <w:p>
      <w:pPr>
        <w:spacing w:after="0" w:line="5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In April 2024, we amended the Corporate Credit Facility to provide for a new $800 million term loan facility that is scheduled to mature on April 1, 2031. The proceeds were used to refinance in full the Term Loan, which was scheduled to mature on August 31, 2025. As of May 1, 2024, as a result of refinancing the Term Loan, we have no maturities of corporate debt until 2026.</w:t>
      </w:r>
    </w:p>
    <w:p>
      <w:pPr>
        <w:spacing w:after="0" w:line="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As of March 31, 2024, after considering the impact of interest rate hedges and excluding finance leases, the interest rate applicable to approximately 78% of our corporate debt was effectively fixed. The weighted average interest rate of our total corporate debt as of March 31, 2024, excluding finance leases and including the impact of interest rate hedges, was 4.0%. Excluding the impact of the interest rate hedges, 68% of our corporate debt was fixed as of March 31,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Liquidity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from Operations</w:t>
      </w:r>
    </w:p>
    <w:p>
      <w:pPr>
        <w:spacing w:after="0" w:line="11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Securitizations</w:t>
      </w:r>
    </w:p>
    <w:p>
      <w:pPr>
        <w:spacing w:after="0" w:line="116"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w:t>
      </w:r>
    </w:p>
    <w:p>
      <w:pPr>
        <w:spacing w:after="0" w:line="2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by a special purpose entity are generally collateralized by a single pool of transferred assets, which consist of vacation ownership notes receivable. In connection with each vacation ownership notes receivable securitization, we may retain all or a portion of the securities that are issued. 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first quarter of 2024, and as of March 31, 2024, we had 14 term securitization transactions outstanding, all of which were in compliance with their respective required parameters. Since 2000, we have issued approximately $9.4 billion of debt securities in securitization transactions in the term ABS market, excluding amounts securitized through warehouse credit facilities or private bank transactions.</w:t>
      </w:r>
    </w:p>
    <w:p>
      <w:pPr>
        <w:spacing w:after="0" w:line="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At March 31, 2024, we had no borrowings outstanding on our Warehouse Credit Facility.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2024, $61 million of gross vacation ownership notes receivable were eligible for securitization.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Corporate Credit Facility</w:t>
      </w:r>
    </w:p>
    <w:p>
      <w:pPr>
        <w:spacing w:after="0" w:line="11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Our Revolving Corporate Credit Facility, which expires on March 31, 2027, provides for up to $750 million of aggregate borrowings for general corporate needs, including working capital, capital expenditures, letters of credit, and acquisitions. At March 31, 2024, $160 million of borrowings and $33 million of letters of credit were outstanding on our Revolving Corporate Credit Facility.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Uses of Cash</w:t>
      </w:r>
    </w:p>
    <w:p>
      <w:pPr>
        <w:spacing w:after="0" w:line="11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7"/>
          <w:szCs w:val="17"/>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w:t>
      </w:r>
    </w:p>
    <w:p>
      <w:pPr>
        <w:spacing w:after="0" w:line="11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typically have significant variable compensation-related cash outflows associated with payment of annual bonuses.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net income and adjustments for non-cash items, the following are key drivers of our cash flow from operating activities:</w:t>
      </w:r>
    </w:p>
    <w:p>
      <w:pPr>
        <w:spacing w:after="0" w:line="2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Spending Less Than Cost of Sales</w:t>
      </w:r>
    </w:p>
    <w:p>
      <w:pPr>
        <w:spacing w:after="0" w:line="52"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199"/>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80" w:type="dxa"/>
            <w:vAlign w:val="bottom"/>
          </w:tcPr>
          <w:p>
            <w:pPr>
              <w:spacing w:after="0"/>
              <w:rPr>
                <w:sz w:val="17"/>
                <w:szCs w:val="17"/>
                <w:color w:val="auto"/>
              </w:rPr>
            </w:pPr>
          </w:p>
        </w:tc>
        <w:tc>
          <w:tcPr>
            <w:tcW w:w="134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22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spending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center"/>
              <w:ind w:left="897"/>
              <w:spacing w:after="0"/>
              <w:rPr>
                <w:sz w:val="20"/>
                <w:szCs w:val="20"/>
                <w:color w:val="auto"/>
              </w:rPr>
            </w:pPr>
            <w:r>
              <w:rPr>
                <w:rFonts w:ascii="Times New Roman" w:cs="Times New Roman" w:eastAsia="Times New Roman" w:hAnsi="Times New Roman"/>
                <w:sz w:val="17"/>
                <w:szCs w:val="17"/>
                <w:color w:val="auto"/>
                <w:w w:val="98"/>
              </w:rPr>
              <w:t>(25)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property for future transfer to inventory</w:t>
            </w:r>
          </w:p>
        </w:tc>
        <w:tc>
          <w:tcPr>
            <w:tcW w:w="180" w:type="dxa"/>
            <w:vAlign w:val="bottom"/>
          </w:tcPr>
          <w:p>
            <w:pPr>
              <w:spacing w:after="0"/>
              <w:rPr>
                <w:sz w:val="21"/>
                <w:szCs w:val="21"/>
                <w:color w:val="auto"/>
              </w:rPr>
            </w:pPr>
          </w:p>
        </w:tc>
        <w:tc>
          <w:tcPr>
            <w:tcW w:w="1460" w:type="dxa"/>
            <w:vAlign w:val="bottom"/>
            <w:gridSpan w:val="2"/>
          </w:tcPr>
          <w:p>
            <w:pPr>
              <w:jc w:val="center"/>
              <w:ind w:left="797"/>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4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costs</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left="917"/>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0"/>
        </w:trPr>
        <w:tc>
          <w:tcPr>
            <w:tcW w:w="51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Inventory spending less than cost of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center"/>
              <w:ind w:left="917"/>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Although we have significant inventory on hand, we intend to continue selectively pursuing growth opportunities by targeting high-quality inventory that allows us to add desirable new destinations to our systems with new on-site sales locations. Where possible, we will structure transactions to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on our balance sheet in key markets where we believe the opportunities will generate acceptable risk adjusted returns.</w:t>
      </w:r>
    </w:p>
    <w:p>
      <w:pPr>
        <w:spacing w:after="0" w:line="7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Through our existing VOI repurchase program, we proactively acquire previously sold VOIs from owners’ associations and individual owners at lower costs than would be required to develop new inventory. Among other reasons for repurchasing inventory, we expect these repurchases will stabilize the future cost of our vacation ownership products.</w:t>
      </w:r>
    </w:p>
    <w:p>
      <w:pPr>
        <w:spacing w:after="0" w:line="65"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7"/>
          <w:szCs w:val="17"/>
          <w:color w:val="auto"/>
        </w:rPr>
        <w:t>Our spending for real estate inventory in the first quarter of 2024 was lower than cost of sales and was primarily related to purchases under our VOI repurchase programs. Purchase of property for future transfer to inventory in 2023 included the acquisition of property in Charleston, South Carolina. We expect inventory spending to exceed cost of sales for the remainder of 2024, due to our remaining commitment to acquire property in Waikiki.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Collections Less Than Originations</w:t>
      </w:r>
    </w:p>
    <w:p>
      <w:pPr>
        <w:spacing w:after="0" w:line="5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22860</wp:posOffset>
            </wp:positionV>
            <wp:extent cx="19919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91995" cy="8255"/>
                    </a:xfrm>
                    <a:prstGeom prst="rect">
                      <a:avLst/>
                    </a:prstGeom>
                    <a:noFill/>
                  </pic:spPr>
                </pic:pic>
              </a:graphicData>
            </a:graphic>
          </wp:anchor>
        </w:drawing>
      </w:r>
    </w:p>
    <w:p>
      <w:pPr>
        <w:spacing w:after="0" w:line="25" w:lineRule="exact"/>
        <w:rPr>
          <w:sz w:val="20"/>
          <w:szCs w:val="20"/>
          <w:color w:val="auto"/>
        </w:rPr>
      </w:pPr>
    </w:p>
    <w:p>
      <w:pPr>
        <w:ind w:left="1500"/>
        <w:spacing w:after="0"/>
        <w:tabs>
          <w:tab w:leader="none" w:pos="6860" w:val="left"/>
          <w:tab w:leader="none" w:pos="8480" w:val="left"/>
        </w:tabs>
        <w:rPr>
          <w:sz w:val="20"/>
          <w:szCs w:val="20"/>
          <w:color w:val="auto"/>
        </w:rPr>
      </w:pPr>
      <w:r>
        <w:rPr>
          <w:rFonts w:ascii="Times New Roman" w:cs="Times New Roman" w:eastAsia="Times New Roman" w:hAnsi="Times New Roman"/>
          <w:sz w:val="14"/>
          <w:szCs w:val="14"/>
          <w:b w:val="1"/>
          <w:bCs w:val="1"/>
          <w:i w:val="1"/>
          <w:iCs w:val="1"/>
          <w:color w:val="auto"/>
        </w:rPr>
        <w:t>($ in millions)</w:t>
      </w:r>
      <w:r>
        <w:rPr>
          <w:sz w:val="20"/>
          <w:szCs w:val="20"/>
          <w:color w:val="auto"/>
        </w:rPr>
        <w:tab/>
      </w:r>
      <w:r>
        <w:rPr>
          <w:rFonts w:ascii="Times New Roman" w:cs="Times New Roman" w:eastAsia="Times New Roman" w:hAnsi="Times New Roman"/>
          <w:sz w:val="15"/>
          <w:szCs w:val="15"/>
          <w:b w:val="1"/>
          <w:bCs w:val="1"/>
          <w:color w:val="auto"/>
        </w:rPr>
        <w:t>March 31, 2024</w:t>
      </w:r>
      <w:r>
        <w:rPr>
          <w:sz w:val="20"/>
          <w:szCs w:val="20"/>
          <w:color w:val="auto"/>
        </w:rPr>
        <w:tab/>
      </w:r>
      <w:r>
        <w:rPr>
          <w:rFonts w:ascii="Times New Roman" w:cs="Times New Roman" w:eastAsia="Times New Roman" w:hAnsi="Times New Roman"/>
          <w:sz w:val="15"/>
          <w:szCs w:val="15"/>
          <w:b w:val="1"/>
          <w:bCs w:val="1"/>
          <w:color w:val="auto"/>
        </w:rPr>
        <w:t>March 31, 2023</w:t>
      </w:r>
    </w:p>
    <w:p>
      <w:pPr>
        <w:sectPr>
          <w:pgSz w:w="11900" w:h="16838" w:orient="portrait"/>
          <w:cols w:equalWidth="0" w:num="1">
            <w:col w:w="11180"/>
          </w:cols>
          <w:pgMar w:left="320" w:top="226" w:right="399" w:bottom="1440" w:gutter="0" w:footer="0" w:header="0"/>
        </w:sectPr>
      </w:pPr>
    </w:p>
    <w:p>
      <w:pPr>
        <w:spacing w:after="0" w:line="32" w:lineRule="exact"/>
        <w:rPr>
          <w:sz w:val="20"/>
          <w:szCs w:val="20"/>
          <w:color w:val="auto"/>
        </w:rPr>
      </w:pPr>
    </w:p>
    <w:p>
      <w:pPr>
        <w:ind w:left="1500"/>
        <w:spacing w:after="0"/>
        <w:tabs>
          <w:tab w:leader="none" w:pos="6640" w:val="left"/>
        </w:tabs>
        <w:rPr>
          <w:sz w:val="20"/>
          <w:szCs w:val="20"/>
          <w:color w:val="auto"/>
        </w:rPr>
      </w:pPr>
      <w:r>
        <w:rPr>
          <w:rFonts w:ascii="Times New Roman" w:cs="Times New Roman" w:eastAsia="Times New Roman" w:hAnsi="Times New Roman"/>
          <w:sz w:val="17"/>
          <w:szCs w:val="17"/>
          <w:color w:val="auto"/>
        </w:rPr>
        <w:t>Vacation ownership notes receivable collections — non-securitized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-121285</wp:posOffset>
            </wp:positionV>
            <wp:extent cx="526923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69230" cy="154305"/>
                    </a:xfrm>
                    <a:prstGeom prst="rect">
                      <a:avLst/>
                    </a:prstGeom>
                    <a:noFill/>
                  </pic:spPr>
                </pic:pic>
              </a:graphicData>
            </a:graphic>
          </wp:anchor>
        </w:drawing>
      </w:r>
    </w:p>
    <w:p>
      <w:pPr>
        <w:spacing w:after="0" w:line="3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Vacation ownership notes receivable collections — securitized</w:t>
      </w:r>
    </w:p>
    <w:p>
      <w:pPr>
        <w:spacing w:after="0" w:line="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-121285</wp:posOffset>
            </wp:positionV>
            <wp:extent cx="526923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69230" cy="154305"/>
                    </a:xfrm>
                    <a:prstGeom prst="rect">
                      <a:avLst/>
                    </a:prstGeom>
                    <a:noFill/>
                  </pic:spPr>
                </pic:pic>
              </a:graphicData>
            </a:graphic>
          </wp:anchor>
        </w:drawing>
      </w:r>
    </w:p>
    <w:p>
      <w:pPr>
        <w:spacing w:after="0" w:line="28" w:lineRule="exact"/>
        <w:rPr>
          <w:sz w:val="20"/>
          <w:szCs w:val="20"/>
          <w:color w:val="auto"/>
        </w:rPr>
      </w:pPr>
    </w:p>
    <w:p>
      <w:pPr>
        <w:ind w:left="1700"/>
        <w:spacing w:after="0"/>
        <w:tabs>
          <w:tab w:leader="none" w:pos="6640" w:val="left"/>
        </w:tabs>
        <w:rPr>
          <w:sz w:val="20"/>
          <w:szCs w:val="20"/>
          <w:color w:val="auto"/>
        </w:rPr>
      </w:pPr>
      <w:r>
        <w:rPr>
          <w:rFonts w:ascii="Times New Roman" w:cs="Times New Roman" w:eastAsia="Times New Roman" w:hAnsi="Times New Roman"/>
          <w:sz w:val="17"/>
          <w:szCs w:val="17"/>
          <w:color w:val="auto"/>
        </w:rPr>
        <w:t>Vacation ownership notes receivable collections less than originations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74" w:type="dxa"/>
        <w:tblCellMar>
          <w:top w:w="0" w:type="dxa"/>
          <w:left w:w="0" w:type="dxa"/>
          <w:bottom w:w="0" w:type="dxa"/>
          <w:right w:w="0" w:type="dxa"/>
        </w:tblCellMar>
      </w:tblPr>
      <w:tr>
        <w:trPr>
          <w:trHeight w:val="222"/>
        </w:trPr>
        <w:tc>
          <w:tcPr>
            <w:tcW w:w="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w:t>
            </w:r>
          </w:p>
        </w:tc>
        <w:tc>
          <w:tcPr>
            <w:tcW w:w="74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43"/>
        </w:trPr>
        <w:tc>
          <w:tcPr>
            <w:tcW w:w="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151</w:t>
            </w:r>
          </w:p>
        </w:tc>
        <w:tc>
          <w:tcPr>
            <w:tcW w:w="7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bl>
    <w:p>
      <w:pPr>
        <w:spacing w:after="0" w:line="21" w:lineRule="exact"/>
        <w:rPr>
          <w:sz w:val="20"/>
          <w:szCs w:val="20"/>
          <w:color w:val="auto"/>
        </w:rPr>
      </w:pPr>
    </w:p>
    <w:p>
      <w:pPr>
        <w:ind w:left="1634" w:hanging="1634"/>
        <w:spacing w:after="0"/>
        <w:tabs>
          <w:tab w:leader="none" w:pos="163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16510</wp:posOffset>
            </wp:positionV>
            <wp:extent cx="19919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91995" cy="8255"/>
                    </a:xfrm>
                    <a:prstGeom prst="rect">
                      <a:avLst/>
                    </a:prstGeom>
                    <a:noFill/>
                  </pic:spPr>
                </pic:pic>
              </a:graphicData>
            </a:graphic>
          </wp:anchor>
        </w:drawing>
      </w:r>
    </w:p>
    <w:p>
      <w:pPr>
        <w:spacing w:after="0" w:line="15" w:lineRule="exact"/>
        <w:rPr>
          <w:sz w:val="20"/>
          <w:szCs w:val="20"/>
          <w:color w:val="auto"/>
        </w:rPr>
      </w:pPr>
    </w:p>
    <w:p>
      <w:pPr>
        <w:ind w:left="94"/>
        <w:spacing w:after="0"/>
        <w:tabs>
          <w:tab w:leader="none" w:pos="534" w:val="left"/>
          <w:tab w:leader="none" w:pos="1714" w:val="left"/>
        </w:tabs>
        <w:rPr>
          <w:sz w:val="20"/>
          <w:szCs w:val="20"/>
          <w:color w:val="auto"/>
        </w:rPr>
      </w:pPr>
      <w:r>
        <w:rPr>
          <w:rFonts w:ascii="Times New Roman" w:cs="Times New Roman" w:eastAsia="Times New Roman" w:hAnsi="Times New Roman"/>
          <w:sz w:val="17"/>
          <w:szCs w:val="17"/>
          <w:color w:val="auto"/>
        </w:rPr>
        <w:t>(40)</w:t>
        <w:tab/>
        <w:t>$</w:t>
      </w:r>
      <w:r>
        <w:rPr>
          <w:sz w:val="20"/>
          <w:szCs w:val="20"/>
          <w:color w:val="auto"/>
        </w:rPr>
        <w:tab/>
      </w: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16510</wp:posOffset>
            </wp:positionV>
            <wp:extent cx="199199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91995" cy="32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6" w:space="720"/>
            <w:col w:w="3454"/>
          </w:cols>
          <w:pgMar w:left="320" w:top="226" w:right="39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vacation ownership notes receivable originations to continue to outpace vacation ownership notes receivable collections in 2024 due to sales growth.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Repurchase of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current share repurchase program:</w:t>
      </w:r>
    </w:p>
    <w:p>
      <w:pPr>
        <w:spacing w:after="0" w:line="84"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360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Cost Basis of Shares</w:t>
            </w:r>
          </w:p>
        </w:tc>
        <w:tc>
          <w:tcPr>
            <w:tcW w:w="180" w:type="dxa"/>
            <w:vAlign w:val="bottom"/>
          </w:tcPr>
          <w:p>
            <w:pPr>
              <w:spacing w:after="0"/>
              <w:rPr>
                <w:sz w:val="15"/>
                <w:szCs w:val="15"/>
                <w:color w:val="auto"/>
              </w:rPr>
            </w:pPr>
          </w:p>
        </w:tc>
        <w:tc>
          <w:tcPr>
            <w:tcW w:w="1300" w:type="dxa"/>
            <w:vAlign w:val="bottom"/>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Average Price</w:t>
            </w:r>
          </w:p>
        </w:tc>
      </w:tr>
      <w:tr>
        <w:trPr>
          <w:trHeight w:val="204"/>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22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80" w:type="dxa"/>
            <w:vAlign w:val="bottom"/>
          </w:tcPr>
          <w:p>
            <w:pPr>
              <w:spacing w:after="0"/>
              <w:rPr>
                <w:sz w:val="17"/>
                <w:szCs w:val="17"/>
                <w:color w:val="auto"/>
              </w:rPr>
            </w:pPr>
          </w:p>
        </w:tc>
        <w:tc>
          <w:tcPr>
            <w:tcW w:w="1300" w:type="dxa"/>
            <w:vAlign w:val="bottom"/>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Paid per Share</w:t>
            </w:r>
          </w:p>
        </w:tc>
      </w:tr>
      <w:tr>
        <w:trPr>
          <w:trHeight w:val="224"/>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25,141,073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w:t>
            </w:r>
          </w:p>
        </w:tc>
      </w:tr>
      <w:tr>
        <w:trPr>
          <w:trHeight w:val="243"/>
        </w:trPr>
        <w:tc>
          <w:tcPr>
            <w:tcW w:w="3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first quarter of 2024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279,577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87.37</w:t>
            </w:r>
          </w:p>
        </w:tc>
      </w:tr>
      <w:tr>
        <w:trPr>
          <w:trHeight w:val="23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March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25,420,650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13 “Stockholders' Equity” to our Financial Statements for further information related to our current share repurchase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Payment of Dividends to Common Stockholders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distributed cash dividends to holders of common stock during the first quarter of 2024 as follows:</w:t>
      </w:r>
    </w:p>
    <w:p>
      <w:pPr>
        <w:spacing w:after="0" w:line="99"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21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Dividend per Share</w:t>
            </w:r>
          </w:p>
        </w:tc>
      </w:tr>
      <w:tr>
        <w:trPr>
          <w:trHeight w:val="213"/>
        </w:trPr>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December 7, 2023</w:t>
            </w:r>
          </w:p>
        </w:tc>
        <w:tc>
          <w:tcPr>
            <w:tcW w:w="1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December 21, 2023</w:t>
            </w:r>
          </w:p>
        </w:tc>
        <w:tc>
          <w:tcPr>
            <w:tcW w:w="1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January 4, 2024</w:t>
            </w:r>
          </w:p>
        </w:tc>
        <w:tc>
          <w:tcPr>
            <w:tcW w:w="1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22"/>
        </w:trPr>
        <w:tc>
          <w:tcPr>
            <w:tcW w:w="21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February 15, 2024</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February 29, 2024</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March 14, 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bl>
    <w:p>
      <w:pPr>
        <w:spacing w:after="0" w:line="12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currently expect to pay quarterly dividends in the future, but any future dividend payments will be subject to the approval of our Board of Directors,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w:t>
      </w:r>
    </w:p>
    <w:p>
      <w:pPr>
        <w:spacing w:after="0" w:line="2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7"/>
          <w:szCs w:val="17"/>
          <w:color w:val="auto"/>
        </w:rPr>
        <w:t>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Cash Requirements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future material cash requirements from known contractual or other obligations as of March 31, 2024:</w:t>
      </w:r>
    </w:p>
    <w:p>
      <w:pPr>
        <w:spacing w:after="0" w:line="87"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Payments Due by Period</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Remainder</w:t>
            </w:r>
          </w:p>
        </w:tc>
        <w:tc>
          <w:tcPr>
            <w:tcW w:w="180" w:type="dxa"/>
            <w:vAlign w:val="bottom"/>
          </w:tcPr>
          <w:p>
            <w:pPr>
              <w:spacing w:after="0"/>
              <w:rPr>
                <w:sz w:val="15"/>
                <w:szCs w:val="15"/>
                <w:color w:val="auto"/>
              </w:rPr>
            </w:pPr>
          </w:p>
        </w:tc>
        <w:tc>
          <w:tcPr>
            <w:tcW w:w="620" w:type="dxa"/>
            <w:vAlign w:val="bottom"/>
            <w:vMerge w:val="restart"/>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2027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2028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Thereafter</w:t>
            </w:r>
          </w:p>
        </w:tc>
        <w:tc>
          <w:tcPr>
            <w:tcW w:w="0" w:type="dxa"/>
            <w:vAlign w:val="bottom"/>
          </w:tcPr>
          <w:p>
            <w:pPr>
              <w:spacing w:after="0"/>
              <w:rPr>
                <w:sz w:val="1"/>
                <w:szCs w:val="1"/>
                <w:color w:val="auto"/>
              </w:rPr>
            </w:pPr>
          </w:p>
        </w:tc>
      </w:tr>
      <w:tr>
        <w:trPr>
          <w:trHeight w:val="204"/>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of 2024</w:t>
            </w: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820" w:type="dxa"/>
            <w:vAlign w:val="bottom"/>
            <w:tcBorders>
              <w:top w:val="single" w:sz="8" w:color="CCEEFF"/>
            </w:tcBorders>
            <w:shd w:val="clear" w:color="auto" w:fill="CCEEFF"/>
          </w:tcPr>
          <w:p>
            <w:pPr>
              <w:ind w:left="80"/>
              <w:spacing w:after="0" w:line="225" w:lineRule="exact"/>
              <w:rPr>
                <w:sz w:val="20"/>
                <w:szCs w:val="20"/>
                <w:color w:val="auto"/>
              </w:rPr>
            </w:pPr>
            <w:r>
              <w:rPr>
                <w:rFonts w:ascii="Times New Roman" w:cs="Times New Roman" w:eastAsia="Times New Roman" w:hAnsi="Times New Roman"/>
                <w:sz w:val="26"/>
                <w:szCs w:val="26"/>
                <w:color w:val="auto"/>
                <w:vertAlign w:val="subscript"/>
              </w:rPr>
              <w:t>Debt</w:t>
            </w:r>
            <w:r>
              <w:rPr>
                <w:rFonts w:ascii="Times New Roman" w:cs="Times New Roman" w:eastAsia="Times New Roman" w:hAnsi="Times New Roman"/>
                <w:sz w:val="10"/>
                <w:szCs w:val="10"/>
                <w:color w:val="auto"/>
              </w:rPr>
              <w:t>(1)(2)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0" w:type="dxa"/>
            <w:vAlign w:val="bottom"/>
          </w:tcPr>
          <w:p>
            <w:pPr>
              <w:spacing w:after="0"/>
              <w:rPr>
                <w:sz w:val="1"/>
                <w:szCs w:val="1"/>
                <w:color w:val="auto"/>
              </w:rPr>
            </w:pPr>
          </w:p>
        </w:tc>
      </w:tr>
      <w:tr>
        <w:trPr>
          <w:trHeight w:val="243"/>
        </w:trPr>
        <w:tc>
          <w:tcPr>
            <w:tcW w:w="1820" w:type="dxa"/>
            <w:vAlign w:val="bottom"/>
          </w:tcPr>
          <w:p>
            <w:pPr>
              <w:ind w:left="80"/>
              <w:spacing w:after="0" w:line="243" w:lineRule="exact"/>
              <w:rPr>
                <w:sz w:val="20"/>
                <w:szCs w:val="20"/>
                <w:color w:val="auto"/>
              </w:rPr>
            </w:pPr>
            <w:r>
              <w:rPr>
                <w:rFonts w:ascii="Times New Roman" w:cs="Times New Roman" w:eastAsia="Times New Roman" w:hAnsi="Times New Roman"/>
                <w:sz w:val="17"/>
                <w:szCs w:val="17"/>
                <w:color w:val="auto"/>
              </w:rPr>
              <w:t>Securitized debt</w:t>
            </w:r>
            <w:r>
              <w:rPr>
                <w:rFonts w:ascii="Times New Roman" w:cs="Times New Roman" w:eastAsia="Times New Roman" w:hAnsi="Times New Roman"/>
                <w:sz w:val="22"/>
                <w:szCs w:val="22"/>
                <w:color w:val="auto"/>
                <w:vertAlign w:val="superscript"/>
              </w:rPr>
              <w:t>(1)(3)</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71"/>
        </w:trPr>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7"/>
                <w:szCs w:val="17"/>
                <w:color w:val="auto"/>
              </w:rPr>
              <w:t>Operating lease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820" w:type="dxa"/>
            <w:vAlign w:val="bottom"/>
          </w:tcPr>
          <w:p>
            <w:pPr>
              <w:ind w:left="80"/>
              <w:spacing w:after="0" w:line="226" w:lineRule="exact"/>
              <w:rPr>
                <w:sz w:val="20"/>
                <w:szCs w:val="20"/>
                <w:color w:val="auto"/>
              </w:rPr>
            </w:pPr>
            <w:r>
              <w:rPr>
                <w:rFonts w:ascii="Times New Roman" w:cs="Times New Roman" w:eastAsia="Times New Roman" w:hAnsi="Times New Roman"/>
                <w:sz w:val="17"/>
                <w:szCs w:val="17"/>
                <w:color w:val="auto"/>
              </w:rPr>
              <w:t>obligations</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80"/>
              <w:spacing w:after="0" w:line="171" w:lineRule="exact"/>
              <w:rPr>
                <w:sz w:val="20"/>
                <w:szCs w:val="20"/>
                <w:color w:val="auto"/>
              </w:rPr>
            </w:pPr>
            <w:r>
              <w:rPr>
                <w:rFonts w:ascii="Times New Roman" w:cs="Times New Roman" w:eastAsia="Times New Roman" w:hAnsi="Times New Roman"/>
                <w:sz w:val="17"/>
                <w:szCs w:val="17"/>
                <w:color w:val="auto"/>
              </w:rPr>
              <w:t>Finance lease</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820" w:type="dxa"/>
            <w:vAlign w:val="bottom"/>
            <w:shd w:val="clear" w:color="auto" w:fill="CCEEFF"/>
          </w:tcPr>
          <w:p>
            <w:pPr>
              <w:ind w:left="80"/>
              <w:spacing w:after="0" w:line="226" w:lineRule="exact"/>
              <w:rPr>
                <w:sz w:val="20"/>
                <w:szCs w:val="20"/>
                <w:color w:val="auto"/>
              </w:rPr>
            </w:pPr>
            <w:r>
              <w:rPr>
                <w:rFonts w:ascii="Times New Roman" w:cs="Times New Roman" w:eastAsia="Times New Roman" w:hAnsi="Times New Roman"/>
                <w:sz w:val="17"/>
                <w:szCs w:val="17"/>
                <w:color w:val="auto"/>
              </w:rPr>
              <w:t>obligations</w:t>
            </w:r>
            <w:r>
              <w:rPr>
                <w:rFonts w:ascii="Times New Roman" w:cs="Times New Roman" w:eastAsia="Times New Roman" w:hAnsi="Times New Roman"/>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176"/>
        </w:trPr>
        <w:tc>
          <w:tcPr>
            <w:tcW w:w="1820" w:type="dxa"/>
            <w:vAlign w:val="bottom"/>
          </w:tcPr>
          <w:p>
            <w:pPr>
              <w:ind w:left="80"/>
              <w:spacing w:after="0" w:line="176" w:lineRule="exact"/>
              <w:rPr>
                <w:sz w:val="20"/>
                <w:szCs w:val="20"/>
                <w:color w:val="auto"/>
              </w:rPr>
            </w:pPr>
            <w:r>
              <w:rPr>
                <w:rFonts w:ascii="Times New Roman" w:cs="Times New Roman" w:eastAsia="Times New Roman" w:hAnsi="Times New Roman"/>
                <w:sz w:val="17"/>
                <w:szCs w:val="17"/>
                <w:color w:val="auto"/>
              </w:rPr>
              <w:t>Other long-term</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8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00" w:hanging="298"/>
        <w:spacing w:after="0"/>
        <w:tabs>
          <w:tab w:leader="none" w:pos="30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principal as well as interest payments and excludes unamortized debt discount and issuance costs.</w:t>
      </w:r>
    </w:p>
    <w:p>
      <w:pPr>
        <w:spacing w:after="0" w:line="52" w:lineRule="exact"/>
        <w:rPr>
          <w:rFonts w:ascii="Times New Roman" w:cs="Times New Roman" w:eastAsia="Times New Roman" w:hAnsi="Times New Roman"/>
          <w:sz w:val="22"/>
          <w:szCs w:val="22"/>
          <w:color w:val="auto"/>
          <w:vertAlign w:val="superscript"/>
        </w:rPr>
      </w:pPr>
    </w:p>
    <w:p>
      <w:pPr>
        <w:ind w:left="300" w:right="80" w:hanging="298"/>
        <w:spacing w:after="0" w:line="218" w:lineRule="auto"/>
        <w:tabs>
          <w:tab w:leader="none" w:pos="288"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April 2024, we amended the Corporate Credit Facility to provide for a new $800 million term loan facility that is scheduled to mature on April 1, 2031. The proceeds were used to refinance in full the Term Loan, which was scheduled to mature on August 31, 2025.</w:t>
      </w:r>
    </w:p>
    <w:p>
      <w:pPr>
        <w:spacing w:after="0" w:line="4"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Payments based on estimated timing of cash flow associated with securitized notes receivable.</w:t>
      </w:r>
    </w:p>
    <w:p>
      <w:pPr>
        <w:spacing w:after="0" w:line="52" w:lineRule="exact"/>
        <w:rPr>
          <w:rFonts w:ascii="Times New Roman" w:cs="Times New Roman" w:eastAsia="Times New Roman" w:hAnsi="Times New Roman"/>
          <w:sz w:val="22"/>
          <w:szCs w:val="22"/>
          <w:color w:val="auto"/>
          <w:vertAlign w:val="superscript"/>
        </w:rPr>
      </w:pPr>
    </w:p>
    <w:p>
      <w:pPr>
        <w:ind w:left="300" w:right="60" w:hanging="298"/>
        <w:spacing w:after="0" w:line="234" w:lineRule="auto"/>
        <w:tabs>
          <w:tab w:leader="none" w:pos="288"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and primarily relate to future purchases of vacation ownership units and information technology assets (hardware and software). Amounts reflected on the consolidated balance sheet as accounts payable and accrued liabilities are excluded from the table above.</w:t>
      </w:r>
    </w:p>
    <w:p>
      <w:pPr>
        <w:spacing w:after="0" w:line="3"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interest.</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and cash flow. These purchase commitments are excluded from the table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Supplemental Guarantor Information</w:t>
      </w:r>
    </w:p>
    <w:p>
      <w:pPr>
        <w:spacing w:after="0" w:line="116"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7"/>
          <w:szCs w:val="17"/>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6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The following tables present consolidating financial information as of March 31, 2024 and December 31, 2023, and for the three months ended March 31, 2024 for MVWC and MORI on a stand-alone basis (collectively, the “Issuers”), the Senior Notes Guarantors, the combined non-guarantor subsidiaries of MVWC, and MVW on a consolidated basis.</w:t>
      </w:r>
    </w:p>
    <w:p>
      <w:pPr>
        <w:spacing w:after="0" w:line="2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Condensed Consolidating Statement of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March 31, 2024</w:t>
            </w: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5"/>
                <w:szCs w:val="15"/>
                <w:b w:val="1"/>
                <w:bCs w:val="1"/>
                <w:color w:val="auto"/>
              </w:rPr>
              <w:t>Senior Notes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60"/>
              <w:spacing w:after="0" w:line="133" w:lineRule="exact"/>
              <w:rPr>
                <w:sz w:val="20"/>
                <w:szCs w:val="20"/>
                <w:color w:val="auto"/>
              </w:rPr>
            </w:pPr>
            <w:r>
              <w:rPr>
                <w:rFonts w:ascii="Times New Roman" w:cs="Times New Roman" w:eastAsia="Times New Roman" w:hAnsi="Times New Roman"/>
                <w:sz w:val="15"/>
                <w:szCs w:val="15"/>
                <w:b w:val="1"/>
                <w:bCs w:val="1"/>
                <w:color w:val="auto"/>
              </w:rPr>
              <w:t>Guarantor</w:t>
            </w:r>
          </w:p>
        </w:tc>
        <w:tc>
          <w:tcPr>
            <w:tcW w:w="260" w:type="dxa"/>
            <w:vAlign w:val="bottom"/>
          </w:tcPr>
          <w:p>
            <w:pPr>
              <w:spacing w:after="0"/>
              <w:rPr>
                <w:sz w:val="12"/>
                <w:szCs w:val="12"/>
                <w:color w:val="auto"/>
              </w:rPr>
            </w:pPr>
          </w:p>
        </w:tc>
        <w:tc>
          <w:tcPr>
            <w:tcW w:w="880" w:type="dxa"/>
            <w:vAlign w:val="bottom"/>
            <w:gridSpan w:val="3"/>
          </w:tcPr>
          <w:p>
            <w:pPr>
              <w:jc w:val="center"/>
              <w:ind w:right="420"/>
              <w:spacing w:after="0" w:line="133"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15"/>
              <w:spacing w:after="0" w:line="133" w:lineRule="exact"/>
              <w:rPr>
                <w:sz w:val="20"/>
                <w:szCs w:val="20"/>
                <w:color w:val="auto"/>
              </w:rPr>
            </w:pPr>
            <w:r>
              <w:rPr>
                <w:rFonts w:ascii="Times New Roman" w:cs="Times New Roman" w:eastAsia="Times New Roman" w:hAnsi="Times New Roman"/>
                <w:sz w:val="15"/>
                <w:szCs w:val="15"/>
                <w:b w:val="1"/>
                <w:bCs w:val="1"/>
                <w:color w:val="auto"/>
              </w:rPr>
              <w:t>MVW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MVWC</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MORI</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40" w:type="dxa"/>
            <w:vAlign w:val="bottom"/>
            <w:tcBorders>
              <w:bottom w:val="single" w:sz="8" w:color="CCEEFF"/>
            </w:tcBorders>
            <w:gridSpan w:val="2"/>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center"/>
              <w:ind w:left="295"/>
              <w:spacing w:after="0"/>
              <w:rPr>
                <w:sz w:val="20"/>
                <w:szCs w:val="20"/>
                <w:color w:val="auto"/>
              </w:rPr>
            </w:pPr>
            <w:r>
              <w:rPr>
                <w:rFonts w:ascii="Times New Roman" w:cs="Times New Roman" w:eastAsia="Times New Roman" w:hAnsi="Times New Roman"/>
                <w:sz w:val="17"/>
                <w:szCs w:val="17"/>
                <w:color w:val="auto"/>
                <w:w w:val="98"/>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Benefit from (provision</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income taxes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Equity in net income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of subsidiaries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center"/>
              <w:ind w:left="315"/>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Net loss attributable to</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center"/>
              <w:ind w:left="3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attributable to common</w:t>
            </w:r>
          </w:p>
        </w:tc>
        <w:tc>
          <w:tcPr>
            <w:tcW w:w="160" w:type="dxa"/>
            <w:vAlign w:val="bottom"/>
            <w:vMerge w:val="restart"/>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vMerge w:val="restart"/>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vMerge w:val="restart"/>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spacing w:after="0"/>
              <w:rPr>
                <w:sz w:val="14"/>
                <w:szCs w:val="14"/>
                <w:color w:val="auto"/>
              </w:rPr>
            </w:pPr>
          </w:p>
        </w:tc>
        <w:tc>
          <w:tcPr>
            <w:tcW w:w="28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stockholders</w:t>
            </w: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i w:val="1"/>
                <w:iCs w:val="1"/>
                <w:color w:val="auto"/>
              </w:rPr>
              <w:t>Condensed Consolidating Balance Sheet</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2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5"/>
                <w:szCs w:val="15"/>
                <w:b w:val="1"/>
                <w:bCs w:val="1"/>
                <w:color w:val="auto"/>
              </w:rPr>
              <w:t>As of March 31, 2024</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5"/>
                <w:szCs w:val="15"/>
                <w:b w:val="1"/>
                <w:bCs w:val="1"/>
                <w:color w:val="auto"/>
              </w:rPr>
              <w:t>Senior Notes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300"/>
              <w:spacing w:after="0" w:line="133" w:lineRule="exact"/>
              <w:rPr>
                <w:sz w:val="20"/>
                <w:szCs w:val="20"/>
                <w:color w:val="auto"/>
              </w:rPr>
            </w:pPr>
            <w:r>
              <w:rPr>
                <w:rFonts w:ascii="Times New Roman" w:cs="Times New Roman" w:eastAsia="Times New Roman" w:hAnsi="Times New Roman"/>
                <w:sz w:val="15"/>
                <w:szCs w:val="15"/>
                <w:b w:val="1"/>
                <w:bCs w:val="1"/>
                <w:color w:val="auto"/>
              </w:rPr>
              <w:t>Guarantor</w:t>
            </w:r>
          </w:p>
        </w:tc>
        <w:tc>
          <w:tcPr>
            <w:tcW w:w="260" w:type="dxa"/>
            <w:vAlign w:val="bottom"/>
          </w:tcPr>
          <w:p>
            <w:pPr>
              <w:spacing w:after="0"/>
              <w:rPr>
                <w:sz w:val="12"/>
                <w:szCs w:val="12"/>
                <w:color w:val="auto"/>
              </w:rPr>
            </w:pPr>
          </w:p>
        </w:tc>
        <w:tc>
          <w:tcPr>
            <w:tcW w:w="880" w:type="dxa"/>
            <w:vAlign w:val="bottom"/>
            <w:gridSpan w:val="3"/>
          </w:tcPr>
          <w:p>
            <w:pPr>
              <w:jc w:val="center"/>
              <w:ind w:right="420"/>
              <w:spacing w:after="0" w:line="133"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75"/>
              <w:spacing w:after="0" w:line="133" w:lineRule="exact"/>
              <w:rPr>
                <w:sz w:val="20"/>
                <w:szCs w:val="20"/>
                <w:color w:val="auto"/>
              </w:rPr>
            </w:pPr>
            <w:r>
              <w:rPr>
                <w:rFonts w:ascii="Times New Roman" w:cs="Times New Roman" w:eastAsia="Times New Roman" w:hAnsi="Times New Roman"/>
                <w:sz w:val="15"/>
                <w:szCs w:val="15"/>
                <w:b w:val="1"/>
                <w:bCs w:val="1"/>
                <w:color w:val="auto"/>
              </w:rPr>
              <w:t>MVW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MVWC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w w:val="98"/>
              </w:rPr>
              <w:t>MORI</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5"/>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14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480" w:type="dxa"/>
            <w:vAlign w:val="bottom"/>
          </w:tcPr>
          <w:p>
            <w:pPr>
              <w:spacing w:after="0"/>
              <w:rPr>
                <w:sz w:val="12"/>
                <w:szCs w:val="12"/>
                <w:color w:val="auto"/>
              </w:rPr>
            </w:pPr>
          </w:p>
        </w:tc>
        <w:tc>
          <w:tcPr>
            <w:tcW w:w="174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Cash and cash</w:t>
            </w:r>
          </w:p>
        </w:tc>
        <w:tc>
          <w:tcPr>
            <w:tcW w:w="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7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Accounts and contracts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7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Vacation ownership</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receivable, net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7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7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Investments in</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subsidiaries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4,877</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7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Payroll and benefits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7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Deferred compensation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7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MVW stockholders'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1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17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6"/>
                <w:szCs w:val="16"/>
                <w:color w:val="auto"/>
              </w:rPr>
              <w:t>Total liabilities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3,549</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4,877</w:t>
            </w:r>
          </w:p>
        </w:tc>
        <w:tc>
          <w:tcPr>
            <w:tcW w:w="8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5,729</w:t>
            </w:r>
          </w:p>
        </w:tc>
        <w:tc>
          <w:tcPr>
            <w:tcW w:w="4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80" w:type="dxa"/>
            <w:vAlign w:val="bottom"/>
          </w:tcPr>
          <w:p>
            <w:pPr>
              <w:spacing w:after="0"/>
              <w:rPr>
                <w:sz w:val="19"/>
                <w:szCs w:val="19"/>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26" w:right="1440" w:bottom="1440" w:gutter="0" w:footer="0" w:header="0"/>
        </w:sectPr>
      </w:pPr>
    </w:p>
    <w:p>
      <w:pPr>
        <w:spacing w:after="0" w:line="1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480" w:type="dxa"/>
        <w:tblCellMar>
          <w:top w:w="0" w:type="dxa"/>
          <w:left w:w="0" w:type="dxa"/>
          <w:bottom w:w="0" w:type="dxa"/>
          <w:right w:w="0" w:type="dxa"/>
        </w:tblCellMar>
      </w:tblPr>
      <w:tr>
        <w:trPr>
          <w:trHeight w:val="206"/>
        </w:trPr>
        <w:tc>
          <w:tcPr>
            <w:tcW w:w="1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Senior Notes</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5"/>
                <w:szCs w:val="15"/>
                <w:b w:val="1"/>
                <w:bCs w:val="1"/>
                <w:color w:val="auto"/>
              </w:rPr>
              <w:t>Guarantor</w:t>
            </w:r>
          </w:p>
        </w:tc>
        <w:tc>
          <w:tcPr>
            <w:tcW w:w="220" w:type="dxa"/>
            <w:vAlign w:val="bottom"/>
          </w:tcPr>
          <w:p>
            <w:pPr>
              <w:spacing w:after="0"/>
              <w:rPr>
                <w:sz w:val="12"/>
                <w:szCs w:val="12"/>
                <w:color w:val="auto"/>
              </w:rPr>
            </w:pPr>
          </w:p>
        </w:tc>
        <w:tc>
          <w:tcPr>
            <w:tcW w:w="9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5"/>
                <w:szCs w:val="15"/>
                <w:b w:val="1"/>
                <w:bCs w:val="1"/>
                <w:color w:val="auto"/>
              </w:rPr>
              <w:t>Total</w:t>
            </w:r>
          </w:p>
        </w:tc>
        <w:tc>
          <w:tcPr>
            <w:tcW w:w="220" w:type="dxa"/>
            <w:vAlign w:val="bottom"/>
          </w:tcPr>
          <w:p>
            <w:pPr>
              <w:spacing w:after="0"/>
              <w:rPr>
                <w:sz w:val="12"/>
                <w:szCs w:val="12"/>
                <w:color w:val="auto"/>
              </w:rPr>
            </w:pPr>
          </w:p>
        </w:tc>
        <w:tc>
          <w:tcPr>
            <w:tcW w:w="840" w:type="dxa"/>
            <w:vAlign w:val="bottom"/>
          </w:tcPr>
          <w:p>
            <w:pPr>
              <w:jc w:val="right"/>
              <w:ind w:right="235"/>
              <w:spacing w:after="0" w:line="133" w:lineRule="exact"/>
              <w:rPr>
                <w:sz w:val="20"/>
                <w:szCs w:val="20"/>
                <w:color w:val="auto"/>
              </w:rPr>
            </w:pPr>
            <w:r>
              <w:rPr>
                <w:rFonts w:ascii="Times New Roman" w:cs="Times New Roman" w:eastAsia="Times New Roman" w:hAnsi="Times New Roman"/>
                <w:sz w:val="15"/>
                <w:szCs w:val="15"/>
                <w:b w:val="1"/>
                <w:bCs w:val="1"/>
                <w:color w:val="auto"/>
              </w:rPr>
              <w:t>MVW</w:t>
            </w:r>
          </w:p>
        </w:tc>
        <w:tc>
          <w:tcPr>
            <w:tcW w:w="0" w:type="dxa"/>
            <w:vAlign w:val="bottom"/>
          </w:tcPr>
          <w:p>
            <w:pPr>
              <w:spacing w:after="0"/>
              <w:rPr>
                <w:sz w:val="1"/>
                <w:szCs w:val="1"/>
                <w:color w:val="auto"/>
              </w:rPr>
            </w:pPr>
          </w:p>
        </w:tc>
      </w:tr>
      <w:tr>
        <w:trPr>
          <w:trHeight w:val="197"/>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MVWC</w:t>
            </w:r>
          </w:p>
        </w:tc>
        <w:tc>
          <w:tcPr>
            <w:tcW w:w="2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MORI</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6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47"/>
        </w:trPr>
        <w:tc>
          <w:tcPr>
            <w:tcW w:w="17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Cash and cash</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248</w:t>
            </w:r>
          </w:p>
        </w:tc>
        <w:tc>
          <w:tcPr>
            <w:tcW w:w="0" w:type="dxa"/>
            <w:vAlign w:val="bottom"/>
          </w:tcPr>
          <w:p>
            <w:pPr>
              <w:spacing w:after="0"/>
              <w:rPr>
                <w:sz w:val="1"/>
                <w:szCs w:val="1"/>
                <w:color w:val="auto"/>
              </w:rPr>
            </w:pP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166"/>
        </w:trPr>
        <w:tc>
          <w:tcPr>
            <w:tcW w:w="17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Accounts and contracts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166"/>
        </w:trPr>
        <w:tc>
          <w:tcPr>
            <w:tcW w:w="17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Vacation ownership</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 net</w:t>
            </w:r>
          </w:p>
        </w:tc>
        <w:tc>
          <w:tcPr>
            <w:tcW w:w="1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2,343</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166"/>
        </w:trPr>
        <w:tc>
          <w:tcPr>
            <w:tcW w:w="17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1,260</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3,117</w:t>
            </w:r>
          </w:p>
        </w:tc>
        <w:tc>
          <w:tcPr>
            <w:tcW w:w="0" w:type="dxa"/>
            <w:vAlign w:val="bottom"/>
          </w:tcPr>
          <w:p>
            <w:pPr>
              <w:spacing w:after="0"/>
              <w:rPr>
                <w:sz w:val="1"/>
                <w:szCs w:val="1"/>
                <w:color w:val="auto"/>
              </w:rPr>
            </w:pP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6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854</w:t>
            </w:r>
          </w:p>
        </w:tc>
        <w:tc>
          <w:tcPr>
            <w:tcW w:w="0" w:type="dxa"/>
            <w:vAlign w:val="bottom"/>
          </w:tcPr>
          <w:p>
            <w:pPr>
              <w:spacing w:after="0"/>
              <w:rPr>
                <w:sz w:val="1"/>
                <w:szCs w:val="1"/>
                <w:color w:val="auto"/>
              </w:rPr>
            </w:pPr>
          </w:p>
        </w:tc>
      </w:tr>
      <w:tr>
        <w:trPr>
          <w:trHeight w:val="166"/>
        </w:trPr>
        <w:tc>
          <w:tcPr>
            <w:tcW w:w="17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Investments in</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subsidiaries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3,943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35"/>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4,792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9,680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6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166"/>
        </w:trPr>
        <w:tc>
          <w:tcPr>
            <w:tcW w:w="17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Payroll and benefits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166"/>
        </w:trPr>
        <w:tc>
          <w:tcPr>
            <w:tcW w:w="17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Deferred compensation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2,096</w:t>
            </w:r>
          </w:p>
        </w:tc>
        <w:tc>
          <w:tcPr>
            <w:tcW w:w="0" w:type="dxa"/>
            <w:vAlign w:val="bottom"/>
          </w:tcPr>
          <w:p>
            <w:pPr>
              <w:spacing w:after="0"/>
              <w:rPr>
                <w:sz w:val="1"/>
                <w:szCs w:val="1"/>
                <w:color w:val="auto"/>
              </w:rPr>
            </w:pP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3,049</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6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166"/>
        </w:trPr>
        <w:tc>
          <w:tcPr>
            <w:tcW w:w="17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MVW stockholders'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2,516</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4,499</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146"/>
        </w:trPr>
        <w:tc>
          <w:tcPr>
            <w:tcW w:w="1720" w:type="dxa"/>
            <w:vAlign w:val="bottom"/>
          </w:tcPr>
          <w:p>
            <w:pPr>
              <w:ind w:left="20"/>
              <w:spacing w:after="0" w:line="147" w:lineRule="exact"/>
              <w:rPr>
                <w:sz w:val="20"/>
                <w:szCs w:val="20"/>
                <w:color w:val="auto"/>
              </w:rPr>
            </w:pPr>
            <w:r>
              <w:rPr>
                <w:rFonts w:ascii="Times New Roman" w:cs="Times New Roman" w:eastAsia="Times New Roman" w:hAnsi="Times New Roman"/>
                <w:sz w:val="16"/>
                <w:szCs w:val="16"/>
                <w:color w:val="auto"/>
              </w:rPr>
              <w:t>Total liabilities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120" w:type="dxa"/>
            <w:vAlign w:val="bottom"/>
          </w:tcPr>
          <w:p>
            <w:pPr>
              <w:spacing w:after="0"/>
              <w:rPr>
                <w:sz w:val="12"/>
                <w:szCs w:val="12"/>
                <w:color w:val="auto"/>
              </w:rPr>
            </w:pPr>
          </w:p>
        </w:tc>
        <w:tc>
          <w:tcPr>
            <w:tcW w:w="20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4,792</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5,857</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40" w:type="dxa"/>
            <w:vAlign w:val="bottom"/>
          </w:tcPr>
          <w:p>
            <w:pPr>
              <w:spacing w:after="0"/>
              <w:rPr>
                <w:sz w:val="12"/>
                <w:szCs w:val="12"/>
                <w:color w:val="auto"/>
              </w:rPr>
            </w:pPr>
          </w:p>
        </w:tc>
        <w:tc>
          <w:tcPr>
            <w:tcW w:w="2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(7,509)</w:t>
            </w:r>
          </w:p>
        </w:tc>
        <w:tc>
          <w:tcPr>
            <w:tcW w:w="120" w:type="dxa"/>
            <w:vAlign w:val="bottom"/>
          </w:tcPr>
          <w:p>
            <w:pPr>
              <w:spacing w:after="0"/>
              <w:rPr>
                <w:sz w:val="12"/>
                <w:szCs w:val="12"/>
                <w:color w:val="auto"/>
              </w:rPr>
            </w:pPr>
          </w:p>
        </w:tc>
        <w:tc>
          <w:tcPr>
            <w:tcW w:w="2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9,680</w:t>
            </w:r>
          </w:p>
        </w:tc>
        <w:tc>
          <w:tcPr>
            <w:tcW w:w="0" w:type="dxa"/>
            <w:vAlign w:val="bottom"/>
          </w:tcPr>
          <w:p>
            <w:pPr>
              <w:spacing w:after="0"/>
              <w:rPr>
                <w:sz w:val="1"/>
                <w:szCs w:val="1"/>
                <w:color w:val="auto"/>
              </w:rPr>
            </w:pPr>
          </w:p>
        </w:tc>
      </w:tr>
      <w:tr>
        <w:trPr>
          <w:trHeight w:val="210"/>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6"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7"/>
          <w:szCs w:val="17"/>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2023 Annual Report. Since the date of our 2023 Annual Report, there have been no material changes to our critical accounting policies or the methodologies or assumptions we apply under them.</w:t>
      </w:r>
    </w:p>
    <w:p>
      <w:pPr>
        <w:spacing w:after="0" w:line="2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exposure to market risk has not changed materially from that disclosed in Part I, Item 7A of the 2023 Annual Report, other than as set forth below.</w:t>
      </w:r>
    </w:p>
    <w:p>
      <w:pPr>
        <w:spacing w:after="0" w:line="11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We manage the interest rate risk on our corporate debt through the use of a combination of fixed-rate debt and may use interest rate hedges to fix a portion of our variable-rate debt. At March 31, 2024, after considering the impact of interest rate hedge agreements and excluding finance leases, the interest rate applicable to approximately 78% of our corporate debt was effectively fixed and the interest rate applicable to the remaining 22% (approximately $644 million) was variable. Excluding the impact of the interest rate hedges, 68% of our corporate debt was fixed as of March 31, 2024. Assuming we had no outstanding hedging arrangements and no outstanding balance on our Revolving Corporate Credit Facility, a 100 basis point increase in the underlying benchmark rate on our variable-rate debt at March 31, 2024 would result in an annual increase in cash interest of approximately $8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scheduled maturities and the total fair value as of March 31, 2024 for our financial instruments that are impacted by market risks:</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180"/>
        </w:trPr>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Maturities by Period</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340" w:type="dxa"/>
            <w:vAlign w:val="bottom"/>
          </w:tcPr>
          <w:p>
            <w:pPr>
              <w:spacing w:after="0"/>
              <w:rPr>
                <w:sz w:val="2"/>
                <w:szCs w:val="2"/>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0"/>
                <w:szCs w:val="10"/>
                <w:color w:val="auto"/>
              </w:rPr>
            </w:pPr>
          </w:p>
        </w:tc>
        <w:tc>
          <w:tcPr>
            <w:tcW w:w="580" w:type="dxa"/>
            <w:vAlign w:val="bottom"/>
          </w:tcPr>
          <w:p>
            <w:pPr>
              <w:jc w:val="center"/>
              <w:ind w:right="79"/>
              <w:spacing w:after="0" w:line="12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0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2028</w:t>
            </w:r>
          </w:p>
        </w:tc>
        <w:tc>
          <w:tcPr>
            <w:tcW w:w="10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vMerge w:val="restart"/>
          </w:tcPr>
          <w:p>
            <w:pPr>
              <w:spacing w:after="0"/>
              <w:rPr>
                <w:sz w:val="12"/>
                <w:szCs w:val="12"/>
                <w:color w:val="auto"/>
              </w:rPr>
            </w:pPr>
          </w:p>
        </w:tc>
        <w:tc>
          <w:tcPr>
            <w:tcW w:w="82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580" w:type="dxa"/>
            <w:vAlign w:val="bottom"/>
          </w:tcPr>
          <w:p>
            <w:pPr>
              <w:jc w:val="center"/>
              <w:ind w:right="79"/>
              <w:spacing w:after="0" w:line="14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5"/>
        </w:trPr>
        <w:tc>
          <w:tcPr>
            <w:tcW w:w="134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6740" w:type="dxa"/>
            <w:vAlign w:val="bottom"/>
            <w:gridSpan w:val="21"/>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Assets – Maturities represent expected principal receipts; fair values represent assets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Vacation</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ownership notes</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0" w:type="dxa"/>
            <w:vAlign w:val="bottom"/>
          </w:tcPr>
          <w:p>
            <w:pPr>
              <w:spacing w:after="0"/>
              <w:rPr>
                <w:sz w:val="1"/>
                <w:szCs w:val="1"/>
                <w:color w:val="auto"/>
              </w:rPr>
            </w:pPr>
          </w:p>
        </w:tc>
      </w:tr>
      <w:tr>
        <w:trPr>
          <w:trHeight w:val="166"/>
        </w:trPr>
        <w:tc>
          <w:tcPr>
            <w:tcW w:w="13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receivable — non-</w:t>
            </w: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Vacation</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ownership notes</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0" w:type="dxa"/>
            <w:vAlign w:val="bottom"/>
          </w:tcPr>
          <w:p>
            <w:pPr>
              <w:spacing w:after="0"/>
              <w:rPr>
                <w:sz w:val="1"/>
                <w:szCs w:val="1"/>
                <w:color w:val="auto"/>
              </w:rPr>
            </w:pPr>
          </w:p>
        </w:tc>
      </w:tr>
      <w:tr>
        <w:trPr>
          <w:trHeight w:val="129"/>
        </w:trPr>
        <w:tc>
          <w:tcPr>
            <w:tcW w:w="1340" w:type="dxa"/>
            <w:vAlign w:val="bottom"/>
            <w:vMerge w:val="restart"/>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receivable —</w:t>
            </w:r>
          </w:p>
        </w:tc>
        <w:tc>
          <w:tcPr>
            <w:tcW w:w="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340" w:type="dxa"/>
            <w:vAlign w:val="bottom"/>
            <w:vMerge w:val="continue"/>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Contracts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receivable for</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129"/>
        </w:trPr>
        <w:tc>
          <w:tcPr>
            <w:tcW w:w="1340" w:type="dxa"/>
            <w:vAlign w:val="bottom"/>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auto"/>
              </w:rPr>
              <w:t>financed VOI</w:t>
            </w: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3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60" w:type="dxa"/>
            <w:vAlign w:val="bottom"/>
            <w:gridSpan w:val="24"/>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Liabilities – Maturities represent expected principal payments; fair values represent liabilities</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Term Loan</w:t>
            </w:r>
            <w:r>
              <w:rPr>
                <w:rFonts w:ascii="Times New Roman" w:cs="Times New Roman" w:eastAsia="Times New Roman" w:hAnsi="Times New Roman"/>
                <w:sz w:val="22"/>
                <w:szCs w:val="22"/>
                <w:color w:val="auto"/>
                <w:vertAlign w:val="superscript"/>
              </w:rPr>
              <w:t>(1)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0" w:type="dxa"/>
            <w:vAlign w:val="bottom"/>
          </w:tcPr>
          <w:p>
            <w:pPr>
              <w:spacing w:after="0"/>
              <w:rPr>
                <w:sz w:val="1"/>
                <w:szCs w:val="1"/>
                <w:color w:val="auto"/>
              </w:rPr>
            </w:pPr>
          </w:p>
        </w:tc>
      </w:tr>
      <w:tr>
        <w:trPr>
          <w:trHeight w:val="176"/>
        </w:trPr>
        <w:tc>
          <w:tcPr>
            <w:tcW w:w="13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Revolving</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7.2%</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170"/>
        </w:trPr>
        <w:tc>
          <w:tcPr>
            <w:tcW w:w="13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Corporate Credit</w:t>
            </w: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Facility</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2028 Notes</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2029 Notes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176"/>
        </w:trPr>
        <w:tc>
          <w:tcPr>
            <w:tcW w:w="13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2026 Convertible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0" w:type="dxa"/>
            <w:vAlign w:val="bottom"/>
          </w:tcPr>
          <w:p>
            <w:pPr>
              <w:spacing w:after="0"/>
              <w:rPr>
                <w:sz w:val="1"/>
                <w:szCs w:val="1"/>
                <w:color w:val="auto"/>
              </w:rPr>
            </w:pPr>
          </w:p>
        </w:tc>
      </w:tr>
      <w:tr>
        <w:trPr>
          <w:trHeight w:val="176"/>
        </w:trPr>
        <w:tc>
          <w:tcPr>
            <w:tcW w:w="1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2027 Convertible</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00" w:right="100" w:hanging="298"/>
        <w:spacing w:after="0" w:line="228" w:lineRule="auto"/>
        <w:tabs>
          <w:tab w:leader="none" w:pos="288"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April 2024, we amended the Corporate Credit Facility to provide for a new $800 million term loan facility that is scheduled to mature on April 1, 2031. The proceeds were used to refinance in full the Term Loan, which was scheduled to mature on August 31, 2025.</w:t>
      </w:r>
    </w:p>
    <w:p>
      <w:pPr>
        <w:spacing w:after="0" w:line="18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As of the end of the period covered by this Quarterly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March 31, 2024,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w:t>
      </w:r>
    </w:p>
    <w:p>
      <w:pPr>
        <w:spacing w:after="0" w:line="2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7"/>
          <w:szCs w:val="17"/>
          <w:color w:val="auto"/>
        </w:rPr>
        <w:t>reasonable assurance that we accumulate and communicate such information to our management, including our Chief Executive Officer and Chief Financial Officer, as appropriate to allow timely decisions about required disclosure.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16"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7"/>
          <w:szCs w:val="17"/>
          <w:color w:val="auto"/>
        </w:rPr>
        <w:t>We made no changes in our internal control over financial reporting during the period covered by this Quarterly Report that have materially affected, or are reasonably likely to materially affect, our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6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Currently, and from time to time, we are subject to claims in legal proceedings arising in the normal course of business, including, among others, the legal actions discussed under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6"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There have been no material changes to the risk factors set forth in Item 1A to Part 1 of our 2023 Annual Report, except to the extent factual information disclosed elsewhere in this Quarterly Report relates to such risk factors, which is incorporated herein by reference.</w:t>
      </w:r>
    </w:p>
    <w:p>
      <w:pPr>
        <w:spacing w:after="0" w:line="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Issuer Purchases of Equity Securities</w:t>
      </w:r>
    </w:p>
    <w:p>
      <w:pPr>
        <w:spacing w:after="0" w:line="190"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2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Maximum Dollar</w:t>
            </w: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44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Shares Purchased as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58"/>
              <w:spacing w:after="0" w:line="154" w:lineRule="exact"/>
              <w:rPr>
                <w:sz w:val="20"/>
                <w:szCs w:val="20"/>
                <w:color w:val="auto"/>
              </w:rPr>
            </w:pPr>
            <w:r>
              <w:rPr>
                <w:rFonts w:ascii="Times New Roman" w:cs="Times New Roman" w:eastAsia="Times New Roman" w:hAnsi="Times New Roman"/>
                <w:sz w:val="15"/>
                <w:szCs w:val="15"/>
                <w:b w:val="1"/>
                <w:bCs w:val="1"/>
                <w:color w:val="auto"/>
              </w:rPr>
              <w:t>Amount of Shares</w:t>
            </w: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4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Part of Publicly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78"/>
              <w:spacing w:after="0" w:line="154" w:lineRule="exact"/>
              <w:rPr>
                <w:sz w:val="20"/>
                <w:szCs w:val="20"/>
                <w:color w:val="auto"/>
              </w:rPr>
            </w:pPr>
            <w:r>
              <w:rPr>
                <w:rFonts w:ascii="Times New Roman" w:cs="Times New Roman" w:eastAsia="Times New Roman" w:hAnsi="Times New Roman"/>
                <w:sz w:val="15"/>
                <w:szCs w:val="15"/>
                <w:b w:val="1"/>
                <w:bCs w:val="1"/>
                <w:color w:val="auto"/>
              </w:rPr>
              <w:t>That May Yet Be</w:t>
            </w: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of Shares</w:t>
            </w:r>
          </w:p>
        </w:tc>
        <w:tc>
          <w:tcPr>
            <w:tcW w:w="140" w:type="dxa"/>
            <w:vAlign w:val="bottom"/>
          </w:tcPr>
          <w:p>
            <w:pPr>
              <w:spacing w:after="0"/>
              <w:rPr>
                <w:sz w:val="13"/>
                <w:szCs w:val="13"/>
                <w:color w:val="auto"/>
              </w:rPr>
            </w:pPr>
          </w:p>
        </w:tc>
        <w:tc>
          <w:tcPr>
            <w:tcW w:w="1200" w:type="dxa"/>
            <w:vAlign w:val="bottom"/>
            <w:gridSpan w:val="3"/>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Price Paid per</w:t>
            </w:r>
          </w:p>
        </w:tc>
        <w:tc>
          <w:tcPr>
            <w:tcW w:w="144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Announced Plans or</w:t>
            </w:r>
          </w:p>
        </w:tc>
        <w:tc>
          <w:tcPr>
            <w:tcW w:w="140" w:type="dxa"/>
            <w:vAlign w:val="bottom"/>
          </w:tcPr>
          <w:p>
            <w:pPr>
              <w:spacing w:after="0"/>
              <w:rPr>
                <w:sz w:val="13"/>
                <w:szCs w:val="13"/>
                <w:color w:val="auto"/>
              </w:rPr>
            </w:pPr>
          </w:p>
        </w:tc>
        <w:tc>
          <w:tcPr>
            <w:tcW w:w="154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Purchased Under the</w:t>
            </w:r>
          </w:p>
        </w:tc>
        <w:tc>
          <w:tcPr>
            <w:tcW w:w="0" w:type="dxa"/>
            <w:vAlign w:val="bottom"/>
          </w:tcPr>
          <w:p>
            <w:pPr>
              <w:spacing w:after="0"/>
              <w:rPr>
                <w:sz w:val="1"/>
                <w:szCs w:val="1"/>
                <w:color w:val="auto"/>
              </w:rPr>
            </w:pPr>
          </w:p>
        </w:tc>
      </w:tr>
      <w:tr>
        <w:trPr>
          <w:trHeight w:val="205"/>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7"/>
              <w:spacing w:after="0" w:line="205" w:lineRule="exact"/>
              <w:rPr>
                <w:sz w:val="20"/>
                <w:szCs w:val="20"/>
                <w:color w:val="auto"/>
              </w:rPr>
            </w:pPr>
            <w:r>
              <w:rPr>
                <w:rFonts w:ascii="Times New Roman" w:cs="Times New Roman" w:eastAsia="Times New Roman" w:hAnsi="Times New Roman"/>
                <w:sz w:val="15"/>
                <w:szCs w:val="15"/>
                <w:b w:val="1"/>
                <w:bCs w:val="1"/>
                <w:color w:val="auto"/>
                <w:w w:val="95"/>
              </w:rPr>
              <w:t>Share</w:t>
            </w:r>
            <w:r>
              <w:rPr>
                <w:rFonts w:ascii="Times New Roman" w:cs="Times New Roman" w:eastAsia="Times New Roman" w:hAnsi="Times New Roman"/>
                <w:sz w:val="19"/>
                <w:szCs w:val="19"/>
                <w:b w:val="1"/>
                <w:bCs w:val="1"/>
                <w:color w:val="auto"/>
                <w:w w:val="95"/>
                <w:vertAlign w:val="superscript"/>
              </w:rPr>
              <w:t>(2)</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5"/>
                <w:szCs w:val="15"/>
                <w:b w:val="1"/>
                <w:bCs w:val="1"/>
                <w:color w:val="auto"/>
                <w:w w:val="97"/>
              </w:rPr>
              <w:t>Programs</w:t>
            </w:r>
            <w:r>
              <w:rPr>
                <w:rFonts w:ascii="Times New Roman" w:cs="Times New Roman" w:eastAsia="Times New Roman" w:hAnsi="Times New Roman"/>
                <w:sz w:val="19"/>
                <w:szCs w:val="19"/>
                <w:b w:val="1"/>
                <w:bCs w:val="1"/>
                <w:color w:val="auto"/>
                <w:w w:val="97"/>
                <w:vertAlign w:val="superscript"/>
              </w:rPr>
              <w:t>(1)</w:t>
            </w:r>
          </w:p>
        </w:tc>
        <w:tc>
          <w:tcPr>
            <w:tcW w:w="1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5"/>
                <w:szCs w:val="15"/>
                <w:b w:val="1"/>
                <w:bCs w:val="1"/>
                <w:color w:val="auto"/>
                <w:w w:val="97"/>
              </w:rPr>
              <w:t>Plans or Programs</w:t>
            </w:r>
            <w:r>
              <w:rPr>
                <w:rFonts w:ascii="Times New Roman" w:cs="Times New Roman" w:eastAsia="Times New Roman" w:hAnsi="Times New Roman"/>
                <w:sz w:val="19"/>
                <w:szCs w:val="19"/>
                <w:b w:val="1"/>
                <w:bCs w:val="1"/>
                <w:color w:val="auto"/>
                <w:w w:val="97"/>
                <w:vertAlign w:val="superscript"/>
              </w:rPr>
              <w:t>(1)(2)</w:t>
            </w: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2024 – January 31,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137,000</w:t>
            </w:r>
          </w:p>
        </w:tc>
        <w:tc>
          <w:tcPr>
            <w:tcW w:w="3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426,910,101</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2024 – February 29,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106,577</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417,740,157</w:t>
            </w: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2024 – March 31,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3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95.46</w:t>
            </w:r>
          </w:p>
        </w:tc>
        <w:tc>
          <w:tcPr>
            <w:tcW w:w="12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414,303,514</w:t>
            </w: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279,577</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86.88</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414,303,514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00" w:right="20" w:hanging="298"/>
        <w:spacing w:after="0" w:line="235" w:lineRule="auto"/>
        <w:tabs>
          <w:tab w:leader="none" w:pos="288"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11, 2023, we announced that our Board of Directors increased the then-remaining authorization under our share repurchase program that was first announced on September 13, 2021 to authorize purchases of up to $600 million of our common stock and extended the term of our share repurchase program to December 31, 2024.</w:t>
      </w:r>
    </w:p>
    <w:p>
      <w:pPr>
        <w:spacing w:after="0" w:line="35" w:lineRule="exact"/>
        <w:rPr>
          <w:rFonts w:ascii="Times New Roman" w:cs="Times New Roman" w:eastAsia="Times New Roman" w:hAnsi="Times New Roman"/>
          <w:sz w:val="22"/>
          <w:szCs w:val="22"/>
          <w:color w:val="auto"/>
          <w:vertAlign w:val="superscript"/>
        </w:rPr>
      </w:pPr>
    </w:p>
    <w:p>
      <w:pPr>
        <w:ind w:left="300" w:right="740" w:hanging="298"/>
        <w:spacing w:after="0" w:line="228" w:lineRule="auto"/>
        <w:tabs>
          <w:tab w:leader="none" w:pos="288"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dollar amounts presented exclude the nondeductible 1% excise tax on the net value of certain stock repurchases that was imposed by the Inflation Reduction Act of 2022.</w:t>
      </w:r>
    </w:p>
    <w:p>
      <w:pPr>
        <w:spacing w:after="0" w:line="13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Trading Plans</w:t>
      </w:r>
    </w:p>
    <w:p>
      <w:pPr>
        <w:spacing w:after="0" w:line="11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During the quarter ended March 31, 2024, no director or Section 16 officer adopted or terminated any Rule 10b5-1 trading arrangements or non-Rule 10b5-1 trading arrangements (in each case, as defined in Item 408(a) of Regulation S-K).</w:t>
      </w: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documents referenced below are being filed as a part of this Quarterly Report, unless otherwise noted.</w:t>
      </w:r>
    </w:p>
    <w:p>
      <w:pPr>
        <w:sectPr>
          <w:pgSz w:w="11900" w:h="16838" w:orient="portrait"/>
          <w:cols w:equalWidth="0" w:num="1">
            <w:col w:w="10139"/>
          </w:cols>
          <w:pgMar w:left="320" w:top="226" w:right="1440"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Exhibit</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Filed</w:t>
            </w:r>
          </w:p>
        </w:tc>
        <w:tc>
          <w:tcPr>
            <w:tcW w:w="0" w:type="dxa"/>
            <w:vAlign w:val="bottom"/>
          </w:tcPr>
          <w:p>
            <w:pPr>
              <w:spacing w:after="0"/>
              <w:rPr>
                <w:sz w:val="1"/>
                <w:szCs w:val="1"/>
                <w:color w:val="auto"/>
              </w:rPr>
            </w:pPr>
          </w:p>
        </w:tc>
      </w:tr>
      <w:tr>
        <w:trPr>
          <w:trHeight w:val="195"/>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7"/>
          </w:tcPr>
          <w:p>
            <w:pPr>
              <w:ind w:left="4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Herewith</w:t>
            </w:r>
          </w:p>
        </w:tc>
        <w:tc>
          <w:tcPr>
            <w:tcW w:w="0" w:type="dxa"/>
            <w:vAlign w:val="bottom"/>
          </w:tcPr>
          <w:p>
            <w:pPr>
              <w:spacing w:after="0"/>
              <w:rPr>
                <w:sz w:val="1"/>
                <w:szCs w:val="1"/>
                <w:color w:val="auto"/>
              </w:rPr>
            </w:pPr>
          </w:p>
        </w:tc>
      </w:tr>
      <w:tr>
        <w:trPr>
          <w:trHeight w:val="188"/>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41"/>
          </w:tcPr>
          <w:p>
            <w:pPr>
              <w:spacing w:after="0" w:line="189"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Second Restated Certificate of Incorporation of Marriott</w:t>
              </w:r>
            </w:hyperlink>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40" w:type="dxa"/>
            <w:vAlign w:val="bottom"/>
            <w:tcBorders>
              <w:top w:val="single" w:sz="8" w:color="0000FF"/>
            </w:tcBorders>
            <w:gridSpan w:val="30"/>
            <w:vMerge w:val="restart"/>
          </w:tcPr>
          <w:p>
            <w:pPr>
              <w:spacing w:after="0" w:line="159"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Vacations Worldwide Corporation</w:t>
              </w:r>
            </w:hyperlink>
          </w:p>
        </w:tc>
        <w:tc>
          <w:tcPr>
            <w:tcW w:w="340" w:type="dxa"/>
            <w:vAlign w:val="bottom"/>
            <w:gridSpan w:val="11"/>
            <w:vMerge w:val="restart"/>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40" w:type="dxa"/>
            <w:vAlign w:val="bottom"/>
            <w:gridSpan w:val="30"/>
            <w:vMerge w:val="continue"/>
          </w:tcPr>
          <w:p>
            <w:pPr>
              <w:spacing w:after="0"/>
              <w:rPr>
                <w:sz w:val="4"/>
                <w:szCs w:val="4"/>
                <w:color w:val="auto"/>
              </w:rPr>
            </w:pPr>
          </w:p>
        </w:tc>
        <w:tc>
          <w:tcPr>
            <w:tcW w:w="340" w:type="dxa"/>
            <w:vAlign w:val="bottom"/>
            <w:gridSpan w:val="11"/>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w w:val="98"/>
              </w:rPr>
            </w:pPr>
            <w:hyperlink r:id="rId107">
              <w:r>
                <w:rPr>
                  <w:rFonts w:ascii="Times New Roman" w:cs="Times New Roman" w:eastAsia="Times New Roman" w:hAnsi="Times New Roman"/>
                  <w:sz w:val="17"/>
                  <w:szCs w:val="17"/>
                  <w:color w:val="0000FF"/>
                  <w:w w:val="98"/>
                </w:rPr>
                <w:t>Restated Bylaws of Marriott Vacations Worldwide</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180" w:type="dxa"/>
            <w:vAlign w:val="bottom"/>
            <w:gridSpan w:val="41"/>
            <w:vMerge w:val="restart"/>
          </w:tcPr>
          <w:p>
            <w:pPr>
              <w:spacing w:after="0" w:line="159"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Corporation (effective May 12, 2023)</w:t>
              </w:r>
            </w:hyperlink>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180" w:type="dxa"/>
            <w:vAlign w:val="bottom"/>
            <w:gridSpan w:val="41"/>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Form of certificate representing shares of common stock,</w:t>
              </w:r>
            </w:hyperlink>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34"/>
          </w:tcPr>
          <w:p>
            <w:pPr>
              <w:spacing w:after="0" w:line="159"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 xml:space="preserve">par value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0.01 per share, of Marriott Vacations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3"/>
          </w:tcPr>
          <w:p>
            <w:pPr>
              <w:spacing w:after="0" w:line="147"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Worldwide Corporation</w:t>
              </w:r>
            </w:hyperlink>
          </w:p>
        </w:tc>
        <w:tc>
          <w:tcPr>
            <w:tcW w:w="1640" w:type="dxa"/>
            <w:vAlign w:val="bottom"/>
            <w:tcBorders>
              <w:top w:val="single" w:sz="8" w:color="0000FF"/>
            </w:tcBorders>
            <w:gridSpan w:val="9"/>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Indenture, dated as of October 1, 2019, by and among</w:t>
              </w:r>
            </w:hyperlink>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20"/>
          </w:tcPr>
          <w:p>
            <w:pPr>
              <w:spacing w:after="0" w:line="159" w:lineRule="exact"/>
              <w:rPr>
                <w:rFonts w:ascii="Times New Roman" w:cs="Times New Roman" w:eastAsia="Times New Roman" w:hAnsi="Times New Roman"/>
                <w:sz w:val="17"/>
                <w:szCs w:val="17"/>
                <w:color w:val="0000FF"/>
                <w:w w:val="99"/>
              </w:rPr>
            </w:pPr>
            <w:hyperlink r:id="rId109">
              <w:r>
                <w:rPr>
                  <w:rFonts w:ascii="Times New Roman" w:cs="Times New Roman" w:eastAsia="Times New Roman" w:hAnsi="Times New Roman"/>
                  <w:sz w:val="17"/>
                  <w:szCs w:val="17"/>
                  <w:color w:val="0000FF"/>
                  <w:w w:val="99"/>
                </w:rPr>
                <w:t>Marriott Ownership Resorts, Inc., Marriott Vacations</w:t>
              </w:r>
            </w:hyperlink>
          </w:p>
        </w:tc>
        <w:tc>
          <w:tcPr>
            <w:tcW w:w="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gridSpan w:val="41"/>
          </w:tcPr>
          <w:p>
            <w:pPr>
              <w:spacing w:after="0" w:line="147"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Worldwide Corporation, as guarantor, the other guarantors</w:t>
              </w:r>
            </w:hyperlink>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37"/>
          </w:tcPr>
          <w:p>
            <w:pPr>
              <w:spacing w:after="0" w:line="147"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party thereto and The Bank of New York Mellon Trust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24"/>
          </w:tcPr>
          <w:p>
            <w:pPr>
              <w:spacing w:after="0" w:line="159"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Company, N.A.,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Supplemental Indenture, dated December 31, 2019, by and</w:t>
              </w:r>
            </w:hyperlink>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38"/>
          </w:tcPr>
          <w:p>
            <w:pPr>
              <w:spacing w:after="0" w:line="159" w:lineRule="exact"/>
              <w:rPr>
                <w:rFonts w:ascii="Times New Roman" w:cs="Times New Roman" w:eastAsia="Times New Roman" w:hAnsi="Times New Roman"/>
                <w:sz w:val="17"/>
                <w:szCs w:val="17"/>
                <w:color w:val="0000FF"/>
                <w:w w:val="98"/>
              </w:rPr>
            </w:pPr>
            <w:hyperlink r:id="rId110">
              <w:r>
                <w:rPr>
                  <w:rFonts w:ascii="Times New Roman" w:cs="Times New Roman" w:eastAsia="Times New Roman" w:hAnsi="Times New Roman"/>
                  <w:sz w:val="17"/>
                  <w:szCs w:val="17"/>
                  <w:color w:val="0000FF"/>
                  <w:w w:val="98"/>
                </w:rPr>
                <w:t>among Marriott Ownership Resorts, Inc., MVW Vacations,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180" w:type="dxa"/>
            <w:vAlign w:val="bottom"/>
            <w:gridSpan w:val="41"/>
            <w:vMerge w:val="restart"/>
          </w:tcPr>
          <w:p>
            <w:pPr>
              <w:spacing w:after="0" w:line="147"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LLC and the Bank of New York Mellon Trust Company,</w:t>
              </w:r>
            </w:hyperlink>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180" w:type="dxa"/>
            <w:vAlign w:val="bottom"/>
            <w:gridSpan w:val="41"/>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2"/>
          </w:tcPr>
          <w:p>
            <w:pPr>
              <w:spacing w:after="0" w:line="147"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N.A., as trustee</w:t>
              </w:r>
            </w:hyperlink>
          </w:p>
        </w:tc>
        <w:tc>
          <w:tcPr>
            <w:tcW w:w="280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Second Supplemental Indenture, dated February 26, 2020,</w:t>
              </w:r>
            </w:hyperlink>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28"/>
          </w:tcPr>
          <w:p>
            <w:pPr>
              <w:spacing w:after="0" w:line="159"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by and among Marriott Ownership Resorts, Inc., MVW</w:t>
              </w:r>
            </w:hyperlink>
          </w:p>
        </w:tc>
        <w:tc>
          <w:tcPr>
            <w:tcW w:w="18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180" w:type="dxa"/>
            <w:vAlign w:val="bottom"/>
            <w:gridSpan w:val="41"/>
            <w:vMerge w:val="restart"/>
          </w:tcPr>
          <w:p>
            <w:pPr>
              <w:spacing w:after="0" w:line="147"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Services Corporation, and the Bank of New York Mellon</w:t>
              </w:r>
            </w:hyperlink>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180" w:type="dxa"/>
            <w:vAlign w:val="bottom"/>
            <w:gridSpan w:val="41"/>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top w:val="single" w:sz="8" w:color="0000FF"/>
            </w:tcBorders>
            <w:gridSpan w:val="32"/>
          </w:tcPr>
          <w:p>
            <w:pPr>
              <w:spacing w:after="0" w:line="147"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Trust Company, N.A., as trustee</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w w:val="99"/>
              </w:rPr>
            </w:pPr>
            <w:hyperlink r:id="rId109">
              <w:r>
                <w:rPr>
                  <w:rFonts w:ascii="Times New Roman" w:cs="Times New Roman" w:eastAsia="Times New Roman" w:hAnsi="Times New Roman"/>
                  <w:sz w:val="17"/>
                  <w:szCs w:val="17"/>
                  <w:color w:val="0000FF"/>
                  <w:w w:val="99"/>
                </w:rPr>
                <w:t>Form of 4.750% Senior Notes due 2028 (included as</w:t>
              </w:r>
            </w:hyperlink>
          </w:p>
        </w:tc>
        <w:tc>
          <w:tcPr>
            <w:tcW w:w="580" w:type="dxa"/>
            <w:vAlign w:val="bottom"/>
            <w:gridSpan w:val="22"/>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180" w:type="dxa"/>
            <w:vAlign w:val="bottom"/>
            <w:gridSpan w:val="41"/>
            <w:vMerge w:val="restart"/>
          </w:tcPr>
          <w:p>
            <w:pPr>
              <w:spacing w:after="0" w:line="159"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Exhibit A to Exhibit 4.2 above)</w:t>
              </w:r>
            </w:hyperlink>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180" w:type="dxa"/>
            <w:vAlign w:val="bottom"/>
            <w:gridSpan w:val="41"/>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Registration Rights Agreement, dated as of October 1,</w:t>
              </w:r>
            </w:hyperlink>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23"/>
          </w:tcPr>
          <w:p>
            <w:pPr>
              <w:spacing w:after="0" w:line="159" w:lineRule="exact"/>
              <w:rPr>
                <w:rFonts w:ascii="Times New Roman" w:cs="Times New Roman" w:eastAsia="Times New Roman" w:hAnsi="Times New Roman"/>
                <w:sz w:val="17"/>
                <w:szCs w:val="17"/>
                <w:color w:val="0000FF"/>
                <w:w w:val="98"/>
              </w:rPr>
            </w:pPr>
            <w:hyperlink r:id="rId112">
              <w:r>
                <w:rPr>
                  <w:rFonts w:ascii="Times New Roman" w:cs="Times New Roman" w:eastAsia="Times New Roman" w:hAnsi="Times New Roman"/>
                  <w:sz w:val="17"/>
                  <w:szCs w:val="17"/>
                  <w:color w:val="0000FF"/>
                  <w:w w:val="98"/>
                </w:rPr>
                <w:t>2019, by and among Marriott Ownership Resorts, Inc.,</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bottom w:val="single" w:sz="8" w:color="0000FF"/>
            </w:tcBorders>
            <w:gridSpan w:val="26"/>
          </w:tcPr>
          <w:p>
            <w:pPr>
              <w:spacing w:after="0" w:line="147"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Marriott Vacations Worldwide Corporation, as guarantor,</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gridSpan w:val="33"/>
          </w:tcPr>
          <w:p>
            <w:pPr>
              <w:spacing w:after="0" w:line="147"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the other guarantors party thereto and J.P. Morgan</w:t>
              </w:r>
            </w:hyperlink>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bottom w:val="single" w:sz="8" w:color="0000FF"/>
            </w:tcBorders>
          </w:tcPr>
          <w:p>
            <w:pPr>
              <w:spacing w:after="0" w:line="159" w:lineRule="exact"/>
              <w:rPr>
                <w:rFonts w:ascii="Times New Roman" w:cs="Times New Roman" w:eastAsia="Times New Roman" w:hAnsi="Times New Roman"/>
                <w:sz w:val="17"/>
                <w:szCs w:val="17"/>
                <w:color w:val="0000FF"/>
                <w:w w:val="98"/>
              </w:rPr>
            </w:pPr>
            <w:hyperlink r:id="rId112">
              <w:r>
                <w:rPr>
                  <w:rFonts w:ascii="Times New Roman" w:cs="Times New Roman" w:eastAsia="Times New Roman" w:hAnsi="Times New Roman"/>
                  <w:sz w:val="17"/>
                  <w:szCs w:val="17"/>
                  <w:color w:val="0000FF"/>
                  <w:w w:val="98"/>
                </w:rPr>
                <w:t>Securities LLC</w:t>
              </w:r>
            </w:hyperlink>
          </w:p>
        </w:tc>
        <w:tc>
          <w:tcPr>
            <w:tcW w:w="23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Indenture, dated as of February 2, 2021, by and among</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27"/>
          </w:tcPr>
          <w:p>
            <w:pPr>
              <w:spacing w:after="0" w:line="159"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Marriott Vacations Worldwide Corporation, Marriott</w:t>
              </w:r>
            </w:hyperlink>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gridSpan w:val="41"/>
          </w:tcPr>
          <w:p>
            <w:pPr>
              <w:spacing w:after="0" w:line="147"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Ownership Resorts, Inc. and the other guarantors party</w:t>
              </w:r>
            </w:hyperlink>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top w:val="single" w:sz="8" w:color="0000FF"/>
            </w:tcBorders>
            <w:gridSpan w:val="25"/>
          </w:tcPr>
          <w:p>
            <w:pPr>
              <w:spacing w:after="0" w:line="147"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thereto and The Bank of New York Mellon Trust</w:t>
              </w:r>
            </w:hyperlink>
          </w:p>
        </w:tc>
        <w:tc>
          <w:tcPr>
            <w:tcW w:w="80" w:type="dxa"/>
            <w:vAlign w:val="bottom"/>
            <w:gridSpan w:val="4"/>
          </w:tcPr>
          <w:p>
            <w:pPr>
              <w:spacing w:after="0"/>
              <w:rPr>
                <w:sz w:val="12"/>
                <w:szCs w:val="12"/>
                <w:color w:val="auto"/>
              </w:rPr>
            </w:pPr>
          </w:p>
        </w:tc>
        <w:tc>
          <w:tcPr>
            <w:tcW w:w="14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tcBorders>
            <w:gridSpan w:val="13"/>
          </w:tcPr>
          <w:p>
            <w:pPr>
              <w:spacing w:after="0" w:line="159"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Company, N.A., as trustee</w:t>
              </w:r>
            </w:hyperlink>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w w:val="99"/>
              </w:rPr>
            </w:pPr>
            <w:hyperlink r:id="rId114">
              <w:r>
                <w:rPr>
                  <w:rFonts w:ascii="Times New Roman" w:cs="Times New Roman" w:eastAsia="Times New Roman" w:hAnsi="Times New Roman"/>
                  <w:sz w:val="17"/>
                  <w:szCs w:val="17"/>
                  <w:color w:val="0000FF"/>
                  <w:w w:val="99"/>
                </w:rPr>
                <w:t>Form of 0.00% Convertible Senior Note due 2026</w:t>
              </w:r>
            </w:hyperlink>
          </w:p>
        </w:tc>
        <w:tc>
          <w:tcPr>
            <w:tcW w:w="760" w:type="dxa"/>
            <w:vAlign w:val="bottom"/>
            <w:gridSpan w:val="26"/>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20" w:type="dxa"/>
            <w:vAlign w:val="bottom"/>
            <w:gridSpan w:val="10"/>
            <w:vMerge w:val="restart"/>
          </w:tcPr>
          <w:p>
            <w:pPr>
              <w:spacing w:after="0" w:line="159" w:lineRule="exact"/>
              <w:rPr>
                <w:rFonts w:ascii="Times New Roman" w:cs="Times New Roman" w:eastAsia="Times New Roman" w:hAnsi="Times New Roman"/>
                <w:sz w:val="17"/>
                <w:szCs w:val="17"/>
                <w:color w:val="0000FF"/>
                <w:w w:val="99"/>
              </w:rPr>
            </w:pPr>
            <w:hyperlink r:id="rId114">
              <w:r>
                <w:rPr>
                  <w:rFonts w:ascii="Times New Roman" w:cs="Times New Roman" w:eastAsia="Times New Roman" w:hAnsi="Times New Roman"/>
                  <w:sz w:val="17"/>
                  <w:szCs w:val="17"/>
                  <w:color w:val="0000FF"/>
                  <w:w w:val="99"/>
                </w:rPr>
                <w:t>(included as Exhibit A to Exhibit 4.7 above)</w:t>
              </w:r>
            </w:hyperlink>
          </w:p>
        </w:tc>
        <w:tc>
          <w:tcPr>
            <w:tcW w:w="1160" w:type="dxa"/>
            <w:vAlign w:val="bottom"/>
            <w:gridSpan w:val="31"/>
            <w:vMerge w:val="restart"/>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Borders>
              <w:bottom w:val="single" w:sz="8" w:color="0000FF"/>
            </w:tcBorders>
            <w:gridSpan w:val="10"/>
            <w:vMerge w:val="continue"/>
          </w:tcPr>
          <w:p>
            <w:pPr>
              <w:spacing w:after="0"/>
              <w:rPr>
                <w:sz w:val="4"/>
                <w:szCs w:val="4"/>
                <w:color w:val="auto"/>
              </w:rPr>
            </w:pPr>
          </w:p>
        </w:tc>
        <w:tc>
          <w:tcPr>
            <w:tcW w:w="1160" w:type="dxa"/>
            <w:vAlign w:val="bottom"/>
            <w:gridSpan w:val="31"/>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Indenture, dated as of June 21, 2021, by and among</w:t>
              </w:r>
            </w:hyperlink>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18"/>
          </w:tcPr>
          <w:p>
            <w:pPr>
              <w:spacing w:after="0" w:line="159" w:lineRule="exact"/>
              <w:rPr>
                <w:rFonts w:ascii="Times New Roman" w:cs="Times New Roman" w:eastAsia="Times New Roman" w:hAnsi="Times New Roman"/>
                <w:sz w:val="17"/>
                <w:szCs w:val="17"/>
                <w:color w:val="0000FF"/>
                <w:w w:val="97"/>
              </w:rPr>
            </w:pPr>
            <w:hyperlink r:id="rId115">
              <w:r>
                <w:rPr>
                  <w:rFonts w:ascii="Times New Roman" w:cs="Times New Roman" w:eastAsia="Times New Roman" w:hAnsi="Times New Roman"/>
                  <w:sz w:val="17"/>
                  <w:szCs w:val="17"/>
                  <w:color w:val="0000FF"/>
                  <w:w w:val="97"/>
                </w:rPr>
                <w:t>Marriott Ownership Resorts, Inc., Marriott Vacations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gridSpan w:val="41"/>
          </w:tcPr>
          <w:p>
            <w:pPr>
              <w:spacing w:after="0" w:line="147"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Worldwide Corporation, as guarantor, the other guarantors</w:t>
              </w:r>
            </w:hyperlink>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37"/>
          </w:tcPr>
          <w:p>
            <w:pPr>
              <w:spacing w:after="0" w:line="147"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party thereto and The Bank of New York Mellon Trust</w:t>
              </w:r>
            </w:hyperlink>
          </w:p>
        </w:tc>
        <w:tc>
          <w:tcPr>
            <w:tcW w:w="4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24"/>
          </w:tcPr>
          <w:p>
            <w:pPr>
              <w:spacing w:after="0" w:line="159"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Company, N.A., as trustee</w:t>
              </w:r>
            </w:hyperlink>
          </w:p>
        </w:tc>
        <w:tc>
          <w:tcPr>
            <w:tcW w:w="10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4.10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w w:val="99"/>
              </w:rPr>
            </w:pPr>
            <w:hyperlink r:id="rId116">
              <w:r>
                <w:rPr>
                  <w:rFonts w:ascii="Times New Roman" w:cs="Times New Roman" w:eastAsia="Times New Roman" w:hAnsi="Times New Roman"/>
                  <w:sz w:val="17"/>
                  <w:szCs w:val="17"/>
                  <w:color w:val="0000FF"/>
                  <w:w w:val="99"/>
                </w:rPr>
                <w:t>Form of 4.500% Senior Notes due 2029 (included as</w:t>
              </w:r>
            </w:hyperlink>
          </w:p>
        </w:tc>
        <w:tc>
          <w:tcPr>
            <w:tcW w:w="580" w:type="dxa"/>
            <w:vAlign w:val="bottom"/>
            <w:gridSpan w:val="22"/>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180" w:type="dxa"/>
            <w:vAlign w:val="bottom"/>
            <w:gridSpan w:val="41"/>
            <w:vMerge w:val="restart"/>
          </w:tcPr>
          <w:p>
            <w:pPr>
              <w:spacing w:after="0" w:line="159"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Exhibit A to Exhibit 4.9 above)</w:t>
              </w:r>
            </w:hyperlink>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180" w:type="dxa"/>
            <w:vAlign w:val="bottom"/>
            <w:gridSpan w:val="41"/>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Indenture, dated as of December 8, 2022, by and among</w:t>
              </w:r>
            </w:hyperlink>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1"/>
          </w:tcPr>
          <w:p>
            <w:pPr>
              <w:spacing w:after="0" w:line="159" w:lineRule="exact"/>
              <w:rPr>
                <w:rFonts w:ascii="Times New Roman" w:cs="Times New Roman" w:eastAsia="Times New Roman" w:hAnsi="Times New Roman"/>
                <w:sz w:val="17"/>
                <w:szCs w:val="17"/>
                <w:color w:val="0000FF"/>
                <w:w w:val="98"/>
              </w:rPr>
            </w:pPr>
            <w:hyperlink r:id="rId117">
              <w:r>
                <w:rPr>
                  <w:rFonts w:ascii="Times New Roman" w:cs="Times New Roman" w:eastAsia="Times New Roman" w:hAnsi="Times New Roman"/>
                  <w:sz w:val="17"/>
                  <w:szCs w:val="17"/>
                  <w:color w:val="0000FF"/>
                  <w:w w:val="98"/>
                </w:rPr>
                <w:t>Marriott Vacations Worldwide Corporation, as issuer,</w:t>
              </w:r>
            </w:hyperlink>
          </w:p>
        </w:tc>
        <w:tc>
          <w:tcPr>
            <w:tcW w:w="180" w:type="dxa"/>
            <w:vAlign w:val="bottom"/>
            <w:tcBorders>
              <w:top w:val="single" w:sz="8" w:color="0000FF"/>
            </w:tcBorders>
            <w:gridSpan w:val="8"/>
          </w:tcPr>
          <w:p>
            <w:pPr>
              <w:spacing w:after="0"/>
              <w:rPr>
                <w:sz w:val="13"/>
                <w:szCs w:val="13"/>
                <w:color w:val="auto"/>
              </w:rPr>
            </w:pPr>
          </w:p>
        </w:tc>
        <w:tc>
          <w:tcPr>
            <w:tcW w:w="14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bottom w:val="single" w:sz="8" w:color="0000FF"/>
            </w:tcBorders>
            <w:gridSpan w:val="35"/>
          </w:tcPr>
          <w:p>
            <w:pPr>
              <w:spacing w:after="0" w:line="147"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Marriott Ownership Resorts, Inc. and the other guarantors</w:t>
              </w:r>
            </w:hyperlink>
          </w:p>
        </w:tc>
        <w:tc>
          <w:tcPr>
            <w:tcW w:w="220" w:type="dxa"/>
            <w:vAlign w:val="bottom"/>
            <w:gridSpan w:val="6"/>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gridSpan w:val="41"/>
          </w:tcPr>
          <w:p>
            <w:pPr>
              <w:spacing w:after="0" w:line="147"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party thereto from time to time and The New York Bank of</w:t>
              </w:r>
            </w:hyperlink>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39"/>
          </w:tcPr>
          <w:p>
            <w:pPr>
              <w:spacing w:after="0" w:line="159"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Mellon Trust Company, N.A., as trustee</w:t>
              </w:r>
            </w:hyperlink>
          </w:p>
        </w:tc>
        <w:tc>
          <w:tcPr>
            <w:tcW w:w="1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00" w:type="dxa"/>
            <w:vAlign w:val="bottom"/>
            <w:gridSpan w:val="1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4.12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Form of 3.25% Convertible Senior Notes due 2027</w:t>
              </w:r>
            </w:hyperlink>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tcBorders>
              <w:top w:val="single" w:sz="8" w:color="0000FF"/>
            </w:tcBorders>
            <w:gridSpan w:val="11"/>
            <w:vMerge w:val="restart"/>
          </w:tcPr>
          <w:p>
            <w:pPr>
              <w:spacing w:after="0" w:line="159" w:lineRule="exact"/>
              <w:rPr>
                <w:rFonts w:ascii="Times New Roman" w:cs="Times New Roman" w:eastAsia="Times New Roman" w:hAnsi="Times New Roman"/>
                <w:sz w:val="17"/>
                <w:szCs w:val="17"/>
                <w:color w:val="0000FF"/>
                <w:w w:val="99"/>
              </w:rPr>
            </w:pPr>
            <w:hyperlink r:id="rId118">
              <w:r>
                <w:rPr>
                  <w:rFonts w:ascii="Times New Roman" w:cs="Times New Roman" w:eastAsia="Times New Roman" w:hAnsi="Times New Roman"/>
                  <w:sz w:val="17"/>
                  <w:szCs w:val="17"/>
                  <w:color w:val="0000FF"/>
                  <w:w w:val="99"/>
                </w:rPr>
                <w:t>(included as Exhibit A to Exhibit 4.11 above)</w:t>
              </w:r>
            </w:hyperlink>
          </w:p>
        </w:tc>
        <w:tc>
          <w:tcPr>
            <w:tcW w:w="380" w:type="dxa"/>
            <w:vAlign w:val="bottom"/>
            <w:tcBorders>
              <w:top w:val="single" w:sz="8" w:color="0000FF"/>
            </w:tcBorders>
            <w:gridSpan w:val="6"/>
            <w:vMerge w:val="restart"/>
          </w:tcPr>
          <w:p>
            <w:pPr>
              <w:spacing w:after="0"/>
              <w:rPr>
                <w:sz w:val="9"/>
                <w:szCs w:val="9"/>
                <w:color w:val="auto"/>
              </w:rPr>
            </w:pPr>
          </w:p>
        </w:tc>
        <w:tc>
          <w:tcPr>
            <w:tcW w:w="700" w:type="dxa"/>
            <w:vAlign w:val="bottom"/>
            <w:gridSpan w:val="24"/>
            <w:vMerge w:val="restart"/>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100" w:type="dxa"/>
            <w:vAlign w:val="bottom"/>
            <w:tcBorders>
              <w:bottom w:val="single" w:sz="8" w:color="0000FF"/>
            </w:tcBorders>
            <w:gridSpan w:val="11"/>
            <w:vMerge w:val="continue"/>
          </w:tcPr>
          <w:p>
            <w:pPr>
              <w:spacing w:after="0"/>
              <w:rPr>
                <w:sz w:val="4"/>
                <w:szCs w:val="4"/>
                <w:color w:val="auto"/>
              </w:rPr>
            </w:pPr>
          </w:p>
        </w:tc>
        <w:tc>
          <w:tcPr>
            <w:tcW w:w="380" w:type="dxa"/>
            <w:vAlign w:val="bottom"/>
            <w:gridSpan w:val="6"/>
            <w:vMerge w:val="continue"/>
          </w:tcPr>
          <w:p>
            <w:pPr>
              <w:spacing w:after="0"/>
              <w:rPr>
                <w:sz w:val="4"/>
                <w:szCs w:val="4"/>
                <w:color w:val="auto"/>
              </w:rPr>
            </w:pPr>
          </w:p>
        </w:tc>
        <w:tc>
          <w:tcPr>
            <w:tcW w:w="700" w:type="dxa"/>
            <w:vAlign w:val="bottom"/>
            <w:gridSpan w:val="24"/>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41"/>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Description of Registered Securities</w:t>
              </w:r>
            </w:hyperlink>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20" w:type="dxa"/>
            <w:vAlign w:val="bottom"/>
            <w:gridSpan w:val="15"/>
          </w:tcPr>
          <w:p>
            <w:pPr>
              <w:spacing w:after="0" w:line="20" w:lineRule="exact"/>
              <w:rPr>
                <w:sz w:val="1"/>
                <w:szCs w:val="1"/>
                <w:color w:val="auto"/>
              </w:rPr>
            </w:pPr>
          </w:p>
        </w:tc>
        <w:tc>
          <w:tcPr>
            <w:tcW w:w="500" w:type="dxa"/>
            <w:vAlign w:val="bottom"/>
            <w:gridSpan w:val="1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w w:val="99"/>
              </w:rPr>
            </w:pPr>
            <w:hyperlink r:id="rId120">
              <w:r>
                <w:rPr>
                  <w:rFonts w:ascii="Times New Roman" w:cs="Times New Roman" w:eastAsia="Times New Roman" w:hAnsi="Times New Roman"/>
                  <w:sz w:val="17"/>
                  <w:szCs w:val="17"/>
                  <w:color w:val="0000FF"/>
                  <w:w w:val="99"/>
                </w:rPr>
                <w:t>Marriott Vacations Worldwide Corporation Change in</w:t>
              </w:r>
            </w:hyperlink>
          </w:p>
        </w:tc>
        <w:tc>
          <w:tcPr>
            <w:tcW w:w="480" w:type="dxa"/>
            <w:vAlign w:val="bottom"/>
            <w:gridSpan w:val="18"/>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gridSpan w:val="4"/>
            <w:vMerge w:val="restart"/>
          </w:tcPr>
          <w:p>
            <w:pPr>
              <w:spacing w:after="0" w:line="159" w:lineRule="exact"/>
              <w:rPr>
                <w:rFonts w:ascii="Times New Roman" w:cs="Times New Roman" w:eastAsia="Times New Roman" w:hAnsi="Times New Roman"/>
                <w:sz w:val="17"/>
                <w:szCs w:val="17"/>
                <w:color w:val="0000FF"/>
                <w:w w:val="99"/>
              </w:rPr>
            </w:pPr>
            <w:hyperlink r:id="rId120">
              <w:r>
                <w:rPr>
                  <w:rFonts w:ascii="Times New Roman" w:cs="Times New Roman" w:eastAsia="Times New Roman" w:hAnsi="Times New Roman"/>
                  <w:sz w:val="17"/>
                  <w:szCs w:val="17"/>
                  <w:color w:val="0000FF"/>
                  <w:w w:val="99"/>
                </w:rPr>
                <w:t>Control Severance Plan**</w:t>
              </w:r>
            </w:hyperlink>
          </w:p>
        </w:tc>
        <w:tc>
          <w:tcPr>
            <w:tcW w:w="2400" w:type="dxa"/>
            <w:vAlign w:val="bottom"/>
            <w:gridSpan w:val="37"/>
            <w:vMerge w:val="restart"/>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80" w:type="dxa"/>
            <w:vAlign w:val="bottom"/>
            <w:tcBorders>
              <w:bottom w:val="single" w:sz="8" w:color="0000FF"/>
            </w:tcBorders>
            <w:gridSpan w:val="4"/>
            <w:vMerge w:val="continue"/>
          </w:tcPr>
          <w:p>
            <w:pPr>
              <w:spacing w:after="0"/>
              <w:rPr>
                <w:sz w:val="4"/>
                <w:szCs w:val="4"/>
                <w:color w:val="auto"/>
              </w:rPr>
            </w:pPr>
          </w:p>
        </w:tc>
        <w:tc>
          <w:tcPr>
            <w:tcW w:w="2400" w:type="dxa"/>
            <w:vAlign w:val="bottom"/>
            <w:gridSpan w:val="37"/>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-6504305</wp:posOffset>
            </wp:positionV>
            <wp:extent cx="5269230" cy="284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5269230" cy="2844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-5902960</wp:posOffset>
            </wp:positionV>
            <wp:extent cx="5269230" cy="422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5269230" cy="4229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-4902835</wp:posOffset>
            </wp:positionV>
            <wp:extent cx="5269230" cy="5124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5269230" cy="5124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-3869690</wp:posOffset>
            </wp:positionV>
            <wp:extent cx="5269230" cy="284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5269230" cy="2844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-3007995</wp:posOffset>
            </wp:positionV>
            <wp:extent cx="5269230" cy="5772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5269230" cy="5772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-2146300</wp:posOffset>
            </wp:positionV>
            <wp:extent cx="5269230" cy="5772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5269230" cy="5772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-1283970</wp:posOffset>
            </wp:positionV>
            <wp:extent cx="5269230" cy="585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5269230" cy="5854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-414020</wp:posOffset>
            </wp:positionV>
            <wp:extent cx="526923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526923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Form</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Date Filed</w:t>
            </w:r>
          </w:p>
        </w:tc>
      </w:tr>
      <w:tr>
        <w:trPr>
          <w:trHeight w:val="314"/>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5/15/2023</w:t>
            </w:r>
          </w:p>
        </w:tc>
      </w:tr>
      <w:tr>
        <w:trPr>
          <w:trHeight w:val="474"/>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8/4/2023</w:t>
            </w:r>
          </w:p>
        </w:tc>
      </w:tr>
      <w:tr>
        <w:trPr>
          <w:trHeight w:val="576"/>
        </w:trPr>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10/14/2011</w:t>
            </w:r>
          </w:p>
        </w:tc>
      </w:tr>
      <w:tr>
        <w:trPr>
          <w:trHeight w:val="794"/>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r>
      <w:tr>
        <w:trPr>
          <w:trHeight w:val="858"/>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3/2/2020</w:t>
            </w:r>
          </w:p>
        </w:tc>
      </w:tr>
      <w:tr>
        <w:trPr>
          <w:trHeight w:val="807"/>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3/2/2020</w:t>
            </w:r>
          </w:p>
        </w:tc>
      </w:tr>
      <w:tr>
        <w:trPr>
          <w:trHeight w:val="640"/>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r>
      <w:tr>
        <w:trPr>
          <w:trHeight w:val="679"/>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r>
      <w:tr>
        <w:trPr>
          <w:trHeight w:val="909"/>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2/3/2021</w:t>
            </w:r>
          </w:p>
        </w:tc>
      </w:tr>
      <w:tr>
        <w:trPr>
          <w:trHeight w:val="679"/>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2/3/2021</w:t>
            </w:r>
          </w:p>
        </w:tc>
      </w:tr>
      <w:tr>
        <w:trPr>
          <w:trHeight w:val="679"/>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6/22/2021</w:t>
            </w:r>
          </w:p>
        </w:tc>
      </w:tr>
      <w:tr>
        <w:trPr>
          <w:trHeight w:val="679"/>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6/22/2021</w:t>
            </w:r>
          </w:p>
        </w:tc>
      </w:tr>
      <w:tr>
        <w:trPr>
          <w:trHeight w:val="679"/>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12/8/2022</w:t>
            </w:r>
          </w:p>
        </w:tc>
      </w:tr>
      <w:tr>
        <w:trPr>
          <w:trHeight w:val="691"/>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12/8/2022</w:t>
            </w:r>
          </w:p>
        </w:tc>
      </w:tr>
      <w:tr>
        <w:trPr>
          <w:trHeight w:val="346"/>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3/2/2020</w:t>
            </w:r>
          </w:p>
        </w:tc>
      </w:tr>
      <w:tr>
        <w:trPr>
          <w:trHeight w:val="359"/>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10.25</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02/27/2024</w:t>
            </w:r>
          </w:p>
        </w:tc>
      </w:tr>
    </w:tbl>
    <w:p>
      <w:pPr>
        <w:spacing w:after="0" w:line="263" w:lineRule="exact"/>
        <w:rPr>
          <w:sz w:val="20"/>
          <w:szCs w:val="20"/>
          <w:color w:val="auto"/>
        </w:rPr>
      </w:pPr>
    </w:p>
    <w:p>
      <w:pPr>
        <w:sectPr>
          <w:pgSz w:w="11900" w:h="16838" w:orient="portrait"/>
          <w:cols w:equalWidth="0" w:num="2">
            <w:col w:w="5720" w:space="120"/>
            <w:col w:w="4299"/>
          </w:cols>
          <w:pgMar w:left="320" w:top="226" w:right="1440" w:bottom="1440" w:gutter="0" w:footer="0" w:header="0"/>
          <w:type w:val="continuous"/>
        </w:sectPr>
      </w:pPr>
    </w:p>
    <w:p>
      <w:pPr>
        <w:spacing w:after="0" w:line="18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139"/>
          </w:cols>
          <w:pgMar w:left="320" w:top="2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Exhibit</w:t>
      </w:r>
    </w:p>
    <w:p>
      <w:pPr>
        <w:ind w:left="8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10.3</w:t>
      </w: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10.4</w:t>
      </w:r>
    </w:p>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10.5</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22.1</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31.1</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31.2</w:t>
      </w:r>
    </w:p>
    <w:p>
      <w:pPr>
        <w:spacing w:after="0" w:line="3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32.1</w:t>
      </w: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16510</wp:posOffset>
            </wp:positionV>
            <wp:extent cx="5269230" cy="7156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5269230" cy="715645"/>
                    </a:xfrm>
                    <a:prstGeom prst="rect">
                      <a:avLst/>
                    </a:prstGeom>
                    <a:noFill/>
                  </pic:spPr>
                </pic:pic>
              </a:graphicData>
            </a:graphic>
          </wp:anchor>
        </w:drawing>
      </w:r>
    </w:p>
    <w:p>
      <w:pPr>
        <w:spacing w:after="0" w:line="28"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Incremental Facility Amendment and Amendment No. 3,</w:t>
        </w:r>
      </w:hyperlink>
    </w:p>
    <w:p>
      <w:pPr>
        <w:spacing w:after="0" w:line="2" w:lineRule="exact"/>
        <w:rPr>
          <w:sz w:val="20"/>
          <w:szCs w:val="20"/>
          <w:color w:val="auto"/>
        </w:rPr>
      </w:pPr>
    </w:p>
    <w:p>
      <w:pPr>
        <w:ind w:right="80"/>
        <w:spacing w:after="0" w:line="209" w:lineRule="auto"/>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dated as of April 1, 2024, by and among Marriott</w:t>
        </w:r>
      </w:hyperlink>
      <w:r>
        <w:rPr>
          <w:rFonts w:ascii="Times New Roman" w:cs="Times New Roman" w:eastAsia="Times New Roman" w:hAnsi="Times New Roman"/>
          <w:sz w:val="17"/>
          <w:szCs w:val="17"/>
          <w:u w:val="single" w:color="auto"/>
          <w:color w:val="0000FF"/>
        </w:rPr>
        <w:t xml:space="preserve"> </w:t>
      </w:r>
      <w:hyperlink r:id="rId131">
        <w:r>
          <w:rPr>
            <w:rFonts w:ascii="Times New Roman" w:cs="Times New Roman" w:eastAsia="Times New Roman" w:hAnsi="Times New Roman"/>
            <w:sz w:val="17"/>
            <w:szCs w:val="17"/>
            <w:u w:val="single" w:color="auto"/>
            <w:color w:val="0000FF"/>
          </w:rPr>
          <w:t>Vacations Worldwide Corporation, Marriott Ownership</w:t>
        </w:r>
      </w:hyperlink>
      <w:r>
        <w:rPr>
          <w:rFonts w:ascii="Times New Roman" w:cs="Times New Roman" w:eastAsia="Times New Roman" w:hAnsi="Times New Roman"/>
          <w:sz w:val="17"/>
          <w:szCs w:val="17"/>
          <w:u w:val="single" w:color="auto"/>
          <w:color w:val="0000FF"/>
        </w:rPr>
        <w:t xml:space="preserve"> </w:t>
      </w:r>
      <w:hyperlink r:id="rId131">
        <w:r>
          <w:rPr>
            <w:rFonts w:ascii="Times New Roman" w:cs="Times New Roman" w:eastAsia="Times New Roman" w:hAnsi="Times New Roman"/>
            <w:sz w:val="17"/>
            <w:szCs w:val="17"/>
            <w:u w:val="single" w:color="auto"/>
            <w:color w:val="0000FF"/>
          </w:rPr>
          <w:t>Resorts, Inc., as borrower, the subsidiary guarantors party</w:t>
        </w:r>
      </w:hyperlink>
    </w:p>
    <w:p>
      <w:pPr>
        <w:spacing w:after="0" w:line="2" w:lineRule="exact"/>
        <w:rPr>
          <w:rFonts w:ascii="Times New Roman" w:cs="Times New Roman" w:eastAsia="Times New Roman" w:hAnsi="Times New Roman"/>
          <w:sz w:val="17"/>
          <w:szCs w:val="17"/>
          <w:u w:val="single" w:color="auto"/>
          <w:color w:val="0000FF"/>
        </w:rPr>
      </w:pPr>
    </w:p>
    <w:p>
      <w:pPr>
        <w:ind w:right="240"/>
        <w:spacing w:after="0" w:line="227" w:lineRule="auto"/>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thereto, JPMorgan Chase Bank, N.A., as administrative</w:t>
        </w:r>
      </w:hyperlink>
      <w:r>
        <w:rPr>
          <w:rFonts w:ascii="Times New Roman" w:cs="Times New Roman" w:eastAsia="Times New Roman" w:hAnsi="Times New Roman"/>
          <w:sz w:val="17"/>
          <w:szCs w:val="17"/>
          <w:u w:val="single" w:color="auto"/>
          <w:color w:val="0000FF"/>
        </w:rPr>
        <w:t xml:space="preserve"> </w:t>
      </w:r>
      <w:hyperlink r:id="rId131">
        <w:r>
          <w:rPr>
            <w:rFonts w:ascii="Times New Roman" w:cs="Times New Roman" w:eastAsia="Times New Roman" w:hAnsi="Times New Roman"/>
            <w:sz w:val="17"/>
            <w:szCs w:val="17"/>
            <w:u w:val="single" w:color="auto"/>
            <w:color w:val="0000FF"/>
          </w:rPr>
          <w:t>agent and collateral agent, and the lenders party thereto</w:t>
        </w:r>
      </w:hyperlink>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Form of Stock Appreciation Right Agreement - Marriott</w:t>
      </w:r>
    </w:p>
    <w:p>
      <w:pPr>
        <w:spacing w:after="0" w:line="206" w:lineRule="auto"/>
        <w:rPr>
          <w:sz w:val="20"/>
          <w:szCs w:val="20"/>
          <w:color w:val="auto"/>
        </w:rPr>
      </w:pPr>
      <w:r>
        <w:rPr>
          <w:rFonts w:ascii="Times New Roman" w:cs="Times New Roman" w:eastAsia="Times New Roman" w:hAnsi="Times New Roman"/>
          <w:sz w:val="17"/>
          <w:szCs w:val="17"/>
          <w:u w:val="single" w:color="auto"/>
          <w:color w:val="0000FF"/>
        </w:rPr>
        <w:t>Vacations Worldwide Corporation 2020 Equity Incentive</w:t>
      </w:r>
    </w:p>
    <w:p>
      <w:pPr>
        <w:spacing w:after="0"/>
        <w:rPr>
          <w:sz w:val="20"/>
          <w:szCs w:val="20"/>
          <w:color w:val="auto"/>
        </w:rPr>
      </w:pPr>
      <w:r>
        <w:rPr>
          <w:rFonts w:ascii="Times New Roman" w:cs="Times New Roman" w:eastAsia="Times New Roman" w:hAnsi="Times New Roman"/>
          <w:sz w:val="17"/>
          <w:szCs w:val="17"/>
          <w:u w:val="single" w:color="auto"/>
          <w:color w:val="0000FF"/>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5080</wp:posOffset>
            </wp:positionV>
            <wp:extent cx="5269230" cy="3575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5269230" cy="3575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u w:val="single" w:color="auto"/>
          <w:color w:val="0000FF"/>
        </w:rPr>
        <w:t>Form of Restricted Stock Unit Agreement - Marriott</w:t>
      </w:r>
    </w:p>
    <w:p>
      <w:pPr>
        <w:ind w:right="140"/>
        <w:spacing w:after="0" w:line="227" w:lineRule="auto"/>
        <w:rPr>
          <w:sz w:val="20"/>
          <w:szCs w:val="20"/>
          <w:color w:val="auto"/>
        </w:rPr>
      </w:pPr>
      <w:r>
        <w:rPr>
          <w:rFonts w:ascii="Times New Roman" w:cs="Times New Roman" w:eastAsia="Times New Roman" w:hAnsi="Times New Roman"/>
          <w:sz w:val="17"/>
          <w:szCs w:val="17"/>
          <w:u w:val="single" w:color="auto"/>
          <w:color w:val="0000FF"/>
        </w:rPr>
        <w:t>Vacations Worldwide Corporation 2020 Equity Incentive Plan**</w:t>
      </w:r>
    </w:p>
    <w:p>
      <w:pPr>
        <w:spacing w:after="0" w:line="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u w:val="single" w:color="auto"/>
          <w:color w:val="0000FF"/>
        </w:rPr>
        <w:t>Form of Performance Unit Agreement - Marriott Vacations Worldwide Corporation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-4445</wp:posOffset>
            </wp:positionV>
            <wp:extent cx="526923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5269230" cy="162560"/>
                    </a:xfrm>
                    <a:prstGeom prst="rect">
                      <a:avLst/>
                    </a:prstGeom>
                    <a:noFill/>
                  </pic:spPr>
                </pic:pic>
              </a:graphicData>
            </a:graphic>
          </wp:anchor>
        </w:drawing>
      </w:r>
    </w:p>
    <w:p>
      <w:pPr>
        <w:spacing w:after="0"/>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List of the Issuer and its Guarantor Subsidiaries</w:t>
        </w:r>
      </w:hyperlink>
    </w:p>
    <w:p>
      <w:pPr>
        <w:spacing w:after="0" w:line="73"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7"/>
          <w:szCs w:val="17"/>
          <w:u w:val="single" w:color="auto"/>
          <w:color w:val="0000FF"/>
        </w:rPr>
        <w:t>Certification by Chief Executive Officer Pursuant to Rule 13a-14(a)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10160</wp:posOffset>
            </wp:positionV>
            <wp:extent cx="5269230" cy="284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5269230" cy="284480"/>
                    </a:xfrm>
                    <a:prstGeom prst="rect">
                      <a:avLst/>
                    </a:prstGeom>
                    <a:noFill/>
                  </pic:spPr>
                </pic:pic>
              </a:graphicData>
            </a:graphic>
          </wp:anchor>
        </w:drawing>
      </w:r>
    </w:p>
    <w:p>
      <w:pPr>
        <w:spacing w:after="0" w:line="18"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7"/>
          <w:szCs w:val="17"/>
          <w:u w:val="single" w:color="auto"/>
          <w:color w:val="0000FF"/>
        </w:rPr>
        <w:t>Certification by Chief Financial Officer Pursuant to Rule 13a-14(a) of the Securities Exchange Act of 1934</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 by Chief Executive Officer Pursuant to 18</w:t>
      </w:r>
    </w:p>
    <w:p>
      <w:pPr>
        <w:spacing w:after="0" w:line="2"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7"/>
          <w:szCs w:val="17"/>
          <w:u w:val="single" w:color="auto"/>
          <w:color w:val="0000FF"/>
        </w:rPr>
        <w:t>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16510</wp:posOffset>
            </wp:positionV>
            <wp:extent cx="5269230" cy="390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5269230" cy="39052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 by Chief Financial Officer Pursuant to 18</w:t>
      </w:r>
    </w:p>
    <w:p>
      <w:pPr>
        <w:spacing w:after="0" w:line="2"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7"/>
          <w:szCs w:val="17"/>
          <w:u w:val="single" w:color="auto"/>
          <w:color w:val="0000FF"/>
        </w:rPr>
        <w:t>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w:t>
      </w:r>
    </w:p>
    <w:p>
      <w:pPr>
        <w:spacing w:after="0" w:line="3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w:t>
      </w:r>
    </w:p>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w:t>
      </w: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w:t>
      </w: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16510</wp:posOffset>
            </wp:positionV>
            <wp:extent cx="1561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1561465" cy="8255"/>
                    </a:xfrm>
                    <a:prstGeom prst="rect">
                      <a:avLst/>
                    </a:prstGeom>
                    <a:noFill/>
                  </pic:spPr>
                </pic:pic>
              </a:graphicData>
            </a:graphic>
          </wp:anchor>
        </w:drawing>
      </w:r>
    </w:p>
    <w:p>
      <w:pPr>
        <w:spacing w:after="0" w:line="12" w:lineRule="exact"/>
        <w:rPr>
          <w:sz w:val="20"/>
          <w:szCs w:val="20"/>
          <w:color w:val="auto"/>
        </w:rPr>
      </w:pPr>
    </w:p>
    <w:p>
      <w:pPr>
        <w:spacing w:after="0"/>
        <w:tabs>
          <w:tab w:leader="none" w:pos="680" w:val="left"/>
          <w:tab w:leader="none" w:pos="1520" w:val="left"/>
        </w:tabs>
        <w:rPr>
          <w:sz w:val="20"/>
          <w:szCs w:val="20"/>
          <w:color w:val="auto"/>
        </w:rPr>
      </w:pPr>
      <w:r>
        <w:rPr>
          <w:rFonts w:ascii="Times New Roman" w:cs="Times New Roman" w:eastAsia="Times New Roman" w:hAnsi="Times New Roman"/>
          <w:sz w:val="15"/>
          <w:szCs w:val="15"/>
          <w:b w:val="1"/>
          <w:bCs w:val="1"/>
          <w:color w:val="auto"/>
        </w:rPr>
        <w:t>Form</w:t>
      </w:r>
      <w:r>
        <w:rPr>
          <w:sz w:val="20"/>
          <w:szCs w:val="20"/>
          <w:color w:val="auto"/>
        </w:rPr>
        <w:tab/>
      </w:r>
      <w:r>
        <w:rPr>
          <w:rFonts w:ascii="Times New Roman" w:cs="Times New Roman" w:eastAsia="Times New Roman" w:hAnsi="Times New Roman"/>
          <w:sz w:val="15"/>
          <w:szCs w:val="15"/>
          <w:b w:val="1"/>
          <w:bCs w:val="1"/>
          <w:color w:val="auto"/>
        </w:rPr>
        <w:t>Exhibit</w:t>
      </w:r>
      <w:r>
        <w:rPr>
          <w:sz w:val="20"/>
          <w:szCs w:val="20"/>
          <w:color w:val="auto"/>
        </w:rPr>
        <w:tab/>
      </w:r>
      <w:r>
        <w:rPr>
          <w:rFonts w:ascii="Times New Roman" w:cs="Times New Roman" w:eastAsia="Times New Roman" w:hAnsi="Times New Roman"/>
          <w:sz w:val="13"/>
          <w:szCs w:val="13"/>
          <w:b w:val="1"/>
          <w:bCs w:val="1"/>
          <w:color w:val="auto"/>
        </w:rPr>
        <w:t>Date Filed</w:t>
      </w: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60" w:val="left"/>
          <w:tab w:leader="none" w:pos="148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04/2/2024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760" w:val="left"/>
          <w:tab w:leader="none" w:pos="1440" w:val="left"/>
        </w:tabs>
        <w:rPr>
          <w:sz w:val="20"/>
          <w:szCs w:val="20"/>
          <w:color w:val="auto"/>
        </w:rPr>
      </w:pPr>
      <w:r>
        <w:rPr>
          <w:rFonts w:ascii="Times New Roman" w:cs="Times New Roman" w:eastAsia="Times New Roman" w:hAnsi="Times New Roman"/>
          <w:sz w:val="17"/>
          <w:szCs w:val="17"/>
          <w:color w:val="auto"/>
        </w:rPr>
        <w:t>10-K</w:t>
      </w:r>
      <w:r>
        <w:rPr>
          <w:sz w:val="20"/>
          <w:szCs w:val="20"/>
          <w:color w:val="auto"/>
        </w:rPr>
        <w:tab/>
      </w: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7"/>
          <w:szCs w:val="17"/>
          <w:color w:val="auto"/>
        </w:rPr>
        <w:t>02/27/2024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Furnished</w:t>
      </w: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Furnished</w:t>
      </w:r>
    </w:p>
    <w:p>
      <w:pPr>
        <w:spacing w:after="0" w:line="253" w:lineRule="exact"/>
        <w:rPr>
          <w:sz w:val="20"/>
          <w:szCs w:val="20"/>
          <w:color w:val="auto"/>
        </w:rPr>
      </w:pPr>
    </w:p>
    <w:p>
      <w:pPr>
        <w:sectPr>
          <w:pgSz w:w="11900" w:h="16838" w:orient="portrait"/>
          <w:cols w:equalWidth="0" w:num="4">
            <w:col w:w="600" w:space="220"/>
            <w:col w:w="4020" w:space="240"/>
            <w:col w:w="580" w:space="320"/>
            <w:col w:w="4159"/>
          </w:cols>
          <w:pgMar w:left="320" w:top="225" w:right="1440" w:bottom="1440" w:gutter="0" w:footer="0" w:header="0"/>
          <w:type w:val="continuous"/>
        </w:sectPr>
      </w:pPr>
    </w:p>
    <w:p>
      <w:pPr>
        <w:ind w:left="820" w:right="2259"/>
        <w:spacing w:after="0" w:line="223" w:lineRule="auto"/>
        <w:rPr>
          <w:sz w:val="20"/>
          <w:szCs w:val="20"/>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March 31, 2024, formatted in Inline XBRL: (i) Interim Consolidated Statements of Income, (ii)</w:t>
      </w:r>
    </w:p>
    <w:p>
      <w:pPr>
        <w:ind w:left="820" w:right="1999" w:hanging="606"/>
        <w:spacing w:after="0" w:line="212" w:lineRule="auto"/>
        <w:tabs>
          <w:tab w:leader="none" w:pos="8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Consolidated Statements of Comprehensive Income, (iii) Interim Consolidated Balance Sheets, (iv) Interim Consolidated Statements of Cash Flows, (v) Interim Consolidated Statements of Stockholders’</w:t>
      </w:r>
    </w:p>
    <w:p>
      <w:pPr>
        <w:sectPr>
          <w:pgSz w:w="11900" w:h="16838" w:orient="portrait"/>
          <w:cols w:equalWidth="0" w:num="1">
            <w:col w:w="10139"/>
          </w:cols>
          <w:pgMar w:left="320" w:top="225" w:right="1440" w:bottom="1440" w:gutter="0" w:footer="0" w:header="0"/>
          <w:type w:val="continuous"/>
        </w:sectPr>
      </w:pPr>
    </w:p>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104</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Equity, and (vi) Notes to Interim Consolidated Financial Statements</w:t>
      </w:r>
    </w:p>
    <w:p>
      <w:pPr>
        <w:spacing w:after="0" w:line="30" w:lineRule="exact"/>
        <w:rPr>
          <w:sz w:val="20"/>
          <w:szCs w:val="20"/>
          <w:color w:val="auto"/>
        </w:rPr>
      </w:pPr>
    </w:p>
    <w:p>
      <w:pPr>
        <w:ind w:right="1959"/>
        <w:spacing w:after="0" w:line="252" w:lineRule="auto"/>
        <w:rPr>
          <w:sz w:val="20"/>
          <w:szCs w:val="20"/>
          <w:color w:val="auto"/>
        </w:rPr>
      </w:pPr>
      <w:r>
        <w:rPr>
          <w:rFonts w:ascii="Times New Roman" w:cs="Times New Roman" w:eastAsia="Times New Roman" w:hAnsi="Times New Roman"/>
          <w:sz w:val="17"/>
          <w:szCs w:val="17"/>
          <w:color w:val="auto"/>
        </w:rPr>
        <w:t>The cover page from the Company’s Quarterly Report on Form 10-Q for the quarter ended March 31, 2024,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-257810</wp:posOffset>
            </wp:positionV>
            <wp:extent cx="5269230" cy="260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5269230" cy="260350"/>
                    </a:xfrm>
                    <a:prstGeom prst="rect">
                      <a:avLst/>
                    </a:prstGeom>
                    <a:noFill/>
                  </pic:spPr>
                </pic:pic>
              </a:graphicData>
            </a:graphic>
          </wp:anchor>
        </w:drawing>
      </w:r>
    </w:p>
    <w:p>
      <w:pPr>
        <w:spacing w:after="0" w:line="197" w:lineRule="exact"/>
        <w:rPr>
          <w:sz w:val="20"/>
          <w:szCs w:val="20"/>
          <w:color w:val="auto"/>
        </w:rPr>
      </w:pPr>
    </w:p>
    <w:p>
      <w:pPr>
        <w:ind w:left="40" w:right="1899"/>
        <w:spacing w:after="0" w:line="238" w:lineRule="auto"/>
        <w:rPr>
          <w:sz w:val="20"/>
          <w:szCs w:val="20"/>
          <w:color w:val="auto"/>
        </w:rPr>
      </w:pPr>
      <w:r>
        <w:rPr>
          <w:rFonts w:ascii="Times New Roman" w:cs="Times New Roman" w:eastAsia="Times New Roman" w:hAnsi="Times New Roman"/>
          <w:sz w:val="17"/>
          <w:szCs w:val="17"/>
          <w:color w:val="auto"/>
        </w:rPr>
        <w:t>Schedules have been omitted pursuant to Item 601(b)(2) of Regulation S-K. The Company agrees to furnish supplemental copies to the SEC of any omitted schedule upon request by the SEC.</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Management contract or compensatory plan or arrangement.</w:t>
      </w:r>
    </w:p>
    <w:p>
      <w:pPr>
        <w:spacing w:after="0" w:line="200" w:lineRule="exact"/>
        <w:rPr>
          <w:sz w:val="20"/>
          <w:szCs w:val="20"/>
          <w:color w:val="auto"/>
        </w:rPr>
      </w:pPr>
    </w:p>
    <w:p>
      <w:pPr>
        <w:sectPr>
          <w:pgSz w:w="11900" w:h="16838" w:orient="portrait"/>
          <w:cols w:equalWidth="0" w:num="2">
            <w:col w:w="460" w:space="360"/>
            <w:col w:w="9319"/>
          </w:cols>
          <w:pgMar w:left="320" w:top="225" w:right="1440" w:bottom="1440" w:gutter="0" w:footer="0" w:header="0"/>
          <w:type w:val="continuous"/>
        </w:sectPr>
      </w:pP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280035</wp:posOffset>
            </wp:positionV>
            <wp:extent cx="71647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53" w:name="page54"/>
    <w:bookmarkEnd w:id="53"/>
    <w:p>
      <w:pPr>
        <w:ind w:left="53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67" w:lineRule="exact"/>
        <w:rPr>
          <w:sz w:val="20"/>
          <w:szCs w:val="20"/>
          <w:color w:val="auto"/>
        </w:rPr>
      </w:pPr>
    </w:p>
    <w:tbl>
      <w:tblPr>
        <w:tblLayout w:type="fixed"/>
        <w:tblInd w:w="150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VACATIONS WORLDWIDE CORPORATION</w:t>
            </w:r>
          </w:p>
        </w:tc>
      </w:tr>
      <w:tr>
        <w:trPr>
          <w:trHeight w:val="511"/>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2024</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E. Geller, Jr.</w:t>
            </w:r>
          </w:p>
        </w:tc>
      </w:tr>
      <w:tr>
        <w:trPr>
          <w:trHeight w:val="237"/>
        </w:trPr>
        <w:tc>
          <w:tcPr>
            <w:tcW w:w="31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E. Geller, Jr.</w:t>
            </w:r>
          </w:p>
        </w:tc>
      </w:tr>
      <w:tr>
        <w:trPr>
          <w:trHeight w:val="256"/>
        </w:trPr>
        <w:tc>
          <w:tcPr>
            <w:tcW w:w="314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511"/>
        </w:trPr>
        <w:tc>
          <w:tcPr>
            <w:tcW w:w="3140" w:type="dxa"/>
            <w:vAlign w:val="bottom"/>
          </w:tcPr>
          <w:p>
            <w:pPr>
              <w:spacing w:after="0"/>
              <w:rPr>
                <w:sz w:val="24"/>
                <w:szCs w:val="24"/>
                <w:color w:val="auto"/>
              </w:rPr>
            </w:pP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Jason P. Marino</w:t>
            </w:r>
          </w:p>
        </w:tc>
      </w:tr>
      <w:tr>
        <w:trPr>
          <w:trHeight w:val="237"/>
        </w:trPr>
        <w:tc>
          <w:tcPr>
            <w:tcW w:w="31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Jason P. Marino</w:t>
            </w:r>
          </w:p>
        </w:tc>
      </w:tr>
      <w:tr>
        <w:trPr>
          <w:trHeight w:val="256"/>
        </w:trPr>
        <w:tc>
          <w:tcPr>
            <w:tcW w:w="314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551"/>
        </w:trPr>
        <w:tc>
          <w:tcPr>
            <w:tcW w:w="3140" w:type="dxa"/>
            <w:vAlign w:val="bottom"/>
          </w:tcPr>
          <w:p>
            <w:pPr>
              <w:spacing w:after="0"/>
              <w:rPr>
                <w:sz w:val="24"/>
                <w:szCs w:val="24"/>
                <w:color w:val="auto"/>
              </w:rPr>
            </w:pPr>
          </w:p>
        </w:tc>
        <w:tc>
          <w:tcPr>
            <w:tcW w:w="51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52</w:t>
            </w:r>
          </w:p>
        </w:tc>
      </w:tr>
    </w:tbl>
    <w:p>
      <w:pPr>
        <w:sectPr>
          <w:pgSz w:w="11900" w:h="16838" w:orient="portrait"/>
          <w:cols w:equalWidth="0" w:num="1">
            <w:col w:w="10620"/>
          </w:cols>
          <w:pgMar w:left="320" w:top="1118" w:right="9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STOCK APPRECIATION RIGHT AGREEMENT</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2020 EQUITY INCENTIVE PLAN</w:t>
      </w:r>
    </w:p>
    <w:p>
      <w:pPr>
        <w:spacing w:after="0" w:line="216" w:lineRule="exact"/>
        <w:rPr>
          <w:sz w:val="20"/>
          <w:szCs w:val="20"/>
          <w:color w:val="auto"/>
        </w:rPr>
      </w:pPr>
    </w:p>
    <w:p>
      <w:pPr>
        <w:ind w:right="40" w:firstLine="461"/>
        <w:spacing w:after="0" w:line="304" w:lineRule="auto"/>
        <w:rPr>
          <w:sz w:val="20"/>
          <w:szCs w:val="20"/>
          <w:color w:val="auto"/>
        </w:rPr>
      </w:pPr>
      <w:r>
        <w:rPr>
          <w:rFonts w:ascii="Times New Roman" w:cs="Times New Roman" w:eastAsia="Times New Roman" w:hAnsi="Times New Roman"/>
          <w:sz w:val="16"/>
          <w:szCs w:val="16"/>
          <w:color w:val="auto"/>
        </w:rPr>
        <w:t>THIS AGREEMENT (the “Agreement”) is made on &lt;</w:t>
      </w:r>
      <w:r>
        <w:rPr>
          <w:rFonts w:ascii="Times New Roman" w:cs="Times New Roman" w:eastAsia="Times New Roman" w:hAnsi="Times New Roman"/>
          <w:sz w:val="16"/>
          <w:szCs w:val="16"/>
          <w:b w:val="1"/>
          <w:bCs w:val="1"/>
          <w:color w:val="auto"/>
        </w:rPr>
        <w:t>&lt;GRANT DATE&gt;&gt;</w:t>
      </w:r>
      <w:r>
        <w:rPr>
          <w:rFonts w:ascii="Times New Roman" w:cs="Times New Roman" w:eastAsia="Times New Roman" w:hAnsi="Times New Roman"/>
          <w:sz w:val="16"/>
          <w:szCs w:val="16"/>
          <w:color w:val="auto"/>
        </w:rPr>
        <w:t xml:space="preserve"> (the “Grant Date”) by MARRIOTT VACATIONS WORLDWIDE CORPORATION (the “Company”) and </w:t>
      </w:r>
      <w:r>
        <w:rPr>
          <w:rFonts w:ascii="Times New Roman" w:cs="Times New Roman" w:eastAsia="Times New Roman" w:hAnsi="Times New Roman"/>
          <w:sz w:val="16"/>
          <w:szCs w:val="16"/>
          <w:b w:val="1"/>
          <w:bCs w:val="1"/>
          <w:color w:val="auto"/>
        </w:rPr>
        <w:t>&lt;&lt;PARTICIPANT NAME&gt;&gt;</w:t>
      </w:r>
      <w:r>
        <w:rPr>
          <w:rFonts w:ascii="Times New Roman" w:cs="Times New Roman" w:eastAsia="Times New Roman" w:hAnsi="Times New Roman"/>
          <w:sz w:val="16"/>
          <w:szCs w:val="16"/>
          <w:color w:val="auto"/>
        </w:rPr>
        <w:t xml:space="preserve"> (“Employee”).</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WITNESSETH:</w:t>
      </w:r>
    </w:p>
    <w:p>
      <w:pPr>
        <w:spacing w:after="0" w:line="239" w:lineRule="exact"/>
        <w:rPr>
          <w:sz w:val="20"/>
          <w:szCs w:val="20"/>
          <w:color w:val="auto"/>
        </w:rPr>
      </w:pPr>
    </w:p>
    <w:p>
      <w:pPr>
        <w:ind w:right="460" w:firstLine="461"/>
        <w:spacing w:after="0" w:line="285" w:lineRule="auto"/>
        <w:rPr>
          <w:sz w:val="20"/>
          <w:szCs w:val="20"/>
          <w:color w:val="auto"/>
        </w:rPr>
      </w:pPr>
      <w:r>
        <w:rPr>
          <w:rFonts w:ascii="Times New Roman" w:cs="Times New Roman" w:eastAsia="Times New Roman" w:hAnsi="Times New Roman"/>
          <w:sz w:val="16"/>
          <w:szCs w:val="16"/>
          <w:color w:val="auto"/>
        </w:rPr>
        <w:t>WHEREAS, the Company maintains the Marriott Vacations Worldwide Corporation 2020 Equity Incentive Plan, as it may be amended from time to time (the “Plan”); and</w:t>
      </w:r>
    </w:p>
    <w:p>
      <w:pPr>
        <w:spacing w:after="0" w:line="178" w:lineRule="exact"/>
        <w:rPr>
          <w:sz w:val="20"/>
          <w:szCs w:val="20"/>
          <w:color w:val="auto"/>
        </w:rPr>
      </w:pPr>
    </w:p>
    <w:p>
      <w:pPr>
        <w:ind w:right="460" w:firstLine="461"/>
        <w:spacing w:after="0" w:line="301" w:lineRule="auto"/>
        <w:rPr>
          <w:sz w:val="20"/>
          <w:szCs w:val="20"/>
          <w:color w:val="auto"/>
        </w:rPr>
      </w:pPr>
      <w:r>
        <w:rPr>
          <w:rFonts w:ascii="Times New Roman" w:cs="Times New Roman" w:eastAsia="Times New Roman" w:hAnsi="Times New Roman"/>
          <w:sz w:val="16"/>
          <w:szCs w:val="16"/>
          <w:color w:val="auto"/>
        </w:rPr>
        <w:t>WHEREAS, the Company wishes to award to designated employees certain Stock Appreciation Right awards as provided in Article 6 of the Plan (“SARs” or “Awards”); and</w:t>
      </w:r>
    </w:p>
    <w:p>
      <w:pPr>
        <w:spacing w:after="0" w:line="166" w:lineRule="exact"/>
        <w:rPr>
          <w:sz w:val="20"/>
          <w:szCs w:val="20"/>
          <w:color w:val="auto"/>
        </w:rPr>
      </w:pPr>
    </w:p>
    <w:p>
      <w:pPr>
        <w:ind w:right="200" w:firstLine="461"/>
        <w:spacing w:after="0" w:line="285" w:lineRule="auto"/>
        <w:rPr>
          <w:sz w:val="20"/>
          <w:szCs w:val="20"/>
          <w:color w:val="auto"/>
        </w:rPr>
      </w:pPr>
      <w:r>
        <w:rPr>
          <w:rFonts w:ascii="Times New Roman" w:cs="Times New Roman" w:eastAsia="Times New Roman" w:hAnsi="Times New Roman"/>
          <w:sz w:val="16"/>
          <w:szCs w:val="16"/>
          <w:color w:val="auto"/>
        </w:rPr>
        <w:t>WHEREAS, Employee has been approved by the Compensation Policy Committee (including any delegate thereof, the “Committee”) of the Company’s Board of Directors (the “Board”) to receive an award of SARs under the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NOW, THEREFORE, it is agreed as follows:</w:t>
      </w:r>
    </w:p>
    <w:p>
      <w:pPr>
        <w:spacing w:after="0" w:line="237" w:lineRule="exact"/>
        <w:rPr>
          <w:sz w:val="20"/>
          <w:szCs w:val="20"/>
          <w:color w:val="auto"/>
        </w:rPr>
      </w:pPr>
    </w:p>
    <w:p>
      <w:pPr>
        <w:ind w:firstLine="460"/>
        <w:spacing w:after="0" w:line="277" w:lineRule="auto"/>
        <w:tabs>
          <w:tab w:leader="none" w:pos="62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Employee has been provided with, and hereby acknowledges receipt of, a Prospectus for the Plan dated &lt;</w:t>
      </w:r>
      <w:r>
        <w:rPr>
          <w:rFonts w:ascii="Times New Roman" w:cs="Times New Roman" w:eastAsia="Times New Roman" w:hAnsi="Times New Roman"/>
          <w:sz w:val="16"/>
          <w:szCs w:val="16"/>
          <w:b w:val="1"/>
          <w:bCs w:val="1"/>
          <w:color w:val="auto"/>
        </w:rPr>
        <w:t xml:space="preserve">&lt; DATE&gt;&gt; </w:t>
      </w:r>
      <w:r>
        <w:rPr>
          <w:rFonts w:ascii="Times New Roman" w:cs="Times New Roman" w:eastAsia="Times New Roman" w:hAnsi="Times New Roman"/>
          <w:sz w:val="16"/>
          <w:szCs w:val="16"/>
          <w:color w:val="auto"/>
        </w:rPr>
        <w:t>which contains, among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things, a detailed description of the SAR award provisions of the Plan. Employee further acknowledges that Employee has read the Prospectus and this Agreement, and that Employee understands the provisions thereof.</w:t>
      </w:r>
    </w:p>
    <w:p>
      <w:pPr>
        <w:spacing w:after="0" w:line="182" w:lineRule="exact"/>
        <w:rPr>
          <w:rFonts w:ascii="Times New Roman" w:cs="Times New Roman" w:eastAsia="Times New Roman" w:hAnsi="Times New Roman"/>
          <w:sz w:val="16"/>
          <w:szCs w:val="16"/>
          <w:color w:val="auto"/>
        </w:rPr>
      </w:pPr>
    </w:p>
    <w:p>
      <w:pPr>
        <w:ind w:right="60" w:firstLine="460"/>
        <w:spacing w:after="0" w:line="262" w:lineRule="auto"/>
        <w:tabs>
          <w:tab w:leader="none" w:pos="62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Interpretation</w:t>
      </w:r>
      <w:r>
        <w:rPr>
          <w:rFonts w:ascii="Times New Roman" w:cs="Times New Roman" w:eastAsia="Times New Roman" w:hAnsi="Times New Roman"/>
          <w:sz w:val="16"/>
          <w:szCs w:val="16"/>
          <w:color w:val="auto"/>
        </w:rPr>
        <w:t>. The provisions of the Plan are incorporated herein by reference and form an integral part of this Agreement. Except as otherwise set forth herein,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208" w:lineRule="exact"/>
        <w:rPr>
          <w:rFonts w:ascii="Times New Roman" w:cs="Times New Roman" w:eastAsia="Times New Roman" w:hAnsi="Times New Roman"/>
          <w:sz w:val="16"/>
          <w:szCs w:val="16"/>
          <w:color w:val="auto"/>
        </w:rPr>
      </w:pPr>
    </w:p>
    <w:p>
      <w:pPr>
        <w:ind w:right="160" w:firstLine="460"/>
        <w:spacing w:after="0" w:line="261" w:lineRule="auto"/>
        <w:tabs>
          <w:tab w:leader="none" w:pos="62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Grant of SARs. </w:t>
      </w:r>
      <w:r>
        <w:rPr>
          <w:rFonts w:ascii="Times New Roman" w:cs="Times New Roman" w:eastAsia="Times New Roman" w:hAnsi="Times New Roman"/>
          <w:sz w:val="16"/>
          <w:szCs w:val="16"/>
          <w:color w:val="auto"/>
        </w:rPr>
        <w:t>The Company hereby grants to Employee as of the Grant Date SARs on</w:t>
      </w:r>
      <w:r>
        <w:rPr>
          <w:rFonts w:ascii="Times New Roman" w:cs="Times New Roman" w:eastAsia="Times New Roman" w:hAnsi="Times New Roman"/>
          <w:sz w:val="16"/>
          <w:szCs w:val="16"/>
          <w:b w:val="1"/>
          <w:bCs w:val="1"/>
          <w:color w:val="auto"/>
        </w:rPr>
        <w:t xml:space="preserve"> &lt;&lt;QTY GRANTED&gt;&gt; </w:t>
      </w:r>
      <w:r>
        <w:rPr>
          <w:rFonts w:ascii="Times New Roman" w:cs="Times New Roman" w:eastAsia="Times New Roman" w:hAnsi="Times New Roman"/>
          <w:sz w:val="16"/>
          <w:szCs w:val="16"/>
          <w:color w:val="auto"/>
        </w:rPr>
        <w:t>shares of the Company’s Common Stock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“SAR Shares”), subject to the terms and conditions of the Plan Employee’s acceptance of this Agreement and satisfaction of the tax provisions of any policy of the Company regarding international assignments, if applicable. Under this Agreement, upon satisfying the conditions for exercising SARs as set forth in paragraphs 5 and 6 below, Employee shall receive a number of shares of Common Stock of the Company having a Fair Market Value equal to the number of SAR Shares that are being exercised under such SARs multiplied by the quotient of (a) the Final Value minus the Base Value, divided by (b) the Final Value. Any fractional share of Common Stock resulting from such calculation shall be rounded to the nearest whole share.</w:t>
      </w:r>
    </w:p>
    <w:p>
      <w:pPr>
        <w:spacing w:after="0" w:line="195" w:lineRule="exact"/>
        <w:rPr>
          <w:rFonts w:ascii="Times New Roman" w:cs="Times New Roman" w:eastAsia="Times New Roman" w:hAnsi="Times New Roman"/>
          <w:sz w:val="16"/>
          <w:szCs w:val="16"/>
          <w:color w:val="auto"/>
        </w:rPr>
      </w:pPr>
    </w:p>
    <w:p>
      <w:pPr>
        <w:ind w:firstLine="460"/>
        <w:spacing w:after="0" w:line="287" w:lineRule="auto"/>
        <w:tabs>
          <w:tab w:leader="none" w:pos="62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Base Value and Final Value. </w:t>
      </w:r>
      <w:r>
        <w:rPr>
          <w:rFonts w:ascii="Times New Roman" w:cs="Times New Roman" w:eastAsia="Times New Roman" w:hAnsi="Times New Roman"/>
          <w:sz w:val="16"/>
          <w:szCs w:val="16"/>
          <w:color w:val="auto"/>
        </w:rPr>
        <w:t>Subject to paragraph 13 hereof, the Base Value per share of the SAR Shares is</w:t>
      </w:r>
      <w:r>
        <w:rPr>
          <w:rFonts w:ascii="Times New Roman" w:cs="Times New Roman" w:eastAsia="Times New Roman" w:hAnsi="Times New Roman"/>
          <w:sz w:val="16"/>
          <w:szCs w:val="16"/>
          <w:b w:val="1"/>
          <w:bCs w:val="1"/>
          <w:color w:val="auto"/>
        </w:rPr>
        <w:t xml:space="preserve"> &lt;&lt;GRANT PRICE&gt;&gt; </w:t>
      </w:r>
      <w:r>
        <w:rPr>
          <w:rFonts w:ascii="Times New Roman" w:cs="Times New Roman" w:eastAsia="Times New Roman" w:hAnsi="Times New Roman"/>
          <w:sz w:val="16"/>
          <w:szCs w:val="16"/>
          <w:color w:val="auto"/>
        </w:rPr>
        <w:t>and the Final Value is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Fair Market Value of a share of Common Stock of the Company as of the date the SARs are exercised.</w:t>
      </w:r>
    </w:p>
    <w:p>
      <w:pPr>
        <w:spacing w:after="0" w:line="174" w:lineRule="exact"/>
        <w:rPr>
          <w:rFonts w:ascii="Times New Roman" w:cs="Times New Roman" w:eastAsia="Times New Roman" w:hAnsi="Times New Roman"/>
          <w:sz w:val="16"/>
          <w:szCs w:val="16"/>
          <w:color w:val="auto"/>
        </w:rPr>
      </w:pPr>
    </w:p>
    <w:p>
      <w:pPr>
        <w:ind w:right="20" w:firstLine="460"/>
        <w:spacing w:after="0" w:line="259" w:lineRule="auto"/>
        <w:tabs>
          <w:tab w:leader="none" w:pos="62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Waiting Period and Exercise Dates. </w:t>
      </w:r>
      <w:r>
        <w:rPr>
          <w:rFonts w:ascii="Times New Roman" w:cs="Times New Roman" w:eastAsia="Times New Roman" w:hAnsi="Times New Roman"/>
          <w:sz w:val="16"/>
          <w:szCs w:val="16"/>
          <w:color w:val="auto"/>
        </w:rPr>
        <w:t>The SAR Shares may not be exercised during the one-year period following the Grant Date (the “waiting period”).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the waiting period, the SAR Shares may be exercised in accordance with the following schedule: twenty-five percent (25%) of the SAR Shares commencing on each of the four (4) anniversaries of the Grant Date, provided that if the application of the foregoing exercise schedule would cause a fractional SAR Share to become exercisable, then the Committee shall determine how to reallocate such fractional SAR Share so that only whole SAR Shares shall become exercisable. To the extent that the SARs are not exercised by Employee when they become initially exercisable, the SARs shall not expire but shall be carried forward and shall be exercisable at any time thereafter; provided, however, that the SARs shall not be exercisable after the expiration of ten (10) years from the Grant Date or sooner as set forth in paragraph 9, if applicable. Exercise of the SARs shall not be dependent upon the prior or sequential exercise of any other SARs heretofore granted to Employee by the Company.</w:t>
      </w:r>
    </w:p>
    <w:p>
      <w:pPr>
        <w:spacing w:after="0" w:line="198" w:lineRule="exact"/>
        <w:rPr>
          <w:rFonts w:ascii="Times New Roman" w:cs="Times New Roman" w:eastAsia="Times New Roman" w:hAnsi="Times New Roman"/>
          <w:sz w:val="16"/>
          <w:szCs w:val="16"/>
          <w:color w:val="auto"/>
        </w:rPr>
      </w:pPr>
    </w:p>
    <w:p>
      <w:pPr>
        <w:ind w:right="40" w:firstLine="460"/>
        <w:spacing w:after="0" w:line="264" w:lineRule="auto"/>
        <w:tabs>
          <w:tab w:leader="none" w:pos="62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Method of Exercising SARs. </w:t>
      </w:r>
      <w:r>
        <w:rPr>
          <w:rFonts w:ascii="Times New Roman" w:cs="Times New Roman" w:eastAsia="Times New Roman" w:hAnsi="Times New Roman"/>
          <w:sz w:val="16"/>
          <w:szCs w:val="16"/>
          <w:color w:val="auto"/>
        </w:rPr>
        <w:t>To exercise the SARs, the person entitled to exercise the SARs must provide a signed written notice or the equivalent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its designee, as prescribed in the administrative procedures of the Plan, stating the number of SAR Shares with respect to which the SARs are being exercised. The SARs may be exercised by (a) making provision for the satisfaction of the applicable withholding taxes pursuant to procedures specified by the Committee, and (b) an undertaking to furnish and execute such documents as the Company deems necessary (i) to evidence such exercise, and (ii) to determine whether registration is then required to comply with the Securities Act of 1933 or any</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160"/>
          </w:cols>
          <w:pgMar w:left="400" w:top="123" w:right="339" w:bottom="1440" w:gutter="0" w:footer="0" w:header="0"/>
        </w:sectPr>
      </w:pPr>
    </w:p>
    <w:bookmarkStart w:id="55" w:name="page56"/>
    <w:bookmarkEnd w:id="55"/>
    <w:p>
      <w:pPr>
        <w:ind w:left="80"/>
        <w:spacing w:after="0" w:line="276" w:lineRule="auto"/>
        <w:rPr>
          <w:sz w:val="20"/>
          <w:szCs w:val="20"/>
          <w:color w:val="auto"/>
        </w:rPr>
      </w:pPr>
      <w:r>
        <w:rPr>
          <w:rFonts w:ascii="Times New Roman" w:cs="Times New Roman" w:eastAsia="Times New Roman" w:hAnsi="Times New Roman"/>
          <w:sz w:val="16"/>
          <w:szCs w:val="16"/>
          <w:color w:val="auto"/>
        </w:rPr>
        <w:t>other law. Upon satisfying the conditions for exercise including the provision for the satisfaction of the withholding taxes, the Company shall transfer a number of Common Shares calculated according to paragraph 3 to an individual brokerage account (the “Account”) established and maintained in Employee’s name. The exercise of the SARs may be made by any other means that the Committee determines to be consistent with the Plan’s purpose and applicable law.</w:t>
      </w:r>
    </w:p>
    <w:p>
      <w:pPr>
        <w:spacing w:after="0" w:line="183" w:lineRule="exact"/>
        <w:rPr>
          <w:sz w:val="20"/>
          <w:szCs w:val="20"/>
          <w:color w:val="auto"/>
        </w:rPr>
      </w:pPr>
    </w:p>
    <w:p>
      <w:pPr>
        <w:ind w:left="80" w:right="420" w:firstLine="460"/>
        <w:spacing w:after="0" w:line="287" w:lineRule="auto"/>
        <w:tabs>
          <w:tab w:leader="none" w:pos="70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Conditions of Exercise. </w:t>
      </w:r>
      <w:r>
        <w:rPr>
          <w:rFonts w:ascii="Times New Roman" w:cs="Times New Roman" w:eastAsia="Times New Roman" w:hAnsi="Times New Roman"/>
          <w:sz w:val="16"/>
          <w:szCs w:val="16"/>
          <w:color w:val="auto"/>
        </w:rPr>
        <w:t>As a condition of exercising any SARs hereunder and receiving the Common Shares in accordance with paragraphs 5 and 6 above,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 shall meet all of the following conditions during the entire period from the Grant Date through the date of exercise:</w:t>
      </w:r>
    </w:p>
    <w:p>
      <w:pPr>
        <w:spacing w:after="0" w:line="177" w:lineRule="exact"/>
        <w:rPr>
          <w:sz w:val="20"/>
          <w:szCs w:val="20"/>
          <w:color w:val="auto"/>
        </w:rPr>
      </w:pPr>
    </w:p>
    <w:p>
      <w:pPr>
        <w:ind w:left="80" w:right="220" w:firstLine="460"/>
        <w:spacing w:after="0" w:line="276" w:lineRule="auto"/>
        <w:tabs>
          <w:tab w:leader="none" w:pos="76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Employee must continue to be an active employee of the Company or any Subsidiary (“Continuous Employment”). For purposes of this Award, Employee shall be deemed to no longer be in Continuous Employment as of the first day following a continuous leave of absence for a period of twelve months (other than a leave of absence approved by the Board of Directors or the Committee);</w:t>
      </w:r>
    </w:p>
    <w:p>
      <w:pPr>
        <w:spacing w:after="0" w:line="184" w:lineRule="exact"/>
        <w:rPr>
          <w:rFonts w:ascii="Times New Roman" w:cs="Times New Roman" w:eastAsia="Times New Roman" w:hAnsi="Times New Roman"/>
          <w:sz w:val="16"/>
          <w:szCs w:val="16"/>
          <w:color w:val="auto"/>
        </w:rPr>
      </w:pPr>
    </w:p>
    <w:p>
      <w:pPr>
        <w:ind w:left="80" w:right="180" w:firstLine="460"/>
        <w:spacing w:after="0" w:line="285" w:lineRule="auto"/>
        <w:tabs>
          <w:tab w:leader="none" w:pos="77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prohibited or unenforceable under applicable law, Employee must refrain from Engaging in Competition (as defined in Section 2.17 of the Plan) without first having obtained the written consent thereto from the Company (“Non-competition”); and</w:t>
      </w:r>
    </w:p>
    <w:p>
      <w:pPr>
        <w:spacing w:after="0" w:line="177" w:lineRule="exact"/>
        <w:rPr>
          <w:rFonts w:ascii="Times New Roman" w:cs="Times New Roman" w:eastAsia="Times New Roman" w:hAnsi="Times New Roman"/>
          <w:sz w:val="16"/>
          <w:szCs w:val="16"/>
          <w:color w:val="auto"/>
        </w:rPr>
      </w:pPr>
    </w:p>
    <w:p>
      <w:pPr>
        <w:ind w:left="80" w:right="300" w:firstLine="460"/>
        <w:spacing w:after="0" w:line="267" w:lineRule="auto"/>
        <w:tabs>
          <w:tab w:leader="none" w:pos="76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must refrain from committing any criminal offense or malicious tort relating to or against the Company or any Subsidiary or, as determined by the Committee in its discretion, engaging in willful acts or omissions or acts or omissions of gross negligence that are or potentially are injurious to the Company’s or a Subsidiary’s operations, financial condition or business reputation. (“No Improper Conduct”). The Company’s determination as to whether or not particular conduct constitutes Improper Conduct shall be conclusive.</w:t>
      </w:r>
    </w:p>
    <w:p>
      <w:pPr>
        <w:spacing w:after="0" w:line="19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If Employee should fail to meet the requirements relating to (i) Continuous Employment, (ii) Non-competition, or (iii) No Improper Conduct, then Employee shall forfeit the right to exercise any SARs that have not already been exercised as of the time such failure is determined, and Employee shall accordingly forfeit the right to receive the transfer of title to any corresponding Common Shares. The forfeiture of rights with respect to unexercised SARs (and corresponding Common Shares) shall not affect the rights of Employee with respect to any SARs that have already been exercised nor with respect to any Common Shares the title of which has already been transferred to the Account.</w:t>
      </w:r>
    </w:p>
    <w:p>
      <w:pPr>
        <w:spacing w:after="0" w:line="194" w:lineRule="exact"/>
        <w:rPr>
          <w:sz w:val="20"/>
          <w:szCs w:val="20"/>
          <w:color w:val="auto"/>
        </w:rPr>
      </w:pPr>
    </w:p>
    <w:p>
      <w:pPr>
        <w:jc w:val="both"/>
        <w:ind w:left="80" w:firstLine="460"/>
        <w:spacing w:after="0" w:line="269" w:lineRule="auto"/>
        <w:tabs>
          <w:tab w:leader="none" w:pos="70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Rights as a Shareholder. </w:t>
      </w:r>
      <w:r>
        <w:rPr>
          <w:rFonts w:ascii="Times New Roman" w:cs="Times New Roman" w:eastAsia="Times New Roman" w:hAnsi="Times New Roman"/>
          <w:sz w:val="16"/>
          <w:szCs w:val="16"/>
          <w:color w:val="auto"/>
        </w:rPr>
        <w:t>Employee shall have no rights as a shareholder with respect to any SAR Shares covered by the SARs granted hereby until the date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corresponding Common Shares are transferred to the Account as described in paragraph 6. No adjustment shall be made for dividends or other rights for which the record date is prior to such date.</w:t>
      </w:r>
    </w:p>
    <w:p>
      <w:pPr>
        <w:spacing w:after="0" w:line="200" w:lineRule="exact"/>
        <w:rPr>
          <w:rFonts w:ascii="Times New Roman" w:cs="Times New Roman" w:eastAsia="Times New Roman" w:hAnsi="Times New Roman"/>
          <w:sz w:val="16"/>
          <w:szCs w:val="16"/>
          <w:color w:val="auto"/>
        </w:rPr>
      </w:pPr>
    </w:p>
    <w:p>
      <w:pPr>
        <w:ind w:left="80" w:right="140" w:firstLine="460"/>
        <w:spacing w:after="0" w:line="287" w:lineRule="auto"/>
        <w:tabs>
          <w:tab w:leader="none" w:pos="70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Non-Assignability. </w:t>
      </w:r>
      <w:r>
        <w:rPr>
          <w:rFonts w:ascii="Times New Roman" w:cs="Times New Roman" w:eastAsia="Times New Roman" w:hAnsi="Times New Roman"/>
          <w:sz w:val="16"/>
          <w:szCs w:val="16"/>
          <w:color w:val="auto"/>
        </w:rPr>
        <w:t>The SARs shall not be assignable or transferable by Employee except by will or by the laws of descent and distribution. During Employee’s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lifetime, the SARs may be exercised only by Employee or, in the event of incompetence, by Employee’s legally appointed guardian.</w:t>
      </w:r>
    </w:p>
    <w:p>
      <w:pPr>
        <w:spacing w:after="0" w:line="174" w:lineRule="exact"/>
        <w:rPr>
          <w:rFonts w:ascii="Times New Roman" w:cs="Times New Roman" w:eastAsia="Times New Roman" w:hAnsi="Times New Roman"/>
          <w:sz w:val="16"/>
          <w:szCs w:val="16"/>
          <w:color w:val="auto"/>
        </w:rPr>
      </w:pPr>
    </w:p>
    <w:p>
      <w:pPr>
        <w:ind w:left="780" w:hanging="240"/>
        <w:spacing w:after="0"/>
        <w:tabs>
          <w:tab w:leader="none" w:pos="7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Effect of Termination of Employment or Death.</w:t>
      </w:r>
    </w:p>
    <w:p>
      <w:pPr>
        <w:spacing w:after="0" w:line="241" w:lineRule="exact"/>
        <w:rPr>
          <w:sz w:val="20"/>
          <w:szCs w:val="20"/>
          <w:color w:val="auto"/>
        </w:rPr>
      </w:pPr>
    </w:p>
    <w:p>
      <w:pPr>
        <w:ind w:left="80" w:right="80" w:firstLine="460"/>
        <w:spacing w:after="0" w:line="258" w:lineRule="auto"/>
        <w:tabs>
          <w:tab w:leader="none" w:pos="761"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Employee’s Continuous Employment is terminated for any reason other than those specified in (b) or (c) or (d) below, Employee shall immediately forfeit all of the SARs which are unexercisable and, provided that Employee continues to meet the requirements related to Non-competition and No Improper Conduct, any SARs which were otherwise exercisable on such date shall expire at the earlier of (i) the expiration of the SARs in accordance with the term for which the SARs were granted, or</w:t>
      </w:r>
    </w:p>
    <w:p>
      <w:pPr>
        <w:spacing w:after="0" w:line="1" w:lineRule="exact"/>
        <w:rPr>
          <w:rFonts w:ascii="Times New Roman" w:cs="Times New Roman" w:eastAsia="Times New Roman" w:hAnsi="Times New Roman"/>
          <w:sz w:val="16"/>
          <w:szCs w:val="16"/>
          <w:color w:val="auto"/>
        </w:rPr>
      </w:pPr>
    </w:p>
    <w:p>
      <w:pPr>
        <w:ind w:left="320" w:hanging="241"/>
        <w:spacing w:after="0"/>
        <w:tabs>
          <w:tab w:leader="none" w:pos="3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months from the date on which Employee’s Continuous Service terminated.</w:t>
      </w:r>
    </w:p>
    <w:p>
      <w:pPr>
        <w:spacing w:after="0" w:line="233" w:lineRule="exact"/>
        <w:rPr>
          <w:rFonts w:ascii="Times New Roman" w:cs="Times New Roman" w:eastAsia="Times New Roman" w:hAnsi="Times New Roman"/>
          <w:sz w:val="16"/>
          <w:szCs w:val="16"/>
          <w:color w:val="auto"/>
        </w:rPr>
      </w:pPr>
    </w:p>
    <w:p>
      <w:pPr>
        <w:ind w:left="80" w:firstLine="460"/>
        <w:spacing w:after="0" w:line="257" w:lineRule="auto"/>
        <w:tabs>
          <w:tab w:leader="none" w:pos="771"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on account of Employee’s Retirement (as defined below), and if Employee had otherwise met the requirements of Continuous Employment, Non-competition and No Improper Conduct from the Grant Date through the date of such Retirement, then all the SAR Shares shall continue to become exercisable in accordance with the schedule set forth in Paragraph 5, except that if the Grant Date is less than one year before the date Employee retires then the portion of the SARs equal to the number of SARs granted hereunder multiplied by the ratio of (a) the number of days between the Grant Date and the retirement date inclusive, over (b) the number of days in the twelve (12) month period following the Grant Date shall immediately be forfeited upon Employee’s termination. Provided that Employee continues to meet the requirements of Non-competition and No Improper Conduct, all of the SARs that remain outstanding shall expire at the sooner to occur of (i) the expiration of such SARs in accordance with their original term, and (ii) the expiration of five years from the date of retirement. For purposes of this Agreement, “Retirement” shall mean termination of employment on account of Disability (as defined in Section 2.14 of the Plan) or by retiring with the specific approval of the Committee on or after such date on which Employee has attained age 55 and completed ten (10) Years of Service. If the Committee subsequently determines, in its sole discretion, that Employee has violated the Non-competition or No Improper Conduct requirement, then Employee shall have ninety (90) days from the date of such finding within which to exercise any SARs or portions thereof which are exercisable on such date, and any SARs or portions thereof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40"/>
          </w:cols>
          <w:pgMar w:left="320" w:top="912" w:right="339" w:bottom="1440" w:gutter="0" w:footer="0" w:header="0"/>
        </w:sectPr>
      </w:pPr>
    </w:p>
    <w:bookmarkStart w:id="56" w:name="page57"/>
    <w:bookmarkEnd w:id="56"/>
    <w:p>
      <w:pPr>
        <w:ind w:right="140"/>
        <w:spacing w:after="0" w:line="301" w:lineRule="auto"/>
        <w:rPr>
          <w:sz w:val="20"/>
          <w:szCs w:val="20"/>
          <w:color w:val="auto"/>
        </w:rPr>
      </w:pPr>
      <w:r>
        <w:rPr>
          <w:rFonts w:ascii="Times New Roman" w:cs="Times New Roman" w:eastAsia="Times New Roman" w:hAnsi="Times New Roman"/>
          <w:sz w:val="16"/>
          <w:szCs w:val="16"/>
          <w:color w:val="auto"/>
        </w:rPr>
        <w:t>which are not exercised within such ninety (90) day period shall expire and any SARs or portion thereof which are not exercisable on such date shall be cancelled on such date.</w:t>
      </w:r>
    </w:p>
    <w:p>
      <w:pPr>
        <w:spacing w:after="0" w:line="166" w:lineRule="exact"/>
        <w:rPr>
          <w:sz w:val="20"/>
          <w:szCs w:val="20"/>
          <w:color w:val="auto"/>
        </w:rPr>
      </w:pPr>
    </w:p>
    <w:p>
      <w:pPr>
        <w:ind w:right="40" w:firstLine="460"/>
        <w:spacing w:after="0" w:line="263" w:lineRule="auto"/>
        <w:tabs>
          <w:tab w:leader="none" w:pos="68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death of Employee during the three (3) month period following termination of Continuous Employment other than due to Retirement, the SARs shall be exercisable by Employee’s personal representative, heirs or legatees to the same extent and during the same period that Employee could have exercised the SARs if Employee had not died. In the event the Employee’s Continuous Employment is terminated due to death, or if Employee dies after Retirement, the SARs shall be exercisable in their entirety by Employee’s personal representatives, heirs or legatees at any time prior to the expiration of one year from the date of the death of Employee, but in no event after the term for which the SARs were granted or before the waiting period has elapsed.</w:t>
      </w:r>
    </w:p>
    <w:p>
      <w:pPr>
        <w:spacing w:after="0" w:line="195" w:lineRule="exact"/>
        <w:rPr>
          <w:rFonts w:ascii="Times New Roman" w:cs="Times New Roman" w:eastAsia="Times New Roman" w:hAnsi="Times New Roman"/>
          <w:sz w:val="16"/>
          <w:szCs w:val="16"/>
          <w:color w:val="auto"/>
        </w:rPr>
      </w:pPr>
    </w:p>
    <w:p>
      <w:pPr>
        <w:ind w:firstLine="460"/>
        <w:spacing w:after="0" w:line="257" w:lineRule="auto"/>
        <w:tabs>
          <w:tab w:leader="none" w:pos="69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as the result of a Divestiture (defined as either (i) the disposition by the Company or a Subsidiary of all or a portion of the assets used by the Company or Subsidiary in a trade or business, for which the Employee works, to an unrelated corporation or entity and which results in the Employee ceasing to be employed by the Company or a Subsidiary or (ii) the disposition by the Company of its equity interest in a Subsidiary that employs the Employee to an unrelated individual or entity (which, for the avoidance of doubt, excludes a spin-off or split-off or similar transaction), provided that such Subsidiary ceases to be controlled by the Company as a result of such disposition), and if Employee had otherwise met the requirements of Continuous Employment, Non-competition and No Improper Conduct from the Grant Date through the date of such Retirement, all unexercisable SARs shall be fully vested and exercisable as of the Divestiture. Provided that Employee continues to meet the requirements of Non-competition and No Improper Conduct, all of the SARs shall expire at the earlier of (i) the end of their original term and (ii) twelve (12) months following the Divestiture.</w:t>
      </w:r>
    </w:p>
    <w:p>
      <w:pPr>
        <w:spacing w:after="0" w:line="125" w:lineRule="exact"/>
        <w:rPr>
          <w:sz w:val="20"/>
          <w:szCs w:val="20"/>
          <w:color w:val="auto"/>
        </w:rPr>
      </w:pPr>
    </w:p>
    <w:p>
      <w:pPr>
        <w:ind w:firstLine="460"/>
        <w:spacing w:after="0" w:line="256" w:lineRule="auto"/>
        <w:tabs>
          <w:tab w:leader="none" w:pos="698"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Non-Solicitation. </w:t>
      </w:r>
      <w:r>
        <w:rPr>
          <w:rFonts w:ascii="Times New Roman" w:cs="Times New Roman" w:eastAsia="Times New Roman" w:hAnsi="Times New Roman"/>
          <w:sz w:val="16"/>
          <w:szCs w:val="16"/>
          <w:color w:val="auto"/>
        </w:rPr>
        <w:t>In consideration of good and valuable consideration in the form of the SARs granted herein to which Employee is not otherwise entitled,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receipt and 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214" w:lineRule="exact"/>
        <w:rPr>
          <w:rFonts w:ascii="Times New Roman" w:cs="Times New Roman" w:eastAsia="Times New Roman" w:hAnsi="Times New Roman"/>
          <w:sz w:val="16"/>
          <w:szCs w:val="16"/>
          <w:color w:val="auto"/>
        </w:rPr>
      </w:pPr>
    </w:p>
    <w:p>
      <w:pPr>
        <w:jc w:val="both"/>
        <w:ind w:firstLine="460"/>
        <w:spacing w:after="0" w:line="259" w:lineRule="auto"/>
        <w:tabs>
          <w:tab w:leader="none" w:pos="73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Consent. </w:t>
      </w:r>
      <w:r>
        <w:rPr>
          <w:rFonts w:ascii="Times New Roman" w:cs="Times New Roman" w:eastAsia="Times New Roman" w:hAnsi="Times New Roman"/>
          <w:sz w:val="16"/>
          <w:szCs w:val="16"/>
          <w:color w:val="auto"/>
        </w:rPr>
        <w:t>By executing this Agreement, Employee consents to the collection, maintenance and processing of Employee’s personal information (such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Exercise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71" w:lineRule="exact"/>
        <w:rPr>
          <w:rFonts w:ascii="Times New Roman" w:cs="Times New Roman" w:eastAsia="Times New Roman" w:hAnsi="Times New Roman"/>
          <w:sz w:val="16"/>
          <w:szCs w:val="16"/>
          <w:color w:val="auto"/>
        </w:rPr>
      </w:pPr>
    </w:p>
    <w:p>
      <w:pPr>
        <w:ind w:left="540" w:right="40" w:hanging="310"/>
        <w:spacing w:after="0" w:line="285" w:lineRule="auto"/>
        <w:tabs>
          <w:tab w:leader="none" w:pos="52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this Agreement, investor questionnaires or other forms that Employee submits to the Company or a Subsidiary or contracts that Employee enters into with the Company or a Subsidiary;</w:t>
      </w:r>
    </w:p>
    <w:p>
      <w:pPr>
        <w:spacing w:after="0" w:line="49" w:lineRule="exact"/>
        <w:rPr>
          <w:rFonts w:ascii="Times New Roman" w:cs="Times New Roman" w:eastAsia="Times New Roman" w:hAnsi="Times New Roman"/>
          <w:sz w:val="16"/>
          <w:szCs w:val="16"/>
          <w:color w:val="auto"/>
        </w:rPr>
      </w:pPr>
    </w:p>
    <w:p>
      <w:pPr>
        <w:ind w:left="540" w:hanging="310"/>
        <w:spacing w:after="0"/>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transactions with the Company, the Company’s affiliates and service providers;</w:t>
      </w:r>
    </w:p>
    <w:p>
      <w:pPr>
        <w:spacing w:after="0" w:line="123" w:lineRule="exact"/>
        <w:rPr>
          <w:rFonts w:ascii="Times New Roman" w:cs="Times New Roman" w:eastAsia="Times New Roman" w:hAnsi="Times New Roman"/>
          <w:sz w:val="16"/>
          <w:szCs w:val="16"/>
          <w:color w:val="auto"/>
        </w:rPr>
      </w:pPr>
    </w:p>
    <w:p>
      <w:pPr>
        <w:ind w:left="520" w:hanging="290"/>
        <w:spacing w:after="0"/>
        <w:tabs>
          <w:tab w:leader="none" w:pos="5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employment records with the Company or a Subsidiary; and</w:t>
      </w:r>
    </w:p>
    <w:p>
      <w:pPr>
        <w:spacing w:after="0" w:line="110" w:lineRule="exact"/>
        <w:rPr>
          <w:rFonts w:ascii="Times New Roman" w:cs="Times New Roman" w:eastAsia="Times New Roman" w:hAnsi="Times New Roman"/>
          <w:sz w:val="16"/>
          <w:szCs w:val="16"/>
          <w:color w:val="auto"/>
        </w:rPr>
      </w:pPr>
    </w:p>
    <w:p>
      <w:pPr>
        <w:ind w:left="540" w:hanging="310"/>
        <w:spacing w:after="0"/>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meetings, telephone conversations and other communications with Employee.</w:t>
      </w: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160"/>
          </w:cols>
          <w:pgMar w:left="400" w:top="912" w:right="339" w:bottom="1440" w:gutter="0" w:footer="0" w:header="0"/>
        </w:sectPr>
      </w:pPr>
    </w:p>
    <w:bookmarkStart w:id="57" w:name="page58"/>
    <w:bookmarkEnd w:id="57"/>
    <w:p>
      <w:pPr>
        <w:ind w:firstLine="615"/>
        <w:spacing w:after="0" w:line="301" w:lineRule="auto"/>
        <w:rPr>
          <w:sz w:val="20"/>
          <w:szCs w:val="20"/>
          <w:color w:val="auto"/>
        </w:rPr>
      </w:pPr>
      <w:r>
        <w:rPr>
          <w:rFonts w:ascii="Times New Roman" w:cs="Times New Roman" w:eastAsia="Times New Roman" w:hAnsi="Times New Roman"/>
          <w:sz w:val="16"/>
          <w:szCs w:val="16"/>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38" w:lineRule="exact"/>
        <w:rPr>
          <w:sz w:val="20"/>
          <w:szCs w:val="20"/>
          <w:color w:val="auto"/>
        </w:rPr>
      </w:pPr>
    </w:p>
    <w:p>
      <w:pPr>
        <w:ind w:left="540" w:hanging="230"/>
        <w:spacing w:after="0"/>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service providers, such as broker-dealers, custodians, banks and others used to finance or facilitate transactions by, or operations of, the Plan;</w:t>
      </w:r>
    </w:p>
    <w:p>
      <w:pPr>
        <w:spacing w:after="0" w:line="110" w:lineRule="exact"/>
        <w:rPr>
          <w:rFonts w:ascii="Times New Roman" w:cs="Times New Roman" w:eastAsia="Times New Roman" w:hAnsi="Times New Roman"/>
          <w:sz w:val="16"/>
          <w:szCs w:val="16"/>
          <w:color w:val="auto"/>
        </w:rPr>
      </w:pPr>
    </w:p>
    <w:p>
      <w:pPr>
        <w:ind w:left="540" w:hanging="230"/>
        <w:spacing w:after="0"/>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service providers to the Plan, such as accounting, legal, or tax preparation services;</w:t>
      </w:r>
    </w:p>
    <w:p>
      <w:pPr>
        <w:spacing w:after="0" w:line="110" w:lineRule="exact"/>
        <w:rPr>
          <w:rFonts w:ascii="Times New Roman" w:cs="Times New Roman" w:eastAsia="Times New Roman" w:hAnsi="Times New Roman"/>
          <w:sz w:val="16"/>
          <w:szCs w:val="16"/>
          <w:color w:val="auto"/>
        </w:rPr>
      </w:pPr>
    </w:p>
    <w:p>
      <w:pPr>
        <w:ind w:left="540" w:hanging="230"/>
        <w:spacing w:after="0"/>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and</w:t>
      </w:r>
    </w:p>
    <w:p>
      <w:pPr>
        <w:spacing w:after="0" w:line="110" w:lineRule="exact"/>
        <w:rPr>
          <w:rFonts w:ascii="Times New Roman" w:cs="Times New Roman" w:eastAsia="Times New Roman" w:hAnsi="Times New Roman"/>
          <w:sz w:val="16"/>
          <w:szCs w:val="16"/>
          <w:color w:val="auto"/>
        </w:rPr>
      </w:pPr>
    </w:p>
    <w:p>
      <w:pPr>
        <w:ind w:left="540" w:hanging="230"/>
        <w:spacing w:after="0"/>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agents, portfolio companies, brokerage firms and the like, in connection with distributions to Plan participants.</w:t>
      </w:r>
    </w:p>
    <w:p>
      <w:pPr>
        <w:spacing w:after="0" w:line="251" w:lineRule="exact"/>
        <w:rPr>
          <w:sz w:val="20"/>
          <w:szCs w:val="20"/>
          <w:color w:val="auto"/>
        </w:rPr>
      </w:pPr>
    </w:p>
    <w:p>
      <w:pPr>
        <w:ind w:left="80" w:firstLine="461"/>
        <w:spacing w:after="0" w:line="285" w:lineRule="auto"/>
        <w:rPr>
          <w:sz w:val="20"/>
          <w:szCs w:val="20"/>
          <w:color w:val="auto"/>
        </w:rPr>
      </w:pPr>
      <w:r>
        <w:rPr>
          <w:rFonts w:ascii="Times New Roman" w:cs="Times New Roman" w:eastAsia="Times New Roman" w:hAnsi="Times New Roman"/>
          <w:sz w:val="16"/>
          <w:szCs w:val="16"/>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78" w:lineRule="exact"/>
        <w:rPr>
          <w:sz w:val="20"/>
          <w:szCs w:val="20"/>
          <w:color w:val="auto"/>
        </w:rPr>
      </w:pPr>
    </w:p>
    <w:p>
      <w:pPr>
        <w:ind w:left="80" w:firstLine="461"/>
        <w:spacing w:after="0" w:line="256" w:lineRule="auto"/>
        <w:rPr>
          <w:sz w:val="20"/>
          <w:szCs w:val="20"/>
          <w:color w:val="auto"/>
        </w:rPr>
      </w:pPr>
      <w:r>
        <w:rPr>
          <w:rFonts w:ascii="Times New Roman" w:cs="Times New Roman" w:eastAsia="Times New Roman" w:hAnsi="Times New Roman"/>
          <w:sz w:val="16"/>
          <w:szCs w:val="16"/>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217" w:lineRule="exact"/>
        <w:rPr>
          <w:sz w:val="20"/>
          <w:szCs w:val="20"/>
          <w:color w:val="auto"/>
        </w:rPr>
      </w:pPr>
    </w:p>
    <w:p>
      <w:pPr>
        <w:ind w:left="80" w:right="100" w:firstLine="460"/>
        <w:spacing w:after="0" w:line="261" w:lineRule="auto"/>
        <w:tabs>
          <w:tab w:leader="none" w:pos="78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Additional Rights. </w:t>
      </w:r>
      <w:r>
        <w:rPr>
          <w:rFonts w:ascii="Times New Roman" w:cs="Times New Roman" w:eastAsia="Times New Roman" w:hAnsi="Times New Roman"/>
          <w:sz w:val="16"/>
          <w:szCs w:val="16"/>
          <w:color w:val="auto"/>
        </w:rPr>
        <w:t>Benefits under the Plan are not guaranteed. The grant of this Award is a one-time benefit and does not create any contractual or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 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95" w:lineRule="exact"/>
        <w:rPr>
          <w:rFonts w:ascii="Times New Roman" w:cs="Times New Roman" w:eastAsia="Times New Roman" w:hAnsi="Times New Roman"/>
          <w:sz w:val="16"/>
          <w:szCs w:val="16"/>
          <w:color w:val="auto"/>
        </w:rPr>
      </w:pPr>
    </w:p>
    <w:p>
      <w:pPr>
        <w:ind w:left="80" w:right="80" w:firstLine="460"/>
        <w:spacing w:after="0" w:line="262" w:lineRule="auto"/>
        <w:tabs>
          <w:tab w:leader="none" w:pos="78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Recapitalization, Reorganization, Unusual Events. </w:t>
      </w:r>
      <w:r>
        <w:rPr>
          <w:rFonts w:ascii="Times New Roman" w:cs="Times New Roman" w:eastAsia="Times New Roman" w:hAnsi="Times New Roman"/>
          <w:sz w:val="16"/>
          <w:szCs w:val="16"/>
          <w:color w:val="auto"/>
        </w:rPr>
        <w:t>Certain events affecting the Common Shares of the Company and mergers, consolidations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reorganizations affecting the Company may affect the number or type of securities deliverable upon exercise of the SARs or limit the remaining term over which the SARs may be exercised, as set forth in Section 4.2 of the Plan. The Committee may make adjustments to this award of SARs due to the occurrence of unusual or unforeseeable circumstances as set forth in Section 14.2 of the Plan.</w:t>
      </w:r>
    </w:p>
    <w:p>
      <w:pPr>
        <w:spacing w:after="0" w:line="195" w:lineRule="exact"/>
        <w:rPr>
          <w:rFonts w:ascii="Times New Roman" w:cs="Times New Roman" w:eastAsia="Times New Roman" w:hAnsi="Times New Roman"/>
          <w:sz w:val="16"/>
          <w:szCs w:val="16"/>
          <w:color w:val="auto"/>
        </w:rPr>
      </w:pPr>
    </w:p>
    <w:p>
      <w:pPr>
        <w:ind w:left="80" w:right="80" w:firstLine="460"/>
        <w:spacing w:after="0" w:line="304" w:lineRule="auto"/>
        <w:tabs>
          <w:tab w:leader="none" w:pos="78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General Restriction. </w:t>
      </w:r>
      <w:r>
        <w:rPr>
          <w:rFonts w:ascii="Times New Roman" w:cs="Times New Roman" w:eastAsia="Times New Roman" w:hAnsi="Times New Roman"/>
          <w:sz w:val="16"/>
          <w:szCs w:val="16"/>
          <w:color w:val="auto"/>
        </w:rPr>
        <w:t>In accordance with the terms of the Plan, the Company may limit or suspend the exercisability of the SARs or the purchase or issuance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SAR Shares thereunder under certain circumstances. Any delay caused thereby shall in no way affect the date of termination of the SARs.</w:t>
      </w:r>
    </w:p>
    <w:p>
      <w:pPr>
        <w:spacing w:after="0" w:line="161" w:lineRule="exact"/>
        <w:rPr>
          <w:rFonts w:ascii="Times New Roman" w:cs="Times New Roman" w:eastAsia="Times New Roman" w:hAnsi="Times New Roman"/>
          <w:sz w:val="16"/>
          <w:szCs w:val="16"/>
          <w:color w:val="auto"/>
        </w:rPr>
      </w:pPr>
    </w:p>
    <w:p>
      <w:pPr>
        <w:ind w:left="80" w:right="100" w:firstLine="460"/>
        <w:spacing w:after="0" w:line="264" w:lineRule="auto"/>
        <w:tabs>
          <w:tab w:leader="none" w:pos="78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Amendment of this Agreement. </w:t>
      </w:r>
      <w:r>
        <w:rPr>
          <w:rFonts w:ascii="Times New Roman" w:cs="Times New Roman" w:eastAsia="Times New Roman" w:hAnsi="Times New Roman"/>
          <w:sz w:val="16"/>
          <w:szCs w:val="16"/>
          <w:color w:val="auto"/>
        </w:rPr>
        <w:t>The Board of Directors may at any time amend, suspend or terminate the Plan or this Agreement; provided, however, that no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 suspension or termination of the Plan, this Agreement or the SARs shall adversely affect in any material way the SARs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91" w:lineRule="exact"/>
        <w:rPr>
          <w:rFonts w:ascii="Times New Roman" w:cs="Times New Roman" w:eastAsia="Times New Roman" w:hAnsi="Times New Roman"/>
          <w:sz w:val="16"/>
          <w:szCs w:val="16"/>
          <w:color w:val="auto"/>
        </w:rPr>
      </w:pPr>
    </w:p>
    <w:p>
      <w:pPr>
        <w:ind w:left="80" w:right="20" w:firstLine="460"/>
        <w:spacing w:after="0" w:line="269" w:lineRule="auto"/>
        <w:tabs>
          <w:tab w:leader="none" w:pos="78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Notices. </w:t>
      </w:r>
      <w:r>
        <w:rPr>
          <w:rFonts w:ascii="Times New Roman" w:cs="Times New Roman" w:eastAsia="Times New Roman" w:hAnsi="Times New Roman"/>
          <w:sz w:val="16"/>
          <w:szCs w:val="16"/>
          <w:color w:val="auto"/>
        </w:rPr>
        <w:t>Notices hereunder shall be in writing, and if to the Company, may be delivered personally to the Compensation Department or such other party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designated by the Company or mailed to its principal office at 7812 Palm Parkway, Orlando, Florida 32836, addressed to the attention of the Vice President, Total Rewards, and if to Employee, may be delivered personally or mailed to Employee at his or her address on the records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40"/>
          </w:cols>
          <w:pgMar w:left="320" w:top="1066" w:right="339" w:bottom="1440" w:gutter="0" w:footer="0" w:header="0"/>
        </w:sectPr>
      </w:pPr>
    </w:p>
    <w:bookmarkStart w:id="58" w:name="page59"/>
    <w:bookmarkEnd w:id="58"/>
    <w:p>
      <w:pPr>
        <w:ind w:left="80" w:right="340" w:firstLine="460"/>
        <w:spacing w:after="0" w:line="304" w:lineRule="auto"/>
        <w:tabs>
          <w:tab w:leader="none" w:pos="78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Successors and Assigns. </w:t>
      </w:r>
      <w:r>
        <w:rPr>
          <w:rFonts w:ascii="Times New Roman" w:cs="Times New Roman" w:eastAsia="Times New Roman" w:hAnsi="Times New Roman"/>
          <w:sz w:val="16"/>
          <w:szCs w:val="16"/>
          <w:color w:val="auto"/>
        </w:rPr>
        <w:t>This Agreement shall bind and inure to the benefit of the parties hereto and the successors and assigns of the Company and,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provided in Paragraph 10(c) above and the provisions of the Plan, to the personal representatives, legatees and heirs of Employee.</w:t>
      </w:r>
    </w:p>
    <w:p>
      <w:pPr>
        <w:spacing w:after="0" w:line="161" w:lineRule="exact"/>
        <w:rPr>
          <w:rFonts w:ascii="Times New Roman" w:cs="Times New Roman" w:eastAsia="Times New Roman" w:hAnsi="Times New Roman"/>
          <w:sz w:val="16"/>
          <w:szCs w:val="16"/>
          <w:color w:val="auto"/>
        </w:rPr>
      </w:pPr>
    </w:p>
    <w:p>
      <w:pPr>
        <w:ind w:left="80" w:right="60" w:firstLine="460"/>
        <w:spacing w:after="0" w:line="287" w:lineRule="auto"/>
        <w:tabs>
          <w:tab w:leader="none" w:pos="78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Effect on Employment. </w:t>
      </w:r>
      <w:r>
        <w:rPr>
          <w:rFonts w:ascii="Times New Roman" w:cs="Times New Roman" w:eastAsia="Times New Roman" w:hAnsi="Times New Roman"/>
          <w:sz w:val="16"/>
          <w:szCs w:val="16"/>
          <w:color w:val="auto"/>
        </w:rPr>
        <w:t>This agreement is not a contract of employment or otherwise a limitation on the right of the Company to terminate the employment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Employee or to increase or decrease Employee’s compensation from the rate of compensation in existence at the time this Agreement is executed.</w:t>
      </w:r>
    </w:p>
    <w:p>
      <w:pPr>
        <w:spacing w:after="0" w:line="174" w:lineRule="exact"/>
        <w:rPr>
          <w:rFonts w:ascii="Times New Roman" w:cs="Times New Roman" w:eastAsia="Times New Roman" w:hAnsi="Times New Roman"/>
          <w:sz w:val="16"/>
          <w:szCs w:val="16"/>
          <w:color w:val="auto"/>
        </w:rPr>
      </w:pPr>
    </w:p>
    <w:p>
      <w:pPr>
        <w:ind w:left="80" w:right="40" w:firstLine="460"/>
        <w:spacing w:after="0" w:line="277" w:lineRule="auto"/>
        <w:tabs>
          <w:tab w:leader="none" w:pos="78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Additional (Non-U.S.) Terms and Conditions. </w:t>
      </w:r>
      <w:r>
        <w:rPr>
          <w:rFonts w:ascii="Times New Roman" w:cs="Times New Roman" w:eastAsia="Times New Roman" w:hAnsi="Times New Roman"/>
          <w:sz w:val="16"/>
          <w:szCs w:val="16"/>
          <w:color w:val="auto"/>
        </w:rPr>
        <w:t>SARs awarded under this Agreement shall be subject to additional terms and conditions, as applicable, set forth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Company’s Policies for Global Compliance of Equity Compensation Awards, which are attached in the Appendix hereto and shall be incorporated herein fully by reference.</w:t>
      </w:r>
    </w:p>
    <w:p>
      <w:pPr>
        <w:spacing w:after="0" w:line="182" w:lineRule="exact"/>
        <w:rPr>
          <w:rFonts w:ascii="Times New Roman" w:cs="Times New Roman" w:eastAsia="Times New Roman" w:hAnsi="Times New Roman"/>
          <w:sz w:val="16"/>
          <w:szCs w:val="16"/>
          <w:color w:val="auto"/>
        </w:rPr>
      </w:pPr>
    </w:p>
    <w:p>
      <w:pPr>
        <w:jc w:val="both"/>
        <w:ind w:left="80" w:right="400" w:firstLine="460"/>
        <w:spacing w:after="0" w:line="269" w:lineRule="auto"/>
        <w:tabs>
          <w:tab w:leader="none" w:pos="78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Clawback Policy. </w:t>
      </w:r>
      <w:r>
        <w:rPr>
          <w:rFonts w:ascii="Times New Roman" w:cs="Times New Roman" w:eastAsia="Times New Roman" w:hAnsi="Times New Roman"/>
          <w:sz w:val="16"/>
          <w:szCs w:val="16"/>
          <w:color w:val="auto"/>
        </w:rPr>
        <w:t>SARs awarded under this Agreement, as well as any Common Stock issued with respect to such SARs, shall be subject to the Clawback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Policy adopted by the Committee on February 13, 2014, and any successor policy thereto, to the extent that at any relevant time Employee is subject to such policy in accordance with its terms.</w:t>
      </w:r>
    </w:p>
    <w:p>
      <w:pPr>
        <w:spacing w:after="0" w:line="188" w:lineRule="exact"/>
        <w:rPr>
          <w:sz w:val="20"/>
          <w:szCs w:val="20"/>
          <w:color w:val="auto"/>
        </w:rPr>
      </w:pPr>
    </w:p>
    <w:p>
      <w:pPr>
        <w:ind w:left="80" w:right="140" w:firstLine="461"/>
        <w:spacing w:after="0" w:line="287"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MARRIOTT VACATIONS WORLDWIDE CORPORATION has caused this Agreement to be signed by its Chief Human Resources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 effective as of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139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VACATIONS WORLDWIDE</w:t>
            </w:r>
          </w:p>
        </w:tc>
        <w:tc>
          <w:tcPr>
            <w:tcW w:w="5020" w:type="dxa"/>
            <w:vAlign w:val="bottom"/>
          </w:tcPr>
          <w:p>
            <w:pPr>
              <w:spacing w:after="0"/>
              <w:rPr>
                <w:sz w:val="17"/>
                <w:szCs w:val="17"/>
                <w:color w:val="auto"/>
              </w:rPr>
            </w:pPr>
          </w:p>
        </w:tc>
      </w:tr>
      <w:tr>
        <w:trPr>
          <w:trHeight w:val="231"/>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CORPORATION</w:t>
            </w:r>
          </w:p>
        </w:tc>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w:t>
            </w:r>
          </w:p>
        </w:tc>
      </w:tr>
      <w:tr>
        <w:trPr>
          <w:trHeight w:val="474"/>
        </w:trPr>
        <w:tc>
          <w:tcPr>
            <w:tcW w:w="5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&lt;&lt;PARTICIPANT NAME&gt;&gt;</w:t>
            </w:r>
          </w:p>
        </w:tc>
      </w:tr>
      <w:tr>
        <w:trPr>
          <w:trHeight w:val="255"/>
        </w:trPr>
        <w:tc>
          <w:tcPr>
            <w:tcW w:w="5020" w:type="dxa"/>
            <w:vAlign w:val="bottom"/>
            <w:tcBorders>
              <w:bottom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5020" w:type="dxa"/>
            <w:vAlign w:val="bottom"/>
            <w:tcBorders>
              <w:bottom w:val="single" w:sz="8" w:color="auto"/>
            </w:tcBorders>
          </w:tcPr>
          <w:p>
            <w:pPr>
              <w:spacing w:after="0"/>
              <w:rPr>
                <w:sz w:val="22"/>
                <w:szCs w:val="22"/>
                <w:color w:val="auto"/>
              </w:rPr>
            </w:pPr>
          </w:p>
        </w:tc>
      </w:tr>
      <w:tr>
        <w:trPr>
          <w:trHeight w:val="455"/>
        </w:trPr>
        <w:tc>
          <w:tcPr>
            <w:tcW w:w="622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Chief Human Resources Officer</w:t>
            </w:r>
          </w:p>
        </w:tc>
        <w:tc>
          <w:tcPr>
            <w:tcW w:w="502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Signed Electronically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40"/>
          </w:cols>
          <w:pgMar w:left="320" w:top="910" w:right="339" w:bottom="1440" w:gutter="0" w:footer="0" w:header="0"/>
        </w:sectPr>
      </w:pPr>
    </w:p>
    <w:bookmarkStart w:id="59" w:name="page60"/>
    <w:bookmarkEnd w:id="59"/>
    <w:p>
      <w:pPr>
        <w:ind w:left="40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POLICIES FOR GLOBAL COMPLIANCE OF EQUITY COMPENSATION AWARDS</w:t>
      </w:r>
    </w:p>
    <w:p>
      <w:pPr>
        <w:spacing w:after="0" w:line="200" w:lineRule="exact"/>
        <w:rPr>
          <w:sz w:val="20"/>
          <w:szCs w:val="20"/>
          <w:color w:val="auto"/>
        </w:rPr>
      </w:pPr>
    </w:p>
    <w:p>
      <w:pPr>
        <w:spacing w:after="0" w:line="248" w:lineRule="exact"/>
        <w:rPr>
          <w:sz w:val="20"/>
          <w:szCs w:val="20"/>
          <w:color w:val="auto"/>
        </w:rPr>
      </w:pPr>
    </w:p>
    <w:p>
      <w:pPr>
        <w:ind w:right="20" w:firstLine="615"/>
        <w:spacing w:after="0" w:line="267" w:lineRule="auto"/>
        <w:rPr>
          <w:sz w:val="20"/>
          <w:szCs w:val="20"/>
          <w:color w:val="auto"/>
        </w:rPr>
      </w:pPr>
      <w:r>
        <w:rPr>
          <w:rFonts w:ascii="Times New Roman" w:cs="Times New Roman" w:eastAsia="Times New Roman" w:hAnsi="Times New Roman"/>
          <w:sz w:val="16"/>
          <w:szCs w:val="16"/>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93" w:lineRule="exact"/>
        <w:rPr>
          <w:sz w:val="20"/>
          <w:szCs w:val="20"/>
          <w:color w:val="auto"/>
        </w:rPr>
      </w:pPr>
    </w:p>
    <w:p>
      <w:pPr>
        <w:ind w:firstLine="615"/>
        <w:spacing w:after="0" w:line="259" w:lineRule="auto"/>
        <w:rPr>
          <w:sz w:val="20"/>
          <w:szCs w:val="20"/>
          <w:color w:val="auto"/>
        </w:rPr>
      </w:pPr>
      <w:r>
        <w:rPr>
          <w:rFonts w:ascii="Times New Roman" w:cs="Times New Roman" w:eastAsia="Times New Roman" w:hAnsi="Times New Roman"/>
          <w:sz w:val="16"/>
          <w:szCs w:val="16"/>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Times New Roman" w:cs="Times New Roman" w:eastAsia="Times New Roman" w:hAnsi="Times New Roman"/>
          <w:sz w:val="16"/>
          <w:szCs w:val="16"/>
          <w:u w:val="single" w:color="auto"/>
          <w:color w:val="auto"/>
        </w:rPr>
        <w:t>must satisfy</w:t>
      </w:r>
      <w:r>
        <w:rPr>
          <w:rFonts w:ascii="Times New Roman" w:cs="Times New Roman" w:eastAsia="Times New Roman" w:hAnsi="Times New Roman"/>
          <w:sz w:val="16"/>
          <w:szCs w:val="16"/>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198" w:lineRule="exact"/>
        <w:rPr>
          <w:sz w:val="20"/>
          <w:szCs w:val="20"/>
          <w:color w:val="auto"/>
        </w:rPr>
      </w:pPr>
    </w:p>
    <w:p>
      <w:pPr>
        <w:ind w:right="20" w:firstLine="615"/>
        <w:spacing w:after="0" w:line="267" w:lineRule="auto"/>
        <w:rPr>
          <w:sz w:val="20"/>
          <w:szCs w:val="20"/>
          <w:color w:val="auto"/>
        </w:rPr>
      </w:pPr>
      <w:r>
        <w:rPr>
          <w:rFonts w:ascii="Times New Roman" w:cs="Times New Roman" w:eastAsia="Times New Roman" w:hAnsi="Times New Roman"/>
          <w:sz w:val="16"/>
          <w:szCs w:val="16"/>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93" w:lineRule="exact"/>
        <w:rPr>
          <w:sz w:val="20"/>
          <w:szCs w:val="20"/>
          <w:color w:val="auto"/>
        </w:rPr>
      </w:pPr>
    </w:p>
    <w:p>
      <w:pPr>
        <w:ind w:firstLine="615"/>
        <w:spacing w:after="0" w:line="285" w:lineRule="auto"/>
        <w:rPr>
          <w:sz w:val="20"/>
          <w:szCs w:val="20"/>
          <w:color w:val="auto"/>
        </w:rPr>
      </w:pPr>
      <w:r>
        <w:rPr>
          <w:rFonts w:ascii="Times New Roman" w:cs="Times New Roman" w:eastAsia="Times New Roman" w:hAnsi="Times New Roman"/>
          <w:sz w:val="16"/>
          <w:szCs w:val="16"/>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40"/>
          </w:cols>
          <w:pgMar w:left="320" w:top="73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6"/>
          <w:szCs w:val="16"/>
          <w:color w:val="auto"/>
        </w:rPr>
        <w:t>COUNTRY-SPECIFIC POLICIES</w:t>
      </w:r>
    </w:p>
    <w:p>
      <w:pPr>
        <w:sectPr>
          <w:pgSz w:w="11900" w:h="16838" w:orient="portrait"/>
          <w:cols w:equalWidth="0" w:num="1">
            <w:col w:w="9019"/>
          </w:cols>
          <w:pgMar w:left="1440" w:top="11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added if applicable]</w:t>
      </w:r>
    </w:p>
    <w:p>
      <w:pPr>
        <w:sectPr>
          <w:pgSz w:w="11900" w:h="16838" w:orient="portrait"/>
          <w:cols w:equalWidth="0" w:num="1">
            <w:col w:w="9019"/>
          </w:cols>
          <w:pgMar w:left="1440" w:top="1194" w:right="1440"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38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1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2020 EQUITY INCENTIVE PLAN</w:t>
      </w:r>
    </w:p>
    <w:p>
      <w:pPr>
        <w:spacing w:after="0" w:line="216" w:lineRule="exact"/>
        <w:rPr>
          <w:sz w:val="20"/>
          <w:szCs w:val="20"/>
          <w:color w:val="auto"/>
        </w:rPr>
      </w:pPr>
    </w:p>
    <w:p>
      <w:pPr>
        <w:ind w:right="260" w:firstLine="615"/>
        <w:spacing w:after="0" w:line="287" w:lineRule="auto"/>
        <w:rPr>
          <w:sz w:val="20"/>
          <w:szCs w:val="20"/>
          <w:color w:val="auto"/>
        </w:rPr>
      </w:pPr>
      <w:r>
        <w:rPr>
          <w:rFonts w:ascii="Times New Roman" w:cs="Times New Roman" w:eastAsia="Times New Roman" w:hAnsi="Times New Roman"/>
          <w:sz w:val="16"/>
          <w:szCs w:val="16"/>
          <w:color w:val="auto"/>
        </w:rPr>
        <w:t>THIS AGREEMENT (the “Agreement”) is made on &lt;</w:t>
      </w:r>
      <w:r>
        <w:rPr>
          <w:rFonts w:ascii="Times New Roman" w:cs="Times New Roman" w:eastAsia="Times New Roman" w:hAnsi="Times New Roman"/>
          <w:sz w:val="16"/>
          <w:szCs w:val="16"/>
          <w:b w:val="1"/>
          <w:bCs w:val="1"/>
          <w:color w:val="auto"/>
        </w:rPr>
        <w:t>&lt;</w:t>
      </w:r>
      <w:r>
        <w:rPr>
          <w:rFonts w:ascii="Times New Roman" w:cs="Times New Roman" w:eastAsia="Times New Roman" w:hAnsi="Times New Roman"/>
          <w:sz w:val="16"/>
          <w:szCs w:val="16"/>
          <w:b w:val="1"/>
          <w:bCs w:val="1"/>
          <w:color w:val="auto"/>
          <w:highlight w:val="yellow"/>
        </w:rPr>
        <w:t>GRANT DATE</w:t>
      </w:r>
      <w:r>
        <w:rPr>
          <w:rFonts w:ascii="Times New Roman" w:cs="Times New Roman" w:eastAsia="Times New Roman" w:hAnsi="Times New Roman"/>
          <w:sz w:val="16"/>
          <w:szCs w:val="16"/>
          <w:b w:val="1"/>
          <w:bCs w:val="1"/>
          <w:color w:val="auto"/>
        </w:rPr>
        <w:t>&gt;&gt;</w:t>
      </w:r>
      <w:r>
        <w:rPr>
          <w:rFonts w:ascii="Times New Roman" w:cs="Times New Roman" w:eastAsia="Times New Roman" w:hAnsi="Times New Roman"/>
          <w:sz w:val="16"/>
          <w:szCs w:val="16"/>
          <w:color w:val="auto"/>
        </w:rPr>
        <w:t xml:space="preserve"> (the “Grant Date”) by MARRIOTT VACATIONS WORLDWIDE CORPORATION (the “Company”) and </w:t>
      </w:r>
      <w:r>
        <w:rPr>
          <w:rFonts w:ascii="Times New Roman" w:cs="Times New Roman" w:eastAsia="Times New Roman" w:hAnsi="Times New Roman"/>
          <w:sz w:val="16"/>
          <w:szCs w:val="16"/>
          <w:b w:val="1"/>
          <w:bCs w:val="1"/>
          <w:color w:val="auto"/>
        </w:rPr>
        <w:t>&lt;&lt;</w:t>
      </w:r>
      <w:r>
        <w:rPr>
          <w:rFonts w:ascii="Times New Roman" w:cs="Times New Roman" w:eastAsia="Times New Roman" w:hAnsi="Times New Roman"/>
          <w:sz w:val="16"/>
          <w:szCs w:val="16"/>
          <w:b w:val="1"/>
          <w:bCs w:val="1"/>
          <w:color w:val="auto"/>
          <w:highlight w:val="yellow"/>
        </w:rPr>
        <w:t>PARTICIPANT NAME</w:t>
      </w:r>
      <w:r>
        <w:rPr>
          <w:rFonts w:ascii="Times New Roman" w:cs="Times New Roman" w:eastAsia="Times New Roman" w:hAnsi="Times New Roman"/>
          <w:sz w:val="16"/>
          <w:szCs w:val="16"/>
          <w:b w:val="1"/>
          <w:bCs w:val="1"/>
          <w:color w:val="auto"/>
        </w:rPr>
        <w:t>&gt;&gt;</w:t>
      </w:r>
      <w:r>
        <w:rPr>
          <w:rFonts w:ascii="Times New Roman" w:cs="Times New Roman" w:eastAsia="Times New Roman" w:hAnsi="Times New Roman"/>
          <w:sz w:val="16"/>
          <w:szCs w:val="16"/>
          <w:color w:val="auto"/>
        </w:rPr>
        <w:t xml:space="preserve"> (“Employee”).</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WITNESSETH:</w:t>
      </w:r>
    </w:p>
    <w:p>
      <w:pPr>
        <w:spacing w:after="0" w:line="251" w:lineRule="exact"/>
        <w:rPr>
          <w:sz w:val="20"/>
          <w:szCs w:val="20"/>
          <w:color w:val="auto"/>
        </w:rPr>
      </w:pPr>
    </w:p>
    <w:p>
      <w:pPr>
        <w:ind w:right="380" w:firstLine="615"/>
        <w:spacing w:after="0" w:line="285" w:lineRule="auto"/>
        <w:rPr>
          <w:sz w:val="20"/>
          <w:szCs w:val="20"/>
          <w:color w:val="auto"/>
        </w:rPr>
      </w:pPr>
      <w:r>
        <w:rPr>
          <w:rFonts w:ascii="Times New Roman" w:cs="Times New Roman" w:eastAsia="Times New Roman" w:hAnsi="Times New Roman"/>
          <w:sz w:val="16"/>
          <w:szCs w:val="16"/>
          <w:color w:val="auto"/>
        </w:rPr>
        <w:t>WHEREAS, the Company maintains the Marriott Vacations Worldwide Corporation 2020 Equity Incentive Plan, as it may be amended from time to time (the “Plan”); and</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WHEREAS, the Company wishes to award to designated employees certain Restricted Stock Unit awards (“RSUs”) as provided in Article 8 of the Plan; and</w:t>
      </w:r>
    </w:p>
    <w:p>
      <w:pPr>
        <w:spacing w:after="0" w:line="239" w:lineRule="exact"/>
        <w:rPr>
          <w:sz w:val="20"/>
          <w:szCs w:val="20"/>
          <w:color w:val="auto"/>
        </w:rPr>
      </w:pPr>
    </w:p>
    <w:p>
      <w:pPr>
        <w:ind w:right="120" w:firstLine="615"/>
        <w:spacing w:after="0" w:line="285" w:lineRule="auto"/>
        <w:rPr>
          <w:sz w:val="20"/>
          <w:szCs w:val="20"/>
          <w:color w:val="auto"/>
        </w:rPr>
      </w:pPr>
      <w:r>
        <w:rPr>
          <w:rFonts w:ascii="Times New Roman" w:cs="Times New Roman" w:eastAsia="Times New Roman" w:hAnsi="Times New Roman"/>
          <w:sz w:val="16"/>
          <w:szCs w:val="16"/>
          <w:color w:val="auto"/>
        </w:rPr>
        <w:t>WHEREAS, Employee has been approved by the Compensation Policy Committee (including any delegate thereof, the “Committee”) of the Company’s Board of Directors (the “Board”) to receive an award of RSUs under the Plan;</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NOW, THEREFORE, it is agreed as follows:</w:t>
      </w:r>
    </w:p>
    <w:p>
      <w:pPr>
        <w:spacing w:after="0" w:line="211" w:lineRule="exact"/>
        <w:rPr>
          <w:sz w:val="20"/>
          <w:szCs w:val="20"/>
          <w:color w:val="auto"/>
        </w:rPr>
      </w:pPr>
    </w:p>
    <w:p>
      <w:pPr>
        <w:ind w:right="80" w:firstLine="463"/>
        <w:spacing w:after="0" w:line="269" w:lineRule="auto"/>
        <w:tabs>
          <w:tab w:leader="none" w:pos="60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Employee has been provided with, and hereby acknowledges receipt of, a Prospectus for the Plan dated &lt;</w:t>
      </w:r>
      <w:r>
        <w:rPr>
          <w:rFonts w:ascii="Times New Roman" w:cs="Times New Roman" w:eastAsia="Times New Roman" w:hAnsi="Times New Roman"/>
          <w:sz w:val="16"/>
          <w:szCs w:val="16"/>
          <w:b w:val="1"/>
          <w:bCs w:val="1"/>
          <w:color w:val="auto"/>
        </w:rPr>
        <w:t xml:space="preserve">&lt; </w:t>
      </w:r>
      <w:r>
        <w:rPr>
          <w:rFonts w:ascii="Times New Roman" w:cs="Times New Roman" w:eastAsia="Times New Roman" w:hAnsi="Times New Roman"/>
          <w:sz w:val="16"/>
          <w:szCs w:val="16"/>
          <w:b w:val="1"/>
          <w:bCs w:val="1"/>
          <w:color w:val="auto"/>
          <w:highlight w:val="yellow"/>
        </w:rPr>
        <w:t>DATE&gt;&gt;,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contains, among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things, a detailed description of the RSU award provisions of the Plan. Employee further acknowledges that Employee has read the Prospectus and this Agreement, and that Employee understands the provisions thereof.</w:t>
      </w:r>
    </w:p>
    <w:p>
      <w:pPr>
        <w:spacing w:after="0" w:line="162" w:lineRule="exact"/>
        <w:rPr>
          <w:rFonts w:ascii="Times New Roman" w:cs="Times New Roman" w:eastAsia="Times New Roman" w:hAnsi="Times New Roman"/>
          <w:sz w:val="16"/>
          <w:szCs w:val="16"/>
          <w:color w:val="auto"/>
        </w:rPr>
      </w:pPr>
    </w:p>
    <w:p>
      <w:pPr>
        <w:ind w:firstLine="463"/>
        <w:spacing w:after="0" w:line="268" w:lineRule="auto"/>
        <w:tabs>
          <w:tab w:leader="none" w:pos="60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Interpretation</w:t>
      </w:r>
      <w:r>
        <w:rPr>
          <w:rFonts w:ascii="Times New Roman" w:cs="Times New Roman" w:eastAsia="Times New Roman" w:hAnsi="Times New Roman"/>
          <w:sz w:val="16"/>
          <w:szCs w:val="16"/>
          <w:color w:val="auto"/>
        </w:rPr>
        <w:t>. The provisions of the Plan are incorporated herein by reference and form an integral part of this Agreement. Except as otherwise set forth herein,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64" w:lineRule="exact"/>
        <w:rPr>
          <w:rFonts w:ascii="Times New Roman" w:cs="Times New Roman" w:eastAsia="Times New Roman" w:hAnsi="Times New Roman"/>
          <w:sz w:val="16"/>
          <w:szCs w:val="16"/>
          <w:color w:val="auto"/>
        </w:rPr>
      </w:pPr>
    </w:p>
    <w:p>
      <w:pPr>
        <w:ind w:right="200" w:firstLine="463"/>
        <w:spacing w:after="0" w:line="287" w:lineRule="auto"/>
        <w:tabs>
          <w:tab w:leader="none" w:pos="60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Grant of RSUs</w:t>
      </w:r>
      <w:r>
        <w:rPr>
          <w:rFonts w:ascii="Times New Roman" w:cs="Times New Roman" w:eastAsia="Times New Roman" w:hAnsi="Times New Roman"/>
          <w:sz w:val="16"/>
          <w:szCs w:val="16"/>
          <w:color w:val="auto"/>
        </w:rPr>
        <w:t>. Subject to the terms and conditions of the Plan, Employee’s acceptance of this Agreement and satisfaction of the tax provisions of any policy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Company regarding international assignments, if applicable, this award (the “Award”) of </w:t>
      </w:r>
      <w:r>
        <w:rPr>
          <w:rFonts w:ascii="Times New Roman" w:cs="Times New Roman" w:eastAsia="Times New Roman" w:hAnsi="Times New Roman"/>
          <w:sz w:val="16"/>
          <w:szCs w:val="16"/>
          <w:b w:val="1"/>
          <w:bCs w:val="1"/>
          <w:color w:val="auto"/>
        </w:rPr>
        <w:t>&lt;&lt;</w:t>
      </w:r>
      <w:r>
        <w:rPr>
          <w:rFonts w:ascii="Times New Roman" w:cs="Times New Roman" w:eastAsia="Times New Roman" w:hAnsi="Times New Roman"/>
          <w:sz w:val="16"/>
          <w:szCs w:val="16"/>
          <w:b w:val="1"/>
          <w:bCs w:val="1"/>
          <w:color w:val="auto"/>
          <w:highlight w:val="yellow"/>
        </w:rPr>
        <w:t>QTY GRANTED</w:t>
      </w:r>
      <w:r>
        <w:rPr>
          <w:rFonts w:ascii="Times New Roman" w:cs="Times New Roman" w:eastAsia="Times New Roman" w:hAnsi="Times New Roman"/>
          <w:sz w:val="16"/>
          <w:szCs w:val="16"/>
          <w:b w:val="1"/>
          <w:bCs w:val="1"/>
          <w:color w:val="auto"/>
        </w:rPr>
        <w:t>&gt;&gt;</w:t>
      </w:r>
      <w:r>
        <w:rPr>
          <w:rFonts w:ascii="Times New Roman" w:cs="Times New Roman" w:eastAsia="Times New Roman" w:hAnsi="Times New Roman"/>
          <w:sz w:val="16"/>
          <w:szCs w:val="16"/>
          <w:color w:val="auto"/>
        </w:rPr>
        <w:t xml:space="preserve"> RSUs is made as of the Grant Date.</w:t>
      </w:r>
    </w:p>
    <w:p>
      <w:pPr>
        <w:spacing w:after="0" w:line="149" w:lineRule="exact"/>
        <w:rPr>
          <w:rFonts w:ascii="Times New Roman" w:cs="Times New Roman" w:eastAsia="Times New Roman" w:hAnsi="Times New Roman"/>
          <w:sz w:val="16"/>
          <w:szCs w:val="16"/>
          <w:color w:val="auto"/>
        </w:rPr>
      </w:pPr>
    </w:p>
    <w:p>
      <w:pPr>
        <w:ind w:right="20" w:firstLine="463"/>
        <w:spacing w:after="0" w:line="257" w:lineRule="auto"/>
        <w:tabs>
          <w:tab w:leader="none" w:pos="60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RSU and Common Share Rights</w:t>
      </w:r>
      <w:r>
        <w:rPr>
          <w:rFonts w:ascii="Times New Roman" w:cs="Times New Roman" w:eastAsia="Times New Roman" w:hAnsi="Times New Roman"/>
          <w:sz w:val="16"/>
          <w:szCs w:val="16"/>
          <w:color w:val="auto"/>
        </w:rPr>
        <w:t>. The RSUs awarded under this Agreement shall be recorded in a Company book-keeping account and shall represent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unsecured right to receive from the Company the transfer of title to shares of Common Stock of the Company (“Common Shares”) in accordance with the schedule of Vesting Dates set forth in paragraph 5 below, provided that Employee has satisfied the Conditions of Transfer set forth in paragraph 6 below and subject to the satisfaction of the provision on withholding taxes set forth in paragraph 10 below. On each such Vesting Date, if it occurs, the Company shall reverse the book-keeping entry for all such related RSUs and transfer a corresponding number of Common Shares (which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Employee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the corresponding Common Shares are transferred, if at all, to the Account.</w:t>
      </w:r>
    </w:p>
    <w:p>
      <w:pPr>
        <w:spacing w:after="0" w:line="176" w:lineRule="exact"/>
        <w:rPr>
          <w:rFonts w:ascii="Times New Roman" w:cs="Times New Roman" w:eastAsia="Times New Roman" w:hAnsi="Times New Roman"/>
          <w:sz w:val="16"/>
          <w:szCs w:val="16"/>
          <w:color w:val="auto"/>
        </w:rPr>
      </w:pPr>
    </w:p>
    <w:p>
      <w:pPr>
        <w:ind w:firstLine="463"/>
        <w:spacing w:after="0" w:line="228" w:lineRule="auto"/>
        <w:tabs>
          <w:tab w:leader="none" w:pos="60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Vesting in RSUs</w:t>
      </w:r>
      <w:r>
        <w:rPr>
          <w:rFonts w:ascii="Times New Roman" w:cs="Times New Roman" w:eastAsia="Times New Roman" w:hAnsi="Times New Roman"/>
          <w:sz w:val="16"/>
          <w:szCs w:val="16"/>
          <w:color w:val="auto"/>
        </w:rPr>
        <w:t>. The RSUs shall vest pro rata as follows: (a) with respect to annual grants, [25%] [33%] [50%] on February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each of the first [four] [three]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[two] anniversaries after the year in which the Grant Date occurs, and (b) with respect to all other grants, [25%] [33%] [25%] on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month specified in the Equity Award Grant Policy in which occurs the first [four] [three] [two] anniversaries of the Grant Date (each such date, a “Vesting Date”); provided that if the application of the foregoing vesting schedule would cause a fractional RSU to vest, then the Committee shall determine how to reallocate such fractional RSUs so that only whole RSUs vest. Notwithstanding the foregoing, in the event that any such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month is a Saturday, Sunday or other day on which stock of the Company is not traded on the New York Stock Exchange or another national exchange, then the Vesting Date shall be the next following day on which the stock of the Company is traded on the New York Stock Exchange or another national exchange.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23" w:right="339" w:bottom="1440" w:gutter="0" w:footer="0" w:header="0"/>
        </w:sectPr>
      </w:pPr>
    </w:p>
    <w:bookmarkStart w:id="62" w:name="page63"/>
    <w:bookmarkEnd w:id="62"/>
    <w:p>
      <w:pPr>
        <w:ind w:right="40" w:firstLine="463"/>
        <w:spacing w:after="0" w:line="269" w:lineRule="auto"/>
        <w:tabs>
          <w:tab w:leader="none" w:pos="608"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Conditions of Transfer</w:t>
      </w:r>
      <w:r>
        <w:rPr>
          <w:rFonts w:ascii="Times New Roman" w:cs="Times New Roman" w:eastAsia="Times New Roman" w:hAnsi="Times New Roman"/>
          <w:sz w:val="16"/>
          <w:szCs w:val="16"/>
          <w:color w:val="auto"/>
        </w:rPr>
        <w:t>. Except as otherwise provided in paragraph 8 below, with respect to any RSUs awarded to Employee under this Agreement, as a condition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Employee receiving a transfer of corresponding Common Shares in accordance with paragraph 4 above, Employee shall meet all of the following conditions during the entire period from the Grant Date hereof through the Vesting Date relating to such RSUs:</w:t>
      </w:r>
    </w:p>
    <w:p>
      <w:pPr>
        <w:spacing w:after="0" w:line="177" w:lineRule="exact"/>
        <w:rPr>
          <w:rFonts w:ascii="Times New Roman" w:cs="Times New Roman" w:eastAsia="Times New Roman" w:hAnsi="Times New Roman"/>
          <w:sz w:val="16"/>
          <w:szCs w:val="16"/>
          <w:color w:val="auto"/>
        </w:rPr>
      </w:pPr>
    </w:p>
    <w:p>
      <w:pPr>
        <w:ind w:left="920" w:hanging="303"/>
        <w:spacing w:after="0"/>
        <w:tabs>
          <w:tab w:leader="none" w:pos="92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must continue to be an active employee of the Company or any Subsidiary (“Continuous Employment”);</w:t>
      </w:r>
    </w:p>
    <w:p>
      <w:pPr>
        <w:spacing w:after="0" w:line="212" w:lineRule="exact"/>
        <w:rPr>
          <w:rFonts w:ascii="Times New Roman" w:cs="Times New Roman" w:eastAsia="Times New Roman" w:hAnsi="Times New Roman"/>
          <w:sz w:val="16"/>
          <w:szCs w:val="16"/>
          <w:color w:val="auto"/>
        </w:rPr>
      </w:pPr>
    </w:p>
    <w:p>
      <w:pPr>
        <w:ind w:left="920" w:hanging="303"/>
        <w:spacing w:after="0" w:line="285" w:lineRule="auto"/>
        <w:tabs>
          <w:tab w:leader="none" w:pos="91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prohibited or unenforceable under applicable law, Employee must refrain from Engaging in Competition (as defined in Section 2.17 of the Plan) without first having obtained the written consent thereto from the Company (“Non-competition”); and</w:t>
      </w:r>
    </w:p>
    <w:p>
      <w:pPr>
        <w:spacing w:after="0" w:line="152" w:lineRule="exact"/>
        <w:rPr>
          <w:rFonts w:ascii="Times New Roman" w:cs="Times New Roman" w:eastAsia="Times New Roman" w:hAnsi="Times New Roman"/>
          <w:sz w:val="16"/>
          <w:szCs w:val="16"/>
          <w:color w:val="auto"/>
        </w:rPr>
      </w:pPr>
    </w:p>
    <w:p>
      <w:pPr>
        <w:ind w:left="920" w:right="100" w:hanging="303"/>
        <w:spacing w:after="0" w:line="267" w:lineRule="auto"/>
        <w:tabs>
          <w:tab w:leader="none" w:pos="908"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must refrain from committing any criminal offense or malicious tort relating to or against the Company or any Subsidiary or, as determined by the Committee in its discretion, engaging in willful acts or omissions or acts or omissions of gross negligence that are or potentially are injurious to the Company’s or a Subsidiary’s operations, financial condition or business reputation (“No Improper Conduct”). The Company’s determination as to whether or not particular conduct constitutes Improper Conduct shall be conclusive.</w:t>
      </w:r>
    </w:p>
    <w:p>
      <w:pPr>
        <w:spacing w:after="0" w:line="167" w:lineRule="exact"/>
        <w:rPr>
          <w:sz w:val="20"/>
          <w:szCs w:val="20"/>
          <w:color w:val="auto"/>
        </w:rPr>
      </w:pPr>
    </w:p>
    <w:p>
      <w:pPr>
        <w:ind w:right="20" w:firstLine="615"/>
        <w:spacing w:after="0" w:line="262" w:lineRule="auto"/>
        <w:rPr>
          <w:sz w:val="20"/>
          <w:szCs w:val="20"/>
          <w:color w:val="auto"/>
        </w:rPr>
      </w:pPr>
      <w:r>
        <w:rPr>
          <w:rFonts w:ascii="Times New Roman" w:cs="Times New Roman" w:eastAsia="Times New Roman" w:hAnsi="Times New Roman"/>
          <w:sz w:val="16"/>
          <w:szCs w:val="16"/>
          <w:color w:val="auto"/>
        </w:rPr>
        <w:t>If Employee should fail to meet the requirements relating to (i) Continuous Employment, (ii) Non-competition, or (iii) No Improper Conduct, then Employee shall forfeit the right to vest in any RSUs that have not already vested as of the time such failure is determined, and Employee shall accordingly forfeit the right to receive the transfer of title to any corresponding Common Shares. The forfeiture of rights with respect to unvested RSUs (and corresponding Common Shares) shall not affect the rights of Employee with respect to any RSUs that already have vested nor with respect to any Common Shares the title of which has already been transferred to the Account.</w:t>
      </w:r>
    </w:p>
    <w:p>
      <w:pPr>
        <w:spacing w:after="0" w:line="181" w:lineRule="exact"/>
        <w:rPr>
          <w:sz w:val="20"/>
          <w:szCs w:val="20"/>
          <w:color w:val="auto"/>
        </w:rPr>
      </w:pPr>
    </w:p>
    <w:p>
      <w:pPr>
        <w:ind w:left="620" w:hanging="157"/>
        <w:spacing w:after="0"/>
        <w:tabs>
          <w:tab w:leader="none" w:pos="62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Non-Assignability. </w:t>
      </w:r>
      <w:r>
        <w:rPr>
          <w:rFonts w:ascii="Times New Roman" w:cs="Times New Roman" w:eastAsia="Times New Roman" w:hAnsi="Times New Roman"/>
          <w:sz w:val="16"/>
          <w:szCs w:val="16"/>
          <w:color w:val="auto"/>
        </w:rPr>
        <w:t>The RSUs shall not be assignable or transferable by Employee except by will or by the laws of descent and distribution.</w:t>
      </w:r>
    </w:p>
    <w:p>
      <w:pPr>
        <w:spacing w:after="0" w:line="212" w:lineRule="exact"/>
        <w:rPr>
          <w:rFonts w:ascii="Times New Roman" w:cs="Times New Roman" w:eastAsia="Times New Roman" w:hAnsi="Times New Roman"/>
          <w:sz w:val="16"/>
          <w:szCs w:val="16"/>
          <w:color w:val="auto"/>
        </w:rPr>
      </w:pPr>
    </w:p>
    <w:p>
      <w:pPr>
        <w:ind w:left="620" w:hanging="157"/>
        <w:spacing w:after="0"/>
        <w:tabs>
          <w:tab w:leader="none" w:pos="62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Effect of Termination of Employment</w:t>
      </w:r>
      <w:r>
        <w:rPr>
          <w:rFonts w:ascii="Times New Roman" w:cs="Times New Roman" w:eastAsia="Times New Roman" w:hAnsi="Times New Roman"/>
          <w:sz w:val="16"/>
          <w:szCs w:val="16"/>
          <w:color w:val="auto"/>
        </w:rPr>
        <w:t>.</w:t>
      </w:r>
    </w:p>
    <w:p>
      <w:pPr>
        <w:spacing w:after="0" w:line="214" w:lineRule="exact"/>
        <w:rPr>
          <w:rFonts w:ascii="Times New Roman" w:cs="Times New Roman" w:eastAsia="Times New Roman" w:hAnsi="Times New Roman"/>
          <w:sz w:val="16"/>
          <w:szCs w:val="16"/>
          <w:color w:val="auto"/>
        </w:rPr>
      </w:pPr>
    </w:p>
    <w:p>
      <w:pPr>
        <w:ind w:left="620" w:right="80" w:hanging="310"/>
        <w:spacing w:after="0" w:line="267" w:lineRule="auto"/>
        <w:tabs>
          <w:tab w:leader="none" w:pos="60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relevant Vesting Date on account of Employee’s death, and if Employee had otherwise met the requirements of Continuous Employment, Non- competition and No Improper Conduct from the Grant Date through the date of such death, then Employee’s unvested RSUs shall immediately vest in full upon death and Employee’s rights hereunder with respect to any such RSUs shall inure to the benefit of Employee’s executors, administrators, personal representatives and assigns.</w:t>
      </w:r>
    </w:p>
    <w:p>
      <w:pPr>
        <w:spacing w:after="0" w:line="167" w:lineRule="exact"/>
        <w:rPr>
          <w:rFonts w:ascii="Times New Roman" w:cs="Times New Roman" w:eastAsia="Times New Roman" w:hAnsi="Times New Roman"/>
          <w:sz w:val="16"/>
          <w:szCs w:val="16"/>
          <w:color w:val="auto"/>
        </w:rPr>
      </w:pPr>
    </w:p>
    <w:p>
      <w:pPr>
        <w:ind w:left="620" w:hanging="310"/>
        <w:spacing w:after="0" w:line="256" w:lineRule="auto"/>
        <w:tabs>
          <w:tab w:leader="none" w:pos="61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relevant Vesting Date on account of Employee’s Retirement (as defined below), and if Employee had otherwise met the requirements of Continuous Employment, Non-competition and No Improper Conduct from the Grant Date through the date of such Retirement, and provided that Employee continues to meet the requirements of Non-competition and No Improper Conduct, then Employee’s rights hereunder with respect to any outstanding, unvested RSUs shall continue in the same manner as if Employee continued to meet the Continuous Employment requirement through the Vesting Dates, except that if Employee’s termination occurs before the one year anniversary of the Grant Date, then that portion of RSUs equal to the total number of RSUs granted hereunder multiplied by the ratio of (i) the number of days after the termination date and before the first anniversary of the Grant Date, over (ii) the number of days in the twelve (12) month period following the Grant Date shall be immediately forfeited upon Employee’s termination. For purposes of this Agreement, “Retirement” shall mean termination of employment on account of Disability (as defined in Section 2.14 of the Plan) or by retiring with the specific approval of the Committee on or after such date on which Employee has attained age 55 and completed ten (10) Years of Service.</w:t>
      </w:r>
    </w:p>
    <w:p>
      <w:pPr>
        <w:spacing w:after="0" w:line="180" w:lineRule="exact"/>
        <w:rPr>
          <w:rFonts w:ascii="Times New Roman" w:cs="Times New Roman" w:eastAsia="Times New Roman" w:hAnsi="Times New Roman"/>
          <w:sz w:val="16"/>
          <w:szCs w:val="16"/>
          <w:color w:val="auto"/>
        </w:rPr>
      </w:pPr>
    </w:p>
    <w:p>
      <w:pPr>
        <w:ind w:left="620" w:right="100" w:hanging="310"/>
        <w:spacing w:after="0" w:line="259" w:lineRule="auto"/>
        <w:tabs>
          <w:tab w:leader="none" w:pos="60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or service with the Company and its Subsidiaries is terminated prior to the relevant Vesting Date as a result of a Divestiture (defined as either (i) the disposition by the Company or a Subsidiary of all or a portion of the assets used by the Company or Subsidiary in a trade or business, for which the Employee works, to an unrelated corporation or entity and which results in the Employee ceasing to be employed by the Company or a Subsidiary or (ii) the disposition by the Company of its equity interest in a Subsidiary that employs the Employee to an unrelated individual or entity (which, for the avoidance of doubt, excludes a spin-off or split-off or similar transaction), provided that such Subsidiary ceases to be controlled by the Company as a result of such disposition), and if Employee had otherwise met the requirements of Continuous Employment, Non-competition and No Improper Conduct from the Grant Date through the date of such termination, all of the unvested RSUs shall immediately vest in full as of the Divestiture, and provided that Employee continues to meet the requirements of Non-competition and No Improper Conduct, shall be settled on the relevant Vesting Date that would have applied had no Divestiture or termination of Continuous Employment occurred. Notwithstanding the foregoing, and in lieu of the foregoing, the Company may, in its discretion, accelerate the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20"/>
          </w:cols>
          <w:pgMar w:left="320" w:top="935" w:right="359" w:bottom="1440" w:gutter="0" w:footer="0" w:header="0"/>
        </w:sectPr>
      </w:pPr>
    </w:p>
    <w:bookmarkStart w:id="63" w:name="page64"/>
    <w:bookmarkEnd w:id="63"/>
    <w:p>
      <w:pPr>
        <w:ind w:left="620" w:right="40"/>
        <w:spacing w:after="0" w:line="285" w:lineRule="auto"/>
        <w:rPr>
          <w:sz w:val="20"/>
          <w:szCs w:val="20"/>
          <w:color w:val="auto"/>
        </w:rPr>
      </w:pPr>
      <w:r>
        <w:rPr>
          <w:rFonts w:ascii="Times New Roman" w:cs="Times New Roman" w:eastAsia="Times New Roman" w:hAnsi="Times New Roman"/>
          <w:sz w:val="16"/>
          <w:szCs w:val="16"/>
          <w:color w:val="auto"/>
        </w:rPr>
        <w:t>settlement of the RSUs to the extent permitted by Code Section 409A, such that the date of the Divestiture shall be deemed the Vesting Date for all of the RSUs for purposes of paragraph 4 above.</w:t>
      </w:r>
    </w:p>
    <w:p>
      <w:pPr>
        <w:spacing w:after="0" w:line="152" w:lineRule="exact"/>
        <w:rPr>
          <w:sz w:val="20"/>
          <w:szCs w:val="20"/>
          <w:color w:val="auto"/>
        </w:rPr>
      </w:pPr>
    </w:p>
    <w:p>
      <w:pPr>
        <w:ind w:left="620" w:right="120" w:hanging="310"/>
        <w:spacing w:after="0" w:line="301" w:lineRule="auto"/>
        <w:tabs>
          <w:tab w:leader="none" w:pos="61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relevant Vesting Date for any reason other than those specified in (a), (b) or (c) above, Employee shall immediately forfeit all of the unvested RSUs granted hereunder.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as set forth in paragraph 8(a) above, no other transfer of rights with respect to RSUs shall be permitted pursuant to this Agreement.</w:t>
      </w:r>
    </w:p>
    <w:p>
      <w:pPr>
        <w:spacing w:after="0" w:line="211" w:lineRule="exact"/>
        <w:rPr>
          <w:sz w:val="20"/>
          <w:szCs w:val="20"/>
          <w:color w:val="auto"/>
        </w:rPr>
      </w:pPr>
    </w:p>
    <w:p>
      <w:pPr>
        <w:ind w:firstLine="387"/>
        <w:spacing w:after="0" w:line="256" w:lineRule="auto"/>
        <w:tabs>
          <w:tab w:leader="none" w:pos="608"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Non-Solicitation. </w:t>
      </w:r>
      <w:r>
        <w:rPr>
          <w:rFonts w:ascii="Times New Roman" w:cs="Times New Roman" w:eastAsia="Times New Roman" w:hAnsi="Times New Roman"/>
          <w:sz w:val="16"/>
          <w:szCs w:val="16"/>
          <w:color w:val="auto"/>
        </w:rPr>
        <w:t>In consideration of good and valuable consideration in the form of the RSUs granted herein to which Employee is not otherwise entitled,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receipt and 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76" w:lineRule="exact"/>
        <w:rPr>
          <w:rFonts w:ascii="Times New Roman" w:cs="Times New Roman" w:eastAsia="Times New Roman" w:hAnsi="Times New Roman"/>
          <w:sz w:val="16"/>
          <w:szCs w:val="16"/>
          <w:color w:val="auto"/>
        </w:rPr>
      </w:pPr>
    </w:p>
    <w:p>
      <w:pPr>
        <w:ind w:right="100" w:firstLine="310"/>
        <w:spacing w:after="0" w:line="277" w:lineRule="auto"/>
        <w:tabs>
          <w:tab w:leader="none" w:pos="612"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Taxes</w:t>
      </w:r>
      <w:r>
        <w:rPr>
          <w:rFonts w:ascii="Times New Roman" w:cs="Times New Roman" w:eastAsia="Times New Roman" w:hAnsi="Times New Roman"/>
          <w:sz w:val="16"/>
          <w:szCs w:val="16"/>
          <w:color w:val="auto"/>
        </w:rPr>
        <w:t>. The transfer of Common Shares upon each Vesting Date, pursuant to paragraphs 4 and 6 above, shall be subject to the further condition that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provide for the withholding of any taxes required by federal, state, or local law in respect of that Vesting Date by reducing the number of RSUs to be transferred to the Account or by such other manner as the Committee shall determine in its discretion.</w:t>
      </w:r>
    </w:p>
    <w:p>
      <w:pPr>
        <w:spacing w:after="0" w:line="156" w:lineRule="exact"/>
        <w:rPr>
          <w:rFonts w:ascii="Times New Roman" w:cs="Times New Roman" w:eastAsia="Times New Roman" w:hAnsi="Times New Roman"/>
          <w:sz w:val="16"/>
          <w:szCs w:val="16"/>
          <w:color w:val="auto"/>
        </w:rPr>
      </w:pPr>
    </w:p>
    <w:p>
      <w:pPr>
        <w:ind w:firstLine="310"/>
        <w:spacing w:after="0" w:line="259" w:lineRule="auto"/>
        <w:tabs>
          <w:tab w:leader="none" w:pos="606"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Consent. </w:t>
      </w:r>
      <w:r>
        <w:rPr>
          <w:rFonts w:ascii="Times New Roman" w:cs="Times New Roman" w:eastAsia="Times New Roman" w:hAnsi="Times New Roman"/>
          <w:sz w:val="16"/>
          <w:szCs w:val="16"/>
          <w:color w:val="auto"/>
        </w:rPr>
        <w:t>By executing this Agreement, Employee consents to the collection, maintenance and processing of Employee’s personal information (such as Employee’s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Vesting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74" w:lineRule="exact"/>
        <w:rPr>
          <w:rFonts w:ascii="Times New Roman" w:cs="Times New Roman" w:eastAsia="Times New Roman" w:hAnsi="Times New Roman"/>
          <w:sz w:val="16"/>
          <w:szCs w:val="16"/>
          <w:color w:val="auto"/>
        </w:rPr>
      </w:pPr>
    </w:p>
    <w:p>
      <w:pPr>
        <w:ind w:left="620" w:right="40" w:hanging="310"/>
        <w:spacing w:after="0" w:line="285" w:lineRule="auto"/>
        <w:tabs>
          <w:tab w:leader="none" w:pos="60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this Agreement, investor questionnaires or other forms that Employee submits to the Company or a Subsidiary or contracts that Employee enters into with the Company or a Subsidiary;</w:t>
      </w:r>
    </w:p>
    <w:p>
      <w:pPr>
        <w:spacing w:after="0" w:line="164" w:lineRule="exact"/>
        <w:rPr>
          <w:rFonts w:ascii="Times New Roman" w:cs="Times New Roman" w:eastAsia="Times New Roman" w:hAnsi="Times New Roman"/>
          <w:sz w:val="16"/>
          <w:szCs w:val="16"/>
          <w:color w:val="auto"/>
        </w:rPr>
      </w:pPr>
    </w:p>
    <w:p>
      <w:pPr>
        <w:ind w:left="620" w:hanging="310"/>
        <w:spacing w:after="0"/>
        <w:tabs>
          <w:tab w:leader="none" w:pos="6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transactions with the Company, the Company’s affiliates and service providers;</w:t>
      </w:r>
    </w:p>
    <w:p>
      <w:pPr>
        <w:spacing w:after="0" w:line="212" w:lineRule="exact"/>
        <w:rPr>
          <w:rFonts w:ascii="Times New Roman" w:cs="Times New Roman" w:eastAsia="Times New Roman" w:hAnsi="Times New Roman"/>
          <w:sz w:val="16"/>
          <w:szCs w:val="16"/>
          <w:color w:val="auto"/>
        </w:rPr>
      </w:pPr>
    </w:p>
    <w:p>
      <w:pPr>
        <w:ind w:left="600" w:hanging="290"/>
        <w:spacing w:after="0"/>
        <w:tabs>
          <w:tab w:leader="none" w:pos="6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employment records with the Company or a Subsidiary; and</w:t>
      </w:r>
    </w:p>
    <w:p>
      <w:pPr>
        <w:spacing w:after="0" w:line="212" w:lineRule="exact"/>
        <w:rPr>
          <w:rFonts w:ascii="Times New Roman" w:cs="Times New Roman" w:eastAsia="Times New Roman" w:hAnsi="Times New Roman"/>
          <w:sz w:val="16"/>
          <w:szCs w:val="16"/>
          <w:color w:val="auto"/>
        </w:rPr>
      </w:pPr>
    </w:p>
    <w:p>
      <w:pPr>
        <w:ind w:left="620" w:hanging="310"/>
        <w:spacing w:after="0"/>
        <w:tabs>
          <w:tab w:leader="none" w:pos="6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meetings, telephone conversations and other communications with Employee.</w:t>
      </w:r>
    </w:p>
    <w:p>
      <w:pPr>
        <w:spacing w:after="0" w:line="213" w:lineRule="exact"/>
        <w:rPr>
          <w:sz w:val="20"/>
          <w:szCs w:val="20"/>
          <w:color w:val="auto"/>
        </w:rPr>
      </w:pPr>
    </w:p>
    <w:p>
      <w:pPr>
        <w:ind w:firstLine="384"/>
        <w:spacing w:after="0" w:line="285" w:lineRule="auto"/>
        <w:rPr>
          <w:sz w:val="20"/>
          <w:szCs w:val="20"/>
          <w:color w:val="auto"/>
        </w:rPr>
      </w:pPr>
      <w:r>
        <w:rPr>
          <w:rFonts w:ascii="Times New Roman" w:cs="Times New Roman" w:eastAsia="Times New Roman" w:hAnsi="Times New Roman"/>
          <w:sz w:val="16"/>
          <w:szCs w:val="16"/>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165" w:lineRule="exact"/>
        <w:rPr>
          <w:sz w:val="20"/>
          <w:szCs w:val="20"/>
          <w:color w:val="auto"/>
        </w:rPr>
      </w:pPr>
    </w:p>
    <w:p>
      <w:pPr>
        <w:ind w:left="600" w:hanging="290"/>
        <w:spacing w:after="0"/>
        <w:tabs>
          <w:tab w:leader="none" w:pos="6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service providers, such as broker-dealers, custodians, banks and others used to finance or facilitate transactions by, or operations of, the Plan;</w:t>
      </w:r>
    </w:p>
    <w:p>
      <w:pPr>
        <w:spacing w:after="0" w:line="212" w:lineRule="exact"/>
        <w:rPr>
          <w:rFonts w:ascii="Times New Roman" w:cs="Times New Roman" w:eastAsia="Times New Roman" w:hAnsi="Times New Roman"/>
          <w:sz w:val="16"/>
          <w:szCs w:val="16"/>
          <w:color w:val="auto"/>
        </w:rPr>
      </w:pPr>
    </w:p>
    <w:p>
      <w:pPr>
        <w:ind w:left="620" w:hanging="310"/>
        <w:spacing w:after="0"/>
        <w:tabs>
          <w:tab w:leader="none" w:pos="6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service providers to the Plan, such as accounting, legal, or tax preparation services;</w:t>
      </w:r>
    </w:p>
    <w:p>
      <w:pPr>
        <w:spacing w:after="0" w:line="212" w:lineRule="exact"/>
        <w:rPr>
          <w:rFonts w:ascii="Times New Roman" w:cs="Times New Roman" w:eastAsia="Times New Roman" w:hAnsi="Times New Roman"/>
          <w:sz w:val="16"/>
          <w:szCs w:val="16"/>
          <w:color w:val="auto"/>
        </w:rPr>
      </w:pPr>
    </w:p>
    <w:p>
      <w:pPr>
        <w:ind w:left="600" w:hanging="290"/>
        <w:spacing w:after="0"/>
        <w:tabs>
          <w:tab w:leader="none" w:pos="6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937" w:right="339"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6"/>
          <w:szCs w:val="16"/>
          <w:color w:val="auto"/>
        </w:rPr>
        <w:t>(d)  transfer agents, portfolio companies, brokerage firms and the like, in connection with distributions to Plan participants.</w:t>
      </w:r>
    </w:p>
    <w:p>
      <w:pPr>
        <w:spacing w:after="0" w:line="213" w:lineRule="exact"/>
        <w:rPr>
          <w:sz w:val="20"/>
          <w:szCs w:val="20"/>
          <w:color w:val="auto"/>
        </w:rPr>
      </w:pPr>
    </w:p>
    <w:p>
      <w:pPr>
        <w:ind w:right="180" w:firstLine="384"/>
        <w:spacing w:after="0" w:line="285" w:lineRule="auto"/>
        <w:rPr>
          <w:sz w:val="20"/>
          <w:szCs w:val="20"/>
          <w:color w:val="auto"/>
        </w:rPr>
      </w:pPr>
      <w:r>
        <w:rPr>
          <w:rFonts w:ascii="Times New Roman" w:cs="Times New Roman" w:eastAsia="Times New Roman" w:hAnsi="Times New Roman"/>
          <w:sz w:val="16"/>
          <w:szCs w:val="16"/>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65" w:lineRule="exact"/>
        <w:rPr>
          <w:sz w:val="20"/>
          <w:szCs w:val="20"/>
          <w:color w:val="auto"/>
        </w:rPr>
      </w:pPr>
    </w:p>
    <w:p>
      <w:pPr>
        <w:ind w:right="20" w:firstLine="384"/>
        <w:spacing w:after="0" w:line="256" w:lineRule="auto"/>
        <w:rPr>
          <w:sz w:val="20"/>
          <w:szCs w:val="20"/>
          <w:color w:val="auto"/>
        </w:rPr>
      </w:pPr>
      <w:r>
        <w:rPr>
          <w:rFonts w:ascii="Times New Roman" w:cs="Times New Roman" w:eastAsia="Times New Roman" w:hAnsi="Times New Roman"/>
          <w:sz w:val="16"/>
          <w:szCs w:val="16"/>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78" w:lineRule="exact"/>
        <w:rPr>
          <w:sz w:val="20"/>
          <w:szCs w:val="20"/>
          <w:color w:val="auto"/>
        </w:rPr>
      </w:pPr>
    </w:p>
    <w:p>
      <w:pPr>
        <w:ind w:firstLine="310"/>
        <w:spacing w:after="0" w:line="261" w:lineRule="auto"/>
        <w:tabs>
          <w:tab w:leader="none" w:pos="61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Additional Rights. </w:t>
      </w:r>
      <w:r>
        <w:rPr>
          <w:rFonts w:ascii="Times New Roman" w:cs="Times New Roman" w:eastAsia="Times New Roman" w:hAnsi="Times New Roman"/>
          <w:sz w:val="16"/>
          <w:szCs w:val="16"/>
          <w:color w:val="auto"/>
        </w:rPr>
        <w:t>Benefits under the Plan are not guaranteed. The grant of this Award is a one-time benefit and does not create any contractual or other right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69" w:lineRule="exact"/>
        <w:rPr>
          <w:rFonts w:ascii="Times New Roman" w:cs="Times New Roman" w:eastAsia="Times New Roman" w:hAnsi="Times New Roman"/>
          <w:sz w:val="16"/>
          <w:szCs w:val="16"/>
          <w:color w:val="auto"/>
        </w:rPr>
      </w:pPr>
    </w:p>
    <w:p>
      <w:pPr>
        <w:ind w:right="260" w:firstLine="310"/>
        <w:spacing w:after="0" w:line="277" w:lineRule="auto"/>
        <w:tabs>
          <w:tab w:leader="none" w:pos="61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Recapitalization, Reorganization, Unusual Events</w:t>
      </w:r>
      <w:r>
        <w:rPr>
          <w:rFonts w:ascii="Times New Roman" w:cs="Times New Roman" w:eastAsia="Times New Roman" w:hAnsi="Times New Roman"/>
          <w:sz w:val="16"/>
          <w:szCs w:val="16"/>
          <w:color w:val="auto"/>
        </w:rPr>
        <w:t>. Certain events affecting the Common Shares of the Company and mergers, consolidations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reorganizations affecting the 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156" w:lineRule="exact"/>
        <w:rPr>
          <w:rFonts w:ascii="Times New Roman" w:cs="Times New Roman" w:eastAsia="Times New Roman" w:hAnsi="Times New Roman"/>
          <w:sz w:val="16"/>
          <w:szCs w:val="16"/>
          <w:color w:val="auto"/>
        </w:rPr>
      </w:pPr>
    </w:p>
    <w:p>
      <w:pPr>
        <w:jc w:val="both"/>
        <w:ind w:right="100" w:firstLine="310"/>
        <w:spacing w:after="0" w:line="264" w:lineRule="auto"/>
        <w:tabs>
          <w:tab w:leader="none" w:pos="61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 of this Agreement</w:t>
      </w:r>
      <w:r>
        <w:rPr>
          <w:rFonts w:ascii="Times New Roman" w:cs="Times New Roman" w:eastAsia="Times New Roman" w:hAnsi="Times New Roman"/>
          <w:sz w:val="16"/>
          <w:szCs w:val="16"/>
          <w:color w:val="auto"/>
        </w:rPr>
        <w:t>. The Board of Directors may at any time amend, suspend or terminate the Plan or this Agreement; provided, however, that no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 suspension or termination of the Plan or this Agreement shall adversely affect this Agreement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66" w:lineRule="exact"/>
        <w:rPr>
          <w:rFonts w:ascii="Times New Roman" w:cs="Times New Roman" w:eastAsia="Times New Roman" w:hAnsi="Times New Roman"/>
          <w:sz w:val="16"/>
          <w:szCs w:val="16"/>
          <w:color w:val="auto"/>
        </w:rPr>
      </w:pPr>
    </w:p>
    <w:p>
      <w:pPr>
        <w:ind w:right="200" w:firstLine="310"/>
        <w:spacing w:after="0" w:line="269" w:lineRule="auto"/>
        <w:tabs>
          <w:tab w:leader="none" w:pos="61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Notices. </w:t>
      </w:r>
      <w:r>
        <w:rPr>
          <w:rFonts w:ascii="Times New Roman" w:cs="Times New Roman" w:eastAsia="Times New Roman" w:hAnsi="Times New Roman"/>
          <w:sz w:val="16"/>
          <w:szCs w:val="16"/>
          <w:color w:val="auto"/>
        </w:rPr>
        <w:t>Notices hereunder shall be in writing, and if to the Company, may be delivered personally to the Compensation Department or such other party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designated by the Company or mailed to its principal office at 7812 Palm Parkway, Orlando, Florida 32836, addressed to the attention of the Vice President, Global Talent Management, and if to Employee, may be delivered personally or mailed to Employee at his or her address on the records of the Company.</w:t>
      </w:r>
    </w:p>
    <w:p>
      <w:pPr>
        <w:spacing w:after="0" w:line="162" w:lineRule="exact"/>
        <w:rPr>
          <w:rFonts w:ascii="Times New Roman" w:cs="Times New Roman" w:eastAsia="Times New Roman" w:hAnsi="Times New Roman"/>
          <w:sz w:val="16"/>
          <w:szCs w:val="16"/>
          <w:color w:val="auto"/>
        </w:rPr>
      </w:pPr>
    </w:p>
    <w:p>
      <w:pPr>
        <w:ind w:right="80" w:firstLine="310"/>
        <w:spacing w:after="0" w:line="304" w:lineRule="auto"/>
        <w:tabs>
          <w:tab w:leader="none" w:pos="61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Successors and Assigns</w:t>
      </w:r>
      <w:r>
        <w:rPr>
          <w:rFonts w:ascii="Times New Roman" w:cs="Times New Roman" w:eastAsia="Times New Roman" w:hAnsi="Times New Roman"/>
          <w:sz w:val="16"/>
          <w:szCs w:val="16"/>
          <w:color w:val="auto"/>
        </w:rPr>
        <w:t>. This Agreement shall bind and inure to the benefit of the parties hereto and the successors and assigns of the Company and,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in paragraph 8(a) above and in the Plan, to the personal representatives, legatees and heirs of Employee.</w:t>
      </w:r>
    </w:p>
    <w:p>
      <w:pPr>
        <w:spacing w:after="0" w:line="135" w:lineRule="exact"/>
        <w:rPr>
          <w:rFonts w:ascii="Times New Roman" w:cs="Times New Roman" w:eastAsia="Times New Roman" w:hAnsi="Times New Roman"/>
          <w:sz w:val="16"/>
          <w:szCs w:val="16"/>
          <w:color w:val="auto"/>
        </w:rPr>
      </w:pPr>
    </w:p>
    <w:p>
      <w:pPr>
        <w:ind w:right="60" w:firstLine="310"/>
        <w:spacing w:after="0" w:line="287" w:lineRule="auto"/>
        <w:tabs>
          <w:tab w:leader="none" w:pos="61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Effect on Employment</w:t>
      </w:r>
      <w:r>
        <w:rPr>
          <w:rFonts w:ascii="Times New Roman" w:cs="Times New Roman" w:eastAsia="Times New Roman" w:hAnsi="Times New Roman"/>
          <w:sz w:val="16"/>
          <w:szCs w:val="16"/>
          <w:color w:val="auto"/>
        </w:rPr>
        <w:t>. This agreement is not a contract of employment or otherwise a limitation on the right of the Company to terminate the employment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 or to increase or decrease Employee’s compensation from the rate of compensation in existence at the time this Agreement is executed.</w:t>
      </w:r>
    </w:p>
    <w:p>
      <w:pPr>
        <w:spacing w:after="0" w:line="149" w:lineRule="exact"/>
        <w:rPr>
          <w:rFonts w:ascii="Times New Roman" w:cs="Times New Roman" w:eastAsia="Times New Roman" w:hAnsi="Times New Roman"/>
          <w:sz w:val="16"/>
          <w:szCs w:val="16"/>
          <w:color w:val="auto"/>
        </w:rPr>
      </w:pPr>
    </w:p>
    <w:p>
      <w:pPr>
        <w:ind w:right="40" w:firstLine="310"/>
        <w:spacing w:after="0" w:line="277" w:lineRule="auto"/>
        <w:tabs>
          <w:tab w:leader="none" w:pos="61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Additional (Non-U.S.) Terms and Conditions. </w:t>
      </w:r>
      <w:r>
        <w:rPr>
          <w:rFonts w:ascii="Times New Roman" w:cs="Times New Roman" w:eastAsia="Times New Roman" w:hAnsi="Times New Roman"/>
          <w:sz w:val="16"/>
          <w:szCs w:val="16"/>
          <w:color w:val="auto"/>
        </w:rPr>
        <w:t>RSUs awarded under this Agreement shall be subject to additional terms and conditions, as applicable,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Company’s Policies for Global Compliance of Equity Compensation Awards, which are attached in the Appendix hereto and shall be incorporated herein fully by reference.</w:t>
      </w:r>
    </w:p>
    <w:p>
      <w:pPr>
        <w:spacing w:after="0" w:line="156" w:lineRule="exact"/>
        <w:rPr>
          <w:rFonts w:ascii="Times New Roman" w:cs="Times New Roman" w:eastAsia="Times New Roman" w:hAnsi="Times New Roman"/>
          <w:sz w:val="16"/>
          <w:szCs w:val="16"/>
          <w:color w:val="auto"/>
        </w:rPr>
      </w:pPr>
    </w:p>
    <w:p>
      <w:pPr>
        <w:ind w:right="60" w:firstLine="310"/>
        <w:spacing w:after="0" w:line="269" w:lineRule="auto"/>
        <w:tabs>
          <w:tab w:leader="none" w:pos="61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Clawback Policy. </w:t>
      </w:r>
      <w:r>
        <w:rPr>
          <w:rFonts w:ascii="Times New Roman" w:cs="Times New Roman" w:eastAsia="Times New Roman" w:hAnsi="Times New Roman"/>
          <w:sz w:val="16"/>
          <w:szCs w:val="16"/>
          <w:color w:val="auto"/>
        </w:rPr>
        <w:t>RSUs awarded under this Agreement, as well as any Common Shares issued with respect to such RSUs, shall be subject to the Clawback Policy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adopted by the Committee on February 13, 2014, and any successor policy thereto, to the extent that at any relevant time Employee is subject to such policy in accordance with its terms.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937" w:right="339" w:bottom="1440" w:gutter="0" w:footer="0" w:header="0"/>
        </w:sectPr>
      </w:pPr>
    </w:p>
    <w:bookmarkStart w:id="65" w:name="page66"/>
    <w:bookmarkEnd w:id="65"/>
    <w:p>
      <w:pPr>
        <w:ind w:firstLine="384"/>
        <w:spacing w:after="0" w:line="287"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MARRIOTT VACATIONS WORLDWIDE CORPORATION has caused this Agreement to be signed by its Chief Human Resources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 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71234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MARRIOTT VACATIONS WORLDWIDE</w:t>
            </w: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CORPORATION</w:t>
            </w:r>
          </w:p>
        </w:tc>
        <w:tc>
          <w:tcPr>
            <w:tcW w:w="3600" w:type="dxa"/>
            <w:vAlign w:val="bottom"/>
            <w:gridSpan w:val="3"/>
          </w:tcPr>
          <w:p>
            <w:pPr>
              <w:ind w:left="1600"/>
              <w:spacing w:after="0"/>
              <w:rPr>
                <w:sz w:val="20"/>
                <w:szCs w:val="20"/>
                <w:color w:val="auto"/>
              </w:rPr>
            </w:pPr>
            <w:r>
              <w:rPr>
                <w:rFonts w:ascii="Times New Roman" w:cs="Times New Roman" w:eastAsia="Times New Roman" w:hAnsi="Times New Roman"/>
                <w:sz w:val="17"/>
                <w:szCs w:val="17"/>
                <w:color w:val="auto"/>
              </w:rPr>
              <w:t>EMPLOYEE</w:t>
            </w:r>
          </w:p>
        </w:tc>
        <w:tc>
          <w:tcPr>
            <w:tcW w:w="0" w:type="dxa"/>
            <w:vAlign w:val="bottom"/>
          </w:tcPr>
          <w:p>
            <w:pPr>
              <w:spacing w:after="0"/>
              <w:rPr>
                <w:sz w:val="1"/>
                <w:szCs w:val="1"/>
                <w:color w:val="auto"/>
              </w:rPr>
            </w:pPr>
          </w:p>
        </w:tc>
      </w:tr>
      <w:tr>
        <w:trPr>
          <w:trHeight w:val="268"/>
        </w:trPr>
        <w:tc>
          <w:tcPr>
            <w:tcW w:w="4600" w:type="dxa"/>
            <w:vAlign w:val="bottom"/>
          </w:tcPr>
          <w:p>
            <w:pPr>
              <w:spacing w:after="0"/>
              <w:rPr>
                <w:sz w:val="23"/>
                <w:szCs w:val="23"/>
                <w:color w:val="auto"/>
              </w:rPr>
            </w:pPr>
          </w:p>
        </w:tc>
        <w:tc>
          <w:tcPr>
            <w:tcW w:w="1780" w:type="dxa"/>
            <w:vAlign w:val="bottom"/>
            <w:vMerge w:val="restart"/>
          </w:tcPr>
          <w:p>
            <w:pPr>
              <w:ind w:left="1600"/>
              <w:spacing w:after="0"/>
              <w:rPr>
                <w:sz w:val="20"/>
                <w:szCs w:val="20"/>
                <w:color w:val="auto"/>
              </w:rPr>
            </w:pPr>
            <w:r>
              <w:rPr>
                <w:rFonts w:ascii="Times New Roman" w:cs="Times New Roman" w:eastAsia="Times New Roman" w:hAnsi="Times New Roman"/>
                <w:sz w:val="17"/>
                <w:szCs w:val="17"/>
                <w:color w:val="auto"/>
                <w:w w:val="83"/>
              </w:rPr>
              <w:t>&lt;&lt;</w:t>
            </w:r>
          </w:p>
        </w:tc>
        <w:tc>
          <w:tcPr>
            <w:tcW w:w="1620" w:type="dxa"/>
            <w:vAlign w:val="bottom"/>
          </w:tcPr>
          <w:p>
            <w:pPr>
              <w:spacing w:after="0"/>
              <w:rPr>
                <w:sz w:val="23"/>
                <w:szCs w:val="2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&gt;&gt;</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620" w:type="dxa"/>
            <w:vAlign w:val="bottom"/>
            <w:shd w:val="clear" w:color="auto" w:fill="FFFF00"/>
          </w:tcPr>
          <w:p>
            <w:pPr>
              <w:spacing w:after="0" w:line="192" w:lineRule="exact"/>
              <w:rPr>
                <w:sz w:val="20"/>
                <w:szCs w:val="20"/>
                <w:color w:val="auto"/>
              </w:rPr>
            </w:pPr>
            <w:r>
              <w:rPr>
                <w:rFonts w:ascii="Times New Roman" w:cs="Times New Roman" w:eastAsia="Times New Roman" w:hAnsi="Times New Roman"/>
                <w:sz w:val="17"/>
                <w:szCs w:val="17"/>
                <w:color w:val="auto"/>
                <w:highlight w:val="yellow"/>
                <w:w w:val="97"/>
              </w:rPr>
              <w:t>PARTICIPANT NAME</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333375</wp:posOffset>
            </wp:positionV>
            <wp:extent cx="71234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0"/>
        <w:spacing w:after="0"/>
        <w:tabs>
          <w:tab w:leader="none" w:pos="7960" w:val="left"/>
        </w:tabs>
        <w:rPr>
          <w:sz w:val="20"/>
          <w:szCs w:val="20"/>
          <w:color w:val="auto"/>
        </w:rPr>
      </w:pPr>
      <w:r>
        <w:rPr>
          <w:rFonts w:ascii="Times New Roman" w:cs="Times New Roman" w:eastAsia="Times New Roman" w:hAnsi="Times New Roman"/>
          <w:sz w:val="17"/>
          <w:szCs w:val="17"/>
          <w:color w:val="auto"/>
        </w:rPr>
        <w:t>Chief Human Resources Officer</w:t>
      </w:r>
      <w:r>
        <w:rPr>
          <w:sz w:val="20"/>
          <w:szCs w:val="20"/>
          <w:color w:val="auto"/>
        </w:rPr>
        <w:tab/>
      </w:r>
      <w:r>
        <w:rPr>
          <w:rFonts w:ascii="Times New Roman" w:cs="Times New Roman" w:eastAsia="Times New Roman" w:hAnsi="Times New Roman"/>
          <w:sz w:val="16"/>
          <w:szCs w:val="16"/>
          <w:color w:val="auto"/>
        </w:rPr>
        <w:t>Signed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940"/>
          </w:cols>
          <w:pgMar w:left="320" w:top="1140" w:right="639" w:bottom="1440" w:gutter="0" w:footer="0" w:header="0"/>
        </w:sectPr>
      </w:pPr>
    </w:p>
    <w:bookmarkStart w:id="66" w:name="page67"/>
    <w:bookmarkEnd w:id="66"/>
    <w:p>
      <w:pPr>
        <w:ind w:left="40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POLICIES FOR GLOBAL COMPLIANCE OF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615"/>
        <w:spacing w:after="0" w:line="267" w:lineRule="auto"/>
        <w:rPr>
          <w:sz w:val="20"/>
          <w:szCs w:val="20"/>
          <w:color w:val="auto"/>
        </w:rPr>
      </w:pPr>
      <w:r>
        <w:rPr>
          <w:rFonts w:ascii="Times New Roman" w:cs="Times New Roman" w:eastAsia="Times New Roman" w:hAnsi="Times New Roman"/>
          <w:sz w:val="16"/>
          <w:szCs w:val="16"/>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67" w:lineRule="exact"/>
        <w:rPr>
          <w:sz w:val="20"/>
          <w:szCs w:val="20"/>
          <w:color w:val="auto"/>
        </w:rPr>
      </w:pPr>
    </w:p>
    <w:p>
      <w:pPr>
        <w:ind w:firstLine="717"/>
        <w:spacing w:after="0" w:line="259" w:lineRule="auto"/>
        <w:rPr>
          <w:sz w:val="20"/>
          <w:szCs w:val="20"/>
          <w:color w:val="auto"/>
        </w:rPr>
      </w:pPr>
      <w:r>
        <w:rPr>
          <w:rFonts w:ascii="Times New Roman" w:cs="Times New Roman" w:eastAsia="Times New Roman" w:hAnsi="Times New Roman"/>
          <w:sz w:val="16"/>
          <w:szCs w:val="16"/>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Times New Roman" w:cs="Times New Roman" w:eastAsia="Times New Roman" w:hAnsi="Times New Roman"/>
          <w:sz w:val="16"/>
          <w:szCs w:val="16"/>
          <w:u w:val="single" w:color="auto"/>
          <w:color w:val="auto"/>
        </w:rPr>
        <w:t>must satisfy</w:t>
      </w:r>
      <w:r>
        <w:rPr>
          <w:rFonts w:ascii="Times New Roman" w:cs="Times New Roman" w:eastAsia="Times New Roman" w:hAnsi="Times New Roman"/>
          <w:sz w:val="16"/>
          <w:szCs w:val="16"/>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172" w:lineRule="exact"/>
        <w:rPr>
          <w:sz w:val="20"/>
          <w:szCs w:val="20"/>
          <w:color w:val="auto"/>
        </w:rPr>
      </w:pPr>
    </w:p>
    <w:p>
      <w:pPr>
        <w:ind w:right="20" w:firstLine="717"/>
        <w:spacing w:after="0" w:line="267" w:lineRule="auto"/>
        <w:rPr>
          <w:sz w:val="20"/>
          <w:szCs w:val="20"/>
          <w:color w:val="auto"/>
        </w:rPr>
      </w:pPr>
      <w:r>
        <w:rPr>
          <w:rFonts w:ascii="Times New Roman" w:cs="Times New Roman" w:eastAsia="Times New Roman" w:hAnsi="Times New Roman"/>
          <w:sz w:val="16"/>
          <w:szCs w:val="16"/>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67" w:lineRule="exact"/>
        <w:rPr>
          <w:sz w:val="20"/>
          <w:szCs w:val="20"/>
          <w:color w:val="auto"/>
        </w:rPr>
      </w:pPr>
    </w:p>
    <w:p>
      <w:pPr>
        <w:ind w:firstLine="717"/>
        <w:spacing w:after="0" w:line="285" w:lineRule="auto"/>
        <w:rPr>
          <w:sz w:val="20"/>
          <w:szCs w:val="20"/>
          <w:color w:val="auto"/>
        </w:rPr>
      </w:pPr>
      <w:r>
        <w:rPr>
          <w:rFonts w:ascii="Times New Roman" w:cs="Times New Roman" w:eastAsia="Times New Roman" w:hAnsi="Times New Roman"/>
          <w:sz w:val="16"/>
          <w:szCs w:val="16"/>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40"/>
          </w:cols>
          <w:pgMar w:left="320" w:top="73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color w:val="auto"/>
        </w:rPr>
        <w:t>COUNTRY-SPECIFIC POLICIES</w:t>
      </w:r>
    </w:p>
    <w:p>
      <w:pPr>
        <w:sectPr>
          <w:pgSz w:w="11900" w:h="16838" w:orient="portrait"/>
          <w:cols w:equalWidth="0" w:num="1">
            <w:col w:w="9019"/>
          </w:cols>
          <w:pgMar w:left="1440" w:top="11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added if applicable]</w:t>
      </w:r>
    </w:p>
    <w:p>
      <w:pPr>
        <w:sectPr>
          <w:pgSz w:w="11900" w:h="16838" w:orient="portrait"/>
          <w:cols w:equalWidth="0" w:num="1">
            <w:col w:w="9019"/>
          </w:cols>
          <w:pgMar w:left="1440" w:top="1194" w:right="1440" w:bottom="1440" w:gutter="0" w:footer="0" w:header="0"/>
          <w:type w:val="continuous"/>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PERFORMANCE UNIT AWARD AGREEMENT</w:t>
      </w:r>
    </w:p>
    <w:p>
      <w:pPr>
        <w:spacing w:after="0" w:line="24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 AGREEMENT</w:t>
      </w:r>
    </w:p>
    <w:p>
      <w:pPr>
        <w:spacing w:after="0" w:line="31"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9"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7"/>
          <w:szCs w:val="17"/>
          <w:b w:val="1"/>
          <w:bCs w:val="1"/>
          <w:color w:val="auto"/>
        </w:rPr>
        <w:t>2020 EQUITY INCENTIVE PLAN</w:t>
      </w:r>
    </w:p>
    <w:p>
      <w:pPr>
        <w:spacing w:after="0" w:line="200" w:lineRule="exact"/>
        <w:rPr>
          <w:sz w:val="20"/>
          <w:szCs w:val="20"/>
          <w:color w:val="auto"/>
        </w:rPr>
      </w:pPr>
    </w:p>
    <w:p>
      <w:pPr>
        <w:spacing w:after="0" w:line="224" w:lineRule="exact"/>
        <w:rPr>
          <w:sz w:val="20"/>
          <w:szCs w:val="20"/>
          <w:color w:val="auto"/>
        </w:rPr>
      </w:pPr>
    </w:p>
    <w:p>
      <w:pPr>
        <w:ind w:right="1020" w:firstLine="521"/>
        <w:spacing w:after="0" w:line="289" w:lineRule="auto"/>
        <w:rPr>
          <w:sz w:val="20"/>
          <w:szCs w:val="20"/>
          <w:color w:val="auto"/>
        </w:rPr>
      </w:pPr>
      <w:r>
        <w:rPr>
          <w:rFonts w:ascii="Times New Roman" w:cs="Times New Roman" w:eastAsia="Times New Roman" w:hAnsi="Times New Roman"/>
          <w:sz w:val="17"/>
          <w:szCs w:val="17"/>
          <w:color w:val="auto"/>
        </w:rPr>
        <w:t xml:space="preserve">THIS AGREEMENT (the “Agreement”) is made on </w:t>
      </w:r>
      <w:r>
        <w:rPr>
          <w:rFonts w:ascii="Times New Roman" w:cs="Times New Roman" w:eastAsia="Times New Roman" w:hAnsi="Times New Roman"/>
          <w:sz w:val="17"/>
          <w:szCs w:val="17"/>
          <w:b w:val="1"/>
          <w:bCs w:val="1"/>
          <w:color w:val="auto"/>
          <w:highlight w:val="yellow"/>
        </w:rPr>
        <w:t>&lt;&lt;GRANT DATE&gt;&gt;</w:t>
      </w:r>
      <w:r>
        <w:rPr>
          <w:rFonts w:ascii="Times New Roman" w:cs="Times New Roman" w:eastAsia="Times New Roman" w:hAnsi="Times New Roman"/>
          <w:sz w:val="17"/>
          <w:szCs w:val="17"/>
          <w:color w:val="auto"/>
        </w:rPr>
        <w:t xml:space="preserve"> (the “Grant Date”) by MARRIOTT VACATIONS WORLDWIDE CORPORATION (the “Company”) and </w:t>
      </w:r>
      <w:r>
        <w:rPr>
          <w:rFonts w:ascii="Times New Roman" w:cs="Times New Roman" w:eastAsia="Times New Roman" w:hAnsi="Times New Roman"/>
          <w:sz w:val="17"/>
          <w:szCs w:val="17"/>
          <w:b w:val="1"/>
          <w:bCs w:val="1"/>
          <w:color w:val="auto"/>
          <w:highlight w:val="yellow"/>
        </w:rPr>
        <w:t>&lt;&lt;PARTICIPANT NAME&gt;&gt;</w:t>
      </w:r>
      <w:r>
        <w:rPr>
          <w:rFonts w:ascii="Times New Roman" w:cs="Times New Roman" w:eastAsia="Times New Roman" w:hAnsi="Times New Roman"/>
          <w:sz w:val="17"/>
          <w:szCs w:val="17"/>
          <w:color w:val="auto"/>
        </w:rPr>
        <w:t>(“Employee”).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WITNESSETH:</w:t>
      </w:r>
    </w:p>
    <w:p>
      <w:pPr>
        <w:spacing w:after="0" w:line="214" w:lineRule="exact"/>
        <w:rPr>
          <w:sz w:val="20"/>
          <w:szCs w:val="20"/>
          <w:color w:val="auto"/>
        </w:rPr>
      </w:pPr>
    </w:p>
    <w:p>
      <w:pPr>
        <w:ind w:right="240" w:firstLine="521"/>
        <w:spacing w:after="0" w:line="284" w:lineRule="auto"/>
        <w:rPr>
          <w:sz w:val="20"/>
          <w:szCs w:val="20"/>
          <w:color w:val="auto"/>
        </w:rPr>
      </w:pPr>
      <w:r>
        <w:rPr>
          <w:rFonts w:ascii="Times New Roman" w:cs="Times New Roman" w:eastAsia="Times New Roman" w:hAnsi="Times New Roman"/>
          <w:sz w:val="17"/>
          <w:szCs w:val="17"/>
          <w:color w:val="auto"/>
        </w:rPr>
        <w:t>WHEREAS, the Company maintains the Marriott Vacations Worldwide Corporation 2020 Equity Incentive Plan, as it may be amended from time to time (the “Plan”); and</w:t>
      </w:r>
    </w:p>
    <w:p>
      <w:pPr>
        <w:spacing w:after="0" w:line="152" w:lineRule="exact"/>
        <w:rPr>
          <w:sz w:val="20"/>
          <w:szCs w:val="20"/>
          <w:color w:val="auto"/>
        </w:rPr>
      </w:pPr>
    </w:p>
    <w:p>
      <w:pPr>
        <w:ind w:firstLine="521"/>
        <w:spacing w:after="0" w:line="284" w:lineRule="auto"/>
        <w:rPr>
          <w:sz w:val="20"/>
          <w:szCs w:val="20"/>
          <w:color w:val="auto"/>
        </w:rPr>
      </w:pPr>
      <w:r>
        <w:rPr>
          <w:rFonts w:ascii="Times New Roman" w:cs="Times New Roman" w:eastAsia="Times New Roman" w:hAnsi="Times New Roman"/>
          <w:sz w:val="17"/>
          <w:szCs w:val="17"/>
          <w:color w:val="auto"/>
        </w:rPr>
        <w:t>WHEREAS, the Company wishes to award to designated employees certain Restricted Stock Unit awards (“RSUs”) as provided in Article 8 of the Plan with performance-based vesting criteria; and</w:t>
      </w:r>
    </w:p>
    <w:p>
      <w:pPr>
        <w:spacing w:after="0" w:line="152" w:lineRule="exact"/>
        <w:rPr>
          <w:sz w:val="20"/>
          <w:szCs w:val="20"/>
          <w:color w:val="auto"/>
        </w:rPr>
      </w:pPr>
    </w:p>
    <w:p>
      <w:pPr>
        <w:ind w:right="300" w:firstLine="521"/>
        <w:spacing w:after="0" w:line="284" w:lineRule="auto"/>
        <w:rPr>
          <w:sz w:val="20"/>
          <w:szCs w:val="20"/>
          <w:color w:val="auto"/>
        </w:rPr>
      </w:pPr>
      <w:r>
        <w:rPr>
          <w:rFonts w:ascii="Times New Roman" w:cs="Times New Roman" w:eastAsia="Times New Roman" w:hAnsi="Times New Roman"/>
          <w:sz w:val="17"/>
          <w:szCs w:val="17"/>
          <w:color w:val="auto"/>
        </w:rPr>
        <w:t>WHEREAS, Employee has been approved by the Compensation Policy Committee (including any delegate thereof, the “Committee”) of the Company’s Board of Directors (the “Board”) to receive an award of RSUs under the Plan;</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it is agreed as follows:</w:t>
      </w:r>
    </w:p>
    <w:p>
      <w:pPr>
        <w:spacing w:after="0" w:line="210" w:lineRule="exact"/>
        <w:rPr>
          <w:sz w:val="20"/>
          <w:szCs w:val="20"/>
          <w:color w:val="auto"/>
        </w:rPr>
      </w:pPr>
    </w:p>
    <w:p>
      <w:pPr>
        <w:ind w:right="60" w:firstLine="523"/>
        <w:spacing w:after="0" w:line="270" w:lineRule="auto"/>
        <w:tabs>
          <w:tab w:leader="none" w:pos="69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Employee has been provided with, and hereby acknowledges receipt of, a Prospectus for the Plan dated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color w:val="auto"/>
          <w:highlight w:val="yellow"/>
        </w:rPr>
        <w:t>&lt;&lt;DATE&gt;&gt;</w:t>
      </w:r>
      <w:r>
        <w:rPr>
          <w:rFonts w:ascii="Times New Roman" w:cs="Times New Roman" w:eastAsia="Times New Roman" w:hAnsi="Times New Roman"/>
          <w:sz w:val="17"/>
          <w:szCs w:val="17"/>
          <w:color w:val="auto"/>
        </w:rPr>
        <w:t>, which contains, among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things, a detailed description of the RSU award provisions of the Plan. Employee further acknowledges that Employee has read the Prospectus and this Agreement, and that Employee understands the provisions thereof.</w:t>
      </w:r>
    </w:p>
    <w:p>
      <w:pPr>
        <w:spacing w:after="0" w:line="159" w:lineRule="exact"/>
        <w:rPr>
          <w:rFonts w:ascii="Times New Roman" w:cs="Times New Roman" w:eastAsia="Times New Roman" w:hAnsi="Times New Roman"/>
          <w:sz w:val="17"/>
          <w:szCs w:val="17"/>
          <w:color w:val="auto"/>
        </w:rPr>
      </w:pPr>
    </w:p>
    <w:p>
      <w:pPr>
        <w:jc w:val="both"/>
        <w:ind w:right="40" w:firstLine="523"/>
        <w:spacing w:after="0" w:line="264" w:lineRule="auto"/>
        <w:tabs>
          <w:tab w:leader="none" w:pos="69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Interpretation</w:t>
      </w:r>
      <w:r>
        <w:rPr>
          <w:rFonts w:ascii="Times New Roman" w:cs="Times New Roman" w:eastAsia="Times New Roman" w:hAnsi="Times New Roman"/>
          <w:sz w:val="17"/>
          <w:szCs w:val="17"/>
          <w:color w:val="auto"/>
        </w:rPr>
        <w:t>. The provisions of the Plan are incorporated herein by reference and form an integral part of this Agreement. Except as otherwise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64" w:lineRule="exact"/>
        <w:rPr>
          <w:rFonts w:ascii="Times New Roman" w:cs="Times New Roman" w:eastAsia="Times New Roman" w:hAnsi="Times New Roman"/>
          <w:sz w:val="17"/>
          <w:szCs w:val="17"/>
          <w:color w:val="auto"/>
        </w:rPr>
      </w:pPr>
    </w:p>
    <w:p>
      <w:pPr>
        <w:ind w:right="100" w:firstLine="523"/>
        <w:spacing w:after="0" w:line="289" w:lineRule="auto"/>
        <w:tabs>
          <w:tab w:leader="none" w:pos="69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 of RSUs</w:t>
      </w:r>
      <w:r>
        <w:rPr>
          <w:rFonts w:ascii="Times New Roman" w:cs="Times New Roman" w:eastAsia="Times New Roman" w:hAnsi="Times New Roman"/>
          <w:sz w:val="17"/>
          <w:szCs w:val="17"/>
          <w:color w:val="auto"/>
        </w:rPr>
        <w:t>. Subject to the terms and conditions of the Plan, Employee’s acceptance of this Agreement and satisfaction of the tax provisions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policy of the Company regarding international assignments, if applicable, this award (the “Award”) of </w:t>
      </w:r>
      <w:r>
        <w:rPr>
          <w:rFonts w:ascii="Times New Roman" w:cs="Times New Roman" w:eastAsia="Times New Roman" w:hAnsi="Times New Roman"/>
          <w:sz w:val="17"/>
          <w:szCs w:val="17"/>
          <w:b w:val="1"/>
          <w:bCs w:val="1"/>
          <w:color w:val="auto"/>
          <w:highlight w:val="yellow"/>
        </w:rPr>
        <w:t>&lt;&lt;QTY GRANTED&gt;&gt;</w:t>
      </w:r>
      <w:r>
        <w:rPr>
          <w:rFonts w:ascii="Times New Roman" w:cs="Times New Roman" w:eastAsia="Times New Roman" w:hAnsi="Times New Roman"/>
          <w:sz w:val="17"/>
          <w:szCs w:val="17"/>
          <w:color w:val="auto"/>
        </w:rPr>
        <w:t xml:space="preserve"> RSUs is made as of the Grant Date.</w:t>
      </w:r>
    </w:p>
    <w:p>
      <w:pPr>
        <w:spacing w:after="0" w:line="143" w:lineRule="exact"/>
        <w:rPr>
          <w:rFonts w:ascii="Times New Roman" w:cs="Times New Roman" w:eastAsia="Times New Roman" w:hAnsi="Times New Roman"/>
          <w:sz w:val="17"/>
          <w:szCs w:val="17"/>
          <w:color w:val="auto"/>
        </w:rPr>
      </w:pPr>
    </w:p>
    <w:p>
      <w:pPr>
        <w:ind w:right="20" w:firstLine="523"/>
        <w:spacing w:after="0" w:line="255" w:lineRule="auto"/>
        <w:tabs>
          <w:tab w:leader="none" w:pos="69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RSU and Common Share Rights</w:t>
      </w:r>
      <w:r>
        <w:rPr>
          <w:rFonts w:ascii="Times New Roman" w:cs="Times New Roman" w:eastAsia="Times New Roman" w:hAnsi="Times New Roman"/>
          <w:sz w:val="17"/>
          <w:szCs w:val="17"/>
          <w:color w:val="auto"/>
        </w:rPr>
        <w:t>. The RSUs awarded under this Agreement shall be recorded in a Company book-keeping account and shall represent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unsecured right to receive from the Company the transfer of title to shares of Common Stock of the Company (“Common Shares”) earned in accordance with paragraph 5 below and Appendix A attached hereto, provided that Employee has satisfied the Conditions of Transfer set forth in paragraph 6 below and subject to the satisfaction of the provision on withholding taxes set forth in paragraph 10 below. On the Settlement Date set forth below, the Company shall reverse the book-keeping entry for all of the RSUs and transfer a number of Common Shares equal to the portion of the RSUs that is earned in accordance with paragraph 5 below and Appendix A hereto (which number of Common Shares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Any RSUs which are not earned in accordance with paragraph 5 and Appendix A shall be forfeited effective as of the last day of the Performance Period (as defined in paragraph 5 below). Employee shall have all the rights of a stockholder with respect to the Common Shares transferred to the Account, including but not limited to the right to vote the Common Shares, to sell, transfer, liquidate or otherwise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23" w:right="339" w:bottom="1440" w:gutter="0" w:footer="0" w:header="0"/>
        </w:sectPr>
      </w:pPr>
    </w:p>
    <w:bookmarkStart w:id="69" w:name="page70"/>
    <w:bookmarkEnd w:id="69"/>
    <w:p>
      <w:pPr>
        <w:ind w:right="20"/>
        <w:spacing w:after="0" w:line="267" w:lineRule="auto"/>
        <w:rPr>
          <w:sz w:val="20"/>
          <w:szCs w:val="20"/>
          <w:color w:val="auto"/>
        </w:rPr>
      </w:pPr>
      <w:r>
        <w:rPr>
          <w:rFonts w:ascii="Times New Roman" w:cs="Times New Roman" w:eastAsia="Times New Roman" w:hAnsi="Times New Roman"/>
          <w:sz w:val="17"/>
          <w:szCs w:val="17"/>
          <w:color w:val="auto"/>
        </w:rPr>
        <w:t>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such Common Shares are transferred, if at all, to the Account.</w:t>
      </w:r>
    </w:p>
    <w:p>
      <w:pPr>
        <w:spacing w:after="0" w:line="163" w:lineRule="exact"/>
        <w:rPr>
          <w:sz w:val="20"/>
          <w:szCs w:val="20"/>
          <w:color w:val="auto"/>
        </w:rPr>
      </w:pPr>
    </w:p>
    <w:p>
      <w:pPr>
        <w:ind w:firstLine="617"/>
        <w:spacing w:after="0" w:line="256" w:lineRule="auto"/>
        <w:tabs>
          <w:tab w:leader="none" w:pos="785"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Vesting and Settlement of the RSUs</w:t>
      </w:r>
      <w:r>
        <w:rPr>
          <w:rFonts w:ascii="Times New Roman" w:cs="Times New Roman" w:eastAsia="Times New Roman" w:hAnsi="Times New Roman"/>
          <w:sz w:val="17"/>
          <w:szCs w:val="17"/>
          <w:color w:val="auto"/>
        </w:rPr>
        <w:t>. Except as otherwise provided in paragraph 8 below and subject to paragraph 6 below, on the Settlement Date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shall vest in a number of RSUs, if any, based upon the achievement of specified levels of performance during the Performance Period, as set forth in Appendix A hereto. For purposes of this Agreement, the “Performance Period” shall be the year period(s) commencing on January 1, ______ and ending on December 31, ______ [Insert additional periods]. For purposes of this Agreement, the “Settlement Date” shall be a date established by the Committee on or after the date on which the Committee determines the level of achievement with respect to the performance criteria set forth in Appendix A, which Settlement Date shall be no later than the 15th day of the third month following the month in which the Performance Period ends. Notwithstanding the foregoing, in the event that the Settlement Date is a Saturday, Sunday or other day on which stock of the Company is not traded on the New York Stock Exchange or another national exchange, then the Settlement Date shall be the next following day on which the stock of the Company is traded on the New York Stock Exchange or another national exchange.</w:t>
      </w:r>
    </w:p>
    <w:p>
      <w:pPr>
        <w:spacing w:after="0" w:line="172" w:lineRule="exact"/>
        <w:rPr>
          <w:rFonts w:ascii="Times New Roman" w:cs="Times New Roman" w:eastAsia="Times New Roman" w:hAnsi="Times New Roman"/>
          <w:sz w:val="17"/>
          <w:szCs w:val="17"/>
          <w:color w:val="auto"/>
        </w:rPr>
      </w:pPr>
    </w:p>
    <w:p>
      <w:pPr>
        <w:jc w:val="both"/>
        <w:ind w:right="100" w:firstLine="523"/>
        <w:spacing w:after="0" w:line="270" w:lineRule="auto"/>
        <w:tabs>
          <w:tab w:leader="none" w:pos="69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Conditions of Transfer</w:t>
      </w:r>
      <w:r>
        <w:rPr>
          <w:rFonts w:ascii="Times New Roman" w:cs="Times New Roman" w:eastAsia="Times New Roman" w:hAnsi="Times New Roman"/>
          <w:sz w:val="17"/>
          <w:szCs w:val="17"/>
          <w:color w:val="auto"/>
        </w:rPr>
        <w:t>. Except as otherwise provided in paragraph 8 below, with respect to any RSUs awarded to Employee under this Agreement,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 of Employee receiving a transfer in accordance with paragraph 4 above of any Common Shares earned in accordance with paragraph 5 and Appendix A, Employee shall meet all of the following conditions during the entire period from the Grant Date hereof through the Settlement Date relating to such RSUs:</w:t>
      </w:r>
    </w:p>
    <w:p>
      <w:pPr>
        <w:spacing w:after="0" w:line="164" w:lineRule="exact"/>
        <w:rPr>
          <w:sz w:val="20"/>
          <w:szCs w:val="20"/>
          <w:color w:val="auto"/>
        </w:rPr>
      </w:pPr>
    </w:p>
    <w:p>
      <w:pPr>
        <w:ind w:left="700" w:hanging="237"/>
        <w:spacing w:after="0"/>
        <w:tabs>
          <w:tab w:leader="none" w:pos="7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must continue to be an active employee of the Company or any Subsidiary (“Continuous Employment”);</w:t>
      </w:r>
    </w:p>
    <w:p>
      <w:pPr>
        <w:spacing w:after="0" w:line="214" w:lineRule="exact"/>
        <w:rPr>
          <w:rFonts w:ascii="Times New Roman" w:cs="Times New Roman" w:eastAsia="Times New Roman" w:hAnsi="Times New Roman"/>
          <w:sz w:val="17"/>
          <w:szCs w:val="17"/>
          <w:color w:val="auto"/>
        </w:rPr>
      </w:pPr>
    </w:p>
    <w:p>
      <w:pPr>
        <w:ind w:left="780" w:right="120" w:hanging="317"/>
        <w:spacing w:after="0" w:line="284" w:lineRule="auto"/>
        <w:tabs>
          <w:tab w:leader="none" w:pos="71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prohibited or unenforceable under applicable law, Employee must refrain from Engaging in Competition (as defined in Section 2.17 of the Plan) without first having obtained the written consent thereto from the Company (“Non-competition”); and</w:t>
      </w:r>
    </w:p>
    <w:p>
      <w:pPr>
        <w:spacing w:after="0" w:line="152" w:lineRule="exact"/>
        <w:rPr>
          <w:rFonts w:ascii="Times New Roman" w:cs="Times New Roman" w:eastAsia="Times New Roman" w:hAnsi="Times New Roman"/>
          <w:sz w:val="17"/>
          <w:szCs w:val="17"/>
          <w:color w:val="auto"/>
        </w:rPr>
      </w:pPr>
    </w:p>
    <w:p>
      <w:pPr>
        <w:ind w:left="780" w:right="80" w:hanging="317"/>
        <w:spacing w:after="0" w:line="262" w:lineRule="auto"/>
        <w:tabs>
          <w:tab w:leader="none" w:pos="70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must refrain from committing any criminal offense or malicious tort relating to or against the Company or any Subsidiary or, as determined by the Committee in its discretion, engaging in willful acts or omissions or acts or omissions of gross negligence that are or potentially are injurious to the Company’s or a Subsidiary’s operations, financial condition or business reputation (“No Improper Conduct”). The Company’s determination as to whether or not particular conduct constitutes Improper Conduct shall be conclusive.</w:t>
      </w:r>
    </w:p>
    <w:p>
      <w:pPr>
        <w:spacing w:after="0" w:line="171" w:lineRule="exact"/>
        <w:rPr>
          <w:sz w:val="20"/>
          <w:szCs w:val="20"/>
          <w:color w:val="auto"/>
        </w:rPr>
      </w:pPr>
    </w:p>
    <w:p>
      <w:pPr>
        <w:ind w:right="60" w:firstLine="521"/>
        <w:spacing w:after="0" w:line="262" w:lineRule="auto"/>
        <w:rPr>
          <w:sz w:val="20"/>
          <w:szCs w:val="20"/>
          <w:color w:val="auto"/>
        </w:rPr>
      </w:pPr>
      <w:r>
        <w:rPr>
          <w:rFonts w:ascii="Times New Roman" w:cs="Times New Roman" w:eastAsia="Times New Roman" w:hAnsi="Times New Roman"/>
          <w:sz w:val="17"/>
          <w:szCs w:val="17"/>
          <w:color w:val="auto"/>
        </w:rPr>
        <w:t>If Employee should fail to meet the requirements relating to (i) Continuous Employment, (ii) Non- competition, or (iii) No Improper Conduct, then Employee shall forfeit the right to earn any RSUs granted hereunder, and Employee shall accordingly forfeit the right to receive the transfer of title to any Common Shares underlying such RSUs. The forfeiture of rights with respect to RSUs (and corresponding Common Shares) shall not affect the rights of Employee with respect to any Common Shares the title of which has already been transferred to the Account.</w:t>
      </w:r>
    </w:p>
    <w:p>
      <w:pPr>
        <w:spacing w:after="0" w:line="167" w:lineRule="exact"/>
        <w:rPr>
          <w:sz w:val="20"/>
          <w:szCs w:val="20"/>
          <w:color w:val="auto"/>
        </w:rPr>
      </w:pPr>
    </w:p>
    <w:p>
      <w:pPr>
        <w:ind w:left="700" w:hanging="177"/>
        <w:spacing w:after="0"/>
        <w:tabs>
          <w:tab w:leader="none" w:pos="7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Non-Assignability. </w:t>
      </w:r>
      <w:r>
        <w:rPr>
          <w:rFonts w:ascii="Times New Roman" w:cs="Times New Roman" w:eastAsia="Times New Roman" w:hAnsi="Times New Roman"/>
          <w:sz w:val="17"/>
          <w:szCs w:val="17"/>
          <w:color w:val="auto"/>
        </w:rPr>
        <w:t>The RSUs shall not be assignable or transferable by Employee except by will or by the laws of descent and distribution.</w:t>
      </w:r>
    </w:p>
    <w:p>
      <w:pPr>
        <w:spacing w:after="0" w:line="214" w:lineRule="exact"/>
        <w:rPr>
          <w:rFonts w:ascii="Times New Roman" w:cs="Times New Roman" w:eastAsia="Times New Roman" w:hAnsi="Times New Roman"/>
          <w:sz w:val="17"/>
          <w:szCs w:val="17"/>
          <w:color w:val="auto"/>
        </w:rPr>
      </w:pPr>
    </w:p>
    <w:p>
      <w:pPr>
        <w:ind w:left="700" w:hanging="177"/>
        <w:spacing w:after="0"/>
        <w:tabs>
          <w:tab w:leader="none" w:pos="7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Effect of Termination of Employment</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780" w:right="60" w:hanging="317"/>
        <w:spacing w:after="0" w:line="259" w:lineRule="auto"/>
        <w:tabs>
          <w:tab w:leader="none" w:pos="70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Settlement Date on account of Employee’s death or Disability (as defined in Section 2.14 of the Plan), and if Employee had otherwise met the requirements of Continuous Employment, Non-competition and No Improper Conduct from the Grant Date through the date of such death or Disability, then, immediately upon such termination of employment due to death or Disability, a portion of Employee’s RSUs granted hereunder equal to the total number of RSUs awarded under this Agreement multiplied by a fraction (in no event greater than 1), the numerator of which is the days between the beginning of the Performance Period and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250" w:right="339" w:bottom="1440" w:gutter="0" w:footer="0" w:header="0"/>
        </w:sectPr>
      </w:pPr>
    </w:p>
    <w:bookmarkStart w:id="70" w:name="page71"/>
    <w:bookmarkEnd w:id="70"/>
    <w:p>
      <w:pPr>
        <w:ind w:left="780" w:right="60"/>
        <w:spacing w:after="0" w:line="259" w:lineRule="auto"/>
        <w:rPr>
          <w:sz w:val="20"/>
          <w:szCs w:val="20"/>
          <w:color w:val="auto"/>
        </w:rPr>
      </w:pPr>
      <w:r>
        <w:rPr>
          <w:rFonts w:ascii="Times New Roman" w:cs="Times New Roman" w:eastAsia="Times New Roman" w:hAnsi="Times New Roman"/>
          <w:sz w:val="17"/>
          <w:szCs w:val="17"/>
          <w:color w:val="auto"/>
        </w:rPr>
        <w:t>the date of such termination, and the denominator of which is the total number of days in the Performance Period, shall vest and be settled in accordance with paragraph 4, with the date of death or Disability deemed to be the Settlement Date for purposes of such paragraph, assuming the target level of performance set forth on Appendix A had been achieved. In the case of Employee’s death, Employee’s rights hereunder with respect to any such RSUs that vest shall inure to the benefit of Employee’s executors, administrators, personal representatives and assigns. The RSUs that do not vest in accordance with this paragraph shall be immediately forfeited upon such termination due to death or Disability.</w:t>
      </w:r>
    </w:p>
    <w:p>
      <w:pPr>
        <w:spacing w:after="0" w:line="175" w:lineRule="exact"/>
        <w:rPr>
          <w:sz w:val="20"/>
          <w:szCs w:val="20"/>
          <w:color w:val="auto"/>
        </w:rPr>
      </w:pPr>
    </w:p>
    <w:p>
      <w:pPr>
        <w:ind w:left="780" w:hanging="317"/>
        <w:spacing w:after="0" w:line="255" w:lineRule="auto"/>
        <w:tabs>
          <w:tab w:leader="none" w:pos="71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Settlement Date on account of Employee’s Retirement (as defined below), and if Employee had otherwise met the requirements of Continuous Employment, Non-competition and No Improper Conduct from the Grant Date through the date of such Retirement, and provided that Employee continues to meet the requirements of Non-competition and No Improper Conduct, then Employee’s rights hereunder with respect to a portion of Employee’s unvested RSUs equal to the total number of RSUs awarded under this Agreement multiplied by a fraction (in no event greater than 1), the numerator of which is the days between the beginning of the Performance Period and the date of Retirement inclusive, and the denominator of which is the total number of days in the Performance Period, shall continue in the same manner as if Employee continued to meet the Continuous Employment requirement through the Settlement Date (and, as such, shall remain contingent upon achievement of the performance criteria set forth in Appendix A), and the remaining unvested RSUs shall be immediately forfeited upon such Retirement. For purposes of this Agreement, “Retirement” shall mean termination of employment on account of retiring with the specific approval of the Committee on or after such date on which Employee has attained age 55 and completed ten (10) Years of Service.</w:t>
      </w:r>
    </w:p>
    <w:p>
      <w:pPr>
        <w:spacing w:after="0" w:line="176" w:lineRule="exact"/>
        <w:rPr>
          <w:rFonts w:ascii="Times New Roman" w:cs="Times New Roman" w:eastAsia="Times New Roman" w:hAnsi="Times New Roman"/>
          <w:sz w:val="17"/>
          <w:szCs w:val="17"/>
          <w:color w:val="auto"/>
        </w:rPr>
      </w:pPr>
    </w:p>
    <w:p>
      <w:pPr>
        <w:ind w:left="780" w:right="20" w:hanging="317"/>
        <w:spacing w:after="0" w:line="254" w:lineRule="auto"/>
        <w:tabs>
          <w:tab w:leader="none" w:pos="70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Settlement Date as a result of a Divestiture (defined as either (i) the disposition by the Company or a Subsidiary of all or a portion of the assets used by the Company or Subsidiary in a trade or business, for which the Employee works, to an unrelated corporation or entity and which results in the Employee ceasing to be employed by the Company or a Subsidiary or (ii) the disposition by the Company of its equity interest in a Subsidiary that employs the Employee to an unrelated individual or entity (which, for the avoidance of doubt, excludes a spin-off or split-off or similar transaction), provided that such Subsidiary ceases to be controlled by the Company as a result of such disposition), and if Employee had otherwise met the requirements of Continuous Employment, Non-competition and No Improper Conduct from the Grant Date through the date of such termination, the number of RSUs awarded under this Agreement for which the Performance Period has not been completed as of the Divestiture shall be deemed vested upon the Divestiture assuming the target level of performance set forth on Appendix A had been achieved. With respect to RSUs awarded under this Agreement for which the Performance Period has been completed as of the Divestiture, then such RSUs shall vest upon the Divestiture based on the actual level of achievement of the performance criteria as set forth on Appendix A. All RSUs that become vested under this subsection (c) shall be settled in accordance with paragraph 4, with the Divestiture deemed to be the Settlement Date for purposes of such paragraph.</w:t>
      </w:r>
    </w:p>
    <w:p>
      <w:pPr>
        <w:spacing w:after="0" w:line="180" w:lineRule="exact"/>
        <w:rPr>
          <w:rFonts w:ascii="Times New Roman" w:cs="Times New Roman" w:eastAsia="Times New Roman" w:hAnsi="Times New Roman"/>
          <w:sz w:val="17"/>
          <w:szCs w:val="17"/>
          <w:color w:val="auto"/>
        </w:rPr>
      </w:pPr>
    </w:p>
    <w:p>
      <w:pPr>
        <w:ind w:left="780" w:right="340" w:hanging="317"/>
        <w:spacing w:after="0" w:line="284" w:lineRule="auto"/>
        <w:tabs>
          <w:tab w:leader="none" w:pos="71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Settlement Date for any reason other than those specified in (a), (b) or (c) above, Employee shall immediately forfeit all of the RSUs granted hereunder.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set forth in paragraph 8(a) above, no other transfer of rights with respect to RSUs shall be permitted pursuant to this Agreement.</w:t>
      </w:r>
    </w:p>
    <w:p>
      <w:pPr>
        <w:spacing w:after="0" w:line="210" w:lineRule="exact"/>
        <w:rPr>
          <w:sz w:val="20"/>
          <w:szCs w:val="20"/>
          <w:color w:val="auto"/>
        </w:rPr>
      </w:pPr>
    </w:p>
    <w:p>
      <w:pPr>
        <w:ind w:right="60" w:firstLine="506"/>
        <w:spacing w:after="0" w:line="259" w:lineRule="auto"/>
        <w:tabs>
          <w:tab w:leader="none" w:pos="67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Non-Solicitation. </w:t>
      </w:r>
      <w:r>
        <w:rPr>
          <w:rFonts w:ascii="Times New Roman" w:cs="Times New Roman" w:eastAsia="Times New Roman" w:hAnsi="Times New Roman"/>
          <w:sz w:val="17"/>
          <w:szCs w:val="17"/>
          <w:color w:val="auto"/>
        </w:rPr>
        <w:t>In consideration of good and valuable consideration in the form of the RSUs granted herein to which Employee is not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the receipt and 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250" w:right="339" w:bottom="1440" w:gutter="0" w:footer="0" w:header="0"/>
        </w:sectPr>
      </w:pPr>
    </w:p>
    <w:bookmarkStart w:id="71" w:name="page72"/>
    <w:bookmarkEnd w:id="71"/>
    <w:p>
      <w:pPr>
        <w:spacing w:after="0" w:line="256" w:lineRule="auto"/>
        <w:rPr>
          <w:sz w:val="20"/>
          <w:szCs w:val="20"/>
          <w:color w:val="auto"/>
        </w:rPr>
      </w:pPr>
      <w:r>
        <w:rPr>
          <w:rFonts w:ascii="Times New Roman" w:cs="Times New Roman" w:eastAsia="Times New Roman" w:hAnsi="Times New Roman"/>
          <w:sz w:val="17"/>
          <w:szCs w:val="17"/>
          <w:color w:val="auto"/>
        </w:rPr>
        <w:t>any other person or entity, directly or indirectly contact, solicit or induce (or attempt to solicit or induce) any employee of the Company or any Subsidiary with whom Employee had material contact during Employee’s employment to leave their employment with the Company or a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72" w:lineRule="exact"/>
        <w:rPr>
          <w:sz w:val="20"/>
          <w:szCs w:val="20"/>
          <w:color w:val="auto"/>
        </w:rPr>
      </w:pPr>
    </w:p>
    <w:p>
      <w:pPr>
        <w:jc w:val="both"/>
        <w:ind w:right="40" w:firstLine="505"/>
        <w:spacing w:after="0" w:line="270" w:lineRule="auto"/>
        <w:tabs>
          <w:tab w:leader="none" w:pos="759" w:val="left"/>
        </w:tabs>
        <w:numPr>
          <w:ilvl w:val="3"/>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The transfer of Common Shares on the Settlement Date, pursuant to paragraphs 4, 6 and 8 above, shall be subject to the further condition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provide for the withholding of any taxes required by federal, state, or local law in respect of the Settlement Date by reducing the number of RSUs to be transferred to the Account or by such other manner as the Committee shall determine in its discretion.</w:t>
      </w:r>
    </w:p>
    <w:p>
      <w:pPr>
        <w:spacing w:after="0" w:line="159" w:lineRule="exact"/>
        <w:rPr>
          <w:rFonts w:ascii="Times New Roman" w:cs="Times New Roman" w:eastAsia="Times New Roman" w:hAnsi="Times New Roman"/>
          <w:sz w:val="17"/>
          <w:szCs w:val="17"/>
          <w:color w:val="auto"/>
        </w:rPr>
      </w:pPr>
    </w:p>
    <w:p>
      <w:pPr>
        <w:ind w:right="100" w:firstLine="506"/>
        <w:spacing w:after="0" w:line="257" w:lineRule="auto"/>
        <w:tabs>
          <w:tab w:leader="none" w:pos="753" w:val="left"/>
        </w:tabs>
        <w:numPr>
          <w:ilvl w:val="3"/>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Consent. </w:t>
      </w:r>
      <w:r>
        <w:rPr>
          <w:rFonts w:ascii="Times New Roman" w:cs="Times New Roman" w:eastAsia="Times New Roman" w:hAnsi="Times New Roman"/>
          <w:sz w:val="17"/>
          <w:szCs w:val="17"/>
          <w:color w:val="auto"/>
        </w:rPr>
        <w:t>By executing this Agreement, Employee consents to the collection, maintenance and processing of Employee’s personal information (such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Settlement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77" w:lineRule="exact"/>
        <w:rPr>
          <w:rFonts w:ascii="Times New Roman" w:cs="Times New Roman" w:eastAsia="Times New Roman" w:hAnsi="Times New Roman"/>
          <w:sz w:val="17"/>
          <w:szCs w:val="17"/>
          <w:color w:val="auto"/>
        </w:rPr>
      </w:pPr>
    </w:p>
    <w:p>
      <w:pPr>
        <w:ind w:left="700" w:right="60" w:hanging="313"/>
        <w:spacing w:after="0" w:line="284" w:lineRule="auto"/>
        <w:tabs>
          <w:tab w:leader="none" w:pos="62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this Agreement, investor questionnaires or other forms that Employee submits to the Company or a Subsidiary or contracts that Employee enters into with the Company or a Subsidiary;</w:t>
      </w:r>
    </w:p>
    <w:p>
      <w:pPr>
        <w:spacing w:after="0" w:line="152" w:lineRule="exact"/>
        <w:rPr>
          <w:rFonts w:ascii="Times New Roman" w:cs="Times New Roman" w:eastAsia="Times New Roman" w:hAnsi="Times New Roman"/>
          <w:sz w:val="17"/>
          <w:szCs w:val="17"/>
          <w:color w:val="auto"/>
        </w:rPr>
      </w:pPr>
    </w:p>
    <w:p>
      <w:pPr>
        <w:ind w:left="660" w:hanging="251"/>
        <w:spacing w:after="0"/>
        <w:tabs>
          <w:tab w:leader="none" w:pos="66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Employee’s transactions with the Company, the Company’s affiliates and service providers;</w:t>
      </w:r>
    </w:p>
    <w:p>
      <w:pPr>
        <w:spacing w:after="0" w:line="214" w:lineRule="exact"/>
        <w:rPr>
          <w:rFonts w:ascii="Times New Roman" w:cs="Times New Roman" w:eastAsia="Times New Roman" w:hAnsi="Times New Roman"/>
          <w:sz w:val="17"/>
          <w:szCs w:val="17"/>
          <w:color w:val="auto"/>
        </w:rPr>
      </w:pPr>
    </w:p>
    <w:p>
      <w:pPr>
        <w:ind w:left="660" w:hanging="234"/>
        <w:spacing w:after="0"/>
        <w:tabs>
          <w:tab w:leader="none" w:pos="66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Employee’s employment records with the Company or a Subsidiary; and</w:t>
      </w:r>
    </w:p>
    <w:p>
      <w:pPr>
        <w:spacing w:after="0" w:line="214" w:lineRule="exact"/>
        <w:rPr>
          <w:rFonts w:ascii="Times New Roman" w:cs="Times New Roman" w:eastAsia="Times New Roman" w:hAnsi="Times New Roman"/>
          <w:sz w:val="17"/>
          <w:szCs w:val="17"/>
          <w:color w:val="auto"/>
        </w:rPr>
      </w:pPr>
    </w:p>
    <w:p>
      <w:pPr>
        <w:ind w:left="660" w:hanging="234"/>
        <w:spacing w:after="0"/>
        <w:tabs>
          <w:tab w:leader="none" w:pos="66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meetings, telephone conversations and other communications with Employee.</w:t>
      </w:r>
    </w:p>
    <w:p>
      <w:pPr>
        <w:spacing w:after="0" w:line="214" w:lineRule="exact"/>
        <w:rPr>
          <w:sz w:val="20"/>
          <w:szCs w:val="20"/>
          <w:color w:val="auto"/>
        </w:rPr>
      </w:pPr>
    </w:p>
    <w:p>
      <w:pPr>
        <w:ind w:right="260" w:firstLine="521"/>
        <w:spacing w:after="0" w:line="284" w:lineRule="auto"/>
        <w:rPr>
          <w:sz w:val="20"/>
          <w:szCs w:val="20"/>
          <w:color w:val="auto"/>
        </w:rPr>
      </w:pPr>
      <w:r>
        <w:rPr>
          <w:rFonts w:ascii="Times New Roman" w:cs="Times New Roman" w:eastAsia="Times New Roman" w:hAnsi="Times New Roman"/>
          <w:sz w:val="17"/>
          <w:szCs w:val="17"/>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152" w:lineRule="exact"/>
        <w:rPr>
          <w:sz w:val="20"/>
          <w:szCs w:val="20"/>
          <w:color w:val="auto"/>
        </w:rPr>
      </w:pPr>
    </w:p>
    <w:p>
      <w:pPr>
        <w:ind w:left="700" w:hanging="237"/>
        <w:spacing w:after="0"/>
        <w:tabs>
          <w:tab w:leader="none" w:pos="700"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service providers, such as broker-dealers, custodians, banks and others used to finance or facilitate transactions by, or operations of, the Plan;</w:t>
      </w:r>
    </w:p>
    <w:p>
      <w:pPr>
        <w:spacing w:after="0" w:line="214" w:lineRule="exact"/>
        <w:rPr>
          <w:rFonts w:ascii="Times New Roman" w:cs="Times New Roman" w:eastAsia="Times New Roman" w:hAnsi="Times New Roman"/>
          <w:sz w:val="17"/>
          <w:szCs w:val="17"/>
          <w:color w:val="auto"/>
        </w:rPr>
      </w:pPr>
    </w:p>
    <w:p>
      <w:pPr>
        <w:ind w:left="660" w:hanging="234"/>
        <w:spacing w:after="0"/>
        <w:tabs>
          <w:tab w:leader="none" w:pos="6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service providers to the Plan, such as accounting, legal, or tax preparation services;</w:t>
      </w:r>
    </w:p>
    <w:p>
      <w:pPr>
        <w:spacing w:after="0" w:line="214" w:lineRule="exact"/>
        <w:rPr>
          <w:rFonts w:ascii="Times New Roman" w:cs="Times New Roman" w:eastAsia="Times New Roman" w:hAnsi="Times New Roman"/>
          <w:sz w:val="17"/>
          <w:szCs w:val="17"/>
          <w:color w:val="auto"/>
        </w:rPr>
      </w:pPr>
    </w:p>
    <w:p>
      <w:pPr>
        <w:ind w:left="660" w:hanging="234"/>
        <w:spacing w:after="0"/>
        <w:tabs>
          <w:tab w:leader="none" w:pos="6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and</w:t>
      </w:r>
    </w:p>
    <w:p>
      <w:pPr>
        <w:spacing w:after="0" w:line="214" w:lineRule="exact"/>
        <w:rPr>
          <w:rFonts w:ascii="Times New Roman" w:cs="Times New Roman" w:eastAsia="Times New Roman" w:hAnsi="Times New Roman"/>
          <w:sz w:val="17"/>
          <w:szCs w:val="17"/>
          <w:color w:val="auto"/>
        </w:rPr>
      </w:pPr>
    </w:p>
    <w:p>
      <w:pPr>
        <w:ind w:left="620" w:hanging="233"/>
        <w:spacing w:after="0"/>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agents, portfolio companies, brokerage firms and the like, in connection with distributions to Plan participants.</w:t>
      </w:r>
    </w:p>
    <w:p>
      <w:pPr>
        <w:spacing w:after="0" w:line="214" w:lineRule="exact"/>
        <w:rPr>
          <w:sz w:val="20"/>
          <w:szCs w:val="20"/>
          <w:color w:val="auto"/>
        </w:rPr>
      </w:pPr>
    </w:p>
    <w:p>
      <w:pPr>
        <w:ind w:firstLine="521"/>
        <w:spacing w:after="0" w:line="284" w:lineRule="auto"/>
        <w:rPr>
          <w:sz w:val="20"/>
          <w:szCs w:val="20"/>
          <w:color w:val="auto"/>
        </w:rPr>
      </w:pPr>
      <w:r>
        <w:rPr>
          <w:rFonts w:ascii="Times New Roman" w:cs="Times New Roman" w:eastAsia="Times New Roman" w:hAnsi="Times New Roman"/>
          <w:sz w:val="17"/>
          <w:szCs w:val="17"/>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250" w:right="339" w:bottom="1440" w:gutter="0" w:footer="0" w:header="0"/>
        </w:sectPr>
      </w:pPr>
    </w:p>
    <w:bookmarkStart w:id="72" w:name="page73"/>
    <w:bookmarkEnd w:id="72"/>
    <w:p>
      <w:pPr>
        <w:ind w:firstLine="521"/>
        <w:spacing w:after="0" w:line="255" w:lineRule="auto"/>
        <w:rPr>
          <w:sz w:val="20"/>
          <w:szCs w:val="20"/>
          <w:color w:val="auto"/>
        </w:rPr>
      </w:pPr>
      <w:r>
        <w:rPr>
          <w:rFonts w:ascii="Times New Roman" w:cs="Times New Roman" w:eastAsia="Times New Roman" w:hAnsi="Times New Roman"/>
          <w:sz w:val="17"/>
          <w:szCs w:val="17"/>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76" w:lineRule="exact"/>
        <w:rPr>
          <w:sz w:val="20"/>
          <w:szCs w:val="20"/>
          <w:color w:val="auto"/>
        </w:rPr>
      </w:pPr>
    </w:p>
    <w:p>
      <w:pPr>
        <w:ind w:right="40" w:firstLine="523"/>
        <w:spacing w:after="0" w:line="257" w:lineRule="auto"/>
        <w:tabs>
          <w:tab w:leader="none" w:pos="77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Additional Rights. </w:t>
      </w:r>
      <w:r>
        <w:rPr>
          <w:rFonts w:ascii="Times New Roman" w:cs="Times New Roman" w:eastAsia="Times New Roman" w:hAnsi="Times New Roman"/>
          <w:sz w:val="17"/>
          <w:szCs w:val="17"/>
          <w:color w:val="auto"/>
        </w:rPr>
        <w:t>Benefits under the Plan are not guaranteed. The grant of this Award is a one-time benefit and does not create any contractual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73" w:lineRule="exact"/>
        <w:rPr>
          <w:rFonts w:ascii="Times New Roman" w:cs="Times New Roman" w:eastAsia="Times New Roman" w:hAnsi="Times New Roman"/>
          <w:sz w:val="17"/>
          <w:szCs w:val="17"/>
          <w:color w:val="auto"/>
        </w:rPr>
      </w:pPr>
    </w:p>
    <w:p>
      <w:pPr>
        <w:ind w:right="60" w:firstLine="523"/>
        <w:spacing w:after="0" w:line="264" w:lineRule="auto"/>
        <w:tabs>
          <w:tab w:leader="none" w:pos="77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Recapitalization, Reorganization, Unusual Events. </w:t>
      </w:r>
      <w:r>
        <w:rPr>
          <w:rFonts w:ascii="Times New Roman" w:cs="Times New Roman" w:eastAsia="Times New Roman" w:hAnsi="Times New Roman"/>
          <w:sz w:val="17"/>
          <w:szCs w:val="17"/>
          <w:color w:val="auto"/>
        </w:rPr>
        <w:t>Certain events affecting the Common Shares of the Company and mergers, consolidations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reorganizations affecting the 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164" w:lineRule="exact"/>
        <w:rPr>
          <w:rFonts w:ascii="Times New Roman" w:cs="Times New Roman" w:eastAsia="Times New Roman" w:hAnsi="Times New Roman"/>
          <w:sz w:val="17"/>
          <w:szCs w:val="17"/>
          <w:color w:val="auto"/>
        </w:rPr>
      </w:pPr>
    </w:p>
    <w:p>
      <w:pPr>
        <w:ind w:right="100" w:firstLine="522"/>
        <w:spacing w:after="0" w:line="260" w:lineRule="auto"/>
        <w:tabs>
          <w:tab w:leader="none" w:pos="77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 of this Agreement</w:t>
      </w:r>
      <w:r>
        <w:rPr>
          <w:rFonts w:ascii="Times New Roman" w:cs="Times New Roman" w:eastAsia="Times New Roman" w:hAnsi="Times New Roman"/>
          <w:sz w:val="17"/>
          <w:szCs w:val="17"/>
          <w:color w:val="auto"/>
        </w:rPr>
        <w:t>. The Board of Directors may at any time amend, suspend or terminate the Plan or this Agreement; provided, however,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no amendment, suspension or termination of the Plan or this Agreement shall adversely affect this Agreement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70" w:lineRule="exact"/>
        <w:rPr>
          <w:rFonts w:ascii="Times New Roman" w:cs="Times New Roman" w:eastAsia="Times New Roman" w:hAnsi="Times New Roman"/>
          <w:sz w:val="17"/>
          <w:szCs w:val="17"/>
          <w:color w:val="auto"/>
        </w:rPr>
      </w:pPr>
    </w:p>
    <w:p>
      <w:pPr>
        <w:ind w:right="80" w:firstLine="523"/>
        <w:spacing w:after="0" w:line="270" w:lineRule="auto"/>
        <w:tabs>
          <w:tab w:leader="none" w:pos="77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Notices. </w:t>
      </w:r>
      <w:r>
        <w:rPr>
          <w:rFonts w:ascii="Times New Roman" w:cs="Times New Roman" w:eastAsia="Times New Roman" w:hAnsi="Times New Roman"/>
          <w:sz w:val="17"/>
          <w:szCs w:val="17"/>
          <w:color w:val="auto"/>
        </w:rPr>
        <w:t>Notices hereunder shall be in writing, and if to the Company, may be delivered personally to the Compensation Department or such other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designated by the Company or mailed to its principal office at 7812 Palm Parkway, Orlando, Florida 32836, addressed to the attention of the Vice President, Talent Rewards, and if to Employee, may be delivered personally or mailed to Employee at his or her address on the records of the Company.</w:t>
      </w:r>
    </w:p>
    <w:p>
      <w:pPr>
        <w:spacing w:after="0" w:line="159" w:lineRule="exact"/>
        <w:rPr>
          <w:rFonts w:ascii="Times New Roman" w:cs="Times New Roman" w:eastAsia="Times New Roman" w:hAnsi="Times New Roman"/>
          <w:sz w:val="17"/>
          <w:szCs w:val="17"/>
          <w:color w:val="auto"/>
        </w:rPr>
      </w:pPr>
    </w:p>
    <w:p>
      <w:pPr>
        <w:ind w:right="60" w:firstLine="523"/>
        <w:spacing w:after="0" w:line="289" w:lineRule="auto"/>
        <w:tabs>
          <w:tab w:leader="none" w:pos="77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 This Agreement shall bind and inure to the benefit of the parties hereto and the successors and assigns of the Company and,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extent provided in paragraph 8(a) above and in the Plan, to the personal representatives, legatees and heirs of Employee.</w:t>
      </w:r>
    </w:p>
    <w:p>
      <w:pPr>
        <w:spacing w:after="0" w:line="143" w:lineRule="exact"/>
        <w:rPr>
          <w:rFonts w:ascii="Times New Roman" w:cs="Times New Roman" w:eastAsia="Times New Roman" w:hAnsi="Times New Roman"/>
          <w:sz w:val="17"/>
          <w:szCs w:val="17"/>
          <w:color w:val="auto"/>
        </w:rPr>
      </w:pPr>
    </w:p>
    <w:p>
      <w:pPr>
        <w:ind w:right="200" w:firstLine="523"/>
        <w:spacing w:after="0" w:line="289" w:lineRule="auto"/>
        <w:tabs>
          <w:tab w:leader="none" w:pos="77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Effect on Employment</w:t>
      </w:r>
      <w:r>
        <w:rPr>
          <w:rFonts w:ascii="Times New Roman" w:cs="Times New Roman" w:eastAsia="Times New Roman" w:hAnsi="Times New Roman"/>
          <w:sz w:val="17"/>
          <w:szCs w:val="17"/>
          <w:color w:val="auto"/>
        </w:rPr>
        <w:t>. This agreement is not a contract of employment or otherwise a limitation on the right of the Company to terminate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of Employee or to increase or decrease Employee’s compensation from the rate of compensation in existence at the time this Agreement is executed.</w:t>
      </w:r>
    </w:p>
    <w:p>
      <w:pPr>
        <w:spacing w:after="0" w:line="144" w:lineRule="exact"/>
        <w:rPr>
          <w:sz w:val="20"/>
          <w:szCs w:val="20"/>
          <w:color w:val="auto"/>
        </w:rPr>
      </w:pPr>
    </w:p>
    <w:p>
      <w:pPr>
        <w:ind w:right="100" w:firstLine="521"/>
        <w:spacing w:after="0" w:line="270" w:lineRule="auto"/>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17"/>
          <w:szCs w:val="17"/>
          <w:b w:val="1"/>
          <w:bCs w:val="1"/>
          <w:color w:val="auto"/>
        </w:rPr>
        <w:t>. Additional (Non-U.S.) Terms and Conditions.</w:t>
      </w:r>
      <w:r>
        <w:rPr>
          <w:rFonts w:ascii="Times New Roman" w:cs="Times New Roman" w:eastAsia="Times New Roman" w:hAnsi="Times New Roman"/>
          <w:sz w:val="17"/>
          <w:szCs w:val="17"/>
          <w:color w:val="auto"/>
        </w:rPr>
        <w:t xml:space="preserve"> RSUs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250" w:right="339" w:bottom="1440" w:gutter="0" w:footer="0" w:header="0"/>
        </w:sectPr>
      </w:pPr>
    </w:p>
    <w:bookmarkStart w:id="73" w:name="page74"/>
    <w:bookmarkEnd w:id="73"/>
    <w:p>
      <w:pPr>
        <w:ind w:right="200" w:firstLine="523"/>
        <w:spacing w:after="0" w:line="270" w:lineRule="auto"/>
        <w:tabs>
          <w:tab w:leader="none" w:pos="77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Clawback Policy. </w:t>
      </w:r>
      <w:r>
        <w:rPr>
          <w:rFonts w:ascii="Times New Roman" w:cs="Times New Roman" w:eastAsia="Times New Roman" w:hAnsi="Times New Roman"/>
          <w:sz w:val="17"/>
          <w:szCs w:val="17"/>
          <w:color w:val="auto"/>
        </w:rPr>
        <w:t>RSUs awarded under this Agreement, as well as any Common Shares issued with respect to such RSUs, shall be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Clawback Policy adopted by the Committee on February 13, 2014, and any successor policy thereto, to the extent that at any relevant time Employee is subject to such policy in accordance with its terms.</w:t>
      </w:r>
    </w:p>
    <w:p>
      <w:pPr>
        <w:spacing w:after="0" w:line="160" w:lineRule="exact"/>
        <w:rPr>
          <w:sz w:val="20"/>
          <w:szCs w:val="20"/>
          <w:color w:val="auto"/>
        </w:rPr>
      </w:pPr>
    </w:p>
    <w:p>
      <w:pPr>
        <w:ind w:firstLine="552"/>
        <w:spacing w:after="0" w:line="28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MARRIOTT VACATIONS WORLDWIDE CORPORATION has caused this Agreement to be signed by its Chief Human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Resources Officer, 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1393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VACATIONS WORLDWIDE</w:t>
            </w:r>
          </w:p>
        </w:tc>
        <w:tc>
          <w:tcPr>
            <w:tcW w:w="2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CORPORATION</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EMPLOYEE</w:t>
            </w:r>
          </w:p>
        </w:tc>
        <w:tc>
          <w:tcPr>
            <w:tcW w:w="0" w:type="dxa"/>
            <w:vAlign w:val="bottom"/>
          </w:tcPr>
          <w:p>
            <w:pPr>
              <w:spacing w:after="0"/>
              <w:rPr>
                <w:sz w:val="1"/>
                <w:szCs w:val="1"/>
                <w:color w:val="auto"/>
              </w:rPr>
            </w:pPr>
          </w:p>
        </w:tc>
      </w:tr>
      <w:tr>
        <w:trPr>
          <w:trHeight w:val="268"/>
        </w:trPr>
        <w:tc>
          <w:tcPr>
            <w:tcW w:w="5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0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shd w:val="clear" w:color="auto" w:fill="FFFF00"/>
          </w:tcPr>
          <w:p>
            <w:pPr>
              <w:ind w:left="20"/>
              <w:spacing w:after="0" w:line="192" w:lineRule="exact"/>
              <w:rPr>
                <w:sz w:val="20"/>
                <w:szCs w:val="20"/>
                <w:color w:val="auto"/>
              </w:rPr>
            </w:pPr>
            <w:r>
              <w:rPr>
                <w:rFonts w:ascii="Times New Roman" w:cs="Times New Roman" w:eastAsia="Times New Roman" w:hAnsi="Times New Roman"/>
                <w:sz w:val="17"/>
                <w:szCs w:val="17"/>
                <w:color w:val="auto"/>
                <w:highlight w:val="yellow"/>
                <w:w w:val="96"/>
              </w:rPr>
              <w:t>&lt;&lt;PARTICIPANT NAME&gt;&gt;</w:t>
            </w: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2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Chief Human Resources Officer</w:t>
            </w:r>
          </w:p>
        </w:tc>
        <w:tc>
          <w:tcPr>
            <w:tcW w:w="5020" w:type="dxa"/>
            <w:vAlign w:val="bottom"/>
            <w:gridSpan w:val="2"/>
          </w:tcPr>
          <w:p>
            <w:pPr>
              <w:ind w:left="1780"/>
              <w:spacing w:after="0"/>
              <w:rPr>
                <w:sz w:val="20"/>
                <w:szCs w:val="20"/>
                <w:color w:val="auto"/>
              </w:rPr>
            </w:pPr>
            <w:r>
              <w:rPr>
                <w:rFonts w:ascii="Times New Roman" w:cs="Times New Roman" w:eastAsia="Times New Roman" w:hAnsi="Times New Roman"/>
                <w:sz w:val="17"/>
                <w:szCs w:val="17"/>
                <w:color w:val="auto"/>
              </w:rPr>
              <w:t>Signed Electronically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246" w:right="339" w:bottom="1440" w:gutter="0" w:footer="0" w:header="0"/>
        </w:sectPr>
      </w:pPr>
    </w:p>
    <w:bookmarkStart w:id="74" w:name="page75"/>
    <w:bookmarkEnd w:id="74"/>
    <w:p>
      <w:pPr>
        <w:ind w:left="57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TERMS OF PERFORMANCE UNIT AWARDS</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 Performance Period(s)</w:t>
      </w:r>
    </w:p>
    <w:p>
      <w:pPr>
        <w:spacing w:after="0" w:line="1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January 1, ______ through December 31, ______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Criteria</w:t>
      </w:r>
    </w:p>
    <w:p>
      <w:pPr>
        <w:spacing w:after="0" w:line="3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The number of RSUs earned, if any, will be determined following the end of the [last] Performance Period based on the Company’s achievement over [each of the three annual Performance Periods] [the Performance Period] with respect to two performance objectives: (1) Adjusted EBITDA and (2) Adjusted ROIC.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Payout Formula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number of RSUs earned for [each] [the] Performance Period shall equal the following:</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(Target Number of RSUs) multiplied by 50% multiplied by (% of target earned with respect to the Adjusted EBITDA objective); plus</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(Target Number of RSUs) multiplied by 50% multiplied by (% of target earned with respect to the Adjusted ROIC objective).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Payout Matrix</w:t>
      </w:r>
    </w:p>
    <w:p>
      <w:pPr>
        <w:spacing w:after="0" w:line="5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Committee has established the following payout matrix with respect to each of the performance objectives described above. If performance falls between threshold and below target, between below target and target or between target and maximum, the vesting percentage will be determined by the Committee based on straight-line interpolation; provided, however, that no payout shall be made with respect to a performance objective if the Threshold level of performance is not attained for the objective.</w:t>
      </w:r>
    </w:p>
    <w:p>
      <w:pPr>
        <w:spacing w:after="0" w:line="193" w:lineRule="exact"/>
        <w:rPr>
          <w:sz w:val="20"/>
          <w:szCs w:val="20"/>
          <w:color w:val="auto"/>
        </w:rPr>
      </w:pPr>
    </w:p>
    <w:tbl>
      <w:tblPr>
        <w:tblLayout w:type="fixed"/>
        <w:tblInd w:w="90" w:type="dxa"/>
        <w:tblCellMar>
          <w:top w:w="0" w:type="dxa"/>
          <w:left w:w="0" w:type="dxa"/>
          <w:bottom w:w="0" w:type="dxa"/>
          <w:right w:w="0" w:type="dxa"/>
        </w:tblCellMar>
      </w:tblPr>
      <w:tr>
        <w:trPr>
          <w:trHeight w:val="197"/>
        </w:trPr>
        <w:tc>
          <w:tcPr>
            <w:tcW w:w="1680" w:type="dxa"/>
            <w:vAlign w:val="bottom"/>
            <w:tcBorders>
              <w:top w:val="single" w:sz="8" w:color="auto"/>
              <w:left w:val="single" w:sz="8" w:color="auto"/>
              <w:right w:val="single" w:sz="8" w:color="auto"/>
            </w:tcBorders>
            <w:vMerge w:val="restart"/>
            <w:shd w:val="clear" w:color="auto" w:fill="C5D9F1"/>
          </w:tcPr>
          <w:p>
            <w:pPr>
              <w:ind w:left="140"/>
              <w:spacing w:after="0"/>
              <w:rPr>
                <w:sz w:val="20"/>
                <w:szCs w:val="20"/>
                <w:color w:val="auto"/>
              </w:rPr>
            </w:pPr>
            <w:r>
              <w:rPr>
                <w:rFonts w:ascii="Times New Roman" w:cs="Times New Roman" w:eastAsia="Times New Roman" w:hAnsi="Times New Roman"/>
                <w:sz w:val="17"/>
                <w:szCs w:val="17"/>
                <w:b w:val="1"/>
                <w:bCs w:val="1"/>
                <w:color w:val="auto"/>
              </w:rPr>
              <w:t>Performance Level</w:t>
            </w:r>
          </w:p>
        </w:tc>
        <w:tc>
          <w:tcPr>
            <w:tcW w:w="1980" w:type="dxa"/>
            <w:vAlign w:val="bottom"/>
            <w:tcBorders>
              <w:top w:val="single" w:sz="8" w:color="auto"/>
              <w:right w:val="single" w:sz="8" w:color="auto"/>
            </w:tcBorders>
            <w:vMerge w:val="restart"/>
            <w:shd w:val="clear" w:color="auto" w:fill="C5D9F1"/>
          </w:tcPr>
          <w:p>
            <w:pPr>
              <w:ind w:left="28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860" w:type="dxa"/>
            <w:vAlign w:val="bottom"/>
            <w:tcBorders>
              <w:top w:val="single" w:sz="8" w:color="auto"/>
              <w:right w:val="single" w:sz="8" w:color="auto"/>
            </w:tcBorders>
            <w:shd w:val="clear" w:color="auto" w:fill="C5D9F1"/>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1840" w:type="dxa"/>
            <w:vAlign w:val="bottom"/>
            <w:tcBorders>
              <w:top w:val="single" w:sz="8" w:color="auto"/>
              <w:right w:val="single" w:sz="8" w:color="auto"/>
            </w:tcBorders>
            <w:shd w:val="clear" w:color="auto" w:fill="C5D9F1"/>
          </w:tcPr>
          <w:p>
            <w:pPr>
              <w:jc w:val="center"/>
              <w:spacing w:after="0"/>
              <w:rPr>
                <w:sz w:val="20"/>
                <w:szCs w:val="20"/>
                <w:color w:val="auto"/>
              </w:rPr>
            </w:pPr>
            <w:r>
              <w:rPr>
                <w:rFonts w:ascii="Times New Roman" w:cs="Times New Roman" w:eastAsia="Times New Roman" w:hAnsi="Times New Roman"/>
                <w:sz w:val="17"/>
                <w:szCs w:val="17"/>
                <w:b w:val="1"/>
                <w:bCs w:val="1"/>
                <w:color w:val="auto"/>
              </w:rPr>
              <w:t>RSUs Earned (% of</w:t>
            </w:r>
          </w:p>
        </w:tc>
        <w:tc>
          <w:tcPr>
            <w:tcW w:w="0" w:type="dxa"/>
            <w:vAlign w:val="bottom"/>
          </w:tcPr>
          <w:p>
            <w:pPr>
              <w:spacing w:after="0"/>
              <w:rPr>
                <w:sz w:val="1"/>
                <w:szCs w:val="1"/>
                <w:color w:val="auto"/>
              </w:rPr>
            </w:pPr>
          </w:p>
        </w:tc>
      </w:tr>
      <w:tr>
        <w:trPr>
          <w:trHeight w:val="124"/>
        </w:trPr>
        <w:tc>
          <w:tcPr>
            <w:tcW w:w="1680" w:type="dxa"/>
            <w:vAlign w:val="bottom"/>
            <w:tcBorders>
              <w:left w:val="single" w:sz="8" w:color="auto"/>
              <w:right w:val="single" w:sz="8" w:color="auto"/>
            </w:tcBorders>
            <w:vMerge w:val="continue"/>
            <w:shd w:val="clear" w:color="auto" w:fill="C5D9F1"/>
          </w:tcPr>
          <w:p>
            <w:pPr>
              <w:spacing w:after="0"/>
              <w:rPr>
                <w:sz w:val="10"/>
                <w:szCs w:val="10"/>
                <w:color w:val="auto"/>
              </w:rPr>
            </w:pPr>
          </w:p>
        </w:tc>
        <w:tc>
          <w:tcPr>
            <w:tcW w:w="1980" w:type="dxa"/>
            <w:vAlign w:val="bottom"/>
            <w:tcBorders>
              <w:right w:val="single" w:sz="8" w:color="auto"/>
            </w:tcBorders>
            <w:vMerge w:val="continue"/>
            <w:shd w:val="clear" w:color="auto" w:fill="C5D9F1"/>
          </w:tcPr>
          <w:p>
            <w:pPr>
              <w:spacing w:after="0"/>
              <w:rPr>
                <w:sz w:val="10"/>
                <w:szCs w:val="10"/>
                <w:color w:val="auto"/>
              </w:rPr>
            </w:pPr>
          </w:p>
        </w:tc>
        <w:tc>
          <w:tcPr>
            <w:tcW w:w="1860" w:type="dxa"/>
            <w:vAlign w:val="bottom"/>
            <w:tcBorders>
              <w:right w:val="single" w:sz="8" w:color="auto"/>
            </w:tcBorders>
            <w:vMerge w:val="restart"/>
            <w:shd w:val="clear" w:color="auto" w:fill="C5D9F1"/>
          </w:tcPr>
          <w:p>
            <w:pPr>
              <w:jc w:val="center"/>
              <w:spacing w:after="0"/>
              <w:rPr>
                <w:sz w:val="20"/>
                <w:szCs w:val="20"/>
                <w:color w:val="auto"/>
              </w:rPr>
            </w:pPr>
            <w:r>
              <w:rPr>
                <w:rFonts w:ascii="Times New Roman" w:cs="Times New Roman" w:eastAsia="Times New Roman" w:hAnsi="Times New Roman"/>
                <w:sz w:val="17"/>
                <w:szCs w:val="17"/>
                <w:b w:val="1"/>
                <w:bCs w:val="1"/>
                <w:color w:val="auto"/>
              </w:rPr>
              <w:t>ROIC</w:t>
            </w:r>
          </w:p>
        </w:tc>
        <w:tc>
          <w:tcPr>
            <w:tcW w:w="1840" w:type="dxa"/>
            <w:vAlign w:val="bottom"/>
            <w:tcBorders>
              <w:right w:val="single" w:sz="8" w:color="auto"/>
            </w:tcBorders>
            <w:vMerge w:val="restart"/>
            <w:shd w:val="clear" w:color="auto" w:fill="C5D9F1"/>
          </w:tcPr>
          <w:p>
            <w:pPr>
              <w:jc w:val="center"/>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0" w:type="dxa"/>
            <w:vAlign w:val="bottom"/>
          </w:tcPr>
          <w:p>
            <w:pPr>
              <w:spacing w:after="0"/>
              <w:rPr>
                <w:sz w:val="1"/>
                <w:szCs w:val="1"/>
                <w:color w:val="auto"/>
              </w:rPr>
            </w:pPr>
          </w:p>
        </w:tc>
      </w:tr>
      <w:tr>
        <w:trPr>
          <w:trHeight w:val="127"/>
        </w:trPr>
        <w:tc>
          <w:tcPr>
            <w:tcW w:w="1680" w:type="dxa"/>
            <w:vAlign w:val="bottom"/>
            <w:tcBorders>
              <w:left w:val="single" w:sz="8" w:color="auto"/>
              <w:bottom w:val="single" w:sz="8" w:color="C5D9F1"/>
              <w:right w:val="single" w:sz="8" w:color="auto"/>
            </w:tcBorders>
            <w:shd w:val="clear" w:color="auto" w:fill="C5D9F1"/>
          </w:tcPr>
          <w:p>
            <w:pPr>
              <w:spacing w:after="0"/>
              <w:rPr>
                <w:sz w:val="11"/>
                <w:szCs w:val="11"/>
                <w:color w:val="auto"/>
              </w:rPr>
            </w:pPr>
          </w:p>
        </w:tc>
        <w:tc>
          <w:tcPr>
            <w:tcW w:w="1980" w:type="dxa"/>
            <w:vAlign w:val="bottom"/>
            <w:tcBorders>
              <w:bottom w:val="single" w:sz="8" w:color="C5D9F1"/>
              <w:right w:val="single" w:sz="8" w:color="auto"/>
            </w:tcBorders>
            <w:shd w:val="clear" w:color="auto" w:fill="C5D9F1"/>
          </w:tcPr>
          <w:p>
            <w:pPr>
              <w:spacing w:after="0"/>
              <w:rPr>
                <w:sz w:val="11"/>
                <w:szCs w:val="11"/>
                <w:color w:val="auto"/>
              </w:rPr>
            </w:pPr>
          </w:p>
        </w:tc>
        <w:tc>
          <w:tcPr>
            <w:tcW w:w="1860" w:type="dxa"/>
            <w:vAlign w:val="bottom"/>
            <w:tcBorders>
              <w:bottom w:val="single" w:sz="8" w:color="C5D9F1"/>
              <w:right w:val="single" w:sz="8" w:color="auto"/>
            </w:tcBorders>
            <w:vMerge w:val="continue"/>
            <w:shd w:val="clear" w:color="auto" w:fill="C5D9F1"/>
          </w:tcPr>
          <w:p>
            <w:pPr>
              <w:spacing w:after="0"/>
              <w:rPr>
                <w:sz w:val="11"/>
                <w:szCs w:val="11"/>
                <w:color w:val="auto"/>
              </w:rPr>
            </w:pPr>
          </w:p>
        </w:tc>
        <w:tc>
          <w:tcPr>
            <w:tcW w:w="1840" w:type="dxa"/>
            <w:vAlign w:val="bottom"/>
            <w:tcBorders>
              <w:bottom w:val="single" w:sz="8" w:color="C5D9F1"/>
              <w:right w:val="single" w:sz="8" w:color="auto"/>
            </w:tcBorders>
            <w:vMerge w:val="continue"/>
            <w:shd w:val="clear" w:color="auto" w:fill="C5D9F1"/>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Maximum</w:t>
            </w:r>
          </w:p>
        </w:tc>
        <w:tc>
          <w:tcPr>
            <w:tcW w:w="1980" w:type="dxa"/>
            <w:vAlign w:val="bottom"/>
            <w:tcBorders>
              <w:top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Target</w:t>
            </w:r>
          </w:p>
        </w:tc>
        <w:tc>
          <w:tcPr>
            <w:tcW w:w="19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Below Target</w:t>
            </w:r>
          </w:p>
        </w:tc>
        <w:tc>
          <w:tcPr>
            <w:tcW w:w="19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Threshold</w:t>
            </w:r>
          </w:p>
        </w:tc>
        <w:tc>
          <w:tcPr>
            <w:tcW w:w="19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Objective Definitions</w:t>
      </w:r>
    </w:p>
    <w:p>
      <w:pPr>
        <w:spacing w:after="0" w:line="5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u w:val="single" w:color="auto"/>
          <w:color w:val="auto"/>
        </w:rPr>
        <w:t>Adjusted Earnings Before Interest, Taxes, Depreciation and Amortization</w:t>
      </w:r>
      <w:r>
        <w:rPr>
          <w:rFonts w:ascii="Times New Roman" w:cs="Times New Roman" w:eastAsia="Times New Roman" w:hAnsi="Times New Roman"/>
          <w:sz w:val="17"/>
          <w:szCs w:val="17"/>
          <w:color w:val="auto"/>
        </w:rPr>
        <w:t>. “Adjusted EBITDA” means EBITDA (as reported in the Company’s Annual Reports on Form 10-K) over the Performance Period, excluding the impact of share-based compensation expense, impairments, transaction and integration costs, gains and losses on the disposal of assets or businesses, gains and losses on foreign currency exchange related activity, litigation charges, and activity not associated with the Company’s ongoing core operations, and including the appropriate approved financial impact of new business ventures. [Other adjustments approved by the Committee] No adjustment is made for consumer financing interest expense associated with the term securitization transactions in calculating Adjusted EBITDA.</w:t>
      </w:r>
    </w:p>
    <w:p>
      <w:pPr>
        <w:spacing w:after="0" w:line="17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u w:val="single" w:color="auto"/>
          <w:color w:val="auto"/>
        </w:rPr>
        <w:t>Adjusted EBIT</w:t>
      </w:r>
      <w:r>
        <w:rPr>
          <w:rFonts w:ascii="Times New Roman" w:cs="Times New Roman" w:eastAsia="Times New Roman" w:hAnsi="Times New Roman"/>
          <w:sz w:val="17"/>
          <w:szCs w:val="17"/>
          <w:color w:val="auto"/>
        </w:rPr>
        <w:t>. “Adjusted EBIT” means Adjusted EBITDA as defined above less Depreciation and Amortization. as reported in the Company’s Annual Report on Form 10-K.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Adjusted Return on Invested Capital</w:t>
      </w:r>
      <w:r>
        <w:rPr>
          <w:rFonts w:ascii="Times New Roman" w:cs="Times New Roman" w:eastAsia="Times New Roman" w:hAnsi="Times New Roman"/>
          <w:sz w:val="17"/>
          <w:szCs w:val="17"/>
          <w:color w:val="auto"/>
        </w:rPr>
        <w:t>. “Adjusted ROIC” means Adjusted EBIT (as defined above) over the Performance Period, as a percentage of Net Total</w:t>
      </w:r>
    </w:p>
    <w:p>
      <w:pPr>
        <w:spacing w:after="0" w:line="4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Invested Capital. “Net Total Invested Capital” means the average of the beginning of the Performance Period and the end of the Performance Period total assets less current liabilities (excluding non-securitized debt) and securitized debt, provided that any cash in excess of $150 million will be disregarded for purposes of determining total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calculating Adjusted EBITDA and Adjusted ROIC, the impact of any changes in U.S. generally accepted accounting principles will be excluded.</w:t>
      </w:r>
    </w:p>
    <w:p>
      <w:pPr>
        <w:sectPr>
          <w:pgSz w:w="11900" w:h="16838" w:orient="portrait"/>
          <w:cols w:equalWidth="0" w:num="1">
            <w:col w:w="11220"/>
          </w:cols>
          <w:pgMar w:left="320" w:top="1250" w:right="3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E. Geller, Jr., certify that:</w:t>
      </w:r>
    </w:p>
    <w:p>
      <w:pPr>
        <w:spacing w:after="0" w:line="112" w:lineRule="exact"/>
        <w:rPr>
          <w:sz w:val="20"/>
          <w:szCs w:val="20"/>
          <w:color w:val="auto"/>
        </w:rPr>
      </w:pPr>
    </w:p>
    <w:p>
      <w:pPr>
        <w:ind w:left="620" w:hanging="618"/>
        <w:spacing w:after="0"/>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Marriott Vacations Worldwide Corporation;</w:t>
      </w:r>
    </w:p>
    <w:p>
      <w:pPr>
        <w:spacing w:after="0" w:line="111" w:lineRule="exact"/>
        <w:rPr>
          <w:rFonts w:ascii="Times New Roman" w:cs="Times New Roman" w:eastAsia="Times New Roman" w:hAnsi="Times New Roman"/>
          <w:sz w:val="17"/>
          <w:szCs w:val="17"/>
          <w:color w:val="auto"/>
        </w:rPr>
      </w:pPr>
    </w:p>
    <w:p>
      <w:pPr>
        <w:ind w:left="620" w:right="220" w:hanging="618"/>
        <w:spacing w:after="0" w:line="284"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7"/>
          <w:szCs w:val="17"/>
          <w:color w:val="auto"/>
        </w:rPr>
      </w:pPr>
    </w:p>
    <w:p>
      <w:pPr>
        <w:ind w:left="620" w:right="20" w:hanging="618"/>
        <w:spacing w:after="0" w:line="284"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7"/>
          <w:szCs w:val="17"/>
          <w:color w:val="auto"/>
        </w:rPr>
      </w:pPr>
    </w:p>
    <w:p>
      <w:pPr>
        <w:ind w:left="620" w:right="40" w:hanging="618"/>
        <w:spacing w:after="0" w:line="267"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Times New Roman" w:cs="Times New Roman" w:eastAsia="Times New Roman" w:hAnsi="Times New Roman"/>
          <w:sz w:val="17"/>
          <w:szCs w:val="17"/>
          <w:color w:val="auto"/>
        </w:rPr>
      </w:pPr>
    </w:p>
    <w:p>
      <w:pPr>
        <w:ind w:left="1240" w:right="320" w:hanging="623"/>
        <w:spacing w:after="0" w:line="267" w:lineRule="auto"/>
        <w:tabs>
          <w:tab w:leader="none" w:pos="1237"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1240" w:right="40" w:hanging="623"/>
        <w:spacing w:after="0" w:line="267" w:lineRule="auto"/>
        <w:tabs>
          <w:tab w:leader="none" w:pos="1234"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jc w:val="both"/>
        <w:ind w:left="1240" w:right="780" w:hanging="623"/>
        <w:spacing w:after="0" w:line="284" w:lineRule="auto"/>
        <w:tabs>
          <w:tab w:leader="none" w:pos="1237"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7"/>
          <w:szCs w:val="17"/>
          <w:color w:val="auto"/>
        </w:rPr>
      </w:pPr>
    </w:p>
    <w:p>
      <w:pPr>
        <w:ind w:left="1240" w:right="40" w:hanging="623"/>
        <w:spacing w:after="0" w:line="267" w:lineRule="auto"/>
        <w:tabs>
          <w:tab w:leader="none" w:pos="1234"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7"/>
          <w:szCs w:val="17"/>
          <w:color w:val="auto"/>
        </w:rPr>
      </w:pPr>
    </w:p>
    <w:p>
      <w:pPr>
        <w:ind w:left="620" w:right="400" w:hanging="618"/>
        <w:spacing w:after="0" w:line="284"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7"/>
          <w:szCs w:val="17"/>
          <w:color w:val="auto"/>
        </w:rPr>
      </w:pPr>
    </w:p>
    <w:p>
      <w:pPr>
        <w:ind w:left="1240" w:right="240" w:hanging="623"/>
        <w:spacing w:after="0" w:line="284" w:lineRule="auto"/>
        <w:tabs>
          <w:tab w:leader="none" w:pos="1237"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7"/>
          <w:szCs w:val="17"/>
          <w:color w:val="auto"/>
        </w:rPr>
      </w:pPr>
    </w:p>
    <w:p>
      <w:pPr>
        <w:ind w:left="1240" w:right="200" w:hanging="623"/>
        <w:spacing w:after="0" w:line="284" w:lineRule="auto"/>
        <w:tabs>
          <w:tab w:leader="none" w:pos="1234"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2024</w:t>
      </w:r>
    </w:p>
    <w:p>
      <w:pPr>
        <w:spacing w:after="0" w:line="39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32385</wp:posOffset>
            </wp:positionV>
            <wp:extent cx="32772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3277235" cy="8255"/>
                    </a:xfrm>
                    <a:prstGeom prst="rect">
                      <a:avLst/>
                    </a:prstGeom>
                    <a:noFill/>
                  </pic:spPr>
                </pic:pic>
              </a:graphicData>
            </a:graphic>
          </wp:anchor>
        </w:drawing>
      </w:r>
    </w:p>
    <w:p>
      <w:pPr>
        <w:spacing w:after="0" w:line="4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4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9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Jason P. Marino, certify that:</w:t>
      </w:r>
    </w:p>
    <w:p>
      <w:pPr>
        <w:spacing w:after="0" w:line="112" w:lineRule="exact"/>
        <w:rPr>
          <w:sz w:val="20"/>
          <w:szCs w:val="20"/>
          <w:color w:val="auto"/>
        </w:rPr>
      </w:pPr>
    </w:p>
    <w:p>
      <w:pPr>
        <w:ind w:left="620" w:hanging="618"/>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Marriott Vacations Worldwide Corporation;</w:t>
      </w:r>
    </w:p>
    <w:p>
      <w:pPr>
        <w:spacing w:after="0" w:line="111" w:lineRule="exact"/>
        <w:rPr>
          <w:rFonts w:ascii="Times New Roman" w:cs="Times New Roman" w:eastAsia="Times New Roman" w:hAnsi="Times New Roman"/>
          <w:sz w:val="17"/>
          <w:szCs w:val="17"/>
          <w:color w:val="auto"/>
        </w:rPr>
      </w:pPr>
    </w:p>
    <w:p>
      <w:pPr>
        <w:ind w:left="620" w:right="220" w:hanging="618"/>
        <w:spacing w:after="0" w:line="284"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7"/>
          <w:szCs w:val="17"/>
          <w:color w:val="auto"/>
        </w:rPr>
      </w:pPr>
    </w:p>
    <w:p>
      <w:pPr>
        <w:ind w:left="620" w:right="20" w:hanging="618"/>
        <w:spacing w:after="0" w:line="284"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7"/>
          <w:szCs w:val="17"/>
          <w:color w:val="auto"/>
        </w:rPr>
      </w:pPr>
    </w:p>
    <w:p>
      <w:pPr>
        <w:ind w:left="620" w:right="40" w:hanging="618"/>
        <w:spacing w:after="0" w:line="267"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Times New Roman" w:cs="Times New Roman" w:eastAsia="Times New Roman" w:hAnsi="Times New Roman"/>
          <w:sz w:val="17"/>
          <w:szCs w:val="17"/>
          <w:color w:val="auto"/>
        </w:rPr>
      </w:pPr>
    </w:p>
    <w:p>
      <w:pPr>
        <w:ind w:left="1240" w:right="320" w:hanging="623"/>
        <w:spacing w:after="0" w:line="267" w:lineRule="auto"/>
        <w:tabs>
          <w:tab w:leader="none" w:pos="1237"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1240" w:right="40" w:hanging="623"/>
        <w:spacing w:after="0" w:line="267" w:lineRule="auto"/>
        <w:tabs>
          <w:tab w:leader="none" w:pos="1234"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jc w:val="both"/>
        <w:ind w:left="1240" w:right="780" w:hanging="623"/>
        <w:spacing w:after="0" w:line="284" w:lineRule="auto"/>
        <w:tabs>
          <w:tab w:leader="none" w:pos="1237"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7"/>
          <w:szCs w:val="17"/>
          <w:color w:val="auto"/>
        </w:rPr>
      </w:pPr>
    </w:p>
    <w:p>
      <w:pPr>
        <w:ind w:left="1240" w:right="40" w:hanging="623"/>
        <w:spacing w:after="0" w:line="267" w:lineRule="auto"/>
        <w:tabs>
          <w:tab w:leader="none" w:pos="1234"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7"/>
          <w:szCs w:val="17"/>
          <w:color w:val="auto"/>
        </w:rPr>
      </w:pPr>
    </w:p>
    <w:p>
      <w:pPr>
        <w:ind w:left="620" w:right="400" w:hanging="618"/>
        <w:spacing w:after="0" w:line="284"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7"/>
          <w:szCs w:val="17"/>
          <w:color w:val="auto"/>
        </w:rPr>
      </w:pPr>
    </w:p>
    <w:p>
      <w:pPr>
        <w:ind w:left="1240" w:right="240" w:hanging="623"/>
        <w:spacing w:after="0" w:line="284" w:lineRule="auto"/>
        <w:tabs>
          <w:tab w:leader="none" w:pos="1237"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7"/>
          <w:szCs w:val="17"/>
          <w:color w:val="auto"/>
        </w:rPr>
      </w:pPr>
    </w:p>
    <w:p>
      <w:pPr>
        <w:ind w:left="1240" w:right="200" w:hanging="623"/>
        <w:spacing w:after="0" w:line="284" w:lineRule="auto"/>
        <w:tabs>
          <w:tab w:leader="none" w:pos="1234"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2024</w:t>
      </w:r>
    </w:p>
    <w:p>
      <w:pPr>
        <w:spacing w:after="0" w:line="38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16510</wp:posOffset>
            </wp:positionV>
            <wp:extent cx="44805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4480560" cy="8255"/>
                    </a:xfrm>
                    <a:prstGeom prst="rect">
                      <a:avLst/>
                    </a:prstGeom>
                    <a:noFill/>
                  </pic:spPr>
                </pic:pic>
              </a:graphicData>
            </a:graphic>
          </wp:anchor>
        </w:drawing>
      </w:r>
    </w:p>
    <w:p>
      <w:pPr>
        <w:spacing w:after="0" w:line="1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Jason P. Marino</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9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E. Geller, Jr., President and Chief Executive Officer of Marriott Vacations Worldwide Corporation (the “Company”) certify that:</w:t>
      </w:r>
    </w:p>
    <w:p>
      <w:pPr>
        <w:spacing w:after="0" w:line="112" w:lineRule="exact"/>
        <w:rPr>
          <w:sz w:val="20"/>
          <w:szCs w:val="20"/>
          <w:color w:val="auto"/>
        </w:rPr>
      </w:pPr>
    </w:p>
    <w:p>
      <w:pPr>
        <w:ind w:left="620" w:hanging="618"/>
        <w:spacing w:after="0" w:line="284" w:lineRule="auto"/>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period ended March 31, 2024 (the “Quarterly Report”), fully complies with the requirements of section 13(a) or 15(d) of the Securities Exchange Act of 1934 (15 U.S.C. 78m or 78o(d)); and</w:t>
      </w:r>
    </w:p>
    <w:p>
      <w:pPr>
        <w:spacing w:after="0" w:line="49"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Quarterly Report fairly presents, in all material respects, the financial condition and results of operations of 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May 7, 2024</w:t>
      </w:r>
    </w:p>
    <w:p>
      <w:pPr>
        <w:spacing w:after="0" w:line="3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16510</wp:posOffset>
            </wp:positionV>
            <wp:extent cx="32772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3277235" cy="8255"/>
                    </a:xfrm>
                    <a:prstGeom prst="rect">
                      <a:avLst/>
                    </a:prstGeom>
                    <a:noFill/>
                  </pic:spPr>
                </pic:pic>
              </a:graphicData>
            </a:graphic>
          </wp:anchor>
        </w:drawing>
      </w:r>
    </w:p>
    <w:p>
      <w:pPr>
        <w:spacing w:after="0" w:line="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6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6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9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Jason P. Marino, Executive Vice President and Chief Financial Officer of Marriott Vacations Worldwide Corporation (the “Company”) certify that:</w:t>
      </w:r>
    </w:p>
    <w:p>
      <w:pPr>
        <w:spacing w:after="0" w:line="112" w:lineRule="exact"/>
        <w:rPr>
          <w:sz w:val="20"/>
          <w:szCs w:val="20"/>
          <w:color w:val="auto"/>
        </w:rPr>
      </w:pPr>
    </w:p>
    <w:p>
      <w:pPr>
        <w:ind w:left="620" w:hanging="618"/>
        <w:spacing w:after="0" w:line="284"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period ended March 31, 2024 (the “Quarterly Report”), fully complies with the requirements of section 13(a) or 15(d) of the Securities Exchange Act of 1934 (15 U.S.C. 78m or 78o(d)); and</w:t>
      </w:r>
    </w:p>
    <w:p>
      <w:pPr>
        <w:spacing w:after="0" w:line="49"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Quarterly Report fairly presents, in all material respects, the financial condition and results of operations of 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May 7, 2024</w:t>
      </w: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16510</wp:posOffset>
            </wp:positionV>
            <wp:extent cx="34067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3406775" cy="8255"/>
                    </a:xfrm>
                    <a:prstGeom prst="rect">
                      <a:avLst/>
                    </a:prstGeom>
                    <a:noFill/>
                  </pic:spPr>
                </pic:pic>
              </a:graphicData>
            </a:graphic>
          </wp:anchor>
        </w:drawing>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Jason P. Marino</w:t>
      </w:r>
    </w:p>
    <w:p>
      <w:pPr>
        <w:spacing w:after="0" w:line="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1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407"/>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2"/>
    </w:lvl>
  </w:abstractNum>
  <w:abstractNum w:abstractNumId="5">
    <w:nsid w:val="2D517796"/>
    <w:multiLevelType w:val="hybridMultilevel"/>
    <w:lvl w:ilvl="0">
      <w:lvlJc w:val="left"/>
      <w:lvlText w:val="%1."/>
      <w:numFmt w:val="decimal"/>
      <w:start w:val="3"/>
    </w:lvl>
  </w:abstractNum>
  <w:abstractNum w:abstractNumId="6">
    <w:nsid w:val="580BD78F"/>
    <w:multiLevelType w:val="hybridMultilevel"/>
    <w:lvl w:ilvl="0">
      <w:lvlJc w:val="left"/>
      <w:lvlText w:val="%1."/>
      <w:numFmt w:val="decimal"/>
      <w:start w:val="5"/>
    </w:lvl>
  </w:abstractNum>
  <w:abstractNum w:abstractNumId="7">
    <w:nsid w:val="153EA438"/>
    <w:multiLevelType w:val="hybridMultilevel"/>
    <w:lvl w:ilvl="0">
      <w:lvlJc w:val="left"/>
      <w:lvlText w:val="%1."/>
      <w:numFmt w:val="decimal"/>
      <w:start w:val="6"/>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8"/>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0"/>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1."/>
      <w:numFmt w:val="decimal"/>
      <w:start w:val="1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12"/>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1."/>
      <w:numFmt w:val="decimal"/>
      <w:start w:val="13"/>
    </w:lvl>
  </w:abstractNum>
  <w:abstractNum w:abstractNumId="20">
    <w:nsid w:val="38437FDB"/>
    <w:multiLevelType w:val="hybridMultilevel"/>
    <w:lvl w:ilvl="0">
      <w:lvlJc w:val="left"/>
      <w:lvlText w:val="%1."/>
      <w:numFmt w:val="decimal"/>
      <w:start w:val="14"/>
    </w:lvl>
  </w:abstractNum>
  <w:abstractNum w:abstractNumId="21">
    <w:nsid w:val="7644A45C"/>
    <w:multiLevelType w:val="hybridMultilevel"/>
    <w:lvl w:ilvl="0">
      <w:lvlJc w:val="left"/>
      <w:lvlText w:val="%1."/>
      <w:numFmt w:val="decimal"/>
      <w:start w:val="15"/>
    </w:lvl>
  </w:abstractNum>
  <w:abstractNum w:abstractNumId="22">
    <w:nsid w:val="32FFF902"/>
    <w:multiLevelType w:val="hybridMultilevel"/>
    <w:lvl w:ilvl="0">
      <w:lvlJc w:val="left"/>
      <w:lvlText w:val="%1."/>
      <w:numFmt w:val="decimal"/>
      <w:start w:val="16"/>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lvl w:ilvl="1">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200"/>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1"/>
      <w:numFmt w:val="decimal"/>
      <w:start w:val="10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decimal"/>
      <w:start w:val="7"/>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decimal"/>
      <w:start w:val="8"/>
    </w:lvl>
  </w:abstractNum>
  <w:abstractNum w:abstractNumId="38">
    <w:nsid w:val="39386575"/>
    <w:multiLevelType w:val="hybridMultilevel"/>
    <w:lvl w:ilvl="0">
      <w:lvlJc w:val="left"/>
      <w:lvlText w:val="%1"/>
      <w:numFmt w:val="lowerLetter"/>
      <w:start w:val="1"/>
    </w:lvl>
    <w:lvl w:ilvl="1">
      <w:lvlJc w:val="left"/>
      <w:lvlText w:val="(%2)"/>
      <w:numFmt w:val="lowerLetter"/>
      <w:start w:val="1"/>
    </w:lvl>
  </w:abstractNum>
  <w:abstractNum w:abstractNumId="39">
    <w:nsid w:val="1CF10FD8"/>
    <w:multiLevelType w:val="hybridMultilevel"/>
    <w:lvl w:ilvl="0">
      <w:lvlJc w:val="left"/>
      <w:lvlText w:val="(%1)"/>
      <w:numFmt w:val="lowerLetter"/>
      <w:start w:val="35"/>
    </w:lvl>
    <w:lvl w:ilvl="1">
      <w:lvlJc w:val="left"/>
      <w:lvlText w:val="(%2)"/>
      <w:numFmt w:val="lowerLetter"/>
      <w:start w:val="2"/>
    </w:lvl>
  </w:abstractNum>
  <w:abstractNum w:abstractNumId="40">
    <w:nsid w:val="180115BE"/>
    <w:multiLevelType w:val="hybridMultilevel"/>
    <w:lvl w:ilvl="0">
      <w:lvlJc w:val="left"/>
      <w:lvlText w:val="(%1)"/>
      <w:numFmt w:val="lowerLetter"/>
      <w:start w:val="3"/>
    </w:lvl>
  </w:abstractNum>
  <w:abstractNum w:abstractNumId="41">
    <w:nsid w:val="235BA861"/>
    <w:multiLevelType w:val="hybridMultilevel"/>
    <w:lvl w:ilvl="0">
      <w:lvlJc w:val="left"/>
      <w:lvlText w:val="%1"/>
      <w:numFmt w:val="lowerLetter"/>
      <w:start w:val="1"/>
    </w:lvl>
    <w:lvl w:ilvl="1">
      <w:lvlJc w:val="left"/>
      <w:lvlText w:val="%2."/>
      <w:numFmt w:val="decimal"/>
      <w:start w:val="11"/>
    </w:lvl>
  </w:abstractNum>
  <w:abstractNum w:abstractNumId="42">
    <w:nsid w:val="47398C89"/>
    <w:multiLevelType w:val="hybridMultilevel"/>
    <w:lvl w:ilvl="0">
      <w:lvlJc w:val="left"/>
      <w:lvlText w:val="(%1)"/>
      <w:numFmt w:val="lowerLetter"/>
      <w:start w:val="1"/>
    </w:lvl>
    <w:lvl w:ilvl="1">
      <w:lvlJc w:val="left"/>
      <w:lvlText w:val="%2"/>
      <w:numFmt w:val="decimal"/>
      <w:start w:val="1"/>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1."/>
      <w:numFmt w:val="decimal"/>
      <w:start w:val="12"/>
    </w:lvl>
  </w:abstractNum>
  <w:abstractNum w:abstractNumId="45">
    <w:nsid w:val="741226BB"/>
    <w:multiLevelType w:val="hybridMultilevel"/>
    <w:lvl w:ilvl="0">
      <w:lvlJc w:val="left"/>
      <w:lvlText w:val="%1."/>
      <w:numFmt w:val="decimal"/>
      <w:start w:val="17"/>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6"/>
    </w:lvl>
    <w:lvl w:ilvl="1">
      <w:lvlJc w:val="left"/>
      <w:lvlText w:val="(%2)"/>
      <w:numFmt w:val="lowerLetter"/>
      <w:start w:val="1"/>
    </w:lvl>
  </w:abstractNum>
  <w:abstractNum w:abstractNumId="48">
    <w:nsid w:val="3F6AB60F"/>
    <w:multiLevelType w:val="hybridMultilevel"/>
    <w:lvl w:ilvl="0">
      <w:lvlJc w:val="left"/>
      <w:lvlText w:val="%1"/>
      <w:numFmt w:val="lowerLetter"/>
      <w:start w:val="1"/>
    </w:lvl>
    <w:lvl w:ilvl="1">
      <w:lvlJc w:val="left"/>
      <w:lvlText w:val="%2."/>
      <w:numFmt w:val="decimal"/>
      <w:start w:val="7"/>
    </w:lvl>
  </w:abstractNum>
  <w:abstractNum w:abstractNumId="49">
    <w:nsid w:val="61574095"/>
    <w:multiLevelType w:val="hybridMultilevel"/>
    <w:lvl w:ilvl="0">
      <w:lvlJc w:val="left"/>
      <w:lvlText w:val="(%1)"/>
      <w:numFmt w:val="lowerLetter"/>
      <w:start w:val="1"/>
    </w:lvl>
    <w:lvl w:ilvl="1">
      <w:lvlJc w:val="left"/>
      <w:lvlText w:val="%2"/>
      <w:numFmt w:val="decimal"/>
      <w:start w:val="1"/>
    </w:lvl>
  </w:abstractNum>
  <w:abstractNum w:abstractNumId="50">
    <w:nsid w:val="7E0C57B1"/>
    <w:multiLevelType w:val="hybridMultilevel"/>
    <w:lvl w:ilvl="0">
      <w:lvlJc w:val="left"/>
      <w:lvlText w:val="(%1)"/>
      <w:numFmt w:val="lowerLetter"/>
      <w:start w:val="4"/>
    </w:lvl>
  </w:abstractNum>
  <w:abstractNum w:abstractNumId="51">
    <w:nsid w:val="77AE35EB"/>
    <w:multiLevelType w:val="hybridMultilevel"/>
    <w:lvl w:ilvl="0">
      <w:lvlJc w:val="left"/>
      <w:lvlText w:val="%1"/>
      <w:numFmt w:val="lowerLetter"/>
      <w:start w:val="1"/>
    </w:lvl>
    <w:lvl w:ilvl="1">
      <w:lvlJc w:val="left"/>
      <w:lvlText w:val="%2."/>
      <w:numFmt w:val="decimal"/>
      <w:start w:val="9"/>
    </w:lvl>
  </w:abstractNum>
  <w:abstractNum w:abstractNumId="52">
    <w:nsid w:val="579BE4F1"/>
    <w:multiLevelType w:val="hybridMultilevel"/>
    <w:lvl w:ilvl="0">
      <w:lvlJc w:val="left"/>
      <w:lvlText w:val="(%1)"/>
      <w:numFmt w:val="lowerLetter"/>
      <w:start w:val="1"/>
    </w:lvl>
    <w:lvl w:ilvl="1">
      <w:lvlJc w:val="left"/>
      <w:lvlText w:val="%2"/>
      <w:numFmt w:val="decimal"/>
      <w:start w:val="1"/>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decimal"/>
      <w:start w:val="12"/>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1"/>
    </w:lvl>
    <w:lvl w:ilvl="1">
      <w:lvlJc w:val="left"/>
      <w:lvlText w:val="%2."/>
      <w:numFmt w:val="decimal"/>
      <w:start w:val="5"/>
    </w:lvl>
  </w:abstractNum>
  <w:abstractNum w:abstractNumId="57">
    <w:nsid w:val="1DBABF00"/>
    <w:multiLevelType w:val="hybridMultilevel"/>
    <w:lvl w:ilvl="0">
      <w:lvlJc w:val="left"/>
      <w:lvlText w:val="%1."/>
      <w:numFmt w:val="decimal"/>
      <w:start w:val="6"/>
    </w:lvl>
    <w:lvl w:ilvl="1">
      <w:lvlJc w:val="left"/>
      <w:lvlText w:val="%2"/>
      <w:numFmt w:val="decimal"/>
      <w:start w:val="1"/>
    </w:lvl>
  </w:abstractNum>
  <w:abstractNum w:abstractNumId="58">
    <w:nsid w:val="4AD084E9"/>
    <w:multiLevelType w:val="hybridMultilevel"/>
    <w:lvl w:ilvl="0">
      <w:lvlJc w:val="left"/>
      <w:lvlText w:val="(%1)"/>
      <w:numFmt w:val="lowerLetter"/>
      <w:start w:val="1"/>
    </w:lvl>
  </w:abstractNum>
  <w:abstractNum w:abstractNumId="59">
    <w:nsid w:val="1F48EAA1"/>
    <w:multiLevelType w:val="hybridMultilevel"/>
    <w:lvl w:ilvl="0">
      <w:lvlJc w:val="left"/>
      <w:lvlText w:val="%1."/>
      <w:numFmt w:val="decimal"/>
      <w:start w:val="7"/>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2"/>
    </w:lvl>
  </w:abstractNum>
  <w:abstractNum w:abstractNumId="62">
    <w:nsid w:val="100F8FCA"/>
    <w:multiLevelType w:val="hybridMultilevel"/>
    <w:lvl w:ilvl="0">
      <w:lvlJc w:val="left"/>
      <w:lvlText w:val="%1."/>
      <w:numFmt w:val="decimal"/>
      <w:start w:val="9"/>
    </w:lvl>
  </w:abstractNum>
  <w:abstractNum w:abstractNumId="63">
    <w:nsid w:val="659070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0"/>
    </w:lvl>
  </w:abstractNum>
  <w:abstractNum w:abstractNumId="64">
    <w:nsid w:val="15014AC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decimal"/>
      <w:start w:val="1"/>
    </w:lvl>
  </w:abstractNum>
  <w:abstractNum w:abstractNumId="65">
    <w:nsid w:val="5F5E7FD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6">
    <w:nsid w:val="98A314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7">
    <w:nsid w:val="799D0247"/>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68">
    <w:nsid w:val="6B94764"/>
    <w:multiLevelType w:val="hybridMultilevel"/>
    <w:lvl w:ilvl="0">
      <w:lvlJc w:val="left"/>
      <w:lvlText w:val="%1."/>
      <w:numFmt w:val="decimal"/>
      <w:start w:val="12"/>
    </w:lvl>
  </w:abstractNum>
  <w:abstractNum w:abstractNumId="69">
    <w:nsid w:val="42C296BD"/>
    <w:multiLevelType w:val="hybridMultilevel"/>
    <w:lvl w:ilvl="0">
      <w:lvlJc w:val="left"/>
      <w:lvlText w:val="%1."/>
      <w:numFmt w:val="decimal"/>
      <w:start w:val="19"/>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06" Type="http://schemas.openxmlformats.org/officeDocument/2006/relationships/hyperlink" Target="https://www.sec.gov/Archives/edgar/data/1524358/000152435823000022/exhibit32secondrestatedcer.htm" TargetMode="External"/><Relationship Id="rId107" Type="http://schemas.openxmlformats.org/officeDocument/2006/relationships/hyperlink" Target="https://www.sec.gov/Archives/edgar/data/1524358/000152435823000031/a2023q2ex33restatedbylawso.htm" TargetMode="External"/><Relationship Id="rId108" Type="http://schemas.openxmlformats.org/officeDocument/2006/relationships/hyperlink" Target="https://www.sec.gov/Archives/edgar/data/1524358/000119312511271851/d197736dex41.htm" TargetMode="External"/><Relationship Id="rId109" Type="http://schemas.openxmlformats.org/officeDocument/2006/relationships/hyperlink" Target="https://www.sec.gov/Archives/edgar/data/1524358/000119312519259964/d812229dex41.htm" TargetMode="External"/><Relationship Id="rId110" Type="http://schemas.openxmlformats.org/officeDocument/2006/relationships/hyperlink" Target="https://www.sec.gov/Archives/edgar/data/1524358/000152435820000011/a201910-kex412suppleme.htm" TargetMode="External"/><Relationship Id="rId111" Type="http://schemas.openxmlformats.org/officeDocument/2006/relationships/hyperlink" Target="https://www.sec.gov/Archives/edgar/data/1524358/000152435820000011/a201910-kex413xseconds.htm" TargetMode="External"/><Relationship Id="rId112" Type="http://schemas.openxmlformats.org/officeDocument/2006/relationships/hyperlink" Target="https://www.sec.gov/Archives/edgar/data/1524358/000119312519259964/d812229dex43.htm" TargetMode="External"/><Relationship Id="rId113" Type="http://schemas.openxmlformats.org/officeDocument/2006/relationships/hyperlink" Target="https://www.sec.gov/Archives/edgar/data/0001524358/000119312521027303/d41256dex41.htm" TargetMode="External"/><Relationship Id="rId114" Type="http://schemas.openxmlformats.org/officeDocument/2006/relationships/hyperlink" Target="https://www.sec.gov/Archives/edgar/data/0001524358/000119312521027303/d41256dex41.htm#exa" TargetMode="External"/><Relationship Id="rId115" Type="http://schemas.openxmlformats.org/officeDocument/2006/relationships/hyperlink" Target="https://www.sec.gov/Archives/edgar/data/0001524358/000119312521195243/d158882dex41.htm" TargetMode="External"/><Relationship Id="rId116" Type="http://schemas.openxmlformats.org/officeDocument/2006/relationships/hyperlink" Target="https://www.sec.gov/Archives/edgar/data/0001524358/000119312521195243/d158882dex41.htm#tx158882_515" TargetMode="External"/><Relationship Id="rId117" Type="http://schemas.openxmlformats.org/officeDocument/2006/relationships/hyperlink" Target="https://www.sec.gov/Archives/edgar/data/1524358/000119312522301061/d433395dex41.htm" TargetMode="External"/><Relationship Id="rId118" Type="http://schemas.openxmlformats.org/officeDocument/2006/relationships/hyperlink" Target="https://www.sec.gov/Archives/edgar/data/1524358/000119312522301061/d433395dex41.htm#tx433395_1" TargetMode="External"/><Relationship Id="rId119" Type="http://schemas.openxmlformats.org/officeDocument/2006/relationships/hyperlink" Target="https://www.sec.gov/Archives/edgar/data/1524358/000152435820000011/a201910-kex416descript.htm" TargetMode="External"/><Relationship Id="rId120" Type="http://schemas.openxmlformats.org/officeDocument/2006/relationships/hyperlink" Target="https://www.sec.gov/Archives/edgar/data/1524358/000152435824000006/a2023ex1025changeinctrlsev.htm" TargetMode="External"/><Relationship Id="rId131" Type="http://schemas.openxmlformats.org/officeDocument/2006/relationships/hyperlink" Target="https://www.sec.gov/Archives/edgar/data/1524358/000152435824000035/ex101-incrementalfacilitya.htm" TargetMode="External"/><Relationship Id="rId134" Type="http://schemas.openxmlformats.org/officeDocument/2006/relationships/hyperlink" Target="https://www.sec.gov/Archives/edgar/data/1524358/000152435824000006/a2023ex221xlistoftheissu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2024-05-07T13:07:33Z</dcterms:created>
  <dcterms:modified xsi:type="dcterms:W3CDTF">2024-05-07T13:07:33Z</dcterms:modified>
</cp:coreProperties>
</file>