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ind w:left="4580"/>
        <w:spacing w:after="0"/>
        <w:rPr>
          <w:sz w:val="20"/>
          <w:szCs w:val="20"/>
          <w:color w:val="auto"/>
        </w:rPr>
      </w:pPr>
      <w:r>
        <w:rPr>
          <w:rFonts w:ascii="Arial" w:cs="Arial" w:eastAsia="Arial" w:hAnsi="Arial"/>
          <w:sz w:val="18"/>
          <w:szCs w:val="18"/>
          <w:color w:val="auto"/>
        </w:rPr>
        <w:t>_________________________</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7" w:lineRule="exact"/>
        <w:rPr>
          <w:sz w:val="24"/>
          <w:szCs w:val="24"/>
          <w:color w:val="auto"/>
        </w:rPr>
      </w:pPr>
    </w:p>
    <w:p>
      <w:pPr>
        <w:ind w:left="4560"/>
        <w:spacing w:after="0"/>
        <w:rPr>
          <w:sz w:val="20"/>
          <w:szCs w:val="20"/>
          <w:color w:val="auto"/>
        </w:rPr>
      </w:pPr>
      <w:r>
        <w:rPr>
          <w:rFonts w:ascii="Arial" w:cs="Arial" w:eastAsia="Arial" w:hAnsi="Arial"/>
          <w:sz w:val="11"/>
          <w:szCs w:val="11"/>
          <w:color w:val="auto"/>
        </w:rPr>
        <w:t>___________________________________________</w:t>
      </w:r>
    </w:p>
    <w:p>
      <w:pPr>
        <w:spacing w:after="0"/>
        <w:rPr>
          <w:sz w:val="20"/>
          <w:szCs w:val="20"/>
          <w:color w:val="auto"/>
        </w:rPr>
      </w:pPr>
      <w:r>
        <w:rPr>
          <w:rFonts w:ascii="Arial" w:cs="Arial" w:eastAsia="Arial" w:hAnsi="Arial"/>
          <w:sz w:val="18"/>
          <w:szCs w:val="18"/>
          <w:b w:val="1"/>
          <w:bCs w:val="1"/>
          <w:color w:val="auto"/>
        </w:rPr>
        <w:t>(Mark One)</w:t>
      </w:r>
    </w:p>
    <w:p>
      <w:pPr>
        <w:spacing w:after="0" w:line="156"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61" w:lineRule="exact"/>
        <w:rPr>
          <w:rFonts w:ascii="MS PGothic" w:cs="MS PGothic" w:eastAsia="MS PGothic" w:hAnsi="MS PGothic"/>
          <w:sz w:val="18"/>
          <w:szCs w:val="18"/>
          <w:color w:val="auto"/>
        </w:rPr>
      </w:pPr>
    </w:p>
    <w:p>
      <w:pPr>
        <w:ind w:left="39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June 30, 2019</w:t>
      </w:r>
    </w:p>
    <w:p>
      <w:pPr>
        <w:spacing w:after="0" w:line="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61"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-14605</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001-35219</w:t>
      </w:r>
    </w:p>
    <w:p>
      <w:pPr>
        <w:spacing w:after="0" w:line="27"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Marriott Vacations Worldwide Corporation</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153" w:lineRule="exact"/>
        <w:rPr>
          <w:sz w:val="24"/>
          <w:szCs w:val="24"/>
          <w:color w:val="auto"/>
        </w:rPr>
      </w:pPr>
    </w:p>
    <w:tbl>
      <w:tblPr>
        <w:tblLayout w:type="fixed"/>
        <w:tblInd w:w="2100" w:type="dxa"/>
        <w:tblCellMar>
          <w:top w:w="0" w:type="dxa"/>
          <w:left w:w="0" w:type="dxa"/>
          <w:bottom w:w="0" w:type="dxa"/>
          <w:right w:w="0" w:type="dxa"/>
        </w:tblCellMar>
      </w:tblPr>
      <w:tr>
        <w:trPr>
          <w:trHeight w:val="234"/>
        </w:trPr>
        <w:tc>
          <w:tcPr>
            <w:tcW w:w="4060" w:type="dxa"/>
            <w:vAlign w:val="bottom"/>
          </w:tcPr>
          <w:p>
            <w:pPr>
              <w:jc w:val="center"/>
              <w:ind w:right="1201"/>
              <w:spacing w:after="0"/>
              <w:rPr>
                <w:sz w:val="20"/>
                <w:szCs w:val="20"/>
                <w:color w:val="auto"/>
              </w:rPr>
            </w:pPr>
            <w:r>
              <w:rPr>
                <w:rFonts w:ascii="Arial" w:cs="Arial" w:eastAsia="Arial" w:hAnsi="Arial"/>
                <w:sz w:val="18"/>
                <w:szCs w:val="18"/>
                <w:b w:val="1"/>
                <w:bCs w:val="1"/>
                <w:color w:val="auto"/>
                <w:w w:val="93"/>
              </w:rPr>
              <w:t>Delaware</w:t>
            </w:r>
          </w:p>
        </w:tc>
        <w:tc>
          <w:tcPr>
            <w:tcW w:w="2400" w:type="dxa"/>
            <w:vAlign w:val="bottom"/>
          </w:tcPr>
          <w:p>
            <w:pPr>
              <w:jc w:val="right"/>
              <w:ind w:right="61"/>
              <w:spacing w:after="0"/>
              <w:rPr>
                <w:sz w:val="20"/>
                <w:szCs w:val="20"/>
                <w:color w:val="auto"/>
              </w:rPr>
            </w:pPr>
            <w:r>
              <w:rPr>
                <w:rFonts w:ascii="Arial" w:cs="Arial" w:eastAsia="Arial" w:hAnsi="Arial"/>
                <w:sz w:val="18"/>
                <w:szCs w:val="18"/>
                <w:b w:val="1"/>
                <w:bCs w:val="1"/>
                <w:color w:val="auto"/>
              </w:rPr>
              <w:t>45-2598330</w:t>
            </w:r>
          </w:p>
        </w:tc>
      </w:tr>
      <w:tr>
        <w:trPr>
          <w:trHeight w:val="180"/>
        </w:trPr>
        <w:tc>
          <w:tcPr>
            <w:tcW w:w="4060" w:type="dxa"/>
            <w:vAlign w:val="bottom"/>
          </w:tcPr>
          <w:p>
            <w:pPr>
              <w:jc w:val="center"/>
              <w:ind w:right="1181"/>
              <w:spacing w:after="0"/>
              <w:rPr>
                <w:sz w:val="20"/>
                <w:szCs w:val="20"/>
                <w:color w:val="auto"/>
              </w:rPr>
            </w:pPr>
            <w:r>
              <w:rPr>
                <w:rFonts w:ascii="Arial" w:cs="Arial" w:eastAsia="Arial" w:hAnsi="Arial"/>
                <w:sz w:val="14"/>
                <w:szCs w:val="14"/>
                <w:b w:val="1"/>
                <w:bCs w:val="1"/>
                <w:color w:val="auto"/>
                <w:w w:val="93"/>
              </w:rPr>
              <w:t>(State or other jurisdiction of</w:t>
            </w:r>
          </w:p>
        </w:tc>
        <w:tc>
          <w:tcPr>
            <w:tcW w:w="2400" w:type="dxa"/>
            <w:vAlign w:val="bottom"/>
          </w:tcPr>
          <w:p>
            <w:pPr>
              <w:jc w:val="center"/>
              <w:ind w:left="116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060" w:type="dxa"/>
            <w:vAlign w:val="bottom"/>
          </w:tcPr>
          <w:p>
            <w:pPr>
              <w:jc w:val="center"/>
              <w:ind w:right="1181"/>
              <w:spacing w:after="0"/>
              <w:rPr>
                <w:sz w:val="20"/>
                <w:szCs w:val="20"/>
                <w:color w:val="auto"/>
              </w:rPr>
            </w:pPr>
            <w:r>
              <w:rPr>
                <w:rFonts w:ascii="Arial" w:cs="Arial" w:eastAsia="Arial" w:hAnsi="Arial"/>
                <w:sz w:val="14"/>
                <w:szCs w:val="14"/>
                <w:b w:val="1"/>
                <w:bCs w:val="1"/>
                <w:color w:val="auto"/>
                <w:w w:val="94"/>
              </w:rPr>
              <w:t>incorporation or organization)</w:t>
            </w:r>
          </w:p>
        </w:tc>
        <w:tc>
          <w:tcPr>
            <w:tcW w:w="2400" w:type="dxa"/>
            <w:vAlign w:val="bottom"/>
          </w:tcPr>
          <w:p>
            <w:pPr>
              <w:jc w:val="center"/>
              <w:ind w:left="1181"/>
              <w:spacing w:after="0"/>
              <w:rPr>
                <w:sz w:val="20"/>
                <w:szCs w:val="20"/>
                <w:color w:val="auto"/>
              </w:rPr>
            </w:pPr>
            <w:r>
              <w:rPr>
                <w:rFonts w:ascii="Arial" w:cs="Arial" w:eastAsia="Arial" w:hAnsi="Arial"/>
                <w:sz w:val="14"/>
                <w:szCs w:val="14"/>
                <w:b w:val="1"/>
                <w:bCs w:val="1"/>
                <w:color w:val="auto"/>
                <w:w w:val="96"/>
              </w:rPr>
              <w:t>Identification No.)</w:t>
            </w:r>
          </w:p>
        </w:tc>
      </w:tr>
      <w:tr>
        <w:trPr>
          <w:trHeight w:val="255"/>
        </w:trPr>
        <w:tc>
          <w:tcPr>
            <w:tcW w:w="4060" w:type="dxa"/>
            <w:vAlign w:val="bottom"/>
          </w:tcPr>
          <w:p>
            <w:pPr>
              <w:jc w:val="center"/>
              <w:ind w:right="1181"/>
              <w:spacing w:after="0"/>
              <w:rPr>
                <w:sz w:val="20"/>
                <w:szCs w:val="20"/>
                <w:color w:val="auto"/>
              </w:rPr>
            </w:pPr>
            <w:r>
              <w:rPr>
                <w:rFonts w:ascii="Arial" w:cs="Arial" w:eastAsia="Arial" w:hAnsi="Arial"/>
                <w:sz w:val="18"/>
                <w:szCs w:val="18"/>
                <w:b w:val="1"/>
                <w:bCs w:val="1"/>
                <w:color w:val="auto"/>
                <w:w w:val="96"/>
              </w:rPr>
              <w:t>6649 Westwood Blvd. Orlando  FL</w:t>
            </w:r>
          </w:p>
        </w:tc>
        <w:tc>
          <w:tcPr>
            <w:tcW w:w="2400" w:type="dxa"/>
            <w:vAlign w:val="bottom"/>
          </w:tcPr>
          <w:p>
            <w:pPr>
              <w:jc w:val="right"/>
              <w:ind w:right="261"/>
              <w:spacing w:after="0"/>
              <w:rPr>
                <w:sz w:val="20"/>
                <w:szCs w:val="20"/>
                <w:color w:val="auto"/>
              </w:rPr>
            </w:pPr>
            <w:r>
              <w:rPr>
                <w:rFonts w:ascii="Arial" w:cs="Arial" w:eastAsia="Arial" w:hAnsi="Arial"/>
                <w:sz w:val="18"/>
                <w:szCs w:val="18"/>
                <w:b w:val="1"/>
                <w:bCs w:val="1"/>
                <w:color w:val="auto"/>
              </w:rPr>
              <w:t>32821</w:t>
            </w:r>
          </w:p>
        </w:tc>
      </w:tr>
      <w:tr>
        <w:trPr>
          <w:trHeight w:val="218"/>
        </w:trPr>
        <w:tc>
          <w:tcPr>
            <w:tcW w:w="4060" w:type="dxa"/>
            <w:vAlign w:val="bottom"/>
          </w:tcPr>
          <w:p>
            <w:pPr>
              <w:jc w:val="center"/>
              <w:ind w:right="120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0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(407) 206-6000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8"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40"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40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5"/>
        </w:trPr>
        <w:tc>
          <w:tcPr>
            <w:tcW w:w="4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Common Stock, $0.01 Par Value</w:t>
            </w: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7"/>
              </w:rPr>
              <w:t>VAC</w:t>
            </w:r>
          </w:p>
        </w:tc>
        <w:tc>
          <w:tcPr>
            <w:tcW w:w="39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New York Stock Exchange</w:t>
            </w:r>
          </w:p>
        </w:tc>
      </w:tr>
      <w:tr>
        <w:trPr>
          <w:trHeight w:val="31"/>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bl>
    <w:p>
      <w:pPr>
        <w:spacing w:after="0" w:line="90" w:lineRule="exact"/>
        <w:rPr>
          <w:sz w:val="24"/>
          <w:szCs w:val="24"/>
          <w:color w:val="auto"/>
        </w:rPr>
      </w:pPr>
    </w:p>
    <w:p>
      <w:pPr>
        <w:ind w:right="200"/>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6" w:lineRule="exact"/>
        <w:rPr>
          <w:sz w:val="24"/>
          <w:szCs w:val="24"/>
          <w:color w:val="auto"/>
        </w:rPr>
      </w:pPr>
    </w:p>
    <w:p>
      <w:pPr>
        <w:ind w:right="120"/>
        <w:spacing w:after="0" w:line="22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5" w:lineRule="exact"/>
        <w:rPr>
          <w:sz w:val="24"/>
          <w:szCs w:val="24"/>
          <w:color w:val="auto"/>
        </w:rPr>
      </w:pPr>
    </w:p>
    <w:p>
      <w:pPr>
        <w:ind w:right="16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4" w:lineRule="exact"/>
        <w:rPr>
          <w:sz w:val="24"/>
          <w:szCs w:val="24"/>
          <w:color w:val="auto"/>
        </w:rPr>
      </w:pPr>
    </w:p>
    <w:tbl>
      <w:tblPr>
        <w:tblLayout w:type="fixed"/>
        <w:tblInd w:w="480" w:type="dxa"/>
        <w:tblCellMar>
          <w:top w:w="0" w:type="dxa"/>
          <w:left w:w="0" w:type="dxa"/>
          <w:bottom w:w="0" w:type="dxa"/>
          <w:right w:w="0" w:type="dxa"/>
        </w:tblCellMar>
      </w:tblPr>
      <w:tr>
        <w:trPr>
          <w:trHeight w:val="249"/>
        </w:trPr>
        <w:tc>
          <w:tcPr>
            <w:tcW w:w="25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920" w:type="dxa"/>
            <w:vAlign w:val="bottom"/>
          </w:tcPr>
          <w:p>
            <w:pPr>
              <w:ind w:left="1020"/>
              <w:spacing w:after="0" w:line="161" w:lineRule="exact"/>
              <w:rPr>
                <w:sz w:val="20"/>
                <w:szCs w:val="20"/>
                <w:color w:val="auto"/>
              </w:rPr>
            </w:pPr>
            <w:r>
              <w:rPr>
                <w:rFonts w:ascii="MS PGothic" w:cs="MS PGothic" w:eastAsia="MS PGothic" w:hAnsi="MS PGothic"/>
                <w:sz w:val="16"/>
                <w:szCs w:val="16"/>
                <w:color w:val="auto"/>
              </w:rPr>
              <w:t>☒</w:t>
            </w:r>
          </w:p>
        </w:tc>
        <w:tc>
          <w:tcPr>
            <w:tcW w:w="3540" w:type="dxa"/>
            <w:vAlign w:val="bottom"/>
          </w:tcPr>
          <w:p>
            <w:pPr>
              <w:ind w:left="780"/>
              <w:spacing w:after="0"/>
              <w:rPr>
                <w:sz w:val="20"/>
                <w:szCs w:val="20"/>
                <w:color w:val="auto"/>
              </w:rPr>
            </w:pPr>
            <w:r>
              <w:rPr>
                <w:rFonts w:ascii="Arial" w:cs="Arial" w:eastAsia="Arial" w:hAnsi="Arial"/>
                <w:sz w:val="17"/>
                <w:szCs w:val="17"/>
                <w:color w:val="auto"/>
              </w:rPr>
              <w:t>Accelerated filer</w:t>
            </w:r>
          </w:p>
        </w:tc>
        <w:tc>
          <w:tcPr>
            <w:tcW w:w="1060" w:type="dxa"/>
            <w:vAlign w:val="bottom"/>
          </w:tcPr>
          <w:p>
            <w:pPr>
              <w:ind w:left="9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580" w:type="dxa"/>
            <w:vAlign w:val="bottom"/>
          </w:tcPr>
          <w:p>
            <w:pPr>
              <w:spacing w:after="0"/>
              <w:rPr>
                <w:sz w:val="20"/>
                <w:szCs w:val="20"/>
                <w:color w:val="auto"/>
              </w:rPr>
            </w:pPr>
            <w:r>
              <w:rPr>
                <w:rFonts w:ascii="Arial" w:cs="Arial" w:eastAsia="Arial" w:hAnsi="Arial"/>
                <w:sz w:val="17"/>
                <w:szCs w:val="17"/>
                <w:color w:val="auto"/>
              </w:rPr>
              <w:t>Non-accelerated filer</w:t>
            </w:r>
          </w:p>
        </w:tc>
        <w:tc>
          <w:tcPr>
            <w:tcW w:w="1920" w:type="dxa"/>
            <w:vAlign w:val="bottom"/>
          </w:tcPr>
          <w:p>
            <w:pPr>
              <w:ind w:left="1020"/>
              <w:spacing w:after="0" w:line="161" w:lineRule="exact"/>
              <w:rPr>
                <w:sz w:val="20"/>
                <w:szCs w:val="20"/>
                <w:color w:val="auto"/>
              </w:rPr>
            </w:pPr>
            <w:r>
              <w:rPr>
                <w:rFonts w:ascii="MS PGothic" w:cs="MS PGothic" w:eastAsia="MS PGothic" w:hAnsi="MS PGothic"/>
                <w:sz w:val="16"/>
                <w:szCs w:val="16"/>
                <w:color w:val="auto"/>
              </w:rPr>
              <w:t>☐</w:t>
            </w:r>
          </w:p>
        </w:tc>
        <w:tc>
          <w:tcPr>
            <w:tcW w:w="3540" w:type="dxa"/>
            <w:vAlign w:val="bottom"/>
          </w:tcPr>
          <w:p>
            <w:pPr>
              <w:ind w:left="780"/>
              <w:spacing w:after="0"/>
              <w:rPr>
                <w:sz w:val="20"/>
                <w:szCs w:val="20"/>
                <w:color w:val="auto"/>
              </w:rPr>
            </w:pPr>
            <w:r>
              <w:rPr>
                <w:rFonts w:ascii="Arial" w:cs="Arial" w:eastAsia="Arial" w:hAnsi="Arial"/>
                <w:sz w:val="17"/>
                <w:szCs w:val="17"/>
                <w:color w:val="auto"/>
              </w:rPr>
              <w:t>Smaller reporting company</w:t>
            </w:r>
          </w:p>
        </w:tc>
        <w:tc>
          <w:tcPr>
            <w:tcW w:w="1060" w:type="dxa"/>
            <w:vAlign w:val="bottom"/>
          </w:tcPr>
          <w:p>
            <w:pPr>
              <w:ind w:left="9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540" w:type="dxa"/>
            <w:vAlign w:val="bottom"/>
          </w:tcPr>
          <w:p>
            <w:pPr>
              <w:ind w:left="780"/>
              <w:spacing w:after="0"/>
              <w:rPr>
                <w:sz w:val="20"/>
                <w:szCs w:val="20"/>
                <w:color w:val="auto"/>
              </w:rPr>
            </w:pPr>
            <w:r>
              <w:rPr>
                <w:rFonts w:ascii="Arial" w:cs="Arial" w:eastAsia="Arial" w:hAnsi="Arial"/>
                <w:sz w:val="17"/>
                <w:szCs w:val="17"/>
                <w:color w:val="auto"/>
              </w:rPr>
              <w:t>Emerging growth company</w:t>
            </w:r>
          </w:p>
        </w:tc>
        <w:tc>
          <w:tcPr>
            <w:tcW w:w="1060" w:type="dxa"/>
            <w:vAlign w:val="bottom"/>
          </w:tcPr>
          <w:p>
            <w:pPr>
              <w:ind w:left="9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3" w:lineRule="exact"/>
        <w:rPr>
          <w:sz w:val="24"/>
          <w:szCs w:val="24"/>
          <w:color w:val="auto"/>
        </w:rPr>
      </w:pPr>
    </w:p>
    <w:p>
      <w:pPr>
        <w:ind w:right="200"/>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7"/>
          <w:szCs w:val="17"/>
          <w:color w:val="auto"/>
        </w:rPr>
        <w:t xml:space="preserve"> No </w:t>
      </w:r>
      <w:r>
        <w:rPr>
          <w:rFonts w:ascii="MS PGothic" w:cs="MS PGothic" w:eastAsia="MS PGothic" w:hAnsi="MS PGothic"/>
          <w:sz w:val="16"/>
          <w:szCs w:val="16"/>
          <w:color w:val="auto"/>
        </w:rPr>
        <w:t>☒</w:t>
      </w:r>
    </w:p>
    <w:p>
      <w:pPr>
        <w:spacing w:after="0" w:line="137"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outstanding of the issuer’s common stock, par value $0.01 per share, as of July 26, 2019 was 43,527,329.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503" w:right="21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 TABLE OF CONTENTS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Page</w:t>
            </w:r>
          </w:p>
        </w:tc>
      </w:tr>
      <w:tr>
        <w:trPr>
          <w:trHeight w:val="183"/>
        </w:trPr>
        <w:tc>
          <w:tcPr>
            <w:tcW w:w="1180" w:type="dxa"/>
            <w:vAlign w:val="bottom"/>
          </w:tcPr>
          <w:p>
            <w:pPr>
              <w:spacing w:after="0" w:line="156" w:lineRule="exact"/>
              <w:rPr>
                <w:sz w:val="20"/>
                <w:szCs w:val="20"/>
                <w:color w:val="auto"/>
              </w:rPr>
            </w:pPr>
            <w:r>
              <w:rPr>
                <w:rFonts w:ascii="Arial" w:cs="Arial" w:eastAsia="Arial" w:hAnsi="Arial"/>
                <w:sz w:val="17"/>
                <w:szCs w:val="17"/>
                <w:b w:val="1"/>
                <w:bCs w:val="1"/>
                <w:color w:val="auto"/>
              </w:rPr>
              <w:t>Part I.</w:t>
            </w:r>
          </w:p>
        </w:tc>
        <w:tc>
          <w:tcPr>
            <w:tcW w:w="3740" w:type="dxa"/>
            <w:vAlign w:val="bottom"/>
            <w:tcBorders>
              <w:bottom w:val="single" w:sz="8" w:color="0000EE"/>
            </w:tcBorders>
            <w:gridSpan w:val="31"/>
          </w:tcPr>
          <w:p>
            <w:pPr>
              <w:spacing w:after="0" w:line="156" w:lineRule="exact"/>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FINANCIAL INFORMATION (UNAUDITED)</w:t>
              </w:r>
            </w:hyperlink>
          </w:p>
        </w:tc>
        <w:tc>
          <w:tcPr>
            <w:tcW w:w="4680" w:type="dxa"/>
            <w:vAlign w:val="bottom"/>
            <w:gridSpan w:val="7"/>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Borders>
              <w:bottom w:val="single" w:sz="8" w:color="0000EE"/>
            </w:tcBorders>
          </w:tcPr>
          <w:p>
            <w:pPr>
              <w:jc w:val="center"/>
              <w:spacing w:after="0" w:line="156" w:lineRule="exact"/>
              <w:rPr>
                <w:rFonts w:ascii="Arial" w:cs="Arial" w:eastAsia="Arial" w:hAnsi="Arial"/>
                <w:sz w:val="17"/>
                <w:szCs w:val="17"/>
                <w:color w:val="0000EE"/>
              </w:rPr>
            </w:pPr>
            <w:hyperlink w:anchor="page3">
              <w:r>
                <w:rPr>
                  <w:rFonts w:ascii="Arial" w:cs="Arial" w:eastAsia="Arial" w:hAnsi="Arial"/>
                  <w:sz w:val="17"/>
                  <w:szCs w:val="17"/>
                  <w:color w:val="0000EE"/>
                </w:rPr>
                <w:t>1</w:t>
              </w:r>
            </w:hyperlink>
          </w:p>
        </w:tc>
        <w:tc>
          <w:tcPr>
            <w:tcW w:w="480" w:type="dxa"/>
            <w:vAlign w:val="bottom"/>
          </w:tcPr>
          <w:p>
            <w:pPr>
              <w:spacing w:after="0"/>
              <w:rPr>
                <w:sz w:val="15"/>
                <w:szCs w:val="15"/>
                <w:color w:val="auto"/>
              </w:rPr>
            </w:pPr>
          </w:p>
        </w:tc>
      </w:tr>
      <w:tr>
        <w:trPr>
          <w:trHeight w:val="243"/>
        </w:trPr>
        <w:tc>
          <w:tcPr>
            <w:tcW w:w="1180" w:type="dxa"/>
            <w:vAlign w:val="bottom"/>
          </w:tcPr>
          <w:p>
            <w:pPr>
              <w:ind w:left="240"/>
              <w:spacing w:after="0"/>
              <w:rPr>
                <w:sz w:val="20"/>
                <w:szCs w:val="20"/>
                <w:color w:val="auto"/>
              </w:rPr>
            </w:pPr>
            <w:r>
              <w:rPr>
                <w:rFonts w:ascii="Arial" w:cs="Arial" w:eastAsia="Arial" w:hAnsi="Arial"/>
                <w:sz w:val="17"/>
                <w:szCs w:val="17"/>
                <w:color w:val="auto"/>
              </w:rPr>
              <w:t>Item 1.</w:t>
            </w:r>
          </w:p>
        </w:tc>
        <w:tc>
          <w:tcPr>
            <w:tcW w:w="240" w:type="dxa"/>
            <w:vAlign w:val="bottom"/>
          </w:tcPr>
          <w:p>
            <w:pPr>
              <w:spacing w:after="0"/>
              <w:rPr>
                <w:sz w:val="21"/>
                <w:szCs w:val="21"/>
                <w:color w:val="auto"/>
              </w:rPr>
            </w:pPr>
          </w:p>
        </w:tc>
        <w:tc>
          <w:tcPr>
            <w:tcW w:w="1440" w:type="dxa"/>
            <w:vAlign w:val="bottom"/>
            <w:tcBorders>
              <w:bottom w:val="single" w:sz="8" w:color="0000EE"/>
            </w:tcBorders>
            <w:gridSpan w:val="12"/>
          </w:tcPr>
          <w:p>
            <w:pPr>
              <w:spacing w:after="0"/>
              <w:rPr>
                <w:rFonts w:ascii="Arial" w:cs="Arial" w:eastAsia="Arial" w:hAnsi="Arial"/>
                <w:sz w:val="17"/>
                <w:szCs w:val="17"/>
                <w:color w:val="0000EE"/>
                <w:w w:val="89"/>
              </w:rPr>
            </w:pPr>
            <w:hyperlink w:anchor="page3">
              <w:r>
                <w:rPr>
                  <w:rFonts w:ascii="Arial" w:cs="Arial" w:eastAsia="Arial" w:hAnsi="Arial"/>
                  <w:sz w:val="17"/>
                  <w:szCs w:val="17"/>
                  <w:color w:val="0000EE"/>
                  <w:w w:val="89"/>
                </w:rPr>
                <w:t>Financial Statements</w:t>
              </w:r>
            </w:hyperlink>
          </w:p>
        </w:tc>
        <w:tc>
          <w:tcPr>
            <w:tcW w:w="6740" w:type="dxa"/>
            <w:vAlign w:val="bottom"/>
            <w:gridSpan w:val="25"/>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rPr>
            </w:pPr>
            <w:hyperlink w:anchor="page3">
              <w:r>
                <w:rPr>
                  <w:rFonts w:ascii="Arial" w:cs="Arial" w:eastAsia="Arial" w:hAnsi="Arial"/>
                  <w:sz w:val="17"/>
                  <w:szCs w:val="17"/>
                  <w:color w:val="0000EE"/>
                </w:rPr>
                <w:t>1</w:t>
              </w:r>
            </w:hyperlink>
          </w:p>
        </w:tc>
        <w:tc>
          <w:tcPr>
            <w:tcW w:w="480" w:type="dxa"/>
            <w:vAlign w:val="bottom"/>
          </w:tcPr>
          <w:p>
            <w:pPr>
              <w:spacing w:after="0"/>
              <w:rPr>
                <w:sz w:val="21"/>
                <w:szCs w:val="21"/>
                <w:color w:val="auto"/>
              </w:rPr>
            </w:pPr>
          </w:p>
        </w:tc>
      </w:tr>
      <w:tr>
        <w:trPr>
          <w:trHeight w:val="237"/>
        </w:trPr>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960" w:type="dxa"/>
            <w:vAlign w:val="bottom"/>
            <w:gridSpan w:val="36"/>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Interim Consolidated Statements of Income</w:t>
              </w:r>
            </w:hyperlink>
          </w:p>
        </w:tc>
        <w:tc>
          <w:tcPr>
            <w:tcW w:w="580" w:type="dxa"/>
            <w:vAlign w:val="bottom"/>
            <w:gridSpan w:val="2"/>
          </w:tcPr>
          <w:p>
            <w:pPr>
              <w:jc w:val="center"/>
              <w:ind w:left="396"/>
              <w:spacing w:after="0"/>
              <w:rPr>
                <w:rFonts w:ascii="Arial" w:cs="Arial" w:eastAsia="Arial" w:hAnsi="Arial"/>
                <w:sz w:val="17"/>
                <w:szCs w:val="17"/>
                <w:color w:val="0000EE"/>
              </w:rPr>
            </w:pPr>
            <w:hyperlink w:anchor="page3">
              <w:r>
                <w:rPr>
                  <w:rFonts w:ascii="Arial" w:cs="Arial" w:eastAsia="Arial" w:hAnsi="Arial"/>
                  <w:sz w:val="17"/>
                  <w:szCs w:val="17"/>
                  <w:color w:val="0000EE"/>
                </w:rPr>
                <w:t>1</w:t>
              </w:r>
            </w:hyperlink>
          </w:p>
        </w:tc>
        <w:tc>
          <w:tcPr>
            <w:tcW w:w="480" w:type="dxa"/>
            <w:vAlign w:val="bottom"/>
          </w:tcPr>
          <w:p>
            <w:pPr>
              <w:spacing w:after="0"/>
              <w:rPr>
                <w:sz w:val="20"/>
                <w:szCs w:val="20"/>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100" w:type="dxa"/>
            <w:vAlign w:val="bottom"/>
            <w:tcBorders>
              <w:bottom w:val="single" w:sz="8" w:color="0000EE"/>
            </w:tcBorders>
            <w:gridSpan w:val="33"/>
          </w:tcPr>
          <w:p>
            <w:pPr>
              <w:spacing w:after="0"/>
              <w:rPr>
                <w:rFonts w:ascii="Arial" w:cs="Arial" w:eastAsia="Arial" w:hAnsi="Arial"/>
                <w:sz w:val="17"/>
                <w:szCs w:val="17"/>
                <w:color w:val="0000EE"/>
                <w:w w:val="90"/>
              </w:rPr>
            </w:pPr>
            <w:hyperlink w:anchor="page4">
              <w:r>
                <w:rPr>
                  <w:rFonts w:ascii="Arial" w:cs="Arial" w:eastAsia="Arial" w:hAnsi="Arial"/>
                  <w:sz w:val="17"/>
                  <w:szCs w:val="17"/>
                  <w:color w:val="0000EE"/>
                  <w:w w:val="90"/>
                </w:rPr>
                <w:t>Interim Consolidated Statements of Comprehensive Income</w:t>
              </w:r>
            </w:hyperlink>
          </w:p>
        </w:tc>
        <w:tc>
          <w:tcPr>
            <w:tcW w:w="3860" w:type="dxa"/>
            <w:vAlign w:val="bottom"/>
            <w:gridSpan w:val="3"/>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rPr>
            </w:pPr>
            <w:hyperlink w:anchor="page4">
              <w:r>
                <w:rPr>
                  <w:rFonts w:ascii="Arial" w:cs="Arial" w:eastAsia="Arial" w:hAnsi="Arial"/>
                  <w:sz w:val="17"/>
                  <w:szCs w:val="17"/>
                  <w:color w:val="0000EE"/>
                </w:rPr>
                <w:t>2</w:t>
              </w:r>
            </w:hyperlink>
          </w:p>
        </w:tc>
        <w:tc>
          <w:tcPr>
            <w:tcW w:w="48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60" w:type="dxa"/>
            <w:vAlign w:val="bottom"/>
            <w:tcBorders>
              <w:bottom w:val="single" w:sz="8" w:color="0000EE"/>
            </w:tcBorders>
            <w:gridSpan w:val="24"/>
          </w:tcPr>
          <w:p>
            <w:pPr>
              <w:spacing w:after="0"/>
              <w:rPr>
                <w:rFonts w:ascii="Arial" w:cs="Arial" w:eastAsia="Arial" w:hAnsi="Arial"/>
                <w:sz w:val="17"/>
                <w:szCs w:val="17"/>
                <w:color w:val="0000EE"/>
                <w:w w:val="90"/>
              </w:rPr>
            </w:pPr>
            <w:hyperlink w:anchor="page5">
              <w:r>
                <w:rPr>
                  <w:rFonts w:ascii="Arial" w:cs="Arial" w:eastAsia="Arial" w:hAnsi="Arial"/>
                  <w:sz w:val="17"/>
                  <w:szCs w:val="17"/>
                  <w:color w:val="0000EE"/>
                  <w:w w:val="90"/>
                </w:rPr>
                <w:t>Interim Consolidated Balance Sheets</w:t>
              </w:r>
            </w:hyperlink>
          </w:p>
        </w:tc>
        <w:tc>
          <w:tcPr>
            <w:tcW w:w="5400" w:type="dxa"/>
            <w:vAlign w:val="bottom"/>
            <w:gridSpan w:val="12"/>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rPr>
            </w:pPr>
            <w:hyperlink w:anchor="page5">
              <w:r>
                <w:rPr>
                  <w:rFonts w:ascii="Arial" w:cs="Arial" w:eastAsia="Arial" w:hAnsi="Arial"/>
                  <w:sz w:val="17"/>
                  <w:szCs w:val="17"/>
                  <w:color w:val="0000EE"/>
                </w:rPr>
                <w:t>3</w:t>
              </w:r>
            </w:hyperlink>
          </w:p>
        </w:tc>
        <w:tc>
          <w:tcPr>
            <w:tcW w:w="48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80" w:type="dxa"/>
            <w:vAlign w:val="bottom"/>
            <w:tcBorders>
              <w:bottom w:val="single" w:sz="8" w:color="0000EE"/>
            </w:tcBorders>
            <w:gridSpan w:val="29"/>
          </w:tcPr>
          <w:p>
            <w:pPr>
              <w:spacing w:after="0"/>
              <w:rPr>
                <w:rFonts w:ascii="Arial" w:cs="Arial" w:eastAsia="Arial" w:hAnsi="Arial"/>
                <w:sz w:val="17"/>
                <w:szCs w:val="17"/>
                <w:color w:val="0000EE"/>
                <w:w w:val="90"/>
              </w:rPr>
            </w:pPr>
            <w:hyperlink w:anchor="page6">
              <w:r>
                <w:rPr>
                  <w:rFonts w:ascii="Arial" w:cs="Arial" w:eastAsia="Arial" w:hAnsi="Arial"/>
                  <w:sz w:val="17"/>
                  <w:szCs w:val="17"/>
                  <w:color w:val="0000EE"/>
                  <w:w w:val="90"/>
                </w:rPr>
                <w:t>Interim Consolidated Statements of Cash Flows</w:t>
              </w:r>
            </w:hyperlink>
          </w:p>
        </w:tc>
        <w:tc>
          <w:tcPr>
            <w:tcW w:w="4680" w:type="dxa"/>
            <w:vAlign w:val="bottom"/>
            <w:gridSpan w:val="7"/>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rPr>
            </w:pPr>
            <w:hyperlink w:anchor="page6">
              <w:r>
                <w:rPr>
                  <w:rFonts w:ascii="Arial" w:cs="Arial" w:eastAsia="Arial" w:hAnsi="Arial"/>
                  <w:sz w:val="17"/>
                  <w:szCs w:val="17"/>
                  <w:color w:val="0000EE"/>
                </w:rPr>
                <w:t>4</w:t>
              </w:r>
            </w:hyperlink>
          </w:p>
        </w:tc>
        <w:tc>
          <w:tcPr>
            <w:tcW w:w="48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940" w:type="dxa"/>
            <w:vAlign w:val="bottom"/>
            <w:tcBorders>
              <w:bottom w:val="single" w:sz="8" w:color="0000EE"/>
            </w:tcBorders>
            <w:gridSpan w:val="32"/>
          </w:tcPr>
          <w:p>
            <w:pPr>
              <w:spacing w:after="0"/>
              <w:rPr>
                <w:rFonts w:ascii="Arial" w:cs="Arial" w:eastAsia="Arial" w:hAnsi="Arial"/>
                <w:sz w:val="17"/>
                <w:szCs w:val="17"/>
                <w:color w:val="0000EE"/>
                <w:w w:val="91"/>
              </w:rPr>
            </w:pPr>
            <w:hyperlink w:anchor="page8">
              <w:r>
                <w:rPr>
                  <w:rFonts w:ascii="Arial" w:cs="Arial" w:eastAsia="Arial" w:hAnsi="Arial"/>
                  <w:sz w:val="17"/>
                  <w:szCs w:val="17"/>
                  <w:color w:val="0000EE"/>
                  <w:w w:val="91"/>
                </w:rPr>
                <w:t>Interim Consolidated Statements of Shareholders’ Equity</w:t>
              </w:r>
            </w:hyperlink>
          </w:p>
        </w:tc>
        <w:tc>
          <w:tcPr>
            <w:tcW w:w="4020" w:type="dxa"/>
            <w:vAlign w:val="bottom"/>
            <w:gridSpan w:val="4"/>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rPr>
            </w:pPr>
            <w:hyperlink w:anchor="page8">
              <w:r>
                <w:rPr>
                  <w:rFonts w:ascii="Arial" w:cs="Arial" w:eastAsia="Arial" w:hAnsi="Arial"/>
                  <w:sz w:val="17"/>
                  <w:szCs w:val="17"/>
                  <w:color w:val="0000EE"/>
                </w:rPr>
                <w:t>6</w:t>
              </w:r>
            </w:hyperlink>
          </w:p>
        </w:tc>
        <w:tc>
          <w:tcPr>
            <w:tcW w:w="48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80" w:type="dxa"/>
            <w:vAlign w:val="bottom"/>
            <w:gridSpan w:val="37"/>
          </w:tcPr>
          <w:p>
            <w:pPr>
              <w:spacing w:after="0"/>
              <w:rPr>
                <w:rFonts w:ascii="Arial" w:cs="Arial" w:eastAsia="Arial" w:hAnsi="Arial"/>
                <w:sz w:val="17"/>
                <w:szCs w:val="17"/>
                <w:color w:val="0000EE"/>
              </w:rPr>
            </w:pPr>
            <w:hyperlink w:anchor="page10">
              <w:r>
                <w:rPr>
                  <w:rFonts w:ascii="Arial" w:cs="Arial" w:eastAsia="Arial" w:hAnsi="Arial"/>
                  <w:sz w:val="17"/>
                  <w:szCs w:val="17"/>
                  <w:color w:val="0000EE"/>
                </w:rPr>
                <w:t>Notes to Interim Consolidated Financial Statements</w:t>
              </w:r>
            </w:hyperlink>
          </w:p>
        </w:tc>
        <w:tc>
          <w:tcPr>
            <w:tcW w:w="580" w:type="dxa"/>
            <w:vAlign w:val="bottom"/>
            <w:gridSpan w:val="2"/>
          </w:tcPr>
          <w:p>
            <w:pPr>
              <w:jc w:val="center"/>
              <w:ind w:left="396"/>
              <w:spacing w:after="0"/>
              <w:rPr>
                <w:rFonts w:ascii="Arial" w:cs="Arial" w:eastAsia="Arial" w:hAnsi="Arial"/>
                <w:sz w:val="17"/>
                <w:szCs w:val="17"/>
                <w:color w:val="0000EE"/>
              </w:rPr>
            </w:pPr>
            <w:hyperlink w:anchor="page10">
              <w:r>
                <w:rPr>
                  <w:rFonts w:ascii="Arial" w:cs="Arial" w:eastAsia="Arial" w:hAnsi="Arial"/>
                  <w:sz w:val="17"/>
                  <w:szCs w:val="17"/>
                  <w:color w:val="0000EE"/>
                </w:rPr>
                <w:t>8</w:t>
              </w:r>
            </w:hyperlink>
          </w:p>
        </w:tc>
        <w:tc>
          <w:tcPr>
            <w:tcW w:w="48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bottom w:val="single" w:sz="8" w:color="0000EE"/>
            </w:tcBorders>
          </w:tcPr>
          <w:p>
            <w:pPr>
              <w:spacing w:after="0"/>
              <w:rPr>
                <w:rFonts w:ascii="Arial" w:cs="Arial" w:eastAsia="Arial" w:hAnsi="Arial"/>
                <w:sz w:val="17"/>
                <w:szCs w:val="17"/>
                <w:color w:val="0000EE"/>
                <w:w w:val="98"/>
              </w:rPr>
            </w:pPr>
            <w:hyperlink w:anchor="page10">
              <w:r>
                <w:rPr>
                  <w:rFonts w:ascii="Arial" w:cs="Arial" w:eastAsia="Arial" w:hAnsi="Arial"/>
                  <w:sz w:val="17"/>
                  <w:szCs w:val="17"/>
                  <w:color w:val="0000EE"/>
                  <w:w w:val="98"/>
                </w:rPr>
                <w:t>1.</w:t>
              </w:r>
            </w:hyperlink>
          </w:p>
        </w:tc>
        <w:tc>
          <w:tcPr>
            <w:tcW w:w="1460" w:type="dxa"/>
            <w:vAlign w:val="bottom"/>
            <w:tcBorders>
              <w:top w:val="single" w:sz="8" w:color="0000EE"/>
              <w:bottom w:val="single" w:sz="8" w:color="0000EE"/>
            </w:tcBorders>
            <w:gridSpan w:val="16"/>
          </w:tcPr>
          <w:p>
            <w:pPr>
              <w:ind w:left="20"/>
              <w:spacing w:after="0"/>
              <w:rPr>
                <w:rFonts w:ascii="Arial" w:cs="Arial" w:eastAsia="Arial" w:hAnsi="Arial"/>
                <w:sz w:val="17"/>
                <w:szCs w:val="17"/>
                <w:color w:val="0000EE"/>
                <w:w w:val="88"/>
              </w:rPr>
            </w:pPr>
            <w:hyperlink w:anchor="page10">
              <w:r>
                <w:rPr>
                  <w:rFonts w:ascii="Arial" w:cs="Arial" w:eastAsia="Arial" w:hAnsi="Arial"/>
                  <w:sz w:val="17"/>
                  <w:szCs w:val="17"/>
                  <w:color w:val="0000EE"/>
                  <w:w w:val="88"/>
                </w:rPr>
                <w:t>Basis of Presentation</w:t>
              </w:r>
            </w:hyperlink>
          </w:p>
        </w:tc>
        <w:tc>
          <w:tcPr>
            <w:tcW w:w="1700" w:type="dxa"/>
            <w:vAlign w:val="bottom"/>
            <w:tcBorders>
              <w:top w:val="single" w:sz="8" w:color="0000EE"/>
            </w:tcBorders>
            <w:gridSpan w:val="13"/>
          </w:tcPr>
          <w:p>
            <w:pPr>
              <w:spacing w:after="0"/>
              <w:rPr>
                <w:sz w:val="21"/>
                <w:szCs w:val="21"/>
                <w:color w:val="auto"/>
              </w:rPr>
            </w:pPr>
          </w:p>
        </w:tc>
        <w:tc>
          <w:tcPr>
            <w:tcW w:w="4640" w:type="dxa"/>
            <w:vAlign w:val="bottom"/>
            <w:gridSpan w:val="6"/>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center"/>
              <w:spacing w:after="0"/>
              <w:rPr>
                <w:rFonts w:ascii="Arial" w:cs="Arial" w:eastAsia="Arial" w:hAnsi="Arial"/>
                <w:sz w:val="17"/>
                <w:szCs w:val="17"/>
                <w:color w:val="0000EE"/>
              </w:rPr>
            </w:pPr>
            <w:hyperlink w:anchor="page10">
              <w:r>
                <w:rPr>
                  <w:rFonts w:ascii="Arial" w:cs="Arial" w:eastAsia="Arial" w:hAnsi="Arial"/>
                  <w:sz w:val="17"/>
                  <w:szCs w:val="17"/>
                  <w:color w:val="0000EE"/>
                </w:rPr>
                <w:t>8</w:t>
              </w:r>
            </w:hyperlink>
          </w:p>
        </w:tc>
        <w:tc>
          <w:tcPr>
            <w:tcW w:w="48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Borders>
              <w:bottom w:val="single" w:sz="8" w:color="0000EE"/>
            </w:tcBorders>
          </w:tcPr>
          <w:p>
            <w:pPr>
              <w:spacing w:after="0"/>
              <w:rPr>
                <w:rFonts w:ascii="Arial" w:cs="Arial" w:eastAsia="Arial" w:hAnsi="Arial"/>
                <w:sz w:val="17"/>
                <w:szCs w:val="17"/>
                <w:color w:val="0000EE"/>
                <w:w w:val="98"/>
              </w:rPr>
            </w:pPr>
            <w:hyperlink w:anchor="page11">
              <w:r>
                <w:rPr>
                  <w:rFonts w:ascii="Arial" w:cs="Arial" w:eastAsia="Arial" w:hAnsi="Arial"/>
                  <w:sz w:val="17"/>
                  <w:szCs w:val="17"/>
                  <w:color w:val="0000EE"/>
                  <w:w w:val="98"/>
                </w:rPr>
                <w:t>2.</w:t>
              </w:r>
            </w:hyperlink>
          </w:p>
        </w:tc>
        <w:tc>
          <w:tcPr>
            <w:tcW w:w="4560" w:type="dxa"/>
            <w:vAlign w:val="bottom"/>
            <w:tcBorders>
              <w:bottom w:val="single" w:sz="8" w:color="0000EE"/>
            </w:tcBorders>
            <w:gridSpan w:val="33"/>
          </w:tcPr>
          <w:p>
            <w:pPr>
              <w:ind w:left="20"/>
              <w:spacing w:after="0"/>
              <w:rPr>
                <w:rFonts w:ascii="Arial" w:cs="Arial" w:eastAsia="Arial" w:hAnsi="Arial"/>
                <w:sz w:val="17"/>
                <w:szCs w:val="17"/>
                <w:color w:val="0000EE"/>
                <w:w w:val="91"/>
              </w:rPr>
            </w:pPr>
            <w:hyperlink w:anchor="page11">
              <w:r>
                <w:rPr>
                  <w:rFonts w:ascii="Arial" w:cs="Arial" w:eastAsia="Arial" w:hAnsi="Arial"/>
                  <w:sz w:val="17"/>
                  <w:szCs w:val="17"/>
                  <w:color w:val="0000EE"/>
                  <w:w w:val="91"/>
                </w:rPr>
                <w:t>Significant Accounting Policies and Recent Accounting Standards</w:t>
              </w:r>
            </w:hyperlink>
          </w:p>
        </w:tc>
        <w:tc>
          <w:tcPr>
            <w:tcW w:w="324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rPr>
            </w:pPr>
            <w:hyperlink w:anchor="page11">
              <w:r>
                <w:rPr>
                  <w:rFonts w:ascii="Arial" w:cs="Arial" w:eastAsia="Arial" w:hAnsi="Arial"/>
                  <w:sz w:val="17"/>
                  <w:szCs w:val="17"/>
                  <w:color w:val="0000EE"/>
                </w:rPr>
                <w:t>9</w:t>
              </w:r>
            </w:hyperlink>
          </w:p>
        </w:tc>
        <w:tc>
          <w:tcPr>
            <w:tcW w:w="48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7"/>
                <w:szCs w:val="17"/>
                <w:color w:val="0000EE"/>
                <w:w w:val="98"/>
              </w:rPr>
            </w:pPr>
            <w:hyperlink w:anchor="page12">
              <w:r>
                <w:rPr>
                  <w:rFonts w:ascii="Arial" w:cs="Arial" w:eastAsia="Arial" w:hAnsi="Arial"/>
                  <w:sz w:val="17"/>
                  <w:szCs w:val="17"/>
                  <w:color w:val="0000EE"/>
                  <w:w w:val="98"/>
                </w:rPr>
                <w:t>3.</w:t>
              </w:r>
            </w:hyperlink>
          </w:p>
        </w:tc>
        <w:tc>
          <w:tcPr>
            <w:tcW w:w="7800" w:type="dxa"/>
            <w:vAlign w:val="bottom"/>
            <w:gridSpan w:val="35"/>
          </w:tcPr>
          <w:p>
            <w:pPr>
              <w:ind w:left="20"/>
              <w:spacing w:after="0"/>
              <w:rPr>
                <w:rFonts w:ascii="Arial" w:cs="Arial" w:eastAsia="Arial" w:hAnsi="Arial"/>
                <w:sz w:val="17"/>
                <w:szCs w:val="17"/>
                <w:color w:val="0000EE"/>
              </w:rPr>
            </w:pPr>
            <w:hyperlink w:anchor="page12">
              <w:r>
                <w:rPr>
                  <w:rFonts w:ascii="Arial" w:cs="Arial" w:eastAsia="Arial" w:hAnsi="Arial"/>
                  <w:sz w:val="17"/>
                  <w:szCs w:val="17"/>
                  <w:color w:val="0000EE"/>
                </w:rPr>
                <w:t>Acquisitions and Dispositions</w:t>
              </w:r>
            </w:hyperlink>
          </w:p>
        </w:tc>
        <w:tc>
          <w:tcPr>
            <w:tcW w:w="1060" w:type="dxa"/>
            <w:vAlign w:val="bottom"/>
            <w:gridSpan w:val="3"/>
          </w:tcPr>
          <w:p>
            <w:pPr>
              <w:jc w:val="center"/>
              <w:spacing w:after="0"/>
              <w:rPr>
                <w:rFonts w:ascii="Arial" w:cs="Arial" w:eastAsia="Arial" w:hAnsi="Arial"/>
                <w:sz w:val="17"/>
                <w:szCs w:val="17"/>
                <w:color w:val="0000EE"/>
                <w:w w:val="94"/>
              </w:rPr>
            </w:pPr>
            <w:hyperlink w:anchor="page12">
              <w:r>
                <w:rPr>
                  <w:rFonts w:ascii="Arial" w:cs="Arial" w:eastAsia="Arial" w:hAnsi="Arial"/>
                  <w:sz w:val="17"/>
                  <w:szCs w:val="17"/>
                  <w:color w:val="0000EE"/>
                  <w:w w:val="94"/>
                </w:rPr>
                <w:t>10</w:t>
              </w:r>
            </w:hyperlink>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Borders>
              <w:top w:val="single" w:sz="8" w:color="0000EE"/>
              <w:bottom w:val="single" w:sz="8" w:color="0000EE"/>
            </w:tcBorders>
          </w:tcPr>
          <w:p>
            <w:pPr>
              <w:spacing w:after="0"/>
              <w:rPr>
                <w:rFonts w:ascii="Arial" w:cs="Arial" w:eastAsia="Arial" w:hAnsi="Arial"/>
                <w:sz w:val="17"/>
                <w:szCs w:val="17"/>
                <w:color w:val="0000EE"/>
                <w:w w:val="98"/>
              </w:rPr>
            </w:pPr>
            <w:hyperlink w:anchor="page16">
              <w:r>
                <w:rPr>
                  <w:rFonts w:ascii="Arial" w:cs="Arial" w:eastAsia="Arial" w:hAnsi="Arial"/>
                  <w:sz w:val="17"/>
                  <w:szCs w:val="17"/>
                  <w:color w:val="0000EE"/>
                  <w:w w:val="98"/>
                </w:rPr>
                <w:t>4.</w:t>
              </w:r>
            </w:hyperlink>
          </w:p>
        </w:tc>
        <w:tc>
          <w:tcPr>
            <w:tcW w:w="620" w:type="dxa"/>
            <w:vAlign w:val="bottom"/>
            <w:tcBorders>
              <w:top w:val="single" w:sz="8" w:color="0000EE"/>
              <w:bottom w:val="single" w:sz="8" w:color="0000EE"/>
            </w:tcBorders>
            <w:gridSpan w:val="7"/>
          </w:tcPr>
          <w:p>
            <w:pPr>
              <w:ind w:left="20"/>
              <w:spacing w:after="0"/>
              <w:rPr>
                <w:rFonts w:ascii="Arial" w:cs="Arial" w:eastAsia="Arial" w:hAnsi="Arial"/>
                <w:sz w:val="17"/>
                <w:szCs w:val="17"/>
                <w:color w:val="0000EE"/>
                <w:w w:val="85"/>
              </w:rPr>
            </w:pPr>
            <w:hyperlink w:anchor="page16">
              <w:r>
                <w:rPr>
                  <w:rFonts w:ascii="Arial" w:cs="Arial" w:eastAsia="Arial" w:hAnsi="Arial"/>
                  <w:sz w:val="17"/>
                  <w:szCs w:val="17"/>
                  <w:color w:val="0000EE"/>
                  <w:w w:val="85"/>
                </w:rPr>
                <w:t>Revenue</w:t>
              </w:r>
            </w:hyperlink>
          </w:p>
        </w:tc>
        <w:tc>
          <w:tcPr>
            <w:tcW w:w="1440" w:type="dxa"/>
            <w:vAlign w:val="bottom"/>
            <w:tcBorders>
              <w:top w:val="single" w:sz="8" w:color="0000EE"/>
            </w:tcBorders>
            <w:gridSpan w:val="14"/>
          </w:tcPr>
          <w:p>
            <w:pPr>
              <w:spacing w:after="0"/>
              <w:rPr>
                <w:sz w:val="21"/>
                <w:szCs w:val="21"/>
                <w:color w:val="auto"/>
              </w:rPr>
            </w:pPr>
          </w:p>
        </w:tc>
        <w:tc>
          <w:tcPr>
            <w:tcW w:w="5740" w:type="dxa"/>
            <w:vAlign w:val="bottom"/>
            <w:gridSpan w:val="14"/>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center"/>
              <w:spacing w:after="0"/>
              <w:rPr>
                <w:rFonts w:ascii="Arial" w:cs="Arial" w:eastAsia="Arial" w:hAnsi="Arial"/>
                <w:sz w:val="17"/>
                <w:szCs w:val="17"/>
                <w:color w:val="0000EE"/>
                <w:w w:val="73"/>
              </w:rPr>
            </w:pPr>
            <w:hyperlink w:anchor="page16">
              <w:r>
                <w:rPr>
                  <w:rFonts w:ascii="Arial" w:cs="Arial" w:eastAsia="Arial" w:hAnsi="Arial"/>
                  <w:sz w:val="17"/>
                  <w:szCs w:val="17"/>
                  <w:color w:val="0000EE"/>
                  <w:w w:val="73"/>
                </w:rPr>
                <w:t>14</w:t>
              </w:r>
            </w:hyperlink>
          </w:p>
        </w:tc>
        <w:tc>
          <w:tcPr>
            <w:tcW w:w="48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7"/>
                <w:szCs w:val="17"/>
                <w:color w:val="0000EE"/>
                <w:w w:val="98"/>
              </w:rPr>
            </w:pPr>
            <w:hyperlink w:anchor="page19">
              <w:r>
                <w:rPr>
                  <w:rFonts w:ascii="Arial" w:cs="Arial" w:eastAsia="Arial" w:hAnsi="Arial"/>
                  <w:sz w:val="17"/>
                  <w:szCs w:val="17"/>
                  <w:color w:val="0000EE"/>
                  <w:w w:val="98"/>
                </w:rPr>
                <w:t>5.</w:t>
              </w:r>
            </w:hyperlink>
          </w:p>
        </w:tc>
        <w:tc>
          <w:tcPr>
            <w:tcW w:w="7800" w:type="dxa"/>
            <w:vAlign w:val="bottom"/>
            <w:gridSpan w:val="35"/>
          </w:tcPr>
          <w:p>
            <w:pPr>
              <w:ind w:left="20"/>
              <w:spacing w:after="0"/>
              <w:rPr>
                <w:rFonts w:ascii="Arial" w:cs="Arial" w:eastAsia="Arial" w:hAnsi="Arial"/>
                <w:sz w:val="17"/>
                <w:szCs w:val="17"/>
                <w:color w:val="0000EE"/>
              </w:rPr>
            </w:pPr>
            <w:hyperlink w:anchor="page19">
              <w:r>
                <w:rPr>
                  <w:rFonts w:ascii="Arial" w:cs="Arial" w:eastAsia="Arial" w:hAnsi="Arial"/>
                  <w:sz w:val="17"/>
                  <w:szCs w:val="17"/>
                  <w:color w:val="0000EE"/>
                </w:rPr>
                <w:t>Income Taxes</w:t>
              </w:r>
            </w:hyperlink>
          </w:p>
        </w:tc>
        <w:tc>
          <w:tcPr>
            <w:tcW w:w="1060" w:type="dxa"/>
            <w:vAlign w:val="bottom"/>
            <w:gridSpan w:val="3"/>
          </w:tcPr>
          <w:p>
            <w:pPr>
              <w:jc w:val="center"/>
              <w:spacing w:after="0"/>
              <w:rPr>
                <w:rFonts w:ascii="Arial" w:cs="Arial" w:eastAsia="Arial" w:hAnsi="Arial"/>
                <w:sz w:val="17"/>
                <w:szCs w:val="17"/>
                <w:color w:val="0000EE"/>
                <w:w w:val="94"/>
              </w:rPr>
            </w:pPr>
            <w:hyperlink w:anchor="page19">
              <w:r>
                <w:rPr>
                  <w:rFonts w:ascii="Arial" w:cs="Arial" w:eastAsia="Arial" w:hAnsi="Arial"/>
                  <w:sz w:val="17"/>
                  <w:szCs w:val="17"/>
                  <w:color w:val="0000EE"/>
                  <w:w w:val="94"/>
                </w:rPr>
                <w:t>17</w:t>
              </w:r>
            </w:hyperlink>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Borders>
              <w:bottom w:val="single" w:sz="8" w:color="0000EE"/>
            </w:tcBorders>
          </w:tcPr>
          <w:p>
            <w:pPr>
              <w:spacing w:after="0"/>
              <w:rPr>
                <w:rFonts w:ascii="Arial" w:cs="Arial" w:eastAsia="Arial" w:hAnsi="Arial"/>
                <w:sz w:val="17"/>
                <w:szCs w:val="17"/>
                <w:color w:val="0000EE"/>
                <w:w w:val="98"/>
              </w:rPr>
            </w:pPr>
            <w:hyperlink w:anchor="page20">
              <w:r>
                <w:rPr>
                  <w:rFonts w:ascii="Arial" w:cs="Arial" w:eastAsia="Arial" w:hAnsi="Arial"/>
                  <w:sz w:val="17"/>
                  <w:szCs w:val="17"/>
                  <w:color w:val="0000EE"/>
                  <w:w w:val="98"/>
                </w:rPr>
                <w:t>6.</w:t>
              </w:r>
            </w:hyperlink>
          </w:p>
        </w:tc>
        <w:tc>
          <w:tcPr>
            <w:tcW w:w="2660" w:type="dxa"/>
            <w:vAlign w:val="bottom"/>
            <w:tcBorders>
              <w:bottom w:val="single" w:sz="8" w:color="0000EE"/>
            </w:tcBorders>
            <w:gridSpan w:val="25"/>
          </w:tcPr>
          <w:p>
            <w:pPr>
              <w:ind w:left="20"/>
              <w:spacing w:after="0"/>
              <w:rPr>
                <w:rFonts w:ascii="Arial" w:cs="Arial" w:eastAsia="Arial" w:hAnsi="Arial"/>
                <w:sz w:val="17"/>
                <w:szCs w:val="17"/>
                <w:color w:val="0000EE"/>
                <w:w w:val="90"/>
              </w:rPr>
            </w:pPr>
            <w:hyperlink w:anchor="page20">
              <w:r>
                <w:rPr>
                  <w:rFonts w:ascii="Arial" w:cs="Arial" w:eastAsia="Arial" w:hAnsi="Arial"/>
                  <w:sz w:val="17"/>
                  <w:szCs w:val="17"/>
                  <w:color w:val="0000EE"/>
                  <w:w w:val="90"/>
                </w:rPr>
                <w:t>Vacation Ownership Notes Receivable</w:t>
              </w:r>
            </w:hyperlink>
          </w:p>
        </w:tc>
        <w:tc>
          <w:tcPr>
            <w:tcW w:w="5140" w:type="dxa"/>
            <w:vAlign w:val="bottom"/>
            <w:gridSpan w:val="10"/>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20">
              <w:r>
                <w:rPr>
                  <w:rFonts w:ascii="Arial" w:cs="Arial" w:eastAsia="Arial" w:hAnsi="Arial"/>
                  <w:sz w:val="17"/>
                  <w:szCs w:val="17"/>
                  <w:color w:val="0000EE"/>
                  <w:w w:val="73"/>
                </w:rPr>
                <w:t>18</w:t>
              </w:r>
            </w:hyperlink>
          </w:p>
        </w:tc>
        <w:tc>
          <w:tcPr>
            <w:tcW w:w="48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Borders>
              <w:bottom w:val="single" w:sz="8" w:color="0000EE"/>
            </w:tcBorders>
          </w:tcPr>
          <w:p>
            <w:pPr>
              <w:spacing w:after="0"/>
              <w:rPr>
                <w:rFonts w:ascii="Arial" w:cs="Arial" w:eastAsia="Arial" w:hAnsi="Arial"/>
                <w:sz w:val="17"/>
                <w:szCs w:val="17"/>
                <w:color w:val="0000EE"/>
                <w:w w:val="98"/>
              </w:rPr>
            </w:pPr>
            <w:hyperlink w:anchor="page26">
              <w:r>
                <w:rPr>
                  <w:rFonts w:ascii="Arial" w:cs="Arial" w:eastAsia="Arial" w:hAnsi="Arial"/>
                  <w:sz w:val="17"/>
                  <w:szCs w:val="17"/>
                  <w:color w:val="0000EE"/>
                  <w:w w:val="98"/>
                </w:rPr>
                <w:t>7.</w:t>
              </w:r>
            </w:hyperlink>
          </w:p>
        </w:tc>
        <w:tc>
          <w:tcPr>
            <w:tcW w:w="1500" w:type="dxa"/>
            <w:vAlign w:val="bottom"/>
            <w:tcBorders>
              <w:bottom w:val="single" w:sz="8" w:color="0000EE"/>
            </w:tcBorders>
            <w:gridSpan w:val="17"/>
          </w:tcPr>
          <w:p>
            <w:pPr>
              <w:ind w:left="20"/>
              <w:spacing w:after="0"/>
              <w:rPr>
                <w:rFonts w:ascii="Arial" w:cs="Arial" w:eastAsia="Arial" w:hAnsi="Arial"/>
                <w:sz w:val="17"/>
                <w:szCs w:val="17"/>
                <w:color w:val="0000EE"/>
                <w:w w:val="90"/>
              </w:rPr>
            </w:pPr>
            <w:hyperlink w:anchor="page26">
              <w:r>
                <w:rPr>
                  <w:rFonts w:ascii="Arial" w:cs="Arial" w:eastAsia="Arial" w:hAnsi="Arial"/>
                  <w:sz w:val="17"/>
                  <w:szCs w:val="17"/>
                  <w:color w:val="0000EE"/>
                  <w:w w:val="90"/>
                </w:rPr>
                <w:t>Financial Instruments</w:t>
              </w:r>
            </w:hyperlink>
          </w:p>
        </w:tc>
        <w:tc>
          <w:tcPr>
            <w:tcW w:w="6300" w:type="dxa"/>
            <w:vAlign w:val="bottom"/>
            <w:gridSpan w:val="18"/>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26">
              <w:r>
                <w:rPr>
                  <w:rFonts w:ascii="Arial" w:cs="Arial" w:eastAsia="Arial" w:hAnsi="Arial"/>
                  <w:sz w:val="17"/>
                  <w:szCs w:val="17"/>
                  <w:color w:val="0000EE"/>
                  <w:w w:val="73"/>
                </w:rPr>
                <w:t>24</w:t>
              </w:r>
            </w:hyperlink>
          </w:p>
        </w:tc>
        <w:tc>
          <w:tcPr>
            <w:tcW w:w="48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Borders>
              <w:bottom w:val="single" w:sz="8" w:color="0000EE"/>
            </w:tcBorders>
          </w:tcPr>
          <w:p>
            <w:pPr>
              <w:spacing w:after="0"/>
              <w:rPr>
                <w:rFonts w:ascii="Arial" w:cs="Arial" w:eastAsia="Arial" w:hAnsi="Arial"/>
                <w:sz w:val="17"/>
                <w:szCs w:val="17"/>
                <w:color w:val="0000EE"/>
                <w:w w:val="98"/>
              </w:rPr>
            </w:pPr>
            <w:hyperlink w:anchor="page28">
              <w:r>
                <w:rPr>
                  <w:rFonts w:ascii="Arial" w:cs="Arial" w:eastAsia="Arial" w:hAnsi="Arial"/>
                  <w:sz w:val="17"/>
                  <w:szCs w:val="17"/>
                  <w:color w:val="0000EE"/>
                  <w:w w:val="98"/>
                </w:rPr>
                <w:t>8.</w:t>
              </w:r>
            </w:hyperlink>
          </w:p>
        </w:tc>
        <w:tc>
          <w:tcPr>
            <w:tcW w:w="1340" w:type="dxa"/>
            <w:vAlign w:val="bottom"/>
            <w:tcBorders>
              <w:bottom w:val="single" w:sz="8" w:color="0000EE"/>
            </w:tcBorders>
            <w:gridSpan w:val="14"/>
          </w:tcPr>
          <w:p>
            <w:pPr>
              <w:ind w:left="20"/>
              <w:spacing w:after="0"/>
              <w:rPr>
                <w:rFonts w:ascii="Arial" w:cs="Arial" w:eastAsia="Arial" w:hAnsi="Arial"/>
                <w:sz w:val="17"/>
                <w:szCs w:val="17"/>
                <w:color w:val="0000EE"/>
                <w:w w:val="87"/>
              </w:rPr>
            </w:pPr>
            <w:hyperlink w:anchor="page28">
              <w:r>
                <w:rPr>
                  <w:rFonts w:ascii="Arial" w:cs="Arial" w:eastAsia="Arial" w:hAnsi="Arial"/>
                  <w:sz w:val="17"/>
                  <w:szCs w:val="17"/>
                  <w:color w:val="0000EE"/>
                  <w:w w:val="87"/>
                </w:rPr>
                <w:t>Earnings Per Share</w:t>
              </w:r>
            </w:hyperlink>
          </w:p>
        </w:tc>
        <w:tc>
          <w:tcPr>
            <w:tcW w:w="6460" w:type="dxa"/>
            <w:vAlign w:val="bottom"/>
            <w:gridSpan w:val="21"/>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28">
              <w:r>
                <w:rPr>
                  <w:rFonts w:ascii="Arial" w:cs="Arial" w:eastAsia="Arial" w:hAnsi="Arial"/>
                  <w:sz w:val="17"/>
                  <w:szCs w:val="17"/>
                  <w:color w:val="0000EE"/>
                  <w:w w:val="73"/>
                </w:rPr>
                <w:t>26</w:t>
              </w:r>
            </w:hyperlink>
          </w:p>
        </w:tc>
        <w:tc>
          <w:tcPr>
            <w:tcW w:w="48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Borders>
              <w:bottom w:val="single" w:sz="8" w:color="0000EE"/>
            </w:tcBorders>
          </w:tcPr>
          <w:p>
            <w:pPr>
              <w:spacing w:after="0"/>
              <w:rPr>
                <w:rFonts w:ascii="Arial" w:cs="Arial" w:eastAsia="Arial" w:hAnsi="Arial"/>
                <w:sz w:val="17"/>
                <w:szCs w:val="17"/>
                <w:color w:val="0000EE"/>
                <w:w w:val="98"/>
              </w:rPr>
            </w:pPr>
            <w:hyperlink w:anchor="page29">
              <w:r>
                <w:rPr>
                  <w:rFonts w:ascii="Arial" w:cs="Arial" w:eastAsia="Arial" w:hAnsi="Arial"/>
                  <w:sz w:val="17"/>
                  <w:szCs w:val="17"/>
                  <w:color w:val="0000EE"/>
                  <w:w w:val="98"/>
                </w:rPr>
                <w:t>9.</w:t>
              </w:r>
            </w:hyperlink>
          </w:p>
        </w:tc>
        <w:tc>
          <w:tcPr>
            <w:tcW w:w="680" w:type="dxa"/>
            <w:vAlign w:val="bottom"/>
            <w:tcBorders>
              <w:bottom w:val="single" w:sz="8" w:color="0000EE"/>
            </w:tcBorders>
            <w:gridSpan w:val="8"/>
          </w:tcPr>
          <w:p>
            <w:pPr>
              <w:ind w:left="20"/>
              <w:spacing w:after="0"/>
              <w:rPr>
                <w:rFonts w:ascii="Arial" w:cs="Arial" w:eastAsia="Arial" w:hAnsi="Arial"/>
                <w:sz w:val="17"/>
                <w:szCs w:val="17"/>
                <w:color w:val="0000EE"/>
                <w:w w:val="91"/>
              </w:rPr>
            </w:pPr>
            <w:hyperlink w:anchor="page29">
              <w:r>
                <w:rPr>
                  <w:rFonts w:ascii="Arial" w:cs="Arial" w:eastAsia="Arial" w:hAnsi="Arial"/>
                  <w:sz w:val="17"/>
                  <w:szCs w:val="17"/>
                  <w:color w:val="0000EE"/>
                  <w:w w:val="91"/>
                </w:rPr>
                <w:t>Inventory</w:t>
              </w:r>
            </w:hyperlink>
          </w:p>
        </w:tc>
        <w:tc>
          <w:tcPr>
            <w:tcW w:w="7120" w:type="dxa"/>
            <w:vAlign w:val="bottom"/>
            <w:gridSpan w:val="27"/>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29">
              <w:r>
                <w:rPr>
                  <w:rFonts w:ascii="Arial" w:cs="Arial" w:eastAsia="Arial" w:hAnsi="Arial"/>
                  <w:sz w:val="17"/>
                  <w:szCs w:val="17"/>
                  <w:color w:val="0000EE"/>
                  <w:w w:val="73"/>
                </w:rPr>
                <w:t>27</w:t>
              </w:r>
            </w:hyperlink>
          </w:p>
        </w:tc>
        <w:tc>
          <w:tcPr>
            <w:tcW w:w="48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240" w:type="dxa"/>
            <w:vAlign w:val="bottom"/>
            <w:tcBorders>
              <w:bottom w:val="single" w:sz="8" w:color="0000EE"/>
            </w:tcBorders>
            <w:gridSpan w:val="2"/>
          </w:tcPr>
          <w:p>
            <w:pPr>
              <w:spacing w:after="0"/>
              <w:rPr>
                <w:rFonts w:ascii="Arial" w:cs="Arial" w:eastAsia="Arial" w:hAnsi="Arial"/>
                <w:sz w:val="17"/>
                <w:szCs w:val="17"/>
                <w:color w:val="0000EE"/>
                <w:w w:val="92"/>
              </w:rPr>
            </w:pPr>
            <w:hyperlink w:anchor="page29">
              <w:r>
                <w:rPr>
                  <w:rFonts w:ascii="Arial" w:cs="Arial" w:eastAsia="Arial" w:hAnsi="Arial"/>
                  <w:sz w:val="17"/>
                  <w:szCs w:val="17"/>
                  <w:color w:val="0000EE"/>
                  <w:w w:val="92"/>
                </w:rPr>
                <w:t>10.</w:t>
              </w:r>
            </w:hyperlink>
          </w:p>
        </w:tc>
        <w:tc>
          <w:tcPr>
            <w:tcW w:w="1700" w:type="dxa"/>
            <w:vAlign w:val="bottom"/>
            <w:tcBorders>
              <w:bottom w:val="single" w:sz="8" w:color="0000EE"/>
            </w:tcBorders>
            <w:gridSpan w:val="18"/>
          </w:tcPr>
          <w:p>
            <w:pPr>
              <w:ind w:left="20"/>
              <w:spacing w:after="0"/>
              <w:rPr>
                <w:rFonts w:ascii="Arial" w:cs="Arial" w:eastAsia="Arial" w:hAnsi="Arial"/>
                <w:sz w:val="17"/>
                <w:szCs w:val="17"/>
                <w:color w:val="0000EE"/>
                <w:w w:val="90"/>
              </w:rPr>
            </w:pPr>
            <w:hyperlink w:anchor="page29">
              <w:r>
                <w:rPr>
                  <w:rFonts w:ascii="Arial" w:cs="Arial" w:eastAsia="Arial" w:hAnsi="Arial"/>
                  <w:sz w:val="17"/>
                  <w:szCs w:val="17"/>
                  <w:color w:val="0000EE"/>
                  <w:w w:val="90"/>
                </w:rPr>
                <w:t>Property and Equipment</w:t>
              </w:r>
            </w:hyperlink>
          </w:p>
        </w:tc>
        <w:tc>
          <w:tcPr>
            <w:tcW w:w="6020" w:type="dxa"/>
            <w:vAlign w:val="bottom"/>
            <w:gridSpan w:val="16"/>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29">
              <w:r>
                <w:rPr>
                  <w:rFonts w:ascii="Arial" w:cs="Arial" w:eastAsia="Arial" w:hAnsi="Arial"/>
                  <w:sz w:val="17"/>
                  <w:szCs w:val="17"/>
                  <w:color w:val="0000EE"/>
                  <w:w w:val="73"/>
                </w:rPr>
                <w:t>27</w:t>
              </w:r>
            </w:hyperlink>
          </w:p>
        </w:tc>
        <w:tc>
          <w:tcPr>
            <w:tcW w:w="48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tcBorders>
              <w:bottom w:val="single" w:sz="8" w:color="0000EE"/>
            </w:tcBorders>
            <w:gridSpan w:val="23"/>
          </w:tcPr>
          <w:p>
            <w:pPr>
              <w:spacing w:after="0"/>
              <w:rPr>
                <w:rFonts w:ascii="Arial" w:cs="Arial" w:eastAsia="Arial" w:hAnsi="Arial"/>
                <w:sz w:val="17"/>
                <w:szCs w:val="17"/>
                <w:color w:val="0000EE"/>
                <w:w w:val="90"/>
              </w:rPr>
            </w:pPr>
            <w:hyperlink w:anchor="page30">
              <w:r>
                <w:rPr>
                  <w:rFonts w:ascii="Arial" w:cs="Arial" w:eastAsia="Arial" w:hAnsi="Arial"/>
                  <w:sz w:val="17"/>
                  <w:szCs w:val="17"/>
                  <w:color w:val="0000EE"/>
                  <w:w w:val="90"/>
                </w:rPr>
                <w:t>11. Contingencies and Commitments</w:t>
              </w:r>
            </w:hyperlink>
          </w:p>
        </w:tc>
        <w:tc>
          <w:tcPr>
            <w:tcW w:w="5420" w:type="dxa"/>
            <w:vAlign w:val="bottom"/>
            <w:gridSpan w:val="13"/>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30">
              <w:r>
                <w:rPr>
                  <w:rFonts w:ascii="Arial" w:cs="Arial" w:eastAsia="Arial" w:hAnsi="Arial"/>
                  <w:sz w:val="17"/>
                  <w:szCs w:val="17"/>
                  <w:color w:val="0000EE"/>
                  <w:w w:val="73"/>
                </w:rPr>
                <w:t>28</w:t>
              </w:r>
            </w:hyperlink>
          </w:p>
        </w:tc>
        <w:tc>
          <w:tcPr>
            <w:tcW w:w="48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240" w:type="dxa"/>
            <w:vAlign w:val="bottom"/>
            <w:gridSpan w:val="2"/>
          </w:tcPr>
          <w:p>
            <w:pPr>
              <w:spacing w:after="0"/>
              <w:rPr>
                <w:rFonts w:ascii="Arial" w:cs="Arial" w:eastAsia="Arial" w:hAnsi="Arial"/>
                <w:sz w:val="17"/>
                <w:szCs w:val="17"/>
                <w:color w:val="0000EE"/>
                <w:w w:val="92"/>
              </w:rPr>
            </w:pPr>
            <w:hyperlink w:anchor="page32">
              <w:r>
                <w:rPr>
                  <w:rFonts w:ascii="Arial" w:cs="Arial" w:eastAsia="Arial" w:hAnsi="Arial"/>
                  <w:sz w:val="17"/>
                  <w:szCs w:val="17"/>
                  <w:color w:val="0000EE"/>
                  <w:w w:val="92"/>
                </w:rPr>
                <w:t>12.</w:t>
              </w:r>
            </w:hyperlink>
          </w:p>
        </w:tc>
        <w:tc>
          <w:tcPr>
            <w:tcW w:w="7720" w:type="dxa"/>
            <w:vAlign w:val="bottom"/>
            <w:gridSpan w:val="34"/>
          </w:tcPr>
          <w:p>
            <w:pPr>
              <w:ind w:left="20"/>
              <w:spacing w:after="0"/>
              <w:rPr>
                <w:rFonts w:ascii="Arial" w:cs="Arial" w:eastAsia="Arial" w:hAnsi="Arial"/>
                <w:sz w:val="17"/>
                <w:szCs w:val="17"/>
                <w:color w:val="0000EE"/>
              </w:rPr>
            </w:pPr>
            <w:hyperlink w:anchor="page32">
              <w:r>
                <w:rPr>
                  <w:rFonts w:ascii="Arial" w:cs="Arial" w:eastAsia="Arial" w:hAnsi="Arial"/>
                  <w:sz w:val="17"/>
                  <w:szCs w:val="17"/>
                  <w:color w:val="0000EE"/>
                </w:rPr>
                <w:t>Leases</w:t>
              </w:r>
            </w:hyperlink>
          </w:p>
        </w:tc>
        <w:tc>
          <w:tcPr>
            <w:tcW w:w="1060" w:type="dxa"/>
            <w:vAlign w:val="bottom"/>
            <w:gridSpan w:val="3"/>
          </w:tcPr>
          <w:p>
            <w:pPr>
              <w:jc w:val="center"/>
              <w:spacing w:after="0"/>
              <w:rPr>
                <w:rFonts w:ascii="Arial" w:cs="Arial" w:eastAsia="Arial" w:hAnsi="Arial"/>
                <w:sz w:val="17"/>
                <w:szCs w:val="17"/>
                <w:color w:val="0000EE"/>
                <w:w w:val="94"/>
              </w:rPr>
            </w:pPr>
            <w:hyperlink w:anchor="page32">
              <w:r>
                <w:rPr>
                  <w:rFonts w:ascii="Arial" w:cs="Arial" w:eastAsia="Arial" w:hAnsi="Arial"/>
                  <w:sz w:val="17"/>
                  <w:szCs w:val="17"/>
                  <w:color w:val="0000EE"/>
                  <w:w w:val="94"/>
                </w:rPr>
                <w:t>30</w:t>
              </w:r>
            </w:hyperlink>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240" w:type="dxa"/>
            <w:vAlign w:val="bottom"/>
            <w:gridSpan w:val="2"/>
          </w:tcPr>
          <w:p>
            <w:pPr>
              <w:spacing w:after="0"/>
              <w:rPr>
                <w:rFonts w:ascii="Arial" w:cs="Arial" w:eastAsia="Arial" w:hAnsi="Arial"/>
                <w:sz w:val="17"/>
                <w:szCs w:val="17"/>
                <w:color w:val="0000EE"/>
                <w:w w:val="92"/>
              </w:rPr>
            </w:pPr>
            <w:hyperlink w:anchor="page35">
              <w:r>
                <w:rPr>
                  <w:rFonts w:ascii="Arial" w:cs="Arial" w:eastAsia="Arial" w:hAnsi="Arial"/>
                  <w:sz w:val="17"/>
                  <w:szCs w:val="17"/>
                  <w:color w:val="0000EE"/>
                  <w:w w:val="92"/>
                </w:rPr>
                <w:t>13.</w:t>
              </w:r>
            </w:hyperlink>
          </w:p>
        </w:tc>
        <w:tc>
          <w:tcPr>
            <w:tcW w:w="7720" w:type="dxa"/>
            <w:vAlign w:val="bottom"/>
            <w:gridSpan w:val="34"/>
          </w:tcPr>
          <w:p>
            <w:pPr>
              <w:ind w:left="20"/>
              <w:spacing w:after="0"/>
              <w:rPr>
                <w:rFonts w:ascii="Arial" w:cs="Arial" w:eastAsia="Arial" w:hAnsi="Arial"/>
                <w:sz w:val="17"/>
                <w:szCs w:val="17"/>
                <w:color w:val="0000EE"/>
              </w:rPr>
            </w:pPr>
            <w:hyperlink w:anchor="page35">
              <w:r>
                <w:rPr>
                  <w:rFonts w:ascii="Arial" w:cs="Arial" w:eastAsia="Arial" w:hAnsi="Arial"/>
                  <w:sz w:val="17"/>
                  <w:szCs w:val="17"/>
                  <w:color w:val="0000EE"/>
                </w:rPr>
                <w:t>Securitized Debt</w:t>
              </w:r>
            </w:hyperlink>
          </w:p>
        </w:tc>
        <w:tc>
          <w:tcPr>
            <w:tcW w:w="1060" w:type="dxa"/>
            <w:vAlign w:val="bottom"/>
            <w:gridSpan w:val="3"/>
          </w:tcPr>
          <w:p>
            <w:pPr>
              <w:jc w:val="center"/>
              <w:spacing w:after="0"/>
              <w:rPr>
                <w:rFonts w:ascii="Arial" w:cs="Arial" w:eastAsia="Arial" w:hAnsi="Arial"/>
                <w:sz w:val="17"/>
                <w:szCs w:val="17"/>
                <w:color w:val="0000EE"/>
                <w:w w:val="94"/>
              </w:rPr>
            </w:pPr>
            <w:hyperlink w:anchor="page35">
              <w:r>
                <w:rPr>
                  <w:rFonts w:ascii="Arial" w:cs="Arial" w:eastAsia="Arial" w:hAnsi="Arial"/>
                  <w:sz w:val="17"/>
                  <w:szCs w:val="17"/>
                  <w:color w:val="0000EE"/>
                  <w:w w:val="94"/>
                </w:rPr>
                <w:t>33</w:t>
              </w:r>
            </w:hyperlink>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240" w:type="dxa"/>
            <w:vAlign w:val="bottom"/>
            <w:tcBorders>
              <w:top w:val="single" w:sz="8" w:color="0000EE"/>
              <w:bottom w:val="single" w:sz="8" w:color="0000EE"/>
            </w:tcBorders>
            <w:gridSpan w:val="2"/>
          </w:tcPr>
          <w:p>
            <w:pPr>
              <w:spacing w:after="0"/>
              <w:rPr>
                <w:rFonts w:ascii="Arial" w:cs="Arial" w:eastAsia="Arial" w:hAnsi="Arial"/>
                <w:sz w:val="17"/>
                <w:szCs w:val="17"/>
                <w:color w:val="0000EE"/>
                <w:w w:val="92"/>
              </w:rPr>
            </w:pPr>
            <w:hyperlink w:anchor="page37">
              <w:r>
                <w:rPr>
                  <w:rFonts w:ascii="Arial" w:cs="Arial" w:eastAsia="Arial" w:hAnsi="Arial"/>
                  <w:sz w:val="17"/>
                  <w:szCs w:val="17"/>
                  <w:color w:val="0000EE"/>
                  <w:w w:val="92"/>
                </w:rPr>
                <w:t>14.</w:t>
              </w:r>
            </w:hyperlink>
          </w:p>
        </w:tc>
        <w:tc>
          <w:tcPr>
            <w:tcW w:w="360" w:type="dxa"/>
            <w:vAlign w:val="bottom"/>
            <w:tcBorders>
              <w:top w:val="single" w:sz="8" w:color="0000EE"/>
              <w:bottom w:val="single" w:sz="8" w:color="0000EE"/>
            </w:tcBorders>
            <w:gridSpan w:val="3"/>
          </w:tcPr>
          <w:p>
            <w:pPr>
              <w:ind w:left="20"/>
              <w:spacing w:after="0"/>
              <w:rPr>
                <w:rFonts w:ascii="Arial" w:cs="Arial" w:eastAsia="Arial" w:hAnsi="Arial"/>
                <w:sz w:val="17"/>
                <w:szCs w:val="17"/>
                <w:color w:val="0000EE"/>
                <w:w w:val="88"/>
              </w:rPr>
            </w:pPr>
            <w:hyperlink w:anchor="page37">
              <w:r>
                <w:rPr>
                  <w:rFonts w:ascii="Arial" w:cs="Arial" w:eastAsia="Arial" w:hAnsi="Arial"/>
                  <w:sz w:val="17"/>
                  <w:szCs w:val="17"/>
                  <w:color w:val="0000EE"/>
                  <w:w w:val="88"/>
                </w:rPr>
                <w:t>Debt</w:t>
              </w:r>
            </w:hyperlink>
          </w:p>
        </w:tc>
        <w:tc>
          <w:tcPr>
            <w:tcW w:w="800" w:type="dxa"/>
            <w:vAlign w:val="bottom"/>
            <w:tcBorders>
              <w:top w:val="single" w:sz="8" w:color="0000EE"/>
            </w:tcBorders>
            <w:gridSpan w:val="7"/>
          </w:tcPr>
          <w:p>
            <w:pPr>
              <w:spacing w:after="0"/>
              <w:rPr>
                <w:sz w:val="21"/>
                <w:szCs w:val="21"/>
                <w:color w:val="auto"/>
              </w:rPr>
            </w:pPr>
          </w:p>
        </w:tc>
        <w:tc>
          <w:tcPr>
            <w:tcW w:w="6560" w:type="dxa"/>
            <w:vAlign w:val="bottom"/>
            <w:gridSpan w:val="24"/>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center"/>
              <w:spacing w:after="0"/>
              <w:rPr>
                <w:rFonts w:ascii="Arial" w:cs="Arial" w:eastAsia="Arial" w:hAnsi="Arial"/>
                <w:sz w:val="17"/>
                <w:szCs w:val="17"/>
                <w:color w:val="0000EE"/>
                <w:w w:val="73"/>
              </w:rPr>
            </w:pPr>
            <w:hyperlink w:anchor="page37">
              <w:r>
                <w:rPr>
                  <w:rFonts w:ascii="Arial" w:cs="Arial" w:eastAsia="Arial" w:hAnsi="Arial"/>
                  <w:sz w:val="17"/>
                  <w:szCs w:val="17"/>
                  <w:color w:val="0000EE"/>
                  <w:w w:val="73"/>
                </w:rPr>
                <w:t>35</w:t>
              </w:r>
            </w:hyperlink>
          </w:p>
        </w:tc>
        <w:tc>
          <w:tcPr>
            <w:tcW w:w="48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240" w:type="dxa"/>
            <w:vAlign w:val="bottom"/>
            <w:gridSpan w:val="2"/>
          </w:tcPr>
          <w:p>
            <w:pPr>
              <w:spacing w:after="0"/>
              <w:rPr>
                <w:rFonts w:ascii="Arial" w:cs="Arial" w:eastAsia="Arial" w:hAnsi="Arial"/>
                <w:sz w:val="17"/>
                <w:szCs w:val="17"/>
                <w:color w:val="0000EE"/>
                <w:w w:val="92"/>
              </w:rPr>
            </w:pPr>
            <w:hyperlink w:anchor="page40">
              <w:r>
                <w:rPr>
                  <w:rFonts w:ascii="Arial" w:cs="Arial" w:eastAsia="Arial" w:hAnsi="Arial"/>
                  <w:sz w:val="17"/>
                  <w:szCs w:val="17"/>
                  <w:color w:val="0000EE"/>
                  <w:w w:val="92"/>
                </w:rPr>
                <w:t>15.</w:t>
              </w:r>
            </w:hyperlink>
          </w:p>
        </w:tc>
        <w:tc>
          <w:tcPr>
            <w:tcW w:w="7720" w:type="dxa"/>
            <w:vAlign w:val="bottom"/>
            <w:gridSpan w:val="34"/>
          </w:tcPr>
          <w:p>
            <w:pPr>
              <w:ind w:left="20"/>
              <w:spacing w:after="0"/>
              <w:rPr>
                <w:rFonts w:ascii="Arial" w:cs="Arial" w:eastAsia="Arial" w:hAnsi="Arial"/>
                <w:sz w:val="17"/>
                <w:szCs w:val="17"/>
                <w:color w:val="0000EE"/>
              </w:rPr>
            </w:pPr>
            <w:hyperlink w:anchor="page40">
              <w:r>
                <w:rPr>
                  <w:rFonts w:ascii="Arial" w:cs="Arial" w:eastAsia="Arial" w:hAnsi="Arial"/>
                  <w:sz w:val="17"/>
                  <w:szCs w:val="17"/>
                  <w:color w:val="0000EE"/>
                </w:rPr>
                <w:t>Shareholders’ Equity</w:t>
              </w:r>
            </w:hyperlink>
          </w:p>
        </w:tc>
        <w:tc>
          <w:tcPr>
            <w:tcW w:w="1060" w:type="dxa"/>
            <w:vAlign w:val="bottom"/>
            <w:gridSpan w:val="3"/>
          </w:tcPr>
          <w:p>
            <w:pPr>
              <w:jc w:val="center"/>
              <w:spacing w:after="0"/>
              <w:rPr>
                <w:rFonts w:ascii="Arial" w:cs="Arial" w:eastAsia="Arial" w:hAnsi="Arial"/>
                <w:sz w:val="17"/>
                <w:szCs w:val="17"/>
                <w:color w:val="0000EE"/>
                <w:w w:val="94"/>
              </w:rPr>
            </w:pPr>
            <w:hyperlink w:anchor="page40">
              <w:r>
                <w:rPr>
                  <w:rFonts w:ascii="Arial" w:cs="Arial" w:eastAsia="Arial" w:hAnsi="Arial"/>
                  <w:sz w:val="17"/>
                  <w:szCs w:val="17"/>
                  <w:color w:val="0000EE"/>
                  <w:w w:val="94"/>
                </w:rPr>
                <w:t>38</w:t>
              </w:r>
            </w:hyperlink>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gridSpan w:val="4"/>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240" w:type="dxa"/>
            <w:vAlign w:val="bottom"/>
            <w:tcBorders>
              <w:bottom w:val="single" w:sz="8" w:color="0000EE"/>
            </w:tcBorders>
            <w:gridSpan w:val="2"/>
          </w:tcPr>
          <w:p>
            <w:pPr>
              <w:spacing w:after="0"/>
              <w:rPr>
                <w:rFonts w:ascii="Arial" w:cs="Arial" w:eastAsia="Arial" w:hAnsi="Arial"/>
                <w:sz w:val="17"/>
                <w:szCs w:val="17"/>
                <w:color w:val="0000EE"/>
                <w:w w:val="92"/>
              </w:rPr>
            </w:pPr>
            <w:hyperlink w:anchor="page41">
              <w:r>
                <w:rPr>
                  <w:rFonts w:ascii="Arial" w:cs="Arial" w:eastAsia="Arial" w:hAnsi="Arial"/>
                  <w:sz w:val="17"/>
                  <w:szCs w:val="17"/>
                  <w:color w:val="0000EE"/>
                  <w:w w:val="92"/>
                </w:rPr>
                <w:t>16.</w:t>
              </w:r>
            </w:hyperlink>
          </w:p>
        </w:tc>
        <w:tc>
          <w:tcPr>
            <w:tcW w:w="1920" w:type="dxa"/>
            <w:vAlign w:val="bottom"/>
            <w:tcBorders>
              <w:bottom w:val="single" w:sz="8" w:color="0000EE"/>
            </w:tcBorders>
            <w:gridSpan w:val="19"/>
          </w:tcPr>
          <w:p>
            <w:pPr>
              <w:ind w:left="20"/>
              <w:spacing w:after="0"/>
              <w:rPr>
                <w:rFonts w:ascii="Arial" w:cs="Arial" w:eastAsia="Arial" w:hAnsi="Arial"/>
                <w:sz w:val="17"/>
                <w:szCs w:val="17"/>
                <w:color w:val="0000EE"/>
                <w:w w:val="88"/>
              </w:rPr>
            </w:pPr>
            <w:hyperlink w:anchor="page41">
              <w:r>
                <w:rPr>
                  <w:rFonts w:ascii="Arial" w:cs="Arial" w:eastAsia="Arial" w:hAnsi="Arial"/>
                  <w:sz w:val="17"/>
                  <w:szCs w:val="17"/>
                  <w:color w:val="0000EE"/>
                  <w:w w:val="88"/>
                </w:rPr>
                <w:t>Share-Based Compensation</w:t>
              </w:r>
            </w:hyperlink>
          </w:p>
        </w:tc>
        <w:tc>
          <w:tcPr>
            <w:tcW w:w="5800" w:type="dxa"/>
            <w:vAlign w:val="bottom"/>
            <w:gridSpan w:val="15"/>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41">
              <w:r>
                <w:rPr>
                  <w:rFonts w:ascii="Arial" w:cs="Arial" w:eastAsia="Arial" w:hAnsi="Arial"/>
                  <w:sz w:val="17"/>
                  <w:szCs w:val="17"/>
                  <w:color w:val="0000EE"/>
                  <w:w w:val="73"/>
                </w:rPr>
                <w:t>39</w:t>
              </w:r>
            </w:hyperlink>
          </w:p>
        </w:tc>
        <w:tc>
          <w:tcPr>
            <w:tcW w:w="48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240" w:type="dxa"/>
            <w:vAlign w:val="bottom"/>
            <w:gridSpan w:val="2"/>
          </w:tcPr>
          <w:p>
            <w:pPr>
              <w:spacing w:after="0"/>
              <w:rPr>
                <w:rFonts w:ascii="Arial" w:cs="Arial" w:eastAsia="Arial" w:hAnsi="Arial"/>
                <w:sz w:val="17"/>
                <w:szCs w:val="17"/>
                <w:color w:val="0000EE"/>
                <w:w w:val="92"/>
              </w:rPr>
            </w:pPr>
            <w:hyperlink w:anchor="page42">
              <w:r>
                <w:rPr>
                  <w:rFonts w:ascii="Arial" w:cs="Arial" w:eastAsia="Arial" w:hAnsi="Arial"/>
                  <w:sz w:val="17"/>
                  <w:szCs w:val="17"/>
                  <w:color w:val="0000EE"/>
                  <w:w w:val="92"/>
                </w:rPr>
                <w:t>17.</w:t>
              </w:r>
            </w:hyperlink>
          </w:p>
        </w:tc>
        <w:tc>
          <w:tcPr>
            <w:tcW w:w="7720" w:type="dxa"/>
            <w:vAlign w:val="bottom"/>
            <w:gridSpan w:val="34"/>
          </w:tcPr>
          <w:p>
            <w:pPr>
              <w:ind w:left="20"/>
              <w:spacing w:after="0"/>
              <w:rPr>
                <w:rFonts w:ascii="Arial" w:cs="Arial" w:eastAsia="Arial" w:hAnsi="Arial"/>
                <w:sz w:val="17"/>
                <w:szCs w:val="17"/>
                <w:color w:val="0000EE"/>
              </w:rPr>
            </w:pPr>
            <w:hyperlink w:anchor="page42">
              <w:r>
                <w:rPr>
                  <w:rFonts w:ascii="Arial" w:cs="Arial" w:eastAsia="Arial" w:hAnsi="Arial"/>
                  <w:sz w:val="17"/>
                  <w:szCs w:val="17"/>
                  <w:color w:val="0000EE"/>
                </w:rPr>
                <w:t>Variable Interest Entities</w:t>
              </w:r>
            </w:hyperlink>
          </w:p>
        </w:tc>
        <w:tc>
          <w:tcPr>
            <w:tcW w:w="1060" w:type="dxa"/>
            <w:vAlign w:val="bottom"/>
            <w:gridSpan w:val="3"/>
          </w:tcPr>
          <w:p>
            <w:pPr>
              <w:jc w:val="center"/>
              <w:spacing w:after="0"/>
              <w:rPr>
                <w:rFonts w:ascii="Arial" w:cs="Arial" w:eastAsia="Arial" w:hAnsi="Arial"/>
                <w:sz w:val="17"/>
                <w:szCs w:val="17"/>
                <w:color w:val="0000EE"/>
                <w:w w:val="94"/>
              </w:rPr>
            </w:pPr>
            <w:hyperlink w:anchor="page42">
              <w:r>
                <w:rPr>
                  <w:rFonts w:ascii="Arial" w:cs="Arial" w:eastAsia="Arial" w:hAnsi="Arial"/>
                  <w:sz w:val="17"/>
                  <w:szCs w:val="17"/>
                  <w:color w:val="0000EE"/>
                  <w:w w:val="94"/>
                </w:rPr>
                <w:t>40</w:t>
              </w:r>
            </w:hyperlink>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240" w:type="dxa"/>
            <w:vAlign w:val="bottom"/>
            <w:tcBorders>
              <w:top w:val="single" w:sz="8" w:color="0000EE"/>
              <w:bottom w:val="single" w:sz="8" w:color="0000EE"/>
            </w:tcBorders>
            <w:gridSpan w:val="2"/>
          </w:tcPr>
          <w:p>
            <w:pPr>
              <w:spacing w:after="0"/>
              <w:rPr>
                <w:rFonts w:ascii="Arial" w:cs="Arial" w:eastAsia="Arial" w:hAnsi="Arial"/>
                <w:sz w:val="17"/>
                <w:szCs w:val="17"/>
                <w:color w:val="0000EE"/>
                <w:w w:val="92"/>
              </w:rPr>
            </w:pPr>
            <w:hyperlink w:anchor="page46">
              <w:r>
                <w:rPr>
                  <w:rFonts w:ascii="Arial" w:cs="Arial" w:eastAsia="Arial" w:hAnsi="Arial"/>
                  <w:sz w:val="17"/>
                  <w:szCs w:val="17"/>
                  <w:color w:val="0000EE"/>
                  <w:w w:val="92"/>
                </w:rPr>
                <w:t>18.</w:t>
              </w:r>
            </w:hyperlink>
          </w:p>
        </w:tc>
        <w:tc>
          <w:tcPr>
            <w:tcW w:w="1340" w:type="dxa"/>
            <w:vAlign w:val="bottom"/>
            <w:tcBorders>
              <w:top w:val="single" w:sz="8" w:color="0000EE"/>
              <w:bottom w:val="single" w:sz="8" w:color="0000EE"/>
            </w:tcBorders>
            <w:gridSpan w:val="14"/>
          </w:tcPr>
          <w:p>
            <w:pPr>
              <w:ind w:left="20"/>
              <w:spacing w:after="0"/>
              <w:rPr>
                <w:rFonts w:ascii="Arial" w:cs="Arial" w:eastAsia="Arial" w:hAnsi="Arial"/>
                <w:sz w:val="17"/>
                <w:szCs w:val="17"/>
                <w:color w:val="0000EE"/>
                <w:w w:val="86"/>
              </w:rPr>
            </w:pPr>
            <w:hyperlink w:anchor="page46">
              <w:r>
                <w:rPr>
                  <w:rFonts w:ascii="Arial" w:cs="Arial" w:eastAsia="Arial" w:hAnsi="Arial"/>
                  <w:sz w:val="17"/>
                  <w:szCs w:val="17"/>
                  <w:color w:val="0000EE"/>
                  <w:w w:val="86"/>
                </w:rPr>
                <w:t>Business Segments</w:t>
              </w:r>
            </w:hyperlink>
          </w:p>
        </w:tc>
        <w:tc>
          <w:tcPr>
            <w:tcW w:w="360" w:type="dxa"/>
            <w:vAlign w:val="bottom"/>
            <w:tcBorders>
              <w:top w:val="single" w:sz="8" w:color="0000EE"/>
            </w:tcBorders>
            <w:gridSpan w:val="4"/>
          </w:tcPr>
          <w:p>
            <w:pPr>
              <w:spacing w:after="0"/>
              <w:rPr>
                <w:sz w:val="21"/>
                <w:szCs w:val="21"/>
                <w:color w:val="auto"/>
              </w:rPr>
            </w:pPr>
          </w:p>
        </w:tc>
        <w:tc>
          <w:tcPr>
            <w:tcW w:w="6020" w:type="dxa"/>
            <w:vAlign w:val="bottom"/>
            <w:gridSpan w:val="16"/>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center"/>
              <w:spacing w:after="0"/>
              <w:rPr>
                <w:rFonts w:ascii="Arial" w:cs="Arial" w:eastAsia="Arial" w:hAnsi="Arial"/>
                <w:sz w:val="17"/>
                <w:szCs w:val="17"/>
                <w:color w:val="0000EE"/>
                <w:w w:val="73"/>
              </w:rPr>
            </w:pPr>
            <w:hyperlink w:anchor="page46">
              <w:r>
                <w:rPr>
                  <w:rFonts w:ascii="Arial" w:cs="Arial" w:eastAsia="Arial" w:hAnsi="Arial"/>
                  <w:sz w:val="17"/>
                  <w:szCs w:val="17"/>
                  <w:color w:val="0000EE"/>
                  <w:w w:val="73"/>
                </w:rPr>
                <w:t>44</w:t>
              </w:r>
            </w:hyperlink>
          </w:p>
        </w:tc>
        <w:tc>
          <w:tcPr>
            <w:tcW w:w="48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240" w:type="dxa"/>
            <w:vAlign w:val="bottom"/>
            <w:tcBorders>
              <w:bottom w:val="single" w:sz="8" w:color="0000EE"/>
            </w:tcBorders>
            <w:gridSpan w:val="2"/>
          </w:tcPr>
          <w:p>
            <w:pPr>
              <w:spacing w:after="0"/>
              <w:rPr>
                <w:rFonts w:ascii="Arial" w:cs="Arial" w:eastAsia="Arial" w:hAnsi="Arial"/>
                <w:sz w:val="17"/>
                <w:szCs w:val="17"/>
                <w:color w:val="0000EE"/>
                <w:w w:val="92"/>
              </w:rPr>
            </w:pPr>
            <w:hyperlink w:anchor="page48">
              <w:r>
                <w:rPr>
                  <w:rFonts w:ascii="Arial" w:cs="Arial" w:eastAsia="Arial" w:hAnsi="Arial"/>
                  <w:sz w:val="17"/>
                  <w:szCs w:val="17"/>
                  <w:color w:val="0000EE"/>
                  <w:w w:val="92"/>
                </w:rPr>
                <w:t>19.</w:t>
              </w:r>
            </w:hyperlink>
          </w:p>
        </w:tc>
        <w:tc>
          <w:tcPr>
            <w:tcW w:w="2560" w:type="dxa"/>
            <w:vAlign w:val="bottom"/>
            <w:tcBorders>
              <w:bottom w:val="single" w:sz="8" w:color="0000EE"/>
            </w:tcBorders>
            <w:gridSpan w:val="23"/>
          </w:tcPr>
          <w:p>
            <w:pPr>
              <w:ind w:left="20"/>
              <w:spacing w:after="0"/>
              <w:rPr>
                <w:rFonts w:ascii="Arial" w:cs="Arial" w:eastAsia="Arial" w:hAnsi="Arial"/>
                <w:sz w:val="17"/>
                <w:szCs w:val="17"/>
                <w:color w:val="0000EE"/>
                <w:w w:val="91"/>
              </w:rPr>
            </w:pPr>
            <w:hyperlink w:anchor="page48">
              <w:r>
                <w:rPr>
                  <w:rFonts w:ascii="Arial" w:cs="Arial" w:eastAsia="Arial" w:hAnsi="Arial"/>
                  <w:sz w:val="17"/>
                  <w:szCs w:val="17"/>
                  <w:color w:val="0000EE"/>
                  <w:w w:val="91"/>
                </w:rPr>
                <w:t>Supplemental Guarantor Information</w:t>
              </w:r>
            </w:hyperlink>
          </w:p>
        </w:tc>
        <w:tc>
          <w:tcPr>
            <w:tcW w:w="5160" w:type="dxa"/>
            <w:vAlign w:val="bottom"/>
            <w:gridSpan w:val="11"/>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48">
              <w:r>
                <w:rPr>
                  <w:rFonts w:ascii="Arial" w:cs="Arial" w:eastAsia="Arial" w:hAnsi="Arial"/>
                  <w:sz w:val="17"/>
                  <w:szCs w:val="17"/>
                  <w:color w:val="0000EE"/>
                  <w:w w:val="73"/>
                </w:rPr>
                <w:t>46</w:t>
              </w:r>
            </w:hyperlink>
          </w:p>
        </w:tc>
        <w:tc>
          <w:tcPr>
            <w:tcW w:w="480" w:type="dxa"/>
            <w:vAlign w:val="bottom"/>
          </w:tcPr>
          <w:p>
            <w:pPr>
              <w:spacing w:after="0"/>
              <w:rPr>
                <w:sz w:val="21"/>
                <w:szCs w:val="21"/>
                <w:color w:val="auto"/>
              </w:rPr>
            </w:pPr>
          </w:p>
        </w:tc>
      </w:tr>
      <w:tr>
        <w:trPr>
          <w:trHeight w:val="250"/>
        </w:trPr>
        <w:tc>
          <w:tcPr>
            <w:tcW w:w="1180" w:type="dxa"/>
            <w:vAlign w:val="bottom"/>
          </w:tcPr>
          <w:p>
            <w:pPr>
              <w:ind w:left="240"/>
              <w:spacing w:after="0"/>
              <w:rPr>
                <w:sz w:val="20"/>
                <w:szCs w:val="20"/>
                <w:color w:val="auto"/>
              </w:rPr>
            </w:pPr>
            <w:r>
              <w:rPr>
                <w:rFonts w:ascii="Arial" w:cs="Arial" w:eastAsia="Arial" w:hAnsi="Arial"/>
                <w:sz w:val="17"/>
                <w:szCs w:val="17"/>
                <w:color w:val="auto"/>
              </w:rPr>
              <w:t>Item 2.</w:t>
            </w:r>
          </w:p>
        </w:tc>
        <w:tc>
          <w:tcPr>
            <w:tcW w:w="240" w:type="dxa"/>
            <w:vAlign w:val="bottom"/>
          </w:tcPr>
          <w:p>
            <w:pPr>
              <w:spacing w:after="0"/>
              <w:rPr>
                <w:sz w:val="21"/>
                <w:szCs w:val="21"/>
                <w:color w:val="auto"/>
              </w:rPr>
            </w:pPr>
          </w:p>
        </w:tc>
        <w:tc>
          <w:tcPr>
            <w:tcW w:w="8180" w:type="dxa"/>
            <w:vAlign w:val="bottom"/>
            <w:gridSpan w:val="37"/>
          </w:tcPr>
          <w:p>
            <w:pPr>
              <w:spacing w:after="0"/>
              <w:rPr>
                <w:rFonts w:ascii="Arial" w:cs="Arial" w:eastAsia="Arial" w:hAnsi="Arial"/>
                <w:sz w:val="17"/>
                <w:szCs w:val="17"/>
                <w:color w:val="0000EE"/>
              </w:rPr>
            </w:pPr>
            <w:hyperlink w:anchor="page58">
              <w:r>
                <w:rPr>
                  <w:rFonts w:ascii="Arial" w:cs="Arial" w:eastAsia="Arial" w:hAnsi="Arial"/>
                  <w:sz w:val="17"/>
                  <w:szCs w:val="17"/>
                  <w:color w:val="0000EE"/>
                </w:rPr>
                <w:t>Management’s Discussion and Analysis of Financial Condition and Results of Operations</w:t>
              </w:r>
            </w:hyperlink>
          </w:p>
        </w:tc>
        <w:tc>
          <w:tcPr>
            <w:tcW w:w="1060" w:type="dxa"/>
            <w:vAlign w:val="bottom"/>
            <w:gridSpan w:val="3"/>
          </w:tcPr>
          <w:p>
            <w:pPr>
              <w:jc w:val="center"/>
              <w:spacing w:after="0"/>
              <w:rPr>
                <w:rFonts w:ascii="Arial" w:cs="Arial" w:eastAsia="Arial" w:hAnsi="Arial"/>
                <w:sz w:val="17"/>
                <w:szCs w:val="17"/>
                <w:color w:val="0000EE"/>
                <w:w w:val="94"/>
              </w:rPr>
            </w:pPr>
            <w:hyperlink w:anchor="page58">
              <w:r>
                <w:rPr>
                  <w:rFonts w:ascii="Arial" w:cs="Arial" w:eastAsia="Arial" w:hAnsi="Arial"/>
                  <w:sz w:val="17"/>
                  <w:szCs w:val="17"/>
                  <w:color w:val="0000EE"/>
                  <w:w w:val="94"/>
                </w:rPr>
                <w:t>56</w:t>
              </w:r>
            </w:hyperlink>
          </w:p>
        </w:tc>
      </w:tr>
      <w:tr>
        <w:trPr>
          <w:trHeight w:val="237"/>
        </w:trPr>
        <w:tc>
          <w:tcPr>
            <w:tcW w:w="1180" w:type="dxa"/>
            <w:vAlign w:val="bottom"/>
          </w:tcPr>
          <w:p>
            <w:pPr>
              <w:ind w:left="240"/>
              <w:spacing w:after="0"/>
              <w:rPr>
                <w:sz w:val="20"/>
                <w:szCs w:val="20"/>
                <w:color w:val="auto"/>
              </w:rPr>
            </w:pPr>
            <w:r>
              <w:rPr>
                <w:rFonts w:ascii="Arial" w:cs="Arial" w:eastAsia="Arial" w:hAnsi="Arial"/>
                <w:sz w:val="17"/>
                <w:szCs w:val="17"/>
                <w:color w:val="auto"/>
              </w:rPr>
              <w:t>Item 3.</w:t>
            </w:r>
          </w:p>
        </w:tc>
        <w:tc>
          <w:tcPr>
            <w:tcW w:w="240" w:type="dxa"/>
            <w:vAlign w:val="bottom"/>
          </w:tcPr>
          <w:p>
            <w:pPr>
              <w:spacing w:after="0"/>
              <w:rPr>
                <w:sz w:val="20"/>
                <w:szCs w:val="20"/>
                <w:color w:val="auto"/>
              </w:rPr>
            </w:pPr>
          </w:p>
        </w:tc>
        <w:tc>
          <w:tcPr>
            <w:tcW w:w="4160" w:type="dxa"/>
            <w:vAlign w:val="bottom"/>
            <w:tcBorders>
              <w:top w:val="single" w:sz="8" w:color="0000EE"/>
              <w:bottom w:val="single" w:sz="8" w:color="0000EE"/>
            </w:tcBorders>
            <w:gridSpan w:val="33"/>
          </w:tcPr>
          <w:p>
            <w:pPr>
              <w:spacing w:after="0"/>
              <w:rPr>
                <w:rFonts w:ascii="Arial" w:cs="Arial" w:eastAsia="Arial" w:hAnsi="Arial"/>
                <w:sz w:val="17"/>
                <w:szCs w:val="17"/>
                <w:color w:val="0000EE"/>
                <w:w w:val="93"/>
              </w:rPr>
            </w:pPr>
            <w:hyperlink w:anchor="page88">
              <w:r>
                <w:rPr>
                  <w:rFonts w:ascii="Arial" w:cs="Arial" w:eastAsia="Arial" w:hAnsi="Arial"/>
                  <w:sz w:val="17"/>
                  <w:szCs w:val="17"/>
                  <w:color w:val="0000EE"/>
                  <w:w w:val="93"/>
                </w:rPr>
                <w:t>Quantitative and Qualitative Disclosures About Market Risk</w:t>
              </w:r>
            </w:hyperlink>
          </w:p>
        </w:tc>
        <w:tc>
          <w:tcPr>
            <w:tcW w:w="1980" w:type="dxa"/>
            <w:vAlign w:val="bottom"/>
            <w:tcBorders>
              <w:top w:val="single" w:sz="8" w:color="0000EE"/>
            </w:tcBorders>
            <w:gridSpan w:val="3"/>
          </w:tcPr>
          <w:p>
            <w:pPr>
              <w:spacing w:after="0"/>
              <w:rPr>
                <w:sz w:val="20"/>
                <w:szCs w:val="20"/>
                <w:color w:val="auto"/>
              </w:rPr>
            </w:pPr>
          </w:p>
        </w:tc>
        <w:tc>
          <w:tcPr>
            <w:tcW w:w="2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top w:val="single" w:sz="8" w:color="0000EE"/>
              <w:bottom w:val="single" w:sz="8" w:color="0000EE"/>
            </w:tcBorders>
          </w:tcPr>
          <w:p>
            <w:pPr>
              <w:jc w:val="center"/>
              <w:spacing w:after="0"/>
              <w:rPr>
                <w:rFonts w:ascii="Arial" w:cs="Arial" w:eastAsia="Arial" w:hAnsi="Arial"/>
                <w:sz w:val="17"/>
                <w:szCs w:val="17"/>
                <w:color w:val="0000EE"/>
                <w:w w:val="73"/>
              </w:rPr>
            </w:pPr>
            <w:hyperlink w:anchor="page88">
              <w:r>
                <w:rPr>
                  <w:rFonts w:ascii="Arial" w:cs="Arial" w:eastAsia="Arial" w:hAnsi="Arial"/>
                  <w:sz w:val="17"/>
                  <w:szCs w:val="17"/>
                  <w:color w:val="0000EE"/>
                  <w:w w:val="73"/>
                </w:rPr>
                <w:t>86</w:t>
              </w:r>
            </w:hyperlink>
          </w:p>
        </w:tc>
        <w:tc>
          <w:tcPr>
            <w:tcW w:w="480" w:type="dxa"/>
            <w:vAlign w:val="bottom"/>
          </w:tcPr>
          <w:p>
            <w:pPr>
              <w:spacing w:after="0"/>
              <w:rPr>
                <w:sz w:val="20"/>
                <w:szCs w:val="20"/>
                <w:color w:val="auto"/>
              </w:rPr>
            </w:pPr>
          </w:p>
        </w:tc>
      </w:tr>
      <w:tr>
        <w:trPr>
          <w:trHeight w:val="237"/>
        </w:trPr>
        <w:tc>
          <w:tcPr>
            <w:tcW w:w="1180" w:type="dxa"/>
            <w:vAlign w:val="bottom"/>
          </w:tcPr>
          <w:p>
            <w:pPr>
              <w:ind w:left="240"/>
              <w:spacing w:after="0"/>
              <w:rPr>
                <w:sz w:val="20"/>
                <w:szCs w:val="20"/>
                <w:color w:val="auto"/>
              </w:rPr>
            </w:pPr>
            <w:r>
              <w:rPr>
                <w:rFonts w:ascii="Arial" w:cs="Arial" w:eastAsia="Arial" w:hAnsi="Arial"/>
                <w:sz w:val="17"/>
                <w:szCs w:val="17"/>
                <w:color w:val="auto"/>
              </w:rPr>
              <w:t>Item 4.</w:t>
            </w:r>
          </w:p>
        </w:tc>
        <w:tc>
          <w:tcPr>
            <w:tcW w:w="240" w:type="dxa"/>
            <w:vAlign w:val="bottom"/>
          </w:tcPr>
          <w:p>
            <w:pPr>
              <w:spacing w:after="0"/>
              <w:rPr>
                <w:sz w:val="20"/>
                <w:szCs w:val="20"/>
                <w:color w:val="auto"/>
              </w:rPr>
            </w:pPr>
          </w:p>
        </w:tc>
        <w:tc>
          <w:tcPr>
            <w:tcW w:w="1700" w:type="dxa"/>
            <w:vAlign w:val="bottom"/>
            <w:tcBorders>
              <w:bottom w:val="single" w:sz="8" w:color="0000EE"/>
            </w:tcBorders>
            <w:gridSpan w:val="15"/>
          </w:tcPr>
          <w:p>
            <w:pPr>
              <w:spacing w:after="0"/>
              <w:rPr>
                <w:rFonts w:ascii="Arial" w:cs="Arial" w:eastAsia="Arial" w:hAnsi="Arial"/>
                <w:sz w:val="17"/>
                <w:szCs w:val="17"/>
                <w:color w:val="0000EE"/>
                <w:w w:val="89"/>
              </w:rPr>
            </w:pPr>
            <w:hyperlink w:anchor="page89">
              <w:r>
                <w:rPr>
                  <w:rFonts w:ascii="Arial" w:cs="Arial" w:eastAsia="Arial" w:hAnsi="Arial"/>
                  <w:sz w:val="17"/>
                  <w:szCs w:val="17"/>
                  <w:color w:val="0000EE"/>
                  <w:w w:val="89"/>
                </w:rPr>
                <w:t>Controls and Procedures</w:t>
              </w:r>
            </w:hyperlink>
          </w:p>
        </w:tc>
        <w:tc>
          <w:tcPr>
            <w:tcW w:w="6480" w:type="dxa"/>
            <w:vAlign w:val="bottom"/>
            <w:gridSpan w:val="22"/>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89">
              <w:r>
                <w:rPr>
                  <w:rFonts w:ascii="Arial" w:cs="Arial" w:eastAsia="Arial" w:hAnsi="Arial"/>
                  <w:sz w:val="17"/>
                  <w:szCs w:val="17"/>
                  <w:color w:val="0000EE"/>
                  <w:w w:val="73"/>
                </w:rPr>
                <w:t>87</w:t>
              </w:r>
            </w:hyperlink>
          </w:p>
        </w:tc>
        <w:tc>
          <w:tcPr>
            <w:tcW w:w="480" w:type="dxa"/>
            <w:vAlign w:val="bottom"/>
          </w:tcPr>
          <w:p>
            <w:pPr>
              <w:spacing w:after="0"/>
              <w:rPr>
                <w:sz w:val="20"/>
                <w:szCs w:val="20"/>
                <w:color w:val="auto"/>
              </w:rPr>
            </w:pPr>
          </w:p>
        </w:tc>
      </w:tr>
      <w:tr>
        <w:trPr>
          <w:trHeight w:val="237"/>
        </w:trPr>
        <w:tc>
          <w:tcPr>
            <w:tcW w:w="1180" w:type="dxa"/>
            <w:vAlign w:val="bottom"/>
          </w:tcPr>
          <w:p>
            <w:pPr>
              <w:spacing w:after="0"/>
              <w:rPr>
                <w:sz w:val="20"/>
                <w:szCs w:val="20"/>
                <w:color w:val="auto"/>
              </w:rPr>
            </w:pPr>
            <w:r>
              <w:rPr>
                <w:rFonts w:ascii="Arial" w:cs="Arial" w:eastAsia="Arial" w:hAnsi="Arial"/>
                <w:sz w:val="17"/>
                <w:szCs w:val="17"/>
                <w:b w:val="1"/>
                <w:bCs w:val="1"/>
                <w:color w:val="auto"/>
              </w:rPr>
              <w:t>Part II.</w:t>
            </w:r>
          </w:p>
        </w:tc>
        <w:tc>
          <w:tcPr>
            <w:tcW w:w="8420" w:type="dxa"/>
            <w:vAlign w:val="bottom"/>
            <w:gridSpan w:val="38"/>
          </w:tcPr>
          <w:p>
            <w:pPr>
              <w:spacing w:after="0"/>
              <w:rPr>
                <w:rFonts w:ascii="Arial" w:cs="Arial" w:eastAsia="Arial" w:hAnsi="Arial"/>
                <w:sz w:val="17"/>
                <w:szCs w:val="17"/>
                <w:b w:val="1"/>
                <w:bCs w:val="1"/>
                <w:color w:val="0000EE"/>
              </w:rPr>
            </w:pPr>
            <w:hyperlink w:anchor="page89">
              <w:r>
                <w:rPr>
                  <w:rFonts w:ascii="Arial" w:cs="Arial" w:eastAsia="Arial" w:hAnsi="Arial"/>
                  <w:sz w:val="17"/>
                  <w:szCs w:val="17"/>
                  <w:b w:val="1"/>
                  <w:bCs w:val="1"/>
                  <w:color w:val="0000EE"/>
                </w:rPr>
                <w:t>OTHER INFORMATION</w:t>
              </w:r>
            </w:hyperlink>
          </w:p>
        </w:tc>
        <w:tc>
          <w:tcPr>
            <w:tcW w:w="1060" w:type="dxa"/>
            <w:vAlign w:val="bottom"/>
            <w:gridSpan w:val="3"/>
          </w:tcPr>
          <w:p>
            <w:pPr>
              <w:jc w:val="center"/>
              <w:spacing w:after="0"/>
              <w:rPr>
                <w:rFonts w:ascii="Arial" w:cs="Arial" w:eastAsia="Arial" w:hAnsi="Arial"/>
                <w:sz w:val="17"/>
                <w:szCs w:val="17"/>
                <w:color w:val="0000EE"/>
                <w:w w:val="94"/>
              </w:rPr>
            </w:pPr>
            <w:hyperlink w:anchor="page89">
              <w:r>
                <w:rPr>
                  <w:rFonts w:ascii="Arial" w:cs="Arial" w:eastAsia="Arial" w:hAnsi="Arial"/>
                  <w:sz w:val="17"/>
                  <w:szCs w:val="17"/>
                  <w:color w:val="0000EE"/>
                  <w:w w:val="94"/>
                </w:rPr>
                <w:t>87</w:t>
              </w:r>
            </w:hyperlink>
          </w:p>
        </w:tc>
      </w:tr>
      <w:tr>
        <w:trPr>
          <w:trHeight w:val="237"/>
        </w:trPr>
        <w:tc>
          <w:tcPr>
            <w:tcW w:w="1180" w:type="dxa"/>
            <w:vAlign w:val="bottom"/>
          </w:tcPr>
          <w:p>
            <w:pPr>
              <w:ind w:left="240"/>
              <w:spacing w:after="0"/>
              <w:rPr>
                <w:sz w:val="20"/>
                <w:szCs w:val="20"/>
                <w:color w:val="auto"/>
              </w:rPr>
            </w:pPr>
            <w:r>
              <w:rPr>
                <w:rFonts w:ascii="Arial" w:cs="Arial" w:eastAsia="Arial" w:hAnsi="Arial"/>
                <w:sz w:val="17"/>
                <w:szCs w:val="17"/>
                <w:color w:val="auto"/>
              </w:rPr>
              <w:t>Item 1.</w:t>
            </w:r>
          </w:p>
        </w:tc>
        <w:tc>
          <w:tcPr>
            <w:tcW w:w="240" w:type="dxa"/>
            <w:vAlign w:val="bottom"/>
            <w:tcBorders>
              <w:top w:val="single" w:sz="8" w:color="0000EE"/>
            </w:tcBorders>
          </w:tcPr>
          <w:p>
            <w:pPr>
              <w:spacing w:after="0"/>
              <w:rPr>
                <w:sz w:val="20"/>
                <w:szCs w:val="20"/>
                <w:color w:val="auto"/>
              </w:rPr>
            </w:pPr>
          </w:p>
        </w:tc>
        <w:tc>
          <w:tcPr>
            <w:tcW w:w="1340" w:type="dxa"/>
            <w:vAlign w:val="bottom"/>
            <w:tcBorders>
              <w:top w:val="single" w:sz="8" w:color="0000EE"/>
              <w:bottom w:val="single" w:sz="8" w:color="0000EE"/>
            </w:tcBorders>
            <w:gridSpan w:val="11"/>
          </w:tcPr>
          <w:p>
            <w:pPr>
              <w:spacing w:after="0"/>
              <w:rPr>
                <w:rFonts w:ascii="Arial" w:cs="Arial" w:eastAsia="Arial" w:hAnsi="Arial"/>
                <w:sz w:val="17"/>
                <w:szCs w:val="17"/>
                <w:color w:val="0000EE"/>
                <w:w w:val="92"/>
              </w:rPr>
            </w:pPr>
            <w:hyperlink w:anchor="page89">
              <w:r>
                <w:rPr>
                  <w:rFonts w:ascii="Arial" w:cs="Arial" w:eastAsia="Arial" w:hAnsi="Arial"/>
                  <w:sz w:val="17"/>
                  <w:szCs w:val="17"/>
                  <w:color w:val="0000EE"/>
                  <w:w w:val="92"/>
                </w:rPr>
                <w:t>Legal Proceedings</w:t>
              </w:r>
            </w:hyperlink>
          </w:p>
        </w:tc>
        <w:tc>
          <w:tcPr>
            <w:tcW w:w="340" w:type="dxa"/>
            <w:vAlign w:val="bottom"/>
            <w:tcBorders>
              <w:top w:val="single" w:sz="8" w:color="0000EE"/>
            </w:tcBorders>
            <w:gridSpan w:val="3"/>
          </w:tcPr>
          <w:p>
            <w:pPr>
              <w:spacing w:after="0"/>
              <w:rPr>
                <w:sz w:val="20"/>
                <w:szCs w:val="20"/>
                <w:color w:val="auto"/>
              </w:rPr>
            </w:pPr>
          </w:p>
        </w:tc>
        <w:tc>
          <w:tcPr>
            <w:tcW w:w="6500" w:type="dxa"/>
            <w:vAlign w:val="bottom"/>
            <w:gridSpan w:val="23"/>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top w:val="single" w:sz="8" w:color="0000EE"/>
              <w:bottom w:val="single" w:sz="8" w:color="0000EE"/>
            </w:tcBorders>
          </w:tcPr>
          <w:p>
            <w:pPr>
              <w:jc w:val="center"/>
              <w:spacing w:after="0"/>
              <w:rPr>
                <w:rFonts w:ascii="Arial" w:cs="Arial" w:eastAsia="Arial" w:hAnsi="Arial"/>
                <w:sz w:val="17"/>
                <w:szCs w:val="17"/>
                <w:color w:val="0000EE"/>
                <w:w w:val="73"/>
              </w:rPr>
            </w:pPr>
            <w:hyperlink w:anchor="page89">
              <w:r>
                <w:rPr>
                  <w:rFonts w:ascii="Arial" w:cs="Arial" w:eastAsia="Arial" w:hAnsi="Arial"/>
                  <w:sz w:val="17"/>
                  <w:szCs w:val="17"/>
                  <w:color w:val="0000EE"/>
                  <w:w w:val="73"/>
                </w:rPr>
                <w:t>87</w:t>
              </w:r>
            </w:hyperlink>
          </w:p>
        </w:tc>
        <w:tc>
          <w:tcPr>
            <w:tcW w:w="480" w:type="dxa"/>
            <w:vAlign w:val="bottom"/>
          </w:tcPr>
          <w:p>
            <w:pPr>
              <w:spacing w:after="0"/>
              <w:rPr>
                <w:sz w:val="20"/>
                <w:szCs w:val="20"/>
                <w:color w:val="auto"/>
              </w:rPr>
            </w:pPr>
          </w:p>
        </w:tc>
      </w:tr>
      <w:tr>
        <w:trPr>
          <w:trHeight w:val="237"/>
        </w:trPr>
        <w:tc>
          <w:tcPr>
            <w:tcW w:w="1180" w:type="dxa"/>
            <w:vAlign w:val="bottom"/>
          </w:tcPr>
          <w:p>
            <w:pPr>
              <w:ind w:left="240"/>
              <w:spacing w:after="0"/>
              <w:rPr>
                <w:sz w:val="20"/>
                <w:szCs w:val="20"/>
                <w:color w:val="auto"/>
              </w:rPr>
            </w:pPr>
            <w:r>
              <w:rPr>
                <w:rFonts w:ascii="Arial" w:cs="Arial" w:eastAsia="Arial" w:hAnsi="Arial"/>
                <w:sz w:val="17"/>
                <w:szCs w:val="17"/>
                <w:color w:val="auto"/>
              </w:rPr>
              <w:t>Item 1A.</w:t>
            </w:r>
          </w:p>
        </w:tc>
        <w:tc>
          <w:tcPr>
            <w:tcW w:w="240" w:type="dxa"/>
            <w:vAlign w:val="bottom"/>
          </w:tcPr>
          <w:p>
            <w:pPr>
              <w:spacing w:after="0"/>
              <w:rPr>
                <w:sz w:val="20"/>
                <w:szCs w:val="20"/>
                <w:color w:val="auto"/>
              </w:rPr>
            </w:pPr>
          </w:p>
        </w:tc>
        <w:tc>
          <w:tcPr>
            <w:tcW w:w="8180" w:type="dxa"/>
            <w:vAlign w:val="bottom"/>
            <w:gridSpan w:val="37"/>
          </w:tcPr>
          <w:p>
            <w:pPr>
              <w:spacing w:after="0"/>
              <w:rPr>
                <w:rFonts w:ascii="Arial" w:cs="Arial" w:eastAsia="Arial" w:hAnsi="Arial"/>
                <w:sz w:val="17"/>
                <w:szCs w:val="17"/>
                <w:color w:val="0000EE"/>
              </w:rPr>
            </w:pPr>
            <w:hyperlink w:anchor="page89">
              <w:r>
                <w:rPr>
                  <w:rFonts w:ascii="Arial" w:cs="Arial" w:eastAsia="Arial" w:hAnsi="Arial"/>
                  <w:sz w:val="17"/>
                  <w:szCs w:val="17"/>
                  <w:color w:val="0000EE"/>
                </w:rPr>
                <w:t>Risk Factors</w:t>
              </w:r>
            </w:hyperlink>
          </w:p>
        </w:tc>
        <w:tc>
          <w:tcPr>
            <w:tcW w:w="1060" w:type="dxa"/>
            <w:vAlign w:val="bottom"/>
            <w:gridSpan w:val="3"/>
          </w:tcPr>
          <w:p>
            <w:pPr>
              <w:jc w:val="center"/>
              <w:spacing w:after="0"/>
              <w:rPr>
                <w:rFonts w:ascii="Arial" w:cs="Arial" w:eastAsia="Arial" w:hAnsi="Arial"/>
                <w:sz w:val="17"/>
                <w:szCs w:val="17"/>
                <w:color w:val="0000EE"/>
                <w:w w:val="94"/>
              </w:rPr>
            </w:pPr>
            <w:hyperlink w:anchor="page89">
              <w:r>
                <w:rPr>
                  <w:rFonts w:ascii="Arial" w:cs="Arial" w:eastAsia="Arial" w:hAnsi="Arial"/>
                  <w:sz w:val="17"/>
                  <w:szCs w:val="17"/>
                  <w:color w:val="0000EE"/>
                  <w:w w:val="94"/>
                </w:rPr>
                <w:t>87</w:t>
              </w:r>
            </w:hyperlink>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280" w:type="dxa"/>
            <w:vAlign w:val="bottom"/>
            <w:gridSpan w:val="25"/>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37"/>
        </w:trPr>
        <w:tc>
          <w:tcPr>
            <w:tcW w:w="1180" w:type="dxa"/>
            <w:vAlign w:val="bottom"/>
          </w:tcPr>
          <w:p>
            <w:pPr>
              <w:ind w:left="240"/>
              <w:spacing w:after="0"/>
              <w:rPr>
                <w:sz w:val="20"/>
                <w:szCs w:val="20"/>
                <w:color w:val="auto"/>
              </w:rPr>
            </w:pPr>
            <w:r>
              <w:rPr>
                <w:rFonts w:ascii="Arial" w:cs="Arial" w:eastAsia="Arial" w:hAnsi="Arial"/>
                <w:sz w:val="17"/>
                <w:szCs w:val="17"/>
                <w:color w:val="auto"/>
              </w:rPr>
              <w:t>Item 2.</w:t>
            </w:r>
          </w:p>
        </w:tc>
        <w:tc>
          <w:tcPr>
            <w:tcW w:w="240" w:type="dxa"/>
            <w:vAlign w:val="bottom"/>
          </w:tcPr>
          <w:p>
            <w:pPr>
              <w:spacing w:after="0"/>
              <w:rPr>
                <w:sz w:val="20"/>
                <w:szCs w:val="20"/>
                <w:color w:val="auto"/>
              </w:rPr>
            </w:pPr>
          </w:p>
        </w:tc>
        <w:tc>
          <w:tcPr>
            <w:tcW w:w="4140" w:type="dxa"/>
            <w:vAlign w:val="bottom"/>
            <w:tcBorders>
              <w:bottom w:val="single" w:sz="8" w:color="0000EE"/>
            </w:tcBorders>
            <w:gridSpan w:val="32"/>
          </w:tcPr>
          <w:p>
            <w:pPr>
              <w:spacing w:after="0"/>
              <w:rPr>
                <w:rFonts w:ascii="Arial" w:cs="Arial" w:eastAsia="Arial" w:hAnsi="Arial"/>
                <w:sz w:val="17"/>
                <w:szCs w:val="17"/>
                <w:color w:val="0000EE"/>
                <w:w w:val="89"/>
              </w:rPr>
            </w:pPr>
            <w:hyperlink w:anchor="page90">
              <w:r>
                <w:rPr>
                  <w:rFonts w:ascii="Arial" w:cs="Arial" w:eastAsia="Arial" w:hAnsi="Arial"/>
                  <w:sz w:val="17"/>
                  <w:szCs w:val="17"/>
                  <w:color w:val="0000EE"/>
                  <w:w w:val="89"/>
                </w:rPr>
                <w:t>Unregistered Sales of Equity Securities and Use of Proceeds</w:t>
              </w:r>
            </w:hyperlink>
          </w:p>
        </w:tc>
        <w:tc>
          <w:tcPr>
            <w:tcW w:w="4040" w:type="dxa"/>
            <w:vAlign w:val="bottom"/>
            <w:gridSpan w:val="5"/>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90">
              <w:r>
                <w:rPr>
                  <w:rFonts w:ascii="Arial" w:cs="Arial" w:eastAsia="Arial" w:hAnsi="Arial"/>
                  <w:sz w:val="17"/>
                  <w:szCs w:val="17"/>
                  <w:color w:val="0000EE"/>
                  <w:w w:val="73"/>
                </w:rPr>
                <w:t>88</w:t>
              </w:r>
            </w:hyperlink>
          </w:p>
        </w:tc>
        <w:tc>
          <w:tcPr>
            <w:tcW w:w="480" w:type="dxa"/>
            <w:vAlign w:val="bottom"/>
          </w:tcPr>
          <w:p>
            <w:pPr>
              <w:spacing w:after="0"/>
              <w:rPr>
                <w:sz w:val="20"/>
                <w:szCs w:val="20"/>
                <w:color w:val="auto"/>
              </w:rPr>
            </w:pPr>
          </w:p>
        </w:tc>
      </w:tr>
      <w:tr>
        <w:trPr>
          <w:trHeight w:val="237"/>
        </w:trPr>
        <w:tc>
          <w:tcPr>
            <w:tcW w:w="1180" w:type="dxa"/>
            <w:vAlign w:val="bottom"/>
          </w:tcPr>
          <w:p>
            <w:pPr>
              <w:ind w:left="240"/>
              <w:spacing w:after="0"/>
              <w:rPr>
                <w:sz w:val="20"/>
                <w:szCs w:val="20"/>
                <w:color w:val="auto"/>
              </w:rPr>
            </w:pPr>
            <w:r>
              <w:rPr>
                <w:rFonts w:ascii="Arial" w:cs="Arial" w:eastAsia="Arial" w:hAnsi="Arial"/>
                <w:sz w:val="17"/>
                <w:szCs w:val="17"/>
                <w:color w:val="auto"/>
              </w:rPr>
              <w:t>Item 6.</w:t>
            </w:r>
          </w:p>
        </w:tc>
        <w:tc>
          <w:tcPr>
            <w:tcW w:w="240" w:type="dxa"/>
            <w:vAlign w:val="bottom"/>
          </w:tcPr>
          <w:p>
            <w:pPr>
              <w:spacing w:after="0"/>
              <w:rPr>
                <w:sz w:val="20"/>
                <w:szCs w:val="20"/>
                <w:color w:val="auto"/>
              </w:rPr>
            </w:pPr>
          </w:p>
        </w:tc>
        <w:tc>
          <w:tcPr>
            <w:tcW w:w="580" w:type="dxa"/>
            <w:vAlign w:val="bottom"/>
            <w:tcBorders>
              <w:bottom w:val="single" w:sz="8" w:color="0000EE"/>
            </w:tcBorders>
            <w:gridSpan w:val="4"/>
          </w:tcPr>
          <w:p>
            <w:pPr>
              <w:spacing w:after="0"/>
              <w:rPr>
                <w:rFonts w:ascii="Arial" w:cs="Arial" w:eastAsia="Arial" w:hAnsi="Arial"/>
                <w:sz w:val="17"/>
                <w:szCs w:val="17"/>
                <w:color w:val="0000EE"/>
                <w:w w:val="94"/>
              </w:rPr>
            </w:pPr>
            <w:hyperlink w:anchor="page90">
              <w:r>
                <w:rPr>
                  <w:rFonts w:ascii="Arial" w:cs="Arial" w:eastAsia="Arial" w:hAnsi="Arial"/>
                  <w:sz w:val="17"/>
                  <w:szCs w:val="17"/>
                  <w:color w:val="0000EE"/>
                  <w:w w:val="94"/>
                </w:rPr>
                <w:t>Exhibits</w:t>
              </w:r>
            </w:hyperlink>
          </w:p>
        </w:tc>
        <w:tc>
          <w:tcPr>
            <w:tcW w:w="7600" w:type="dxa"/>
            <w:vAlign w:val="bottom"/>
            <w:gridSpan w:val="33"/>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90">
              <w:r>
                <w:rPr>
                  <w:rFonts w:ascii="Arial" w:cs="Arial" w:eastAsia="Arial" w:hAnsi="Arial"/>
                  <w:sz w:val="17"/>
                  <w:szCs w:val="17"/>
                  <w:color w:val="0000EE"/>
                  <w:w w:val="73"/>
                </w:rPr>
                <w:t>88</w:t>
              </w:r>
            </w:hyperlink>
          </w:p>
        </w:tc>
        <w:tc>
          <w:tcPr>
            <w:tcW w:w="480" w:type="dxa"/>
            <w:vAlign w:val="bottom"/>
          </w:tcPr>
          <w:p>
            <w:pPr>
              <w:spacing w:after="0"/>
              <w:rPr>
                <w:sz w:val="20"/>
                <w:szCs w:val="20"/>
                <w:color w:val="auto"/>
              </w:rPr>
            </w:pPr>
          </w:p>
        </w:tc>
      </w:tr>
      <w:tr>
        <w:trPr>
          <w:trHeight w:val="237"/>
        </w:trPr>
        <w:tc>
          <w:tcPr>
            <w:tcW w:w="1180" w:type="dxa"/>
            <w:vAlign w:val="bottom"/>
          </w:tcPr>
          <w:p>
            <w:pPr>
              <w:spacing w:after="0"/>
              <w:rPr>
                <w:sz w:val="20"/>
                <w:szCs w:val="20"/>
                <w:color w:val="auto"/>
              </w:rPr>
            </w:pPr>
          </w:p>
        </w:tc>
        <w:tc>
          <w:tcPr>
            <w:tcW w:w="8420" w:type="dxa"/>
            <w:vAlign w:val="bottom"/>
            <w:gridSpan w:val="38"/>
          </w:tcPr>
          <w:p>
            <w:pPr>
              <w:spacing w:after="0"/>
              <w:rPr>
                <w:rFonts w:ascii="Arial" w:cs="Arial" w:eastAsia="Arial" w:hAnsi="Arial"/>
                <w:sz w:val="17"/>
                <w:szCs w:val="17"/>
                <w:color w:val="0000EE"/>
              </w:rPr>
            </w:pPr>
            <w:hyperlink w:anchor="page92">
              <w:r>
                <w:rPr>
                  <w:rFonts w:ascii="Arial" w:cs="Arial" w:eastAsia="Arial" w:hAnsi="Arial"/>
                  <w:sz w:val="17"/>
                  <w:szCs w:val="17"/>
                  <w:color w:val="0000EE"/>
                </w:rPr>
                <w:t>SIGNATURES</w:t>
              </w:r>
            </w:hyperlink>
          </w:p>
        </w:tc>
        <w:tc>
          <w:tcPr>
            <w:tcW w:w="1060" w:type="dxa"/>
            <w:vAlign w:val="bottom"/>
            <w:gridSpan w:val="3"/>
          </w:tcPr>
          <w:p>
            <w:pPr>
              <w:jc w:val="center"/>
              <w:spacing w:after="0"/>
              <w:rPr>
                <w:rFonts w:ascii="Arial" w:cs="Arial" w:eastAsia="Arial" w:hAnsi="Arial"/>
                <w:sz w:val="17"/>
                <w:szCs w:val="17"/>
                <w:color w:val="0000EE"/>
                <w:w w:val="94"/>
              </w:rPr>
            </w:pPr>
            <w:hyperlink w:anchor="page92">
              <w:r>
                <w:rPr>
                  <w:rFonts w:ascii="Arial" w:cs="Arial" w:eastAsia="Arial" w:hAnsi="Arial"/>
                  <w:sz w:val="17"/>
                  <w:szCs w:val="17"/>
                  <w:color w:val="0000EE"/>
                  <w:w w:val="94"/>
                </w:rPr>
                <w:t>90</w:t>
              </w:r>
            </w:hyperlink>
          </w:p>
        </w:tc>
      </w:tr>
      <w:tr>
        <w:trPr>
          <w:trHeight w:val="20"/>
        </w:trPr>
        <w:tc>
          <w:tcPr>
            <w:tcW w:w="1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bl>
    <w:p>
      <w:pPr>
        <w:spacing w:after="0" w:line="161"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 xml:space="preserve">Throughout this report, we refer to brands that we own, as well as those brands that we license as our brands. All brand names, trademarks, service marks and trade names cited in this report are the property of their respective owners, including those of other companies and organizations. Solely for convenience, trademarks, trade names and service marks referred to in this report may appear without the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or </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symbols, however such references are not intended to indicate in any way that MVW or the owner, as applicable, will not assert, to the fullest extent under applicable law, all rights to such trademarks, trade names and service marks. Capitalized terms used and not specifically defined herein have the same meaning given those terms in our Annual Report on Form 10-K for the year ended December 31, 2018. When discussing our properties or markets, we refer to the United States, Mexico, Central America and the Caribbean as “North America.”</w:t>
      </w:r>
    </w:p>
    <w:p>
      <w:pPr>
        <w:spacing w:after="0" w:line="98" w:lineRule="exact"/>
        <w:rPr>
          <w:sz w:val="20"/>
          <w:szCs w:val="20"/>
          <w:color w:val="auto"/>
        </w:rPr>
      </w:pPr>
    </w:p>
    <w:p>
      <w:pPr>
        <w:jc w:val="both"/>
        <w:ind w:right="200" w:firstLine="662"/>
        <w:spacing w:after="0" w:line="312" w:lineRule="auto"/>
        <w:rPr>
          <w:sz w:val="20"/>
          <w:szCs w:val="20"/>
          <w:color w:val="auto"/>
        </w:rPr>
      </w:pPr>
      <w:r>
        <w:rPr>
          <w:rFonts w:ascii="Arial" w:cs="Arial" w:eastAsia="Arial" w:hAnsi="Arial"/>
          <w:sz w:val="16"/>
          <w:szCs w:val="16"/>
          <w:color w:val="auto"/>
        </w:rPr>
        <w:t>On September 1, 2018, we completed the acquisition of ILG, LLC (formerly known as ILG, Inc. (“ILG”)). ILG’s businesses include Aqua-Aston Hospitality, Hyatt Vacation Ownership (“HVO”), Interval International, Trading Places International (“TPI”), Vacation Resorts International (“VRI”), VRI Europe and Vistana Signature Experiences (“Vistana”), the exclusive licensee for the Sheraton and Westin brands in vacation ownership.</w:t>
      </w:r>
    </w:p>
    <w:p>
      <w:pPr>
        <w:sectPr>
          <w:pgSz w:w="11900" w:h="16838" w:orient="portrait"/>
          <w:cols w:equalWidth="0" w:num="1">
            <w:col w:w="11340"/>
          </w:cols>
          <w:pgMar w:left="240" w:top="796"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 (UNAUDITED)</w:t>
      </w:r>
    </w:p>
    <w:p>
      <w:pPr>
        <w:spacing w:after="0" w:line="1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680" w:type="dxa"/>
            <w:vAlign w:val="bottom"/>
            <w:gridSpan w:val="4"/>
          </w:tcPr>
          <w:p>
            <w:pPr>
              <w:jc w:val="right"/>
              <w:ind w:right="670"/>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2019</w:t>
            </w: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 2018</w:t>
            </w: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2019</w:t>
            </w:r>
          </w:p>
        </w:tc>
        <w:tc>
          <w:tcPr>
            <w:tcW w:w="16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6"/>
                <w:szCs w:val="16"/>
                <w:b w:val="1"/>
                <w:bCs w:val="1"/>
                <w:color w:val="auto"/>
                <w:w w:val="92"/>
              </w:rPr>
              <w:t>June 30, 2018</w:t>
            </w:r>
          </w:p>
        </w:tc>
      </w:tr>
      <w:tr>
        <w:trPr>
          <w:trHeight w:val="33"/>
        </w:trPr>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REVENUES</w:t>
            </w:r>
          </w:p>
        </w:tc>
        <w:tc>
          <w:tcPr>
            <w:tcW w:w="80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280" w:type="dxa"/>
            <w:vAlign w:val="bottom"/>
          </w:tcPr>
          <w:p>
            <w:pPr>
              <w:spacing w:after="0"/>
              <w:rPr>
                <w:sz w:val="21"/>
                <w:szCs w:val="21"/>
                <w:color w:val="auto"/>
              </w:rPr>
            </w:pPr>
          </w:p>
        </w:tc>
        <w:tc>
          <w:tcPr>
            <w:tcW w:w="5340" w:type="dxa"/>
            <w:vAlign w:val="bottom"/>
            <w:gridSpan w:val="4"/>
          </w:tcPr>
          <w:p>
            <w:pPr>
              <w:spacing w:after="0"/>
              <w:rPr>
                <w:sz w:val="20"/>
                <w:szCs w:val="20"/>
                <w:color w:val="auto"/>
              </w:rPr>
            </w:pPr>
            <w:r>
              <w:rPr>
                <w:rFonts w:ascii="Arial" w:cs="Arial" w:eastAsia="Arial" w:hAnsi="Arial"/>
                <w:sz w:val="18"/>
                <w:szCs w:val="18"/>
                <w:color w:val="auto"/>
              </w:rPr>
              <w:t>Sale of vacation ownership products</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380</w:t>
            </w:r>
          </w:p>
        </w:tc>
      </w:tr>
      <w:tr>
        <w:trPr>
          <w:trHeight w:val="27"/>
        </w:trPr>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Management and exchange</w:t>
            </w:r>
          </w:p>
        </w:tc>
        <w:tc>
          <w:tcPr>
            <w:tcW w:w="2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r>
      <w:tr>
        <w:trPr>
          <w:trHeight w:val="243"/>
        </w:trPr>
        <w:tc>
          <w:tcPr>
            <w:tcW w:w="280" w:type="dxa"/>
            <w:vAlign w:val="bottom"/>
          </w:tcPr>
          <w:p>
            <w:pPr>
              <w:spacing w:after="0"/>
              <w:rPr>
                <w:sz w:val="21"/>
                <w:szCs w:val="21"/>
                <w:color w:val="auto"/>
              </w:rPr>
            </w:pPr>
          </w:p>
        </w:tc>
        <w:tc>
          <w:tcPr>
            <w:tcW w:w="5340" w:type="dxa"/>
            <w:vAlign w:val="bottom"/>
            <w:gridSpan w:val="4"/>
          </w:tcPr>
          <w:p>
            <w:pPr>
              <w:spacing w:after="0"/>
              <w:rPr>
                <w:sz w:val="20"/>
                <w:szCs w:val="20"/>
                <w:color w:val="auto"/>
              </w:rPr>
            </w:pPr>
            <w:r>
              <w:rPr>
                <w:rFonts w:ascii="Arial" w:cs="Arial" w:eastAsia="Arial" w:hAnsi="Arial"/>
                <w:sz w:val="18"/>
                <w:szCs w:val="18"/>
                <w:color w:val="auto"/>
              </w:rPr>
              <w:t>Rental</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149</w:t>
            </w:r>
          </w:p>
        </w:tc>
      </w:tr>
      <w:tr>
        <w:trPr>
          <w:trHeight w:val="27"/>
        </w:trPr>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Financing</w:t>
            </w:r>
          </w:p>
        </w:tc>
        <w:tc>
          <w:tcPr>
            <w:tcW w:w="80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280" w:type="dxa"/>
            <w:vAlign w:val="bottom"/>
          </w:tcPr>
          <w:p>
            <w:pPr>
              <w:spacing w:after="0"/>
              <w:rPr>
                <w:sz w:val="21"/>
                <w:szCs w:val="21"/>
                <w:color w:val="auto"/>
              </w:rPr>
            </w:pPr>
          </w:p>
        </w:tc>
        <w:tc>
          <w:tcPr>
            <w:tcW w:w="5340" w:type="dxa"/>
            <w:vAlign w:val="bottom"/>
            <w:gridSpan w:val="4"/>
          </w:tcPr>
          <w:p>
            <w:pPr>
              <w:spacing w:after="0"/>
              <w:rPr>
                <w:sz w:val="20"/>
                <w:szCs w:val="20"/>
                <w:color w:val="auto"/>
              </w:rPr>
            </w:pPr>
            <w:r>
              <w:rPr>
                <w:rFonts w:ascii="Arial" w:cs="Arial" w:eastAsia="Arial" w:hAnsi="Arial"/>
                <w:sz w:val="18"/>
                <w:szCs w:val="18"/>
                <w:color w:val="auto"/>
              </w:rPr>
              <w:t>Cost reimbursements</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418</w:t>
            </w:r>
          </w:p>
        </w:tc>
      </w:tr>
      <w:tr>
        <w:trPr>
          <w:trHeight w:val="27"/>
        </w:trPr>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7"/>
                <w:shd w:val="clear" w:color="auto" w:fill="CCEEFF"/>
              </w:rPr>
              <w:t>TOTAL REVENUES</w:t>
            </w:r>
          </w:p>
        </w:tc>
        <w:tc>
          <w:tcPr>
            <w:tcW w:w="80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w:t>
            </w:r>
          </w:p>
        </w:tc>
      </w:tr>
      <w:tr>
        <w:trPr>
          <w:trHeight w:val="237"/>
        </w:trPr>
        <w:tc>
          <w:tcPr>
            <w:tcW w:w="5620" w:type="dxa"/>
            <w:vAlign w:val="bottom"/>
            <w:gridSpan w:val="5"/>
          </w:tcPr>
          <w:p>
            <w:pPr>
              <w:ind w:left="40"/>
              <w:spacing w:after="0"/>
              <w:rPr>
                <w:sz w:val="20"/>
                <w:szCs w:val="20"/>
                <w:color w:val="auto"/>
              </w:rPr>
            </w:pPr>
            <w:r>
              <w:rPr>
                <w:rFonts w:ascii="Arial" w:cs="Arial" w:eastAsia="Arial" w:hAnsi="Arial"/>
                <w:sz w:val="18"/>
                <w:szCs w:val="18"/>
                <w:b w:val="1"/>
                <w:bCs w:val="1"/>
                <w:color w:val="auto"/>
              </w:rPr>
              <w:t>EXPENSES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0"/>
                <w:shd w:val="clear" w:color="auto" w:fill="CCEEFF"/>
              </w:rPr>
              <w:t>Cost of vacation ownership products</w:t>
            </w:r>
          </w:p>
        </w:tc>
        <w:tc>
          <w:tcPr>
            <w:tcW w:w="2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43"/>
        </w:trPr>
        <w:tc>
          <w:tcPr>
            <w:tcW w:w="280" w:type="dxa"/>
            <w:vAlign w:val="bottom"/>
          </w:tcPr>
          <w:p>
            <w:pPr>
              <w:spacing w:after="0"/>
              <w:rPr>
                <w:sz w:val="21"/>
                <w:szCs w:val="21"/>
                <w:color w:val="auto"/>
              </w:rPr>
            </w:pPr>
          </w:p>
        </w:tc>
        <w:tc>
          <w:tcPr>
            <w:tcW w:w="5340" w:type="dxa"/>
            <w:vAlign w:val="bottom"/>
            <w:gridSpan w:val="4"/>
          </w:tcPr>
          <w:p>
            <w:pPr>
              <w:spacing w:after="0"/>
              <w:rPr>
                <w:sz w:val="20"/>
                <w:szCs w:val="20"/>
                <w:color w:val="auto"/>
              </w:rPr>
            </w:pPr>
            <w:r>
              <w:rPr>
                <w:rFonts w:ascii="Arial" w:cs="Arial" w:eastAsia="Arial" w:hAnsi="Arial"/>
                <w:sz w:val="18"/>
                <w:szCs w:val="18"/>
                <w:color w:val="auto"/>
              </w:rPr>
              <w:t>Marketing and sales</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211</w:t>
            </w:r>
          </w:p>
        </w:tc>
      </w:tr>
      <w:tr>
        <w:trPr>
          <w:trHeight w:val="27"/>
        </w:trPr>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Management and exchange</w:t>
            </w:r>
          </w:p>
        </w:tc>
        <w:tc>
          <w:tcPr>
            <w:tcW w:w="2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280" w:type="dxa"/>
            <w:vAlign w:val="bottom"/>
          </w:tcPr>
          <w:p>
            <w:pPr>
              <w:spacing w:after="0"/>
              <w:rPr>
                <w:sz w:val="21"/>
                <w:szCs w:val="21"/>
                <w:color w:val="auto"/>
              </w:rPr>
            </w:pPr>
          </w:p>
        </w:tc>
        <w:tc>
          <w:tcPr>
            <w:tcW w:w="5340" w:type="dxa"/>
            <w:vAlign w:val="bottom"/>
            <w:gridSpan w:val="4"/>
          </w:tcPr>
          <w:p>
            <w:pPr>
              <w:spacing w:after="0"/>
              <w:rPr>
                <w:sz w:val="20"/>
                <w:szCs w:val="20"/>
                <w:color w:val="auto"/>
              </w:rPr>
            </w:pPr>
            <w:r>
              <w:rPr>
                <w:rFonts w:ascii="Arial" w:cs="Arial" w:eastAsia="Arial" w:hAnsi="Arial"/>
                <w:sz w:val="18"/>
                <w:szCs w:val="18"/>
                <w:color w:val="auto"/>
              </w:rPr>
              <w:t>Rental</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7"/>
        </w:trPr>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Financing</w:t>
            </w:r>
          </w:p>
        </w:tc>
        <w:tc>
          <w:tcPr>
            <w:tcW w:w="80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280" w:type="dxa"/>
            <w:vAlign w:val="bottom"/>
          </w:tcPr>
          <w:p>
            <w:pPr>
              <w:spacing w:after="0"/>
              <w:rPr>
                <w:sz w:val="21"/>
                <w:szCs w:val="21"/>
                <w:color w:val="auto"/>
              </w:rPr>
            </w:pPr>
          </w:p>
        </w:tc>
        <w:tc>
          <w:tcPr>
            <w:tcW w:w="5340" w:type="dxa"/>
            <w:vAlign w:val="bottom"/>
            <w:gridSpan w:val="4"/>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Depreciation and amortization</w:t>
            </w:r>
          </w:p>
        </w:tc>
        <w:tc>
          <w:tcPr>
            <w:tcW w:w="2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280" w:type="dxa"/>
            <w:vAlign w:val="bottom"/>
          </w:tcPr>
          <w:p>
            <w:pPr>
              <w:spacing w:after="0"/>
              <w:rPr>
                <w:sz w:val="21"/>
                <w:szCs w:val="21"/>
                <w:color w:val="auto"/>
              </w:rPr>
            </w:pPr>
          </w:p>
        </w:tc>
        <w:tc>
          <w:tcPr>
            <w:tcW w:w="5340" w:type="dxa"/>
            <w:vAlign w:val="bottom"/>
            <w:gridSpan w:val="4"/>
          </w:tcPr>
          <w:p>
            <w:pPr>
              <w:spacing w:after="0"/>
              <w:rPr>
                <w:sz w:val="20"/>
                <w:szCs w:val="20"/>
                <w:color w:val="auto"/>
              </w:rPr>
            </w:pPr>
            <w:r>
              <w:rPr>
                <w:rFonts w:ascii="Arial" w:cs="Arial" w:eastAsia="Arial" w:hAnsi="Arial"/>
                <w:sz w:val="18"/>
                <w:szCs w:val="18"/>
                <w:color w:val="auto"/>
              </w:rPr>
              <w:t>Litigation charges</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Royalty fee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280" w:type="dxa"/>
            <w:vAlign w:val="bottom"/>
          </w:tcPr>
          <w:p>
            <w:pPr>
              <w:spacing w:after="0"/>
              <w:rPr>
                <w:sz w:val="21"/>
                <w:szCs w:val="21"/>
                <w:color w:val="auto"/>
              </w:rPr>
            </w:pPr>
          </w:p>
        </w:tc>
        <w:tc>
          <w:tcPr>
            <w:tcW w:w="5340" w:type="dxa"/>
            <w:vAlign w:val="bottom"/>
            <w:gridSpan w:val="4"/>
          </w:tcPr>
          <w:p>
            <w:pPr>
              <w:spacing w:after="0"/>
              <w:rPr>
                <w:sz w:val="20"/>
                <w:szCs w:val="20"/>
                <w:color w:val="auto"/>
              </w:rPr>
            </w:pPr>
            <w:r>
              <w:rPr>
                <w:rFonts w:ascii="Arial" w:cs="Arial" w:eastAsia="Arial" w:hAnsi="Arial"/>
                <w:sz w:val="18"/>
                <w:szCs w:val="18"/>
                <w:color w:val="auto"/>
              </w:rPr>
              <w:t>Impairment</w:t>
            </w: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8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Cost reimbursements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r>
      <w:tr>
        <w:trPr>
          <w:trHeight w:val="237"/>
        </w:trPr>
        <w:tc>
          <w:tcPr>
            <w:tcW w:w="280" w:type="dxa"/>
            <w:vAlign w:val="bottom"/>
          </w:tcPr>
          <w:p>
            <w:pPr>
              <w:spacing w:after="0"/>
              <w:rPr>
                <w:sz w:val="20"/>
                <w:szCs w:val="20"/>
                <w:color w:val="auto"/>
              </w:rPr>
            </w:pPr>
          </w:p>
        </w:tc>
        <w:tc>
          <w:tcPr>
            <w:tcW w:w="5340" w:type="dxa"/>
            <w:vAlign w:val="bottom"/>
            <w:gridSpan w:val="4"/>
          </w:tcPr>
          <w:p>
            <w:pPr>
              <w:ind w:left="220"/>
              <w:spacing w:after="0"/>
              <w:rPr>
                <w:sz w:val="20"/>
                <w:szCs w:val="20"/>
                <w:color w:val="auto"/>
              </w:rPr>
            </w:pPr>
            <w:r>
              <w:rPr>
                <w:rFonts w:ascii="Arial" w:cs="Arial" w:eastAsia="Arial" w:hAnsi="Arial"/>
                <w:sz w:val="18"/>
                <w:szCs w:val="18"/>
                <w:b w:val="1"/>
                <w:bCs w:val="1"/>
                <w:color w:val="auto"/>
              </w:rPr>
              <w:t>TOTAL EXPENSES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1,894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1,064</w:t>
            </w:r>
          </w:p>
        </w:tc>
      </w:tr>
      <w:tr>
        <w:trPr>
          <w:trHeight w:val="27"/>
        </w:trPr>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8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Gains (losses) and other income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280" w:type="dxa"/>
            <w:vAlign w:val="bottom"/>
          </w:tcPr>
          <w:p>
            <w:pPr>
              <w:spacing w:after="0"/>
              <w:rPr>
                <w:sz w:val="21"/>
                <w:szCs w:val="21"/>
                <w:color w:val="auto"/>
              </w:rPr>
            </w:pPr>
          </w:p>
        </w:tc>
        <w:tc>
          <w:tcPr>
            <w:tcW w:w="5340" w:type="dxa"/>
            <w:vAlign w:val="bottom"/>
            <w:gridSpan w:val="4"/>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ILG acquisition-related costs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280" w:type="dxa"/>
            <w:vAlign w:val="bottom"/>
          </w:tcPr>
          <w:p>
            <w:pPr>
              <w:spacing w:after="0"/>
              <w:rPr>
                <w:sz w:val="21"/>
                <w:szCs w:val="21"/>
                <w:color w:val="auto"/>
              </w:rPr>
            </w:pPr>
          </w:p>
        </w:tc>
        <w:tc>
          <w:tcPr>
            <w:tcW w:w="5340" w:type="dxa"/>
            <w:vAlign w:val="bottom"/>
            <w:gridSpan w:val="4"/>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5"/>
        </w:trPr>
        <w:tc>
          <w:tcPr>
            <w:tcW w:w="5620" w:type="dxa"/>
            <w:vAlign w:val="bottom"/>
            <w:gridSpan w:val="5"/>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INCOME BEFORE INCOME TAXES AND NONCONTROLLING</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41"/>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INTERESTS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4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COMMON SHAREHOLDERS</w:t>
            </w: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0"/>
        </w:trPr>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11"/>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5"/>
        </w:trPr>
        <w:tc>
          <w:tcPr>
            <w:tcW w:w="5620" w:type="dxa"/>
            <w:vAlign w:val="bottom"/>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 ATTRIBUTABLE TO COMMON</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41"/>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280" w:type="dxa"/>
            <w:vAlign w:val="bottom"/>
          </w:tcPr>
          <w:p>
            <w:pPr>
              <w:spacing w:after="0"/>
              <w:rPr>
                <w:sz w:val="21"/>
                <w:szCs w:val="21"/>
                <w:color w:val="auto"/>
              </w:rPr>
            </w:pPr>
          </w:p>
        </w:tc>
        <w:tc>
          <w:tcPr>
            <w:tcW w:w="5340" w:type="dxa"/>
            <w:vAlign w:val="bottom"/>
            <w:gridSpan w:val="4"/>
          </w:tcPr>
          <w:p>
            <w:pPr>
              <w:spacing w:after="0"/>
              <w:rPr>
                <w:sz w:val="20"/>
                <w:szCs w:val="20"/>
                <w:color w:val="auto"/>
              </w:rPr>
            </w:pPr>
            <w:r>
              <w:rPr>
                <w:rFonts w:ascii="Arial" w:cs="Arial" w:eastAsia="Arial" w:hAnsi="Arial"/>
                <w:sz w:val="18"/>
                <w:szCs w:val="18"/>
                <w:color w:val="auto"/>
              </w:rPr>
              <w:t>Basic</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1.75</w:t>
            </w:r>
          </w:p>
        </w:tc>
      </w:tr>
      <w:tr>
        <w:trPr>
          <w:trHeight w:val="27"/>
        </w:trPr>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r>
      <w:tr>
        <w:trPr>
          <w:trHeight w:val="324"/>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CASH DIVIDENDS DECLARED PER SHARE</w:t>
            </w: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0.80</w:t>
            </w:r>
          </w:p>
        </w:tc>
      </w:tr>
      <w:tr>
        <w:trPr>
          <w:trHeight w:val="540"/>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6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89"/>
              </w:rPr>
              <w:t>See Notes to Interim Consolidated Financial Statements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68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2019</w:t>
            </w: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 2018</w:t>
            </w: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2019</w:t>
            </w:r>
          </w:p>
        </w:tc>
        <w:tc>
          <w:tcPr>
            <w:tcW w:w="160" w:type="dxa"/>
            <w:vAlign w:val="bottom"/>
          </w:tcPr>
          <w:p>
            <w:pPr>
              <w:spacing w:after="0"/>
              <w:rPr>
                <w:sz w:val="20"/>
                <w:szCs w:val="20"/>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b w:val="1"/>
                <w:bCs w:val="1"/>
                <w:color w:val="auto"/>
                <w:w w:val="92"/>
              </w:rPr>
              <w:t>June 30, 2018</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24"/>
        </w:trPr>
        <w:tc>
          <w:tcPr>
            <w:tcW w:w="5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Derivative instrument adjustment, net of tax</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 NET OF TAX</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8"/>
        </w:trPr>
        <w:tc>
          <w:tcPr>
            <w:tcW w:w="56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w w:val="98"/>
              </w:rPr>
              <w:t>Other comprehensive income attributable to noncontrolling interests</w:t>
            </w: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COMPREHENSIVE INCOME ATTRIBUTABLE TO</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NONCONTROLLING INTERESTS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56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6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COMPREHENSIVE INCOME ATTRIBUTABLE TO COMMON</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the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INTERIM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millions, except share and per share data)</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190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Unaudited June 30, 2019</w:t>
            </w:r>
          </w:p>
        </w:tc>
        <w:tc>
          <w:tcPr>
            <w:tcW w:w="180" w:type="dxa"/>
            <w:vAlign w:val="bottom"/>
          </w:tcPr>
          <w:p>
            <w:pPr>
              <w:spacing w:after="0"/>
              <w:rPr>
                <w:sz w:val="18"/>
                <w:szCs w:val="18"/>
                <w:color w:val="auto"/>
              </w:rPr>
            </w:pPr>
          </w:p>
        </w:tc>
        <w:tc>
          <w:tcPr>
            <w:tcW w:w="1640" w:type="dxa"/>
            <w:vAlign w:val="bottom"/>
          </w:tcPr>
          <w:p>
            <w:pPr>
              <w:jc w:val="right"/>
              <w:ind w:right="170"/>
              <w:spacing w:after="0"/>
              <w:rPr>
                <w:sz w:val="20"/>
                <w:szCs w:val="20"/>
                <w:color w:val="auto"/>
              </w:rPr>
            </w:pPr>
            <w:r>
              <w:rPr>
                <w:rFonts w:ascii="Arial" w:cs="Arial" w:eastAsia="Arial" w:hAnsi="Arial"/>
                <w:sz w:val="16"/>
                <w:szCs w:val="16"/>
                <w:b w:val="1"/>
                <w:bCs w:val="1"/>
                <w:color w:val="auto"/>
                <w:w w:val="94"/>
              </w:rPr>
              <w:t>December 31, 2018</w:t>
            </w:r>
          </w:p>
        </w:tc>
      </w:tr>
      <w:tr>
        <w:trPr>
          <w:trHeight w:val="33"/>
        </w:trPr>
        <w:tc>
          <w:tcPr>
            <w:tcW w:w="76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231</w:t>
            </w:r>
          </w:p>
        </w:tc>
      </w:tr>
      <w:tr>
        <w:trPr>
          <w:trHeight w:val="27"/>
        </w:trPr>
        <w:tc>
          <w:tcPr>
            <w:tcW w:w="7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(including $80 and $69 from VIEs, respectively)</w:t>
            </w: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Accounts receivable, net (including $12 and $11 from VIEs, respectively)</w:t>
            </w:r>
          </w:p>
        </w:tc>
        <w:tc>
          <w:tcPr>
            <w:tcW w:w="6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324</w:t>
            </w:r>
          </w:p>
        </w:tc>
      </w:tr>
      <w:tr>
        <w:trPr>
          <w:trHeight w:val="27"/>
        </w:trPr>
        <w:tc>
          <w:tcPr>
            <w:tcW w:w="7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Vacation ownership notes receivable, net (including $1,681 and $1,627 from VIEs, respectively)</w:t>
            </w: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2,039</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Inventory</w:t>
            </w:r>
          </w:p>
        </w:tc>
        <w:tc>
          <w:tcPr>
            <w:tcW w:w="6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863</w:t>
            </w:r>
          </w:p>
        </w:tc>
      </w:tr>
      <w:tr>
        <w:trPr>
          <w:trHeight w:val="27"/>
        </w:trPr>
        <w:tc>
          <w:tcPr>
            <w:tcW w:w="7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951</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Goodwill</w:t>
            </w:r>
          </w:p>
        </w:tc>
        <w:tc>
          <w:tcPr>
            <w:tcW w:w="6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2,828</w:t>
            </w:r>
          </w:p>
        </w:tc>
      </w:tr>
      <w:tr>
        <w:trPr>
          <w:trHeight w:val="27"/>
        </w:trPr>
        <w:tc>
          <w:tcPr>
            <w:tcW w:w="7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Intangibles, net</w:t>
            </w: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1,107</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Other (including $34 and $26 from VIEs, respectively)</w:t>
            </w:r>
          </w:p>
        </w:tc>
        <w:tc>
          <w:tcPr>
            <w:tcW w:w="6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292</w:t>
            </w:r>
          </w:p>
        </w:tc>
      </w:tr>
      <w:tr>
        <w:trPr>
          <w:trHeight w:val="27"/>
        </w:trPr>
        <w:tc>
          <w:tcPr>
            <w:tcW w:w="76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ASSETS</w:t>
            </w: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9,018</w:t>
            </w:r>
          </w:p>
        </w:tc>
      </w:tr>
      <w:tr>
        <w:trPr>
          <w:trHeight w:val="20"/>
        </w:trPr>
        <w:tc>
          <w:tcPr>
            <w:tcW w:w="76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84"/>
        </w:trPr>
        <w:tc>
          <w:tcPr>
            <w:tcW w:w="7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253</w:t>
            </w:r>
          </w:p>
        </w:tc>
      </w:tr>
      <w:tr>
        <w:trPr>
          <w:trHeight w:val="27"/>
        </w:trPr>
        <w:tc>
          <w:tcPr>
            <w:tcW w:w="7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Advance deposits</w:t>
            </w: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Accrued liabilities (including $3 and $2 from VIEs, respectively)</w:t>
            </w:r>
          </w:p>
        </w:tc>
        <w:tc>
          <w:tcPr>
            <w:tcW w:w="6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357</w:t>
            </w:r>
          </w:p>
        </w:tc>
      </w:tr>
      <w:tr>
        <w:trPr>
          <w:trHeight w:val="27"/>
        </w:trPr>
        <w:tc>
          <w:tcPr>
            <w:tcW w:w="7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Payroll and benefits liability</w:t>
            </w:r>
          </w:p>
        </w:tc>
        <w:tc>
          <w:tcPr>
            <w:tcW w:w="6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211</w:t>
            </w:r>
          </w:p>
        </w:tc>
      </w:tr>
      <w:tr>
        <w:trPr>
          <w:trHeight w:val="27"/>
        </w:trPr>
        <w:tc>
          <w:tcPr>
            <w:tcW w:w="7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 liability</w:t>
            </w: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Securitized debt, net (including $1,787 and $1,706 from VIEs, respectively)</w:t>
            </w:r>
          </w:p>
        </w:tc>
        <w:tc>
          <w:tcPr>
            <w:tcW w:w="6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1,714</w:t>
            </w:r>
          </w:p>
        </w:tc>
      </w:tr>
      <w:tr>
        <w:trPr>
          <w:trHeight w:val="27"/>
        </w:trPr>
        <w:tc>
          <w:tcPr>
            <w:tcW w:w="7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net</w:t>
            </w: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2,104</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Other</w:t>
            </w:r>
          </w:p>
        </w:tc>
        <w:tc>
          <w:tcPr>
            <w:tcW w:w="6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7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taxes</w:t>
            </w:r>
          </w:p>
        </w:tc>
        <w:tc>
          <w:tcPr>
            <w:tcW w:w="6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w:t>
            </w:r>
          </w:p>
        </w:tc>
      </w:tr>
      <w:tr>
        <w:trPr>
          <w:trHeight w:val="237"/>
        </w:trPr>
        <w:tc>
          <w:tcPr>
            <w:tcW w:w="7600" w:type="dxa"/>
            <w:vAlign w:val="bottom"/>
          </w:tcPr>
          <w:p>
            <w:pPr>
              <w:ind w:left="480"/>
              <w:spacing w:after="0"/>
              <w:rPr>
                <w:sz w:val="20"/>
                <w:szCs w:val="20"/>
                <w:color w:val="auto"/>
              </w:rPr>
            </w:pPr>
            <w:r>
              <w:rPr>
                <w:rFonts w:ascii="Arial" w:cs="Arial" w:eastAsia="Arial" w:hAnsi="Arial"/>
                <w:sz w:val="18"/>
                <w:szCs w:val="18"/>
                <w:b w:val="1"/>
                <w:bCs w:val="1"/>
                <w:color w:val="auto"/>
              </w:rPr>
              <w:t>TOTAL LIABILITIES</w:t>
            </w:r>
          </w:p>
        </w:tc>
        <w:tc>
          <w:tcPr>
            <w:tcW w:w="6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5,552</w:t>
            </w:r>
          </w:p>
        </w:tc>
      </w:tr>
      <w:tr>
        <w:trPr>
          <w:trHeight w:val="27"/>
        </w:trPr>
        <w:tc>
          <w:tcPr>
            <w:tcW w:w="76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Contingencies and Commitments (Note 11)</w:t>
            </w: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Preferred stock — $0.01 par value; 2,000,000 shares authorized; none issued or outstanding</w:t>
            </w:r>
          </w:p>
        </w:tc>
        <w:tc>
          <w:tcPr>
            <w:tcW w:w="6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Common stock — $0.01 par value; 100,000,000 shares authorized; 57,862,278 and 57,626,462 shares</w:t>
            </w: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issued, respectively</w:t>
            </w:r>
          </w:p>
        </w:tc>
        <w:tc>
          <w:tcPr>
            <w:tcW w:w="6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Treasury stock — at cost; 13,979,609 and 11,633,731 shares, respectively</w:t>
            </w:r>
          </w:p>
        </w:tc>
        <w:tc>
          <w:tcPr>
            <w:tcW w:w="6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(790)</w:t>
            </w:r>
          </w:p>
        </w:tc>
      </w:tr>
      <w:tr>
        <w:trPr>
          <w:trHeight w:val="27"/>
        </w:trPr>
        <w:tc>
          <w:tcPr>
            <w:tcW w:w="7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3,721</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Accumulated other comprehensive (loss) income</w:t>
            </w:r>
          </w:p>
        </w:tc>
        <w:tc>
          <w:tcPr>
            <w:tcW w:w="6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7"/>
        </w:trPr>
        <w:tc>
          <w:tcPr>
            <w:tcW w:w="7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6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523</w:t>
            </w:r>
          </w:p>
        </w:tc>
      </w:tr>
      <w:tr>
        <w:trPr>
          <w:trHeight w:val="237"/>
        </w:trPr>
        <w:tc>
          <w:tcPr>
            <w:tcW w:w="7600" w:type="dxa"/>
            <w:vAlign w:val="bottom"/>
          </w:tcPr>
          <w:p>
            <w:pPr>
              <w:ind w:left="480"/>
              <w:spacing w:after="0"/>
              <w:rPr>
                <w:sz w:val="20"/>
                <w:szCs w:val="20"/>
                <w:color w:val="auto"/>
              </w:rPr>
            </w:pPr>
            <w:r>
              <w:rPr>
                <w:rFonts w:ascii="Arial" w:cs="Arial" w:eastAsia="Arial" w:hAnsi="Arial"/>
                <w:sz w:val="18"/>
                <w:szCs w:val="18"/>
                <w:b w:val="1"/>
                <w:bCs w:val="1"/>
                <w:color w:val="auto"/>
              </w:rPr>
              <w:t>TOTAL MVW SHAREHOLDERS' EQUITY</w:t>
            </w:r>
          </w:p>
        </w:tc>
        <w:tc>
          <w:tcPr>
            <w:tcW w:w="6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3,264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3,461</w:t>
            </w:r>
          </w:p>
        </w:tc>
      </w:tr>
      <w:tr>
        <w:trPr>
          <w:trHeight w:val="27"/>
        </w:trPr>
        <w:tc>
          <w:tcPr>
            <w:tcW w:w="7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6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r>
      <w:tr>
        <w:trPr>
          <w:trHeight w:val="237"/>
        </w:trPr>
        <w:tc>
          <w:tcPr>
            <w:tcW w:w="7600" w:type="dxa"/>
            <w:vAlign w:val="bottom"/>
          </w:tcPr>
          <w:p>
            <w:pPr>
              <w:ind w:left="480"/>
              <w:spacing w:after="0"/>
              <w:rPr>
                <w:sz w:val="20"/>
                <w:szCs w:val="20"/>
                <w:color w:val="auto"/>
              </w:rPr>
            </w:pPr>
            <w:r>
              <w:rPr>
                <w:rFonts w:ascii="Arial" w:cs="Arial" w:eastAsia="Arial" w:hAnsi="Arial"/>
                <w:sz w:val="18"/>
                <w:szCs w:val="18"/>
                <w:b w:val="1"/>
                <w:bCs w:val="1"/>
                <w:color w:val="auto"/>
              </w:rPr>
              <w:t>TOTAL EQUITY</w:t>
            </w:r>
          </w:p>
        </w:tc>
        <w:tc>
          <w:tcPr>
            <w:tcW w:w="6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3,270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3,466</w:t>
            </w:r>
          </w:p>
        </w:tc>
      </w:tr>
      <w:tr>
        <w:trPr>
          <w:trHeight w:val="27"/>
        </w:trPr>
        <w:tc>
          <w:tcPr>
            <w:tcW w:w="76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LIABILITIES AND EQUITY</w:t>
            </w: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9,018</w:t>
            </w:r>
          </w:p>
        </w:tc>
      </w:tr>
      <w:tr>
        <w:trPr>
          <w:trHeight w:val="20"/>
        </w:trPr>
        <w:tc>
          <w:tcPr>
            <w:tcW w:w="76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abbreviation VIEs above means Variable Interest Entities.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80" w:right="2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CASH FLOWS</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gridSpan w:val="4"/>
          </w:tcPr>
          <w:p>
            <w:pPr>
              <w:jc w:val="right"/>
              <w:ind w:right="910"/>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2019</w:t>
            </w:r>
          </w:p>
        </w:tc>
        <w:tc>
          <w:tcPr>
            <w:tcW w:w="22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Arial" w:cs="Arial" w:eastAsia="Arial" w:hAnsi="Arial"/>
                <w:sz w:val="16"/>
                <w:szCs w:val="16"/>
                <w:b w:val="1"/>
                <w:bCs w:val="1"/>
                <w:color w:val="auto"/>
                <w:w w:val="99"/>
              </w:rPr>
              <w:t>June 30, 2018</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Adjustments to reconcile net income to net cash, cash equivalents and restricted cash provided by operating</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Depreciation and amortization of intangibles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discount and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Vacation ownership notes receivable reserve</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Impairment charges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Net change in assets and liabilities, net of the effects of acquisition:</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Vacation ownership notes receivable originations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Vacation ownership notes receivable collections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Accounts payable, advance deposits and accrued liabilities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Payroll and benefit liabilities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compensation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cash equivalents and restricted cash provided by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Proceeds from collection of notes receivable</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 of company owned life insurance</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8120" w:type="dxa"/>
            <w:vAlign w:val="bottom"/>
          </w:tcPr>
          <w:p>
            <w:pPr>
              <w:ind w:left="720"/>
              <w:spacing w:after="0"/>
              <w:rPr>
                <w:sz w:val="20"/>
                <w:szCs w:val="20"/>
                <w:color w:val="auto"/>
              </w:rPr>
            </w:pPr>
            <w:r>
              <w:rPr>
                <w:rFonts w:ascii="Arial" w:cs="Arial" w:eastAsia="Arial" w:hAnsi="Arial"/>
                <w:sz w:val="18"/>
                <w:szCs w:val="18"/>
                <w:color w:val="auto"/>
              </w:rPr>
              <w:t>Net cash, cash equivalents and restricted cash provided by (used in) investing activities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86" w:right="2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INTERIM CONSOLIDATED STATEMENTS OF CASH FLOWS (CONTINUED)</w:t>
      </w:r>
    </w:p>
    <w:p>
      <w:pPr>
        <w:spacing w:after="0" w:line="2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gridSpan w:val="4"/>
          </w:tcPr>
          <w:p>
            <w:pPr>
              <w:jc w:val="right"/>
              <w:ind w:right="911"/>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8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8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 2019</w:t>
            </w:r>
          </w:p>
        </w:tc>
        <w:tc>
          <w:tcPr>
            <w:tcW w:w="200" w:type="dxa"/>
            <w:vAlign w:val="bottom"/>
          </w:tcPr>
          <w:p>
            <w:pPr>
              <w:spacing w:after="0"/>
              <w:rPr>
                <w:sz w:val="20"/>
                <w:szCs w:val="20"/>
                <w:color w:val="auto"/>
              </w:rPr>
            </w:pPr>
          </w:p>
        </w:tc>
        <w:tc>
          <w:tcPr>
            <w:tcW w:w="1380" w:type="dxa"/>
            <w:vAlign w:val="bottom"/>
          </w:tcPr>
          <w:p>
            <w:pPr>
              <w:jc w:val="right"/>
              <w:ind w:right="251"/>
              <w:spacing w:after="0"/>
              <w:rPr>
                <w:sz w:val="20"/>
                <w:szCs w:val="20"/>
                <w:color w:val="auto"/>
              </w:rPr>
            </w:pPr>
            <w:r>
              <w:rPr>
                <w:rFonts w:ascii="Arial" w:cs="Arial" w:eastAsia="Arial" w:hAnsi="Arial"/>
                <w:sz w:val="16"/>
                <w:szCs w:val="16"/>
                <w:b w:val="1"/>
                <w:bCs w:val="1"/>
                <w:color w:val="auto"/>
                <w:w w:val="97"/>
              </w:rPr>
              <w:t>June 30, 2018</w:t>
            </w:r>
          </w:p>
        </w:tc>
      </w:tr>
      <w:tr>
        <w:trPr>
          <w:trHeight w:val="33"/>
        </w:trPr>
        <w:tc>
          <w:tcPr>
            <w:tcW w:w="8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280"/>
              <w:spacing w:after="0"/>
              <w:rPr>
                <w:sz w:val="20"/>
                <w:szCs w:val="20"/>
                <w:color w:val="auto"/>
              </w:rPr>
            </w:pPr>
            <w:r>
              <w:rPr>
                <w:rFonts w:ascii="Arial" w:cs="Arial" w:eastAsia="Arial" w:hAnsi="Arial"/>
                <w:sz w:val="18"/>
                <w:szCs w:val="18"/>
                <w:color w:val="auto"/>
              </w:rPr>
              <w:t>Borrowings from securitization transactions</w:t>
            </w:r>
          </w:p>
        </w:tc>
        <w:tc>
          <w:tcPr>
            <w:tcW w:w="2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423</w:t>
            </w: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 of debt related to securitization 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43"/>
        </w:trPr>
        <w:tc>
          <w:tcPr>
            <w:tcW w:w="8080" w:type="dxa"/>
            <w:vAlign w:val="bottom"/>
          </w:tcPr>
          <w:p>
            <w:pPr>
              <w:ind w:left="280"/>
              <w:spacing w:after="0"/>
              <w:rPr>
                <w:sz w:val="20"/>
                <w:szCs w:val="20"/>
                <w:color w:val="auto"/>
              </w:rPr>
            </w:pPr>
            <w:r>
              <w:rPr>
                <w:rFonts w:ascii="Arial" w:cs="Arial" w:eastAsia="Arial" w:hAnsi="Arial"/>
                <w:sz w:val="18"/>
                <w:szCs w:val="18"/>
                <w:color w:val="auto"/>
              </w:rPr>
              <w:t>Proceeds from debt</w:t>
            </w:r>
          </w:p>
        </w:tc>
        <w:tc>
          <w:tcPr>
            <w:tcW w:w="2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Repayments of debt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8080" w:type="dxa"/>
            <w:vAlign w:val="bottom"/>
          </w:tcPr>
          <w:p>
            <w:pPr>
              <w:ind w:left="280"/>
              <w:spacing w:after="0"/>
              <w:rPr>
                <w:sz w:val="20"/>
                <w:szCs w:val="20"/>
                <w:color w:val="auto"/>
              </w:rPr>
            </w:pPr>
            <w:r>
              <w:rPr>
                <w:rFonts w:ascii="Arial" w:cs="Arial" w:eastAsia="Arial" w:hAnsi="Arial"/>
                <w:sz w:val="18"/>
                <w:szCs w:val="18"/>
                <w:color w:val="auto"/>
              </w:rPr>
              <w:t>Debt issuance costs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 of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8080" w:type="dxa"/>
            <w:vAlign w:val="bottom"/>
          </w:tcPr>
          <w:p>
            <w:pPr>
              <w:ind w:left="280"/>
              <w:spacing w:after="0"/>
              <w:rPr>
                <w:sz w:val="20"/>
                <w:szCs w:val="20"/>
                <w:color w:val="auto"/>
              </w:rPr>
            </w:pPr>
            <w:r>
              <w:rPr>
                <w:rFonts w:ascii="Arial" w:cs="Arial" w:eastAsia="Arial" w:hAnsi="Arial"/>
                <w:sz w:val="18"/>
                <w:szCs w:val="18"/>
                <w:color w:val="auto"/>
              </w:rPr>
              <w:t>Payment of dividends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8080" w:type="dxa"/>
            <w:vAlign w:val="bottom"/>
          </w:tcPr>
          <w:p>
            <w:pPr>
              <w:ind w:left="700"/>
              <w:spacing w:after="0"/>
              <w:rPr>
                <w:sz w:val="20"/>
                <w:szCs w:val="20"/>
                <w:color w:val="auto"/>
              </w:rPr>
            </w:pPr>
            <w:r>
              <w:rPr>
                <w:rFonts w:ascii="Arial" w:cs="Arial" w:eastAsia="Arial" w:hAnsi="Arial"/>
                <w:sz w:val="18"/>
                <w:szCs w:val="18"/>
                <w:color w:val="auto"/>
              </w:rPr>
              <w:t>Net cash, cash equivalents and restricted cash (used in) provided by financing activities</w:t>
            </w: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187</w:t>
            </w:r>
          </w:p>
        </w:tc>
      </w:tr>
      <w:tr>
        <w:trPr>
          <w:trHeight w:val="27"/>
        </w:trPr>
        <w:tc>
          <w:tcPr>
            <w:tcW w:w="8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changes in exchange rates on cash, cash equivalents and 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Change in cash, cash equivalents and restricted cash</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227</w:t>
            </w: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491</w:t>
            </w:r>
          </w:p>
        </w:tc>
      </w:tr>
      <w:tr>
        <w:trPr>
          <w:trHeight w:val="297"/>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718</w:t>
            </w:r>
          </w:p>
        </w:tc>
      </w:tr>
      <w:tr>
        <w:trPr>
          <w:trHeight w:val="284"/>
        </w:trPr>
        <w:tc>
          <w:tcPr>
            <w:tcW w:w="80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transfer from property and equipment to inventory</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080" w:type="dxa"/>
            <w:vAlign w:val="bottom"/>
          </w:tcPr>
          <w:p>
            <w:pPr>
              <w:ind w:left="280"/>
              <w:spacing w:after="0"/>
              <w:rPr>
                <w:sz w:val="20"/>
                <w:szCs w:val="20"/>
                <w:color w:val="auto"/>
              </w:rPr>
            </w:pPr>
            <w:r>
              <w:rPr>
                <w:rFonts w:ascii="Arial" w:cs="Arial" w:eastAsia="Arial" w:hAnsi="Arial"/>
                <w:sz w:val="18"/>
                <w:szCs w:val="18"/>
                <w:color w:val="auto"/>
              </w:rPr>
              <w:t>Interest paid, net of amounts capitalized</w:t>
            </w:r>
          </w:p>
        </w:tc>
        <w:tc>
          <w:tcPr>
            <w:tcW w:w="2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12</w:t>
            </w: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8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taxes paid, net of refunds</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r>
      <w:tr>
        <w:trPr>
          <w:trHeight w:val="27"/>
        </w:trPr>
        <w:tc>
          <w:tcPr>
            <w:tcW w:w="80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80" w:top="486"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SHAREHOLDERS’ EQUITY</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Total MVW</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0" w:type="dxa"/>
            <w:vAlign w:val="bottom"/>
            <w:vMerge w:val="continue"/>
          </w:tcPr>
          <w:p>
            <w:pPr>
              <w:spacing w:after="0"/>
              <w:rPr>
                <w:sz w:val="12"/>
                <w:szCs w:val="12"/>
                <w:color w:val="auto"/>
              </w:rPr>
            </w:pPr>
          </w:p>
        </w:tc>
        <w:tc>
          <w:tcPr>
            <w:tcW w:w="3200" w:type="dxa"/>
            <w:vAlign w:val="bottom"/>
          </w:tcPr>
          <w:p>
            <w:pPr>
              <w:spacing w:after="0"/>
              <w:rPr>
                <w:sz w:val="12"/>
                <w:szCs w:val="12"/>
                <w:color w:val="auto"/>
              </w:rPr>
            </w:pP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2"/>
                <w:szCs w:val="12"/>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Treasury</w:t>
            </w:r>
          </w:p>
        </w:tc>
        <w:tc>
          <w:tcPr>
            <w:tcW w:w="9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1000" w:type="dxa"/>
            <w:vAlign w:val="bottom"/>
            <w:gridSpan w:val="3"/>
            <w:vMerge w:val="continue"/>
          </w:tcPr>
          <w:p>
            <w:pPr>
              <w:spacing w:after="0"/>
              <w:rPr>
                <w:sz w:val="12"/>
                <w:szCs w:val="12"/>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2"/>
                <w:szCs w:val="12"/>
                <w:color w:val="auto"/>
              </w:rPr>
            </w:pPr>
          </w:p>
        </w:tc>
        <w:tc>
          <w:tcPr>
            <w:tcW w:w="6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32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Shareholders'</w:t>
            </w:r>
          </w:p>
        </w:tc>
        <w:tc>
          <w:tcPr>
            <w:tcW w:w="10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Issued</w:t>
            </w:r>
          </w:p>
        </w:tc>
        <w:tc>
          <w:tcPr>
            <w:tcW w:w="3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Income (Loss)</w:t>
            </w:r>
          </w:p>
        </w:tc>
        <w:tc>
          <w:tcPr>
            <w:tcW w:w="880" w:type="dxa"/>
            <w:vAlign w:val="bottom"/>
            <w:gridSpan w:val="3"/>
          </w:tcPr>
          <w:p>
            <w:pPr>
              <w:ind w:left="10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40" w:type="dxa"/>
            <w:vAlign w:val="bottom"/>
          </w:tcPr>
          <w:p>
            <w:pPr>
              <w:spacing w:after="0"/>
              <w:rPr>
                <w:sz w:val="16"/>
                <w:szCs w:val="16"/>
                <w:color w:val="auto"/>
              </w:rPr>
            </w:pPr>
          </w:p>
        </w:tc>
        <w:tc>
          <w:tcPr>
            <w:tcW w:w="620" w:type="dxa"/>
            <w:vAlign w:val="bottom"/>
          </w:tcPr>
          <w:p>
            <w:pPr>
              <w:jc w:val="right"/>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6"/>
        </w:trPr>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32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BALANCE AT DECEMBER 31, 2018</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3,466</w:t>
            </w:r>
          </w:p>
        </w:tc>
        <w:tc>
          <w:tcPr>
            <w:tcW w:w="0" w:type="dxa"/>
            <w:vAlign w:val="bottom"/>
          </w:tcPr>
          <w:p>
            <w:pPr>
              <w:spacing w:after="0"/>
              <w:rPr>
                <w:sz w:val="1"/>
                <w:szCs w:val="1"/>
                <w:color w:val="auto"/>
              </w:rPr>
            </w:pPr>
          </w:p>
        </w:tc>
      </w:tr>
      <w:tr>
        <w:trPr>
          <w:trHeight w:val="237"/>
        </w:trPr>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200" w:type="dxa"/>
            <w:vAlign w:val="bottom"/>
          </w:tcPr>
          <w:p>
            <w:pPr>
              <w:ind w:left="380"/>
              <w:spacing w:after="0"/>
              <w:rPr>
                <w:sz w:val="20"/>
                <w:szCs w:val="20"/>
                <w:color w:val="auto"/>
              </w:rPr>
            </w:pPr>
            <w:r>
              <w:rPr>
                <w:rFonts w:ascii="Arial" w:cs="Arial" w:eastAsia="Arial" w:hAnsi="Arial"/>
                <w:sz w:val="16"/>
                <w:szCs w:val="16"/>
                <w:color w:val="auto"/>
              </w:rPr>
              <w:t>Impact of adoption of ASU 2016-02</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720" w:type="dxa"/>
            <w:vAlign w:val="bottom"/>
            <w:tcBorders>
              <w:bottom w:val="single" w:sz="8" w:color="auto"/>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3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OPENING BALANCE 2019</w:t>
            </w: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3,458</w:t>
            </w:r>
          </w:p>
        </w:tc>
        <w:tc>
          <w:tcPr>
            <w:tcW w:w="0" w:type="dxa"/>
            <w:vAlign w:val="bottom"/>
          </w:tcPr>
          <w:p>
            <w:pPr>
              <w:spacing w:after="0"/>
              <w:rPr>
                <w:sz w:val="1"/>
                <w:szCs w:val="1"/>
                <w:color w:val="auto"/>
              </w:rPr>
            </w:pPr>
          </w:p>
        </w:tc>
      </w:tr>
      <w:tr>
        <w:trPr>
          <w:trHeight w:val="237"/>
        </w:trPr>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20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6"/>
              </w:rPr>
              <w:t>Foreign currency translation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200" w:type="dxa"/>
            <w:vAlign w:val="bottom"/>
          </w:tcPr>
          <w:p>
            <w:pPr>
              <w:ind w:left="380"/>
              <w:spacing w:after="0"/>
              <w:rPr>
                <w:sz w:val="20"/>
                <w:szCs w:val="20"/>
                <w:color w:val="auto"/>
              </w:rPr>
            </w:pPr>
            <w:r>
              <w:rPr>
                <w:rFonts w:ascii="Arial" w:cs="Arial" w:eastAsia="Arial" w:hAnsi="Arial"/>
                <w:sz w:val="16"/>
                <w:szCs w:val="16"/>
                <w:color w:val="auto"/>
              </w:rPr>
              <w:t>Derivative instrument adjustment</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Share-based compensation plans</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200" w:type="dxa"/>
            <w:vAlign w:val="bottom"/>
          </w:tcPr>
          <w:p>
            <w:pPr>
              <w:ind w:left="380"/>
              <w:spacing w:after="0"/>
              <w:rPr>
                <w:sz w:val="20"/>
                <w:szCs w:val="20"/>
                <w:color w:val="auto"/>
              </w:rPr>
            </w:pPr>
            <w:r>
              <w:rPr>
                <w:rFonts w:ascii="Arial" w:cs="Arial" w:eastAsia="Arial" w:hAnsi="Arial"/>
                <w:sz w:val="16"/>
                <w:szCs w:val="16"/>
                <w:color w:val="auto"/>
              </w:rPr>
              <w:t>Repurchase of common stock</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Dividends</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200" w:type="dxa"/>
            <w:vAlign w:val="bottom"/>
          </w:tcPr>
          <w:p>
            <w:pPr>
              <w:ind w:left="380"/>
              <w:spacing w:after="0"/>
              <w:rPr>
                <w:sz w:val="20"/>
                <w:szCs w:val="20"/>
                <w:color w:val="auto"/>
              </w:rPr>
            </w:pPr>
            <w:r>
              <w:rPr>
                <w:rFonts w:ascii="Arial" w:cs="Arial" w:eastAsia="Arial" w:hAnsi="Arial"/>
                <w:sz w:val="16"/>
                <w:szCs w:val="16"/>
                <w:color w:val="auto"/>
              </w:rPr>
              <w:t>Employee stock plan issuance</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720" w:type="dxa"/>
            <w:vAlign w:val="bottom"/>
            <w:tcBorders>
              <w:bottom w:val="single" w:sz="8" w:color="auto"/>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3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BALANCE AT MARCH 31, 2019</w:t>
            </w: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3,717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3,351</w:t>
            </w:r>
          </w:p>
        </w:tc>
        <w:tc>
          <w:tcPr>
            <w:tcW w:w="0" w:type="dxa"/>
            <w:vAlign w:val="bottom"/>
          </w:tcPr>
          <w:p>
            <w:pPr>
              <w:spacing w:after="0"/>
              <w:rPr>
                <w:sz w:val="1"/>
                <w:szCs w:val="1"/>
                <w:color w:val="auto"/>
              </w:rPr>
            </w:pPr>
          </w:p>
        </w:tc>
      </w:tr>
      <w:tr>
        <w:trPr>
          <w:trHeight w:val="237"/>
        </w:trPr>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20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20" w:type="dxa"/>
            <w:vAlign w:val="bottom"/>
            <w:shd w:val="clear" w:color="auto" w:fill="CCEEFF"/>
          </w:tcPr>
          <w:p>
            <w:pPr>
              <w:spacing w:after="0"/>
              <w:rPr>
                <w:sz w:val="19"/>
                <w:szCs w:val="19"/>
                <w:color w:val="auto"/>
              </w:rPr>
            </w:pPr>
          </w:p>
        </w:tc>
        <w:tc>
          <w:tcPr>
            <w:tcW w:w="32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ILG Acquisition purchase accounting</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200" w:type="dxa"/>
            <w:vAlign w:val="bottom"/>
          </w:tcPr>
          <w:p>
            <w:pPr>
              <w:ind w:left="380"/>
              <w:spacing w:after="0"/>
              <w:rPr>
                <w:sz w:val="20"/>
                <w:szCs w:val="20"/>
                <w:color w:val="auto"/>
              </w:rPr>
            </w:pPr>
            <w:r>
              <w:rPr>
                <w:rFonts w:ascii="Arial" w:cs="Arial" w:eastAsia="Arial" w:hAnsi="Arial"/>
                <w:sz w:val="16"/>
                <w:szCs w:val="16"/>
                <w:color w:val="auto"/>
                <w:w w:val="96"/>
              </w:rPr>
              <w:t>Foreign currency translation adjustments</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Derivative instrument adjustment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200" w:type="dxa"/>
            <w:vAlign w:val="bottom"/>
          </w:tcPr>
          <w:p>
            <w:pPr>
              <w:ind w:left="380"/>
              <w:spacing w:after="0"/>
              <w:rPr>
                <w:sz w:val="20"/>
                <w:szCs w:val="20"/>
                <w:color w:val="auto"/>
              </w:rPr>
            </w:pPr>
            <w:r>
              <w:rPr>
                <w:rFonts w:ascii="Arial" w:cs="Arial" w:eastAsia="Arial" w:hAnsi="Arial"/>
                <w:sz w:val="16"/>
                <w:szCs w:val="16"/>
                <w:color w:val="auto"/>
              </w:rPr>
              <w:t>Share-based compensation plans</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37"/>
        </w:trPr>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200" w:type="dxa"/>
            <w:vAlign w:val="bottom"/>
          </w:tcPr>
          <w:p>
            <w:pPr>
              <w:ind w:left="380"/>
              <w:spacing w:after="0"/>
              <w:rPr>
                <w:sz w:val="20"/>
                <w:szCs w:val="20"/>
                <w:color w:val="auto"/>
              </w:rPr>
            </w:pPr>
            <w:r>
              <w:rPr>
                <w:rFonts w:ascii="Arial" w:cs="Arial" w:eastAsia="Arial" w:hAnsi="Arial"/>
                <w:sz w:val="16"/>
                <w:szCs w:val="16"/>
                <w:color w:val="auto"/>
              </w:rPr>
              <w:t>Dividends</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Employee stock plan issuance</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57.9</w:t>
            </w:r>
          </w:p>
        </w:tc>
        <w:tc>
          <w:tcPr>
            <w:tcW w:w="3200" w:type="dxa"/>
            <w:vAlign w:val="bottom"/>
          </w:tcPr>
          <w:p>
            <w:pPr>
              <w:ind w:left="140"/>
              <w:spacing w:after="0"/>
              <w:rPr>
                <w:sz w:val="20"/>
                <w:szCs w:val="20"/>
                <w:color w:val="auto"/>
              </w:rPr>
            </w:pPr>
            <w:r>
              <w:rPr>
                <w:rFonts w:ascii="Arial" w:cs="Arial" w:eastAsia="Arial" w:hAnsi="Arial"/>
                <w:sz w:val="16"/>
                <w:szCs w:val="16"/>
                <w:b w:val="1"/>
                <w:bCs w:val="1"/>
                <w:color w:val="auto"/>
              </w:rPr>
              <w:t>BALANCE AT JUNE 30,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3,730</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3,264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3,270</w:t>
            </w:r>
          </w:p>
        </w:tc>
        <w:tc>
          <w:tcPr>
            <w:tcW w:w="0" w:type="dxa"/>
            <w:vAlign w:val="bottom"/>
          </w:tcPr>
          <w:p>
            <w:pPr>
              <w:spacing w:after="0"/>
              <w:rPr>
                <w:sz w:val="1"/>
                <w:szCs w:val="1"/>
                <w:color w:val="auto"/>
              </w:rPr>
            </w:pP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8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SHAREHOLDERS’ EQUITY (CONTINUED)</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Total MVW</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0" w:type="dxa"/>
            <w:vAlign w:val="bottom"/>
            <w:vMerge w:val="continue"/>
          </w:tcPr>
          <w:p>
            <w:pPr>
              <w:spacing w:after="0"/>
              <w:rPr>
                <w:sz w:val="12"/>
                <w:szCs w:val="12"/>
                <w:color w:val="auto"/>
              </w:rPr>
            </w:pPr>
          </w:p>
        </w:tc>
        <w:tc>
          <w:tcPr>
            <w:tcW w:w="3200" w:type="dxa"/>
            <w:vAlign w:val="bottom"/>
          </w:tcPr>
          <w:p>
            <w:pPr>
              <w:spacing w:after="0"/>
              <w:rPr>
                <w:sz w:val="12"/>
                <w:szCs w:val="12"/>
                <w:color w:val="auto"/>
              </w:rPr>
            </w:pPr>
          </w:p>
        </w:tc>
        <w:tc>
          <w:tcPr>
            <w:tcW w:w="8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Treasury</w:t>
            </w:r>
          </w:p>
        </w:tc>
        <w:tc>
          <w:tcPr>
            <w:tcW w:w="9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1"/>
              </w:rPr>
              <w:t>Retained</w:t>
            </w:r>
          </w:p>
        </w:tc>
        <w:tc>
          <w:tcPr>
            <w:tcW w:w="1000" w:type="dxa"/>
            <w:vAlign w:val="bottom"/>
            <w:gridSpan w:val="3"/>
            <w:vMerge w:val="continue"/>
          </w:tcPr>
          <w:p>
            <w:pPr>
              <w:spacing w:after="0"/>
              <w:rPr>
                <w:sz w:val="12"/>
                <w:szCs w:val="12"/>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2"/>
                <w:szCs w:val="12"/>
                <w:color w:val="auto"/>
              </w:rPr>
            </w:pPr>
          </w:p>
        </w:tc>
        <w:tc>
          <w:tcPr>
            <w:tcW w:w="6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32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Shareholders'</w:t>
            </w:r>
          </w:p>
        </w:tc>
        <w:tc>
          <w:tcPr>
            <w:tcW w:w="10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Issued</w:t>
            </w:r>
          </w:p>
        </w:tc>
        <w:tc>
          <w:tcPr>
            <w:tcW w:w="3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9"/>
              </w:rPr>
              <w:t>Stock</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Equity</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Interests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6"/>
        </w:trPr>
        <w:tc>
          <w:tcPr>
            <w:tcW w:w="7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36.9</w:t>
            </w:r>
          </w:p>
        </w:tc>
        <w:tc>
          <w:tcPr>
            <w:tcW w:w="3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BALANCE AT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1,041</w:t>
            </w:r>
          </w:p>
        </w:tc>
        <w:tc>
          <w:tcPr>
            <w:tcW w:w="0" w:type="dxa"/>
            <w:vAlign w:val="bottom"/>
          </w:tcPr>
          <w:p>
            <w:pPr>
              <w:spacing w:after="0"/>
              <w:rPr>
                <w:sz w:val="1"/>
                <w:szCs w:val="1"/>
                <w:color w:val="auto"/>
              </w:rPr>
            </w:pPr>
          </w:p>
        </w:tc>
      </w:tr>
      <w:tr>
        <w:trPr>
          <w:trHeight w:val="237"/>
        </w:trPr>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20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6"/>
              </w:rPr>
              <w:t>Foreign currency translation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720" w:type="dxa"/>
            <w:vAlign w:val="bottom"/>
          </w:tcPr>
          <w:p>
            <w:pPr>
              <w:jc w:val="right"/>
              <w:ind w:right="1"/>
              <w:spacing w:after="0"/>
              <w:rPr>
                <w:sz w:val="20"/>
                <w:szCs w:val="20"/>
                <w:color w:val="auto"/>
              </w:rPr>
            </w:pPr>
            <w:r>
              <w:rPr>
                <w:rFonts w:ascii="Arial" w:cs="Arial" w:eastAsia="Arial" w:hAnsi="Arial"/>
                <w:sz w:val="16"/>
                <w:szCs w:val="16"/>
                <w:color w:val="auto"/>
              </w:rPr>
              <w:t>0.1</w:t>
            </w:r>
          </w:p>
        </w:tc>
        <w:tc>
          <w:tcPr>
            <w:tcW w:w="3200" w:type="dxa"/>
            <w:vAlign w:val="bottom"/>
          </w:tcPr>
          <w:p>
            <w:pPr>
              <w:ind w:left="380"/>
              <w:spacing w:after="0"/>
              <w:rPr>
                <w:sz w:val="20"/>
                <w:szCs w:val="20"/>
                <w:color w:val="auto"/>
              </w:rPr>
            </w:pPr>
            <w:r>
              <w:rPr>
                <w:rFonts w:ascii="Arial" w:cs="Arial" w:eastAsia="Arial" w:hAnsi="Arial"/>
                <w:sz w:val="16"/>
                <w:szCs w:val="16"/>
                <w:color w:val="auto"/>
              </w:rPr>
              <w:t>Share-based compensation plans</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200" w:type="dxa"/>
            <w:vAlign w:val="bottom"/>
          </w:tcPr>
          <w:p>
            <w:pPr>
              <w:ind w:left="380"/>
              <w:spacing w:after="0"/>
              <w:rPr>
                <w:sz w:val="20"/>
                <w:szCs w:val="20"/>
                <w:color w:val="auto"/>
              </w:rPr>
            </w:pPr>
            <w:r>
              <w:rPr>
                <w:rFonts w:ascii="Arial" w:cs="Arial" w:eastAsia="Arial" w:hAnsi="Arial"/>
                <w:sz w:val="16"/>
                <w:szCs w:val="16"/>
                <w:color w:val="auto"/>
              </w:rPr>
              <w:t>Dividends</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720" w:type="dxa"/>
            <w:vAlign w:val="bottom"/>
            <w:tcBorders>
              <w:bottom w:val="single" w:sz="8" w:color="auto"/>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37.0</w:t>
            </w:r>
          </w:p>
        </w:tc>
        <w:tc>
          <w:tcPr>
            <w:tcW w:w="3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BALANCE AT MARCH 31, 2018</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1,066</w:t>
            </w:r>
          </w:p>
        </w:tc>
        <w:tc>
          <w:tcPr>
            <w:tcW w:w="0" w:type="dxa"/>
            <w:vAlign w:val="bottom"/>
          </w:tcPr>
          <w:p>
            <w:pPr>
              <w:spacing w:after="0"/>
              <w:rPr>
                <w:sz w:val="1"/>
                <w:szCs w:val="1"/>
                <w:color w:val="auto"/>
              </w:rPr>
            </w:pPr>
          </w:p>
        </w:tc>
      </w:tr>
      <w:tr>
        <w:trPr>
          <w:trHeight w:val="237"/>
        </w:trPr>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20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200" w:type="dxa"/>
            <w:vAlign w:val="bottom"/>
          </w:tcPr>
          <w:p>
            <w:pPr>
              <w:ind w:left="280"/>
              <w:spacing w:after="0"/>
              <w:rPr>
                <w:sz w:val="20"/>
                <w:szCs w:val="20"/>
                <w:color w:val="auto"/>
              </w:rPr>
            </w:pPr>
            <w:r>
              <w:rPr>
                <w:rFonts w:ascii="Arial" w:cs="Arial" w:eastAsia="Arial" w:hAnsi="Arial"/>
                <w:sz w:val="16"/>
                <w:szCs w:val="16"/>
                <w:color w:val="auto"/>
              </w:rPr>
              <w:t>Share-based compensation plans</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Dividends</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44"/>
        </w:trPr>
        <w:tc>
          <w:tcPr>
            <w:tcW w:w="7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37.0</w:t>
            </w:r>
          </w:p>
        </w:tc>
        <w:tc>
          <w:tcPr>
            <w:tcW w:w="3200" w:type="dxa"/>
            <w:vAlign w:val="bottom"/>
          </w:tcPr>
          <w:p>
            <w:pPr>
              <w:ind w:left="140"/>
              <w:spacing w:after="0"/>
              <w:rPr>
                <w:sz w:val="20"/>
                <w:szCs w:val="20"/>
                <w:color w:val="auto"/>
              </w:rPr>
            </w:pPr>
            <w:r>
              <w:rPr>
                <w:rFonts w:ascii="Arial" w:cs="Arial" w:eastAsia="Arial" w:hAnsi="Arial"/>
                <w:sz w:val="16"/>
                <w:szCs w:val="16"/>
                <w:b w:val="1"/>
                <w:bCs w:val="1"/>
                <w:color w:val="auto"/>
              </w:rPr>
              <w:t>BALANCE AT JUNE 30, 2018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1,191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1,066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1,066</w:t>
            </w:r>
          </w:p>
        </w:tc>
        <w:tc>
          <w:tcPr>
            <w:tcW w:w="0" w:type="dxa"/>
            <w:vAlign w:val="bottom"/>
          </w:tcPr>
          <w:p>
            <w:pPr>
              <w:spacing w:after="0"/>
              <w:rPr>
                <w:sz w:val="1"/>
                <w:szCs w:val="1"/>
                <w:color w:val="auto"/>
              </w:rPr>
            </w:pP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86"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369" w:lineRule="exact"/>
        <w:rPr>
          <w:sz w:val="20"/>
          <w:szCs w:val="20"/>
          <w:color w:val="auto"/>
        </w:rPr>
      </w:pPr>
    </w:p>
    <w:p>
      <w:pPr>
        <w:ind w:left="380" w:hanging="345"/>
        <w:spacing w:after="0"/>
        <w:tabs>
          <w:tab w:leader="none" w:pos="3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48" w:lineRule="exact"/>
        <w:rPr>
          <w:sz w:val="20"/>
          <w:szCs w:val="20"/>
          <w:color w:val="auto"/>
        </w:rPr>
      </w:pPr>
    </w:p>
    <w:p>
      <w:pPr>
        <w:ind w:right="20" w:firstLine="662"/>
        <w:spacing w:after="0" w:line="289" w:lineRule="auto"/>
        <w:rPr>
          <w:sz w:val="20"/>
          <w:szCs w:val="20"/>
          <w:color w:val="auto"/>
        </w:rPr>
      </w:pPr>
      <w:r>
        <w:rPr>
          <w:rFonts w:ascii="Arial" w:cs="Arial" w:eastAsia="Arial" w:hAnsi="Arial"/>
          <w:sz w:val="16"/>
          <w:szCs w:val="16"/>
          <w:color w:val="auto"/>
        </w:rPr>
        <w:t>The Interim Consolidated Financial Statements present the results of operations, financial position and cash flows of Marriott Vacations Worldwide Corporation (referred to in this report as (i) “we,” “us,” “Marriott Vacations Worldwide,” “MVW” or “the Company,” which includes our consolidated subsidiaries except where the context of the reference is to a single corporate entity, or (ii) “MVWC,” which shall refer only to Marriott Vacations Worldwide Corporation, without its consolidated subsidiaries). In order to make this report easier to read, we refer throughout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in these Notes to Interim Consolidated Financial Statements, unless otherwise noted. Capitalized terms used and not specifically defined herein have the same meaning given those terms in our Annual Report on Form 10-K for the fiscal year ended December 31, 2018 (the “2018 Annual Report”). We use certain other terms that are defined within these Financial Statements.</w:t>
      </w:r>
    </w:p>
    <w:p>
      <w:pPr>
        <w:spacing w:after="0" w:line="5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for which Marriott Vacations Worldwide is the primary beneficiary in accordance with consolidation accounting guidance. References in these Financial Statements to net income attributable to common shareholders and MVW shareholders’ equity do not include noncontrolling interests, which represent the outside ownership of our consolidated non-wholly owned entities and are reported separately. Intercompany accounts and transactions between consolidated companies have been eliminated in consolidation.</w:t>
      </w:r>
    </w:p>
    <w:p>
      <w:pPr>
        <w:spacing w:after="0" w:line="8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These Financial Statements reflect our financial position, results of operations and cash flows as prepared in conformity with United States Generally Accepted Accounting Principles (“GAAP”). The preparation of financial statements in conformity with GAAP requires management to make estimates and assumptions that affect amounts reported in the financial statements and accompanying notes. Such estimates include, but are not limited to, revenue recognition, allocations of the purchase price paid in business combinations, cost of vacation ownership products, inventory valuation, goodwill and intangibles valuation, property and equipment valuation, accounting for acquired vacation ownership notes receivable, vacation ownership notes receivable reserves, income taxes and loss contingencies. Accordingly, actual amounts may differ from these estimated amounts.</w:t>
      </w:r>
    </w:p>
    <w:p>
      <w:pPr>
        <w:spacing w:after="0" w:line="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our opinion, our Financial Statements reflect all normal and recurring adjustments necessary to present fairly our financial position, the results of our operations and cash flows for the periods presented. Interim results may not be indicative of fiscal year performance because of, among other reasons, the ILG Acquisition (defined below) and seasonal and short-term variations. These Financial Statements have not been audited. We have condensed or omitted certain information and footnote disclosures normally included in financial statements presented in accordance with GAAP. Although we believe our footnote disclosures are adequate to make the information presented not misleading, the Financial Statements in this report should be read in conjunction with the consolidated financial statements and notes thereto in our 2018 Annual Report.</w:t>
      </w:r>
    </w:p>
    <w:p>
      <w:pPr>
        <w:spacing w:after="0" w:line="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accompanying Financial Statements also reflect our adoption of new accounting standards. See Footnote 2 “Significant Accounting Policies and Recent Accounting Standards” for additional information.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reclassified the following prior year amounts to conform to the current year presentation:</w:t>
      </w:r>
    </w:p>
    <w:p>
      <w:pPr>
        <w:spacing w:after="0" w:line="63"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Reclassified Resort management and other services revenue to Management and exchange revenue;</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Reclassified Resort management and other services expense to Management and exchange expense;</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Consolidated Consumer financing interest expense into Financing expense;</w:t>
      </w:r>
    </w:p>
    <w:p>
      <w:pPr>
        <w:spacing w:after="0" w:line="63"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Reclassified depreciation expense from Marketing and sales expense, Management and exchange expense, Rental expense, and General and administrative expense to Depreciation and amortization expense;</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Reclassified $8 million from Accrued liabilities to Accounts payable;</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Reclassified $58 million from Accrued liabilities to Advance deposits;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Reclassified $20 million of other debt from Debt, net to Securitized debt, net.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72" w:right="23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i w:val="1"/>
          <w:iCs w:val="1"/>
          <w:color w:val="auto"/>
        </w:rPr>
        <w:t>Acquisition of ILG</w:t>
      </w:r>
    </w:p>
    <w:p>
      <w:pPr>
        <w:spacing w:after="0" w:line="11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September 1, 2018, we completed the acquisition of ILG, LLC, formerly known as ILG, Inc. (“ILG”) through a series of transactions (the “ILG Acquisition”), after which ILG became our indirect wholly-owned subsidiary. We refer to our business associated with brands that existed prior to the ILG Acquisition as “Legacy-MVW” and to ILG’s business and brands that we acquired as “Legacy-ILG.” See Footnote 3 “Acquisitions and Dispositions” for more information on the ILG Acquisition.</w:t>
      </w:r>
    </w:p>
    <w:p>
      <w:pPr>
        <w:spacing w:after="0" w:line="200" w:lineRule="exact"/>
        <w:rPr>
          <w:sz w:val="20"/>
          <w:szCs w:val="20"/>
          <w:color w:val="auto"/>
        </w:rPr>
      </w:pPr>
    </w:p>
    <w:p>
      <w:pPr>
        <w:spacing w:after="0" w:line="253" w:lineRule="exact"/>
        <w:rPr>
          <w:sz w:val="20"/>
          <w:szCs w:val="20"/>
          <w:color w:val="auto"/>
        </w:rPr>
      </w:pPr>
    </w:p>
    <w:p>
      <w:pPr>
        <w:ind w:left="380" w:hanging="345"/>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AND RECENT ACCOUNTING STANDARDS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11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Accounting Standards Update 2017-12 – “</w:t>
      </w:r>
      <w:r>
        <w:rPr>
          <w:rFonts w:ascii="Arial" w:cs="Arial" w:eastAsia="Arial" w:hAnsi="Arial"/>
          <w:sz w:val="18"/>
          <w:szCs w:val="18"/>
          <w:i w:val="1"/>
          <w:iCs w:val="1"/>
          <w:color w:val="auto"/>
        </w:rPr>
        <w:t>Derivatives and Hedging (Topic 815): Targeted Improvements to Accounting for Hedging Activities</w:t>
      </w:r>
      <w:r>
        <w:rPr>
          <w:rFonts w:ascii="Arial" w:cs="Arial" w:eastAsia="Arial" w:hAnsi="Arial"/>
          <w:sz w:val="18"/>
          <w:szCs w:val="18"/>
          <w:color w:val="auto"/>
        </w:rPr>
        <w:t>” (“ASU 2017-12”)</w:t>
      </w:r>
    </w:p>
    <w:p>
      <w:pPr>
        <w:spacing w:after="0" w:line="6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August 2017, the FASB issued ASU 2017-12, which amends and simplifies existing guidance in order to allow companies to better portray the economic effects of risk management activities in the financial statements and enhance the transparency and understandability of the results of hedging activities. ASU 2017-12 eliminates the requirement to separately measure and report hedge ineffectiveness and generally requires the entire change in the fair value of a hedging instrument to be presented in the same income statement line as the hedged item. The guidance also eases certain documentation and assessment requirements. This update is effective for fiscal years beginning after December 15, 2018, including interim periods within those fiscal years, with early adoption permitted. The adoption of ASU 2017-12 in the first quarter of 2019 did not have a material impact on our Financial Statements or disclosures.</w:t>
      </w:r>
    </w:p>
    <w:p>
      <w:pPr>
        <w:spacing w:after="0" w:line="5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record derivatives at fair value. The designation of a derivative instrument as a hedge and its ability to meet the hedge accounting criteria determine how we reflect the change in fair value of the derivative instrument in our Financial Statements. A derivative qualifies for hedge accounting if we expect it to be highly effective in offsetting the underlying hedged exposure and we fulfill the hedge documentation requirements. We may designate a hedge as a cash flow hedge, fair value hedge, or a net investment in non-U.S. operations hedge based on the exposure we are hedging. For the effective portion of qualifying hedges, we record changes in fair value in other comprehensive income.</w:t>
      </w:r>
    </w:p>
    <w:p>
      <w:pPr>
        <w:spacing w:after="0" w:line="80"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We assess the effectiveness of our hedging instruments quarterly, recognize current period hedge ineffectiveness immediately in earnings, and discontinue hedge accounting for any hedge that we no longer consider to be highly effective. We recognize changes in fair value for derivatives not designated as hedges or those not qualifying for hedge accounting in current period earnings.</w:t>
      </w:r>
    </w:p>
    <w:p>
      <w:pPr>
        <w:spacing w:after="0" w:line="73"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We are exposed to market risk from changes in interest rates, currency exchange rates and debt prices. We manage our exposure to these risks by monitoring available financing alternatives, through pricing policies that may take into account currency exchange rates, and by entering into derivative arrangements. As a matter of policy, we only enter into transactions that we believe will be highly effective at offsetting the underlying risk, and we do not use derivatives for trading or speculative purposes.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Accounting Standards Update 2016-02 – “</w:t>
      </w:r>
      <w:r>
        <w:rPr>
          <w:rFonts w:ascii="Arial" w:cs="Arial" w:eastAsia="Arial" w:hAnsi="Arial"/>
          <w:sz w:val="18"/>
          <w:szCs w:val="18"/>
          <w:i w:val="1"/>
          <w:iCs w:val="1"/>
          <w:color w:val="auto"/>
        </w:rPr>
        <w:t>Leases (Topic 842)</w:t>
      </w:r>
      <w:r>
        <w:rPr>
          <w:rFonts w:ascii="Arial" w:cs="Arial" w:eastAsia="Arial" w:hAnsi="Arial"/>
          <w:sz w:val="18"/>
          <w:szCs w:val="18"/>
          <w:color w:val="auto"/>
        </w:rPr>
        <w:t>” (“ASU 2016-02”)</w:t>
      </w:r>
    </w:p>
    <w:p>
      <w:pPr>
        <w:spacing w:after="0" w:line="11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In February 2016, the FASB issued ASU 2016-02 to increase transparency and comparability of information regarding an entity’s leasing activities by providing additional information to users of financial statements, which as amended, created Accounting Standards Codification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ASU 2016-02 requires a lessee to recognize most leases on its balance sheet by recording a liability for its lease obligation and an asset for its right to use the underlying asset as of the lease commencement date and recognizing expenses on the income statement in a similar manner to the current guidance in Accounting Standards Codification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840”). Lessor accounting remains largely unchanged, other than certain targeted improvements intended to align lessor accounting with the lessee accounting model and with the updated revenue recognition guidance.</w:t>
      </w:r>
    </w:p>
    <w:p>
      <w:pPr>
        <w:spacing w:after="0" w:line="57"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Upon adoption of ASU 2016-02, as amended, leases will be classified as either finance or operating, with classification affecting the geography of expense recognition in the income statement. Additionally, enhanced quantitative and qualitative disclosures regarding leases are required. ASU 2016-02 is effective for fiscal years beginning after December 15, 2018, including interim periods within those fiscal years, with early adoption permitted.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1" w:name="page12"/>
    <w:bookmarkEnd w:id="11"/>
    <w:p>
      <w:pPr>
        <w:ind w:right="40" w:firstLine="648"/>
        <w:spacing w:after="0" w:line="271" w:lineRule="auto"/>
        <w:rPr>
          <w:sz w:val="20"/>
          <w:szCs w:val="20"/>
          <w:color w:val="auto"/>
        </w:rPr>
      </w:pPr>
      <w:r>
        <w:rPr>
          <w:rFonts w:ascii="Arial" w:cs="Arial" w:eastAsia="Arial" w:hAnsi="Arial"/>
          <w:sz w:val="17"/>
          <w:szCs w:val="17"/>
          <w:color w:val="auto"/>
        </w:rPr>
        <w:t>As permitted by the amended guidance, we elected to retain the original lease classification and historical accounting for existing or expired contracts of lessees and lessors so that we will not be required to reassess whether such contracts contain leases, the lease classification of any such leases or the initial direct costs of any such leases. We will continue to report comparative periods presented in the financial statements in the period of adoption under GAAP in effect as of such comparative period, resulting in a balance sheet presentation that is not comparable to the prior period in the first year of adoption. Additionally, with respect to our real estate leases, we elected an accounting policy by class of underlying asset to combine lease and non-lease components. We also elected to apply an exemption for short-term leases whereby leases with an initial term of a year or less are not recorded on the balance sheet. We did not utilize the practical expedient which allows the use of hindsight by lessees and lessors in determining the lease term and in assessing impairment of their right-of-use assets.</w:t>
      </w:r>
    </w:p>
    <w:p>
      <w:pPr>
        <w:spacing w:after="0" w:line="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adopted ASU 2016-02, as amended, during the first quarter of 2019 using the transition method which allows the application of the standard at the adoption date, January 1, 2019. Upon adoption, we recognized a lease obligation of $165 million and a right-of-use asset of $155 million, as well as, a cumulative-effect adjustment of $8 million to the opening balance of retained earnings for our operating and finance leases, primarily related to leases of real estate and other assets.</w:t>
      </w:r>
    </w:p>
    <w:p>
      <w:pPr>
        <w:spacing w:after="0" w:line="7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adoption of ASU 2016-02 did not have a material effect on our Income Statement or Cash Flows for the six months ended June 30, 2019. See Footnote 12 “Leases” for further discussion of the adoption and the impact on our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Standards</w:t>
      </w:r>
    </w:p>
    <w:p>
      <w:pPr>
        <w:spacing w:after="0" w:line="11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Accounting Standards Update 2017-04 –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 </w:t>
      </w:r>
      <w:r>
        <w:rPr>
          <w:rFonts w:ascii="Arial" w:cs="Arial" w:eastAsia="Arial" w:hAnsi="Arial"/>
          <w:sz w:val="18"/>
          <w:szCs w:val="18"/>
          <w:i w:val="1"/>
          <w:iCs w:val="1"/>
          <w:color w:val="auto"/>
        </w:rPr>
        <w:t>Goodwill and Other (Topic 350): Simplifying the Test for Goodwill Impairment</w:t>
      </w:r>
      <w:r>
        <w:rPr>
          <w:rFonts w:ascii="Arial" w:cs="Arial" w:eastAsia="Arial" w:hAnsi="Arial"/>
          <w:sz w:val="18"/>
          <w:szCs w:val="18"/>
          <w:color w:val="auto"/>
        </w:rPr>
        <w:t>” (“ASU 2017-04”)</w:t>
      </w:r>
    </w:p>
    <w:p>
      <w:pPr>
        <w:spacing w:after="0" w:line="6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January 2017, the FASB issued ASU 2017-04, which simplifies the subsequent measurement of goodwill by eliminating the second step from the goodwill impairment test. ASU 2017-04 requires an entity to perform its annual or interim goodwill impairment test by comparing the fair value of a reporting unit with its carrying amount, and to recognize an impairment charge for the amount by which the carrying amount exceeds the reporting unit’s fair value, not to exceed the total amount of goodwill allocated to that reporting unit. ASU 2017-04 is effective for fiscal years beginning after December 15, 2019, including interim periods within those fiscal years, and is applied on a prospective basis. Early adoption is permitted for interim or annual impairment tests performed after January 1, 2017. We expect to adopt ASU 2017-04 when required and will follow this guidance during our annual impairment testing to be performed during the fourth quarter of 2019, or earlier upon the occurrence of certain events or substantive changes in circumstances. We do not expect the adoption of ASU 2017-04 to have a material effect on our financial statements or disclosures.</w:t>
      </w:r>
    </w:p>
    <w:p>
      <w:pPr>
        <w:spacing w:after="0" w:line="179"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Accounting Standards Update 2016-13 –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(“ASU 2016-13”)</w:t>
      </w:r>
    </w:p>
    <w:p>
      <w:pPr>
        <w:spacing w:after="0" w:line="6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June 2016, the FASB issued ASU 2016-13, which replaces the incurred loss impairment methodology in current GAAP with a methodology that reflects expected credit losses. The update is intended to provide financial statement users with more decision-useful information about the expected credit losses on financial instruments and other commitments to extend credit held by a reporting entity at each reporting date. This update is effective for fiscal years beginning after December 15, 2019, including interim periods within those fiscal years, with early adoption permitted for fiscal years beginning after December 15, 2018. We expect to adopt ASU 2016-13 commencing in fiscal year 2020 and are continuing to evaluate the impact that adoption of this update will have on our financial statements and disclosures.</w:t>
      </w:r>
    </w:p>
    <w:p>
      <w:pPr>
        <w:spacing w:after="0" w:line="200" w:lineRule="exact"/>
        <w:rPr>
          <w:sz w:val="20"/>
          <w:szCs w:val="20"/>
          <w:color w:val="auto"/>
        </w:rPr>
      </w:pPr>
    </w:p>
    <w:p>
      <w:pPr>
        <w:spacing w:after="0" w:line="259" w:lineRule="exact"/>
        <w:rPr>
          <w:sz w:val="20"/>
          <w:szCs w:val="20"/>
          <w:color w:val="auto"/>
        </w:rPr>
      </w:pPr>
    </w:p>
    <w:p>
      <w:pPr>
        <w:ind w:left="380" w:hanging="345"/>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DISPOSITIONS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ILG Acquisition</w:t>
      </w:r>
    </w:p>
    <w:p>
      <w:pPr>
        <w:spacing w:after="0" w:line="11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September 1, 2018, (the “Acquisition Date”), we completed the ILG Acquisition. ILG is a leading provider of professionally delivered vacation experiences with a portfolio of leisure businesses ranging from vacation exchange and rental services to vacation ownership, and is the exclusive global licensee for the Hyatt, Sheraton and Westin brands in vacation ownership. The combination of our brands created a leading global provider of upper-upscale vacation ownership, exchange networks and management services with access to world-class loyalty programs and an expanded portfolio of highly demanded vacation destinations.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76" w:right="259" w:bottom="1440" w:gutter="0" w:footer="0" w:header="0"/>
        </w:sectPr>
      </w:pPr>
    </w:p>
    <w:bookmarkStart w:id="12" w:name="page13"/>
    <w:bookmarkEnd w:id="12"/>
    <w:p>
      <w:pPr>
        <w:ind w:right="460" w:firstLine="648"/>
        <w:spacing w:after="0" w:line="277" w:lineRule="auto"/>
        <w:rPr>
          <w:sz w:val="20"/>
          <w:szCs w:val="20"/>
          <w:color w:val="auto"/>
        </w:rPr>
      </w:pPr>
      <w:r>
        <w:rPr>
          <w:rFonts w:ascii="Arial" w:cs="Arial" w:eastAsia="Arial" w:hAnsi="Arial"/>
          <w:sz w:val="18"/>
          <w:szCs w:val="18"/>
          <w:color w:val="auto"/>
        </w:rPr>
        <w:t>Shareholders of ILG received 0.165 shares of our common stock and $14.75 in cash for each share of ILG common stock. The following table presents the fair value of each class of consideration transferred at the Acquisition Date, as adjusted at June 30,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2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7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56"/>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Equivalent shares of Marriott Vacations Worldwide common stock issued in exchange for ILG outstanding shares</w:t>
            </w:r>
          </w:p>
        </w:tc>
        <w:tc>
          <w:tcPr>
            <w:tcW w:w="7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r>
      <w:tr>
        <w:trPr>
          <w:trHeight w:val="243"/>
        </w:trPr>
        <w:tc>
          <w:tcPr>
            <w:tcW w:w="9200" w:type="dxa"/>
            <w:vAlign w:val="bottom"/>
          </w:tcPr>
          <w:p>
            <w:pPr>
              <w:ind w:left="40"/>
              <w:spacing w:after="0"/>
              <w:rPr>
                <w:sz w:val="20"/>
                <w:szCs w:val="20"/>
                <w:color w:val="auto"/>
              </w:rPr>
            </w:pPr>
            <w:r>
              <w:rPr>
                <w:rFonts w:ascii="Arial" w:cs="Arial" w:eastAsia="Arial" w:hAnsi="Arial"/>
                <w:sz w:val="18"/>
                <w:szCs w:val="18"/>
                <w:color w:val="auto"/>
              </w:rPr>
              <w:t>Marriott Vacations Worldwide common stock price per share as of Acquisition Date</w:t>
            </w: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119.00</w:t>
            </w:r>
          </w:p>
        </w:tc>
      </w:tr>
      <w:tr>
        <w:trPr>
          <w:trHeight w:val="27"/>
        </w:trPr>
        <w:tc>
          <w:tcPr>
            <w:tcW w:w="92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Fair value of Marriott Vacations Worldwide common stock issued in exchange for ILG outstanding shares</w:t>
            </w:r>
          </w:p>
        </w:tc>
        <w:tc>
          <w:tcPr>
            <w:tcW w:w="7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2,441</w:t>
            </w:r>
          </w:p>
        </w:tc>
      </w:tr>
      <w:tr>
        <w:trPr>
          <w:trHeight w:val="243"/>
        </w:trPr>
        <w:tc>
          <w:tcPr>
            <w:tcW w:w="9200" w:type="dxa"/>
            <w:vAlign w:val="bottom"/>
          </w:tcPr>
          <w:p>
            <w:pPr>
              <w:ind w:left="40"/>
              <w:spacing w:after="0"/>
              <w:rPr>
                <w:sz w:val="20"/>
                <w:szCs w:val="20"/>
                <w:color w:val="auto"/>
              </w:rPr>
            </w:pPr>
            <w:r>
              <w:rPr>
                <w:rFonts w:ascii="Arial" w:cs="Arial" w:eastAsia="Arial" w:hAnsi="Arial"/>
                <w:sz w:val="18"/>
                <w:szCs w:val="18"/>
                <w:color w:val="auto"/>
              </w:rPr>
              <w:t>Cash consideration to ILG shareholders, net of cash acquired of $154 million</w:t>
            </w:r>
          </w:p>
        </w:tc>
        <w:tc>
          <w:tcPr>
            <w:tcW w:w="7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1,680</w:t>
            </w:r>
          </w:p>
        </w:tc>
      </w:tr>
      <w:tr>
        <w:trPr>
          <w:trHeight w:val="27"/>
        </w:trPr>
        <w:tc>
          <w:tcPr>
            <w:tcW w:w="9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ILG equity-based awards attributed to pre-combination service</w:t>
            </w:r>
          </w:p>
        </w:tc>
        <w:tc>
          <w:tcPr>
            <w:tcW w:w="7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r>
      <w:tr>
        <w:trPr>
          <w:trHeight w:val="237"/>
        </w:trPr>
        <w:tc>
          <w:tcPr>
            <w:tcW w:w="9200" w:type="dxa"/>
            <w:vAlign w:val="bottom"/>
          </w:tcPr>
          <w:p>
            <w:pPr>
              <w:ind w:left="280"/>
              <w:spacing w:after="0"/>
              <w:rPr>
                <w:sz w:val="20"/>
                <w:szCs w:val="20"/>
                <w:color w:val="auto"/>
              </w:rPr>
            </w:pPr>
            <w:r>
              <w:rPr>
                <w:rFonts w:ascii="Arial" w:cs="Arial" w:eastAsia="Arial" w:hAnsi="Arial"/>
                <w:sz w:val="18"/>
                <w:szCs w:val="18"/>
                <w:color w:val="auto"/>
              </w:rPr>
              <w:t>Total consideration transferred, net of cash acquired</w:t>
            </w:r>
          </w:p>
        </w:tc>
        <w:tc>
          <w:tcPr>
            <w:tcW w:w="7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4,185</w:t>
            </w:r>
          </w:p>
        </w:tc>
      </w:tr>
      <w:tr>
        <w:trPr>
          <w:trHeight w:val="27"/>
        </w:trPr>
        <w:tc>
          <w:tcPr>
            <w:tcW w:w="9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7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r>
      <w:tr>
        <w:trPr>
          <w:trHeight w:val="237"/>
        </w:trPr>
        <w:tc>
          <w:tcPr>
            <w:tcW w:w="9200" w:type="dxa"/>
            <w:vAlign w:val="bottom"/>
          </w:tcPr>
          <w:p>
            <w:pPr>
              <w:spacing w:after="0"/>
              <w:rPr>
                <w:sz w:val="20"/>
                <w:szCs w:val="20"/>
                <w:color w:val="auto"/>
              </w:rPr>
            </w:pPr>
          </w:p>
        </w:tc>
        <w:tc>
          <w:tcPr>
            <w:tcW w:w="7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4,215</w:t>
            </w:r>
          </w:p>
        </w:tc>
      </w:tr>
      <w:tr>
        <w:trPr>
          <w:trHeight w:val="27"/>
        </w:trPr>
        <w:tc>
          <w:tcPr>
            <w:tcW w:w="9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9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Preliminary Fair Values of Assets Acquired and Liabilities Assumed</w:t>
      </w:r>
    </w:p>
    <w:p>
      <w:pPr>
        <w:spacing w:after="0" w:line="11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accounted for the ILG Acquisition as a business combination, which required us to record the assets acquired and liabilities assumed at fair value as of the Acquisition Date. The amounts recorded for certain assets and liabilities are preliminary in nature and are subject to adjustment as additional information is obtained about the facts and circumstances that existed as of the Acquisition Date. We are continuing to evaluate the underlying inputs and assumptions used in our valuations. Accordingly, these preliminary estimates are subject to change during the measurement period, which is up to one year from the Acquisition Date, as permitted under GAAP. Any potential adjustments could be material in relation to the values presented in the table below.</w:t>
      </w:r>
    </w:p>
    <w:p>
      <w:pPr>
        <w:spacing w:after="0" w:line="5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following table presents our preliminary estimates of the fair values of the assets that we acquired and the liabilities that we assumed on the Acquisition Date in connection with the business combination as previously reported at December 31, 2018 and as adjusted at June 30, 2019. During the second quarter of 2019, we refined our valuation models related to certain acquired property and equipment and our assumptions related to certain acquired management agreements, and recorded an indemnification asset and corresponding liability for tax matters that we believe will be indemnified. See Footnote 5, “Income Taxes” for further information.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September 1, 2018</w:t>
            </w:r>
          </w:p>
        </w:tc>
        <w:tc>
          <w:tcPr>
            <w:tcW w:w="3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jc w:val="right"/>
              <w:ind w:right="392"/>
              <w:spacing w:after="0"/>
              <w:rPr>
                <w:sz w:val="20"/>
                <w:szCs w:val="20"/>
                <w:color w:val="auto"/>
              </w:rPr>
            </w:pPr>
            <w:r>
              <w:rPr>
                <w:rFonts w:ascii="Arial" w:cs="Arial" w:eastAsia="Arial" w:hAnsi="Arial"/>
                <w:sz w:val="16"/>
                <w:szCs w:val="16"/>
                <w:b w:val="1"/>
                <w:bCs w:val="1"/>
                <w:color w:val="auto"/>
              </w:rPr>
              <w:t>September 1, 2018</w:t>
            </w: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(as reported at</w:t>
            </w:r>
          </w:p>
        </w:tc>
        <w:tc>
          <w:tcPr>
            <w:tcW w:w="3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jc w:val="right"/>
              <w:ind w:right="512"/>
              <w:spacing w:after="0"/>
              <w:rPr>
                <w:sz w:val="20"/>
                <w:szCs w:val="20"/>
                <w:color w:val="auto"/>
              </w:rPr>
            </w:pPr>
            <w:r>
              <w:rPr>
                <w:rFonts w:ascii="Arial" w:cs="Arial" w:eastAsia="Arial" w:hAnsi="Arial"/>
                <w:sz w:val="16"/>
                <w:szCs w:val="16"/>
                <w:b w:val="1"/>
                <w:bCs w:val="1"/>
                <w:color w:val="auto"/>
              </w:rPr>
              <w:t>(as adjusted at</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center"/>
              <w:ind w:right="192"/>
              <w:spacing w:after="0"/>
              <w:rPr>
                <w:sz w:val="20"/>
                <w:szCs w:val="20"/>
                <w:color w:val="auto"/>
              </w:rPr>
            </w:pPr>
            <w:r>
              <w:rPr>
                <w:rFonts w:ascii="Arial" w:cs="Arial" w:eastAsia="Arial" w:hAnsi="Arial"/>
                <w:sz w:val="16"/>
                <w:szCs w:val="16"/>
                <w:b w:val="1"/>
                <w:bCs w:val="1"/>
                <w:color w:val="auto"/>
                <w:w w:val="90"/>
              </w:rPr>
              <w:t>December 31, 2018)</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Adjustments</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June 30, 2019)</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Vacation ownership notes receivable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21"/>
                <w:szCs w:val="21"/>
                <w:color w:val="auto"/>
              </w:rPr>
            </w:pPr>
          </w:p>
        </w:tc>
        <w:tc>
          <w:tcPr>
            <w:tcW w:w="1960" w:type="dxa"/>
            <w:vAlign w:val="bottom"/>
          </w:tcPr>
          <w:p>
            <w:pPr>
              <w:jc w:val="right"/>
              <w:ind w:right="32"/>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920" w:type="dxa"/>
            <w:vAlign w:val="bottom"/>
          </w:tcPr>
          <w:p>
            <w:pPr>
              <w:jc w:val="right"/>
              <w:ind w:right="32"/>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21"/>
                <w:szCs w:val="21"/>
                <w:color w:val="auto"/>
              </w:rPr>
            </w:pPr>
          </w:p>
        </w:tc>
        <w:tc>
          <w:tcPr>
            <w:tcW w:w="1960" w:type="dxa"/>
            <w:vAlign w:val="bottom"/>
          </w:tcPr>
          <w:p>
            <w:pPr>
              <w:jc w:val="right"/>
              <w:ind w:right="32"/>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20" w:type="dxa"/>
            <w:vAlign w:val="bottom"/>
          </w:tcPr>
          <w:p>
            <w:pPr>
              <w:jc w:val="right"/>
              <w:ind w:right="32"/>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Deferred taxes</w:t>
            </w:r>
          </w:p>
        </w:tc>
        <w:tc>
          <w:tcPr>
            <w:tcW w:w="2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Debt</w:t>
            </w:r>
          </w:p>
        </w:tc>
        <w:tc>
          <w:tcPr>
            <w:tcW w:w="26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Securitized debt from VIEs</w:t>
            </w:r>
          </w:p>
        </w:tc>
        <w:tc>
          <w:tcPr>
            <w:tcW w:w="2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Net assets acquired</w:t>
            </w:r>
          </w:p>
        </w:tc>
        <w:tc>
          <w:tcPr>
            <w:tcW w:w="2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Goodwill</w:t>
            </w:r>
            <w:r>
              <w:rPr>
                <w:rFonts w:ascii="Arial" w:cs="Arial" w:eastAsia="Arial" w:hAnsi="Arial"/>
                <w:sz w:val="18"/>
                <w:szCs w:val="18"/>
                <w:color w:val="auto"/>
                <w:vertAlign w:val="superscript"/>
              </w:rPr>
              <w:t>(1)</w:t>
            </w:r>
          </w:p>
        </w:tc>
        <w:tc>
          <w:tcPr>
            <w:tcW w:w="26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2,828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2,824</w:t>
            </w:r>
          </w:p>
        </w:tc>
        <w:tc>
          <w:tcPr>
            <w:tcW w:w="0" w:type="dxa"/>
            <w:vAlign w:val="bottom"/>
          </w:tcPr>
          <w:p>
            <w:pPr>
              <w:spacing w:after="0"/>
              <w:rPr>
                <w:sz w:val="1"/>
                <w:szCs w:val="1"/>
                <w:color w:val="auto"/>
              </w:rPr>
            </w:pPr>
          </w:p>
        </w:tc>
      </w:tr>
      <w:tr>
        <w:trPr>
          <w:trHeight w:val="275"/>
        </w:trPr>
        <w:tc>
          <w:tcPr>
            <w:tcW w:w="4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4,214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4,215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40" w:hanging="652"/>
        <w:spacing w:after="0" w:line="216"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Goodwill is calculated as total consideration transferred, net of cash acquired, less identified net assets acquired and it primarily represents the value that we expect to obtain from synergies and growth opportunities from our combined operations.</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76" w:right="27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i w:val="1"/>
          <w:iCs w:val="1"/>
          <w:color w:val="auto"/>
        </w:rPr>
        <w:t>Vacation Ownership Notes Receivable</w:t>
      </w:r>
    </w:p>
    <w:p>
      <w:pPr>
        <w:spacing w:after="0" w:line="117"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We acquired vacation ownership notes receivable, which consist of loans to customers who purchased vacation ownership products and chose to finance their purchase. These vacation ownership notes receivable are collateralized by the underlying vacation ownership interests (“VOIs”) and generally have terms ranging from five to 15 years. We provisionally estimated the fair value of the vacation ownership notes receivables using a discounted cash flow model, which calculated a present value of expected future cash flows over the term of the respective vacation ownership notes receivable (Level 2). We are continuing to evaluate the significant assumptions underlying the discounted cash flow model including default and prepayment assumptions, which could result in changes to our provisional estimate. See Footnote 6 “Vacation Ownership Notes Receivable” for additional information.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We acquired inventory, which consisted of completed unsold VOIs and vacation ownership projects under construction. We provisionally estimated the value of acquired inventory using an income approach, which is primarily based on significant Level 3 assumptions, such as estimates of future income growth, capitalization rates, discount rates and capital expenditure needs of the relevant properties. We are continuing to assess the market assumptions and property conditions, which could result in changes to these provisional values.</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We acquired property and equipment, which included four owned hotels, information technology, ancillary business assets, furniture and equipment and land held for future development. We provisionally estimated the value of the property and equipment using a combination of the income, cost, and market approaches, which are primarily based on significant Level 3 assumptions, such as estimates of future income growth, capitalization rates, discount rates and capital expenditure needs of the hotels. We are continuing to refine our estimate of the capital expenditure needs of one of the owned hotels, which could result in a change to the provisional value of that asset. We do not expect any other material changes to the provisional estimates.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allocated the carrying amount of our preliminary estimate of goodwill to our Vacation Ownership and our Exchange &amp; Third-Party Management reporting units. The following table details the carrying amount of our goodwill at June 30, 2019 and December 31, 2018, and reflects our preliminary estimate of goodwill added as a result of the ILG Acquisition. The assignment of goodwill to our reporting units may change during the measurement period as we have not yet finalized the fair value of the assets and liabilities assumed in the ILG Acquisition.</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Exchange &amp; Third-</w:t>
            </w: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Vacation Ownership</w:t>
            </w:r>
          </w:p>
        </w:tc>
        <w:tc>
          <w:tcPr>
            <w:tcW w:w="160" w:type="dxa"/>
            <w:vAlign w:val="bottom"/>
          </w:tcPr>
          <w:p>
            <w:pPr>
              <w:spacing w:after="0"/>
              <w:rPr>
                <w:sz w:val="17"/>
                <w:szCs w:val="17"/>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Party Management</w:t>
            </w: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Segment</w:t>
            </w:r>
          </w:p>
        </w:tc>
        <w:tc>
          <w:tcPr>
            <w:tcW w:w="160" w:type="dxa"/>
            <w:vAlign w:val="bottom"/>
          </w:tcPr>
          <w:p>
            <w:pPr>
              <w:spacing w:after="0"/>
              <w:rPr>
                <w:sz w:val="20"/>
                <w:szCs w:val="20"/>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Segment</w:t>
            </w:r>
          </w:p>
        </w:tc>
        <w:tc>
          <w:tcPr>
            <w:tcW w:w="180" w:type="dxa"/>
            <w:vAlign w:val="bottom"/>
          </w:tcPr>
          <w:p>
            <w:pPr>
              <w:spacing w:after="0"/>
              <w:rPr>
                <w:sz w:val="20"/>
                <w:szCs w:val="20"/>
                <w:color w:val="auto"/>
              </w:rPr>
            </w:pPr>
          </w:p>
        </w:tc>
        <w:tc>
          <w:tcPr>
            <w:tcW w:w="1620" w:type="dxa"/>
            <w:vAlign w:val="bottom"/>
          </w:tcPr>
          <w:p>
            <w:pPr>
              <w:jc w:val="right"/>
              <w:ind w:right="152"/>
              <w:spacing w:after="0"/>
              <w:rPr>
                <w:sz w:val="20"/>
                <w:szCs w:val="20"/>
                <w:color w:val="auto"/>
              </w:rPr>
            </w:pPr>
            <w:r>
              <w:rPr>
                <w:rFonts w:ascii="Arial" w:cs="Arial" w:eastAsia="Arial" w:hAnsi="Arial"/>
                <w:sz w:val="16"/>
                <w:szCs w:val="16"/>
                <w:b w:val="1"/>
                <w:bCs w:val="1"/>
                <w:color w:val="auto"/>
                <w:w w:val="94"/>
              </w:rPr>
              <w:t>Total Consolidated</w:t>
            </w:r>
          </w:p>
        </w:tc>
      </w:tr>
      <w:tr>
        <w:trPr>
          <w:trHeight w:val="250"/>
        </w:trPr>
        <w:tc>
          <w:tcPr>
            <w:tcW w:w="3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2,828</w:t>
            </w: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3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2,444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r>
      <w:tr>
        <w:trPr>
          <w:trHeight w:val="20"/>
        </w:trPr>
        <w:tc>
          <w:tcPr>
            <w:tcW w:w="3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presents our preliminary estimates of the fair values of ILG’s identified intangible assets and their related estimated useful lives as of the Acquisition Date.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280" w:type="dxa"/>
            <w:vAlign w:val="bottom"/>
            <w:gridSpan w:val="2"/>
          </w:tcPr>
          <w:p>
            <w:pPr>
              <w:jc w:val="right"/>
              <w:ind w:right="310"/>
              <w:spacing w:after="0"/>
              <w:rPr>
                <w:sz w:val="20"/>
                <w:szCs w:val="20"/>
                <w:color w:val="auto"/>
              </w:rPr>
            </w:pPr>
            <w:r>
              <w:rPr>
                <w:rFonts w:ascii="Arial" w:cs="Arial" w:eastAsia="Arial" w:hAnsi="Arial"/>
                <w:sz w:val="16"/>
                <w:szCs w:val="16"/>
                <w:b w:val="1"/>
                <w:bCs w:val="1"/>
                <w:color w:val="auto"/>
              </w:rPr>
              <w:t>Estimated Fair Value</w:t>
            </w:r>
          </w:p>
        </w:tc>
        <w:tc>
          <w:tcPr>
            <w:tcW w:w="120" w:type="dxa"/>
            <w:vAlign w:val="bottom"/>
          </w:tcPr>
          <w:p>
            <w:pPr>
              <w:spacing w:after="0"/>
              <w:rPr>
                <w:sz w:val="18"/>
                <w:szCs w:val="18"/>
                <w:color w:val="auto"/>
              </w:rPr>
            </w:pPr>
          </w:p>
        </w:tc>
        <w:tc>
          <w:tcPr>
            <w:tcW w:w="22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Estimated Useful Life</w:t>
            </w:r>
          </w:p>
        </w:tc>
        <w:tc>
          <w:tcPr>
            <w:tcW w:w="0" w:type="dxa"/>
            <w:vAlign w:val="bottom"/>
          </w:tcPr>
          <w:p>
            <w:pPr>
              <w:spacing w:after="0"/>
              <w:rPr>
                <w:sz w:val="1"/>
                <w:szCs w:val="1"/>
                <w:color w:val="auto"/>
              </w:rPr>
            </w:pPr>
          </w:p>
        </w:tc>
      </w:tr>
      <w:tr>
        <w:trPr>
          <w:trHeight w:val="37"/>
        </w:trPr>
        <w:tc>
          <w:tcPr>
            <w:tcW w:w="1660" w:type="dxa"/>
            <w:vAlign w:val="bottom"/>
          </w:tcPr>
          <w:p>
            <w:pPr>
              <w:spacing w:after="0"/>
              <w:rPr>
                <w:sz w:val="3"/>
                <w:szCs w:val="3"/>
                <w:color w:val="auto"/>
              </w:rPr>
            </w:pPr>
          </w:p>
        </w:tc>
        <w:tc>
          <w:tcPr>
            <w:tcW w:w="5080" w:type="dxa"/>
            <w:vAlign w:val="bottom"/>
          </w:tcPr>
          <w:p>
            <w:pPr>
              <w:spacing w:after="0"/>
              <w:rPr>
                <w:sz w:val="3"/>
                <w:szCs w:val="3"/>
                <w:color w:val="auto"/>
              </w:rPr>
            </w:pPr>
          </w:p>
        </w:tc>
        <w:tc>
          <w:tcPr>
            <w:tcW w:w="1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 in millions)</w:t>
            </w: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1660" w:type="dxa"/>
            <w:vAlign w:val="bottom"/>
            <w:tcBorders>
              <w:bottom w:val="single" w:sz="8" w:color="CCEEFF"/>
            </w:tcBorders>
          </w:tcPr>
          <w:p>
            <w:pPr>
              <w:spacing w:after="0"/>
              <w:rPr>
                <w:sz w:val="16"/>
                <w:szCs w:val="16"/>
                <w:color w:val="auto"/>
              </w:rPr>
            </w:pPr>
          </w:p>
        </w:tc>
        <w:tc>
          <w:tcPr>
            <w:tcW w:w="508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50"/>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shd w:val="clear" w:color="auto" w:fill="CCEEFF"/>
              </w:rPr>
              <w:t>Member relationships</w:t>
            </w:r>
          </w:p>
        </w:tc>
        <w:tc>
          <w:tcPr>
            <w:tcW w:w="50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9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15 to 20</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Management contracts</w:t>
            </w:r>
          </w:p>
        </w:tc>
        <w:tc>
          <w:tcPr>
            <w:tcW w:w="17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15 to 25</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7"/>
                <w:shd w:val="clear" w:color="auto" w:fill="CCEEFF"/>
              </w:rPr>
              <w:t>Management contracts</w:t>
            </w:r>
          </w:p>
        </w:tc>
        <w:tc>
          <w:tcPr>
            <w:tcW w:w="5080" w:type="dxa"/>
            <w:vAlign w:val="bottom"/>
            <w:tcBorders>
              <w:bottom w:val="single" w:sz="8" w:color="CCEEFF"/>
            </w:tcBorders>
            <w:shd w:val="clear" w:color="auto" w:fill="CCEEFF"/>
          </w:tcPr>
          <w:p>
            <w:pPr>
              <w:jc w:val="right"/>
              <w:ind w:right="4915"/>
              <w:spacing w:after="0"/>
              <w:rPr>
                <w:sz w:val="20"/>
                <w:szCs w:val="20"/>
                <w:color w:val="auto"/>
              </w:rPr>
            </w:pPr>
            <w:r>
              <w:rPr>
                <w:rFonts w:ascii="Arial" w:cs="Arial" w:eastAsia="Arial" w:hAnsi="Arial"/>
                <w:sz w:val="9"/>
                <w:szCs w:val="9"/>
                <w:color w:val="auto"/>
                <w:w w:val="90"/>
              </w:rPr>
              <w:t>(1)</w:t>
            </w:r>
          </w:p>
        </w:tc>
        <w:tc>
          <w:tcPr>
            <w:tcW w:w="17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indefinite</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Trade names and trademarks</w:t>
            </w:r>
          </w:p>
        </w:tc>
        <w:tc>
          <w:tcPr>
            <w:tcW w:w="17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4"/>
              </w:rPr>
              <w:t>indefinite</w:t>
            </w:r>
          </w:p>
        </w:tc>
        <w:tc>
          <w:tcPr>
            <w:tcW w:w="0" w:type="dxa"/>
            <w:vAlign w:val="bottom"/>
          </w:tcPr>
          <w:p>
            <w:pPr>
              <w:spacing w:after="0"/>
              <w:rPr>
                <w:sz w:val="1"/>
                <w:szCs w:val="1"/>
                <w:color w:val="auto"/>
              </w:rPr>
            </w:pPr>
          </w:p>
        </w:tc>
      </w:tr>
      <w:tr>
        <w:trPr>
          <w:trHeight w:val="27"/>
        </w:trPr>
        <w:tc>
          <w:tcPr>
            <w:tcW w:w="1660" w:type="dxa"/>
            <w:vAlign w:val="bottom"/>
            <w:tcBorders>
              <w:bottom w:val="single" w:sz="8" w:color="CCEEFF"/>
            </w:tcBorders>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660" w:type="dxa"/>
            <w:vAlign w:val="bottom"/>
            <w:tcBorders>
              <w:bottom w:val="single" w:sz="8" w:color="CCEEFF"/>
            </w:tcBorders>
            <w:shd w:val="clear" w:color="auto" w:fill="CCEEFF"/>
          </w:tcPr>
          <w:p>
            <w:pPr>
              <w:spacing w:after="0"/>
              <w:rPr>
                <w:sz w:val="22"/>
                <w:szCs w:val="22"/>
                <w:color w:val="auto"/>
              </w:rPr>
            </w:pPr>
          </w:p>
        </w:tc>
        <w:tc>
          <w:tcPr>
            <w:tcW w:w="50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49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1,163</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_________________________</w:t>
            </w:r>
          </w:p>
        </w:tc>
        <w:tc>
          <w:tcPr>
            <w:tcW w:w="1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gridSpan w:val="2"/>
            <w:vMerge w:val="continue"/>
          </w:tcPr>
          <w:p>
            <w:pPr>
              <w:spacing w:after="0"/>
              <w:rPr>
                <w:sz w:val="17"/>
                <w:szCs w:val="17"/>
                <w:color w:val="auto"/>
              </w:rPr>
            </w:pPr>
          </w:p>
        </w:tc>
        <w:tc>
          <w:tcPr>
            <w:tcW w:w="1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right="180" w:hanging="492"/>
        <w:spacing w:after="0" w:line="262" w:lineRule="auto"/>
        <w:tabs>
          <w:tab w:leader="none" w:pos="50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The indefinite-lived management contracts, by their terms, continue for the foreseeable horizon. There are no legal, regulatory, contractual, competitive, economic or other factors which limit the period of time over which these resort management contracts are expected to contribute future cash flows. These management contracts were entirely related to the VRI Europe business, which we disposed of in the fourth quarter of 2018.</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4" w:name="page15"/>
    <w:bookmarkEnd w:id="14"/>
    <w:p>
      <w:pPr>
        <w:ind w:right="60" w:firstLine="648"/>
        <w:spacing w:after="0" w:line="255" w:lineRule="auto"/>
        <w:rPr>
          <w:sz w:val="20"/>
          <w:szCs w:val="20"/>
          <w:color w:val="auto"/>
        </w:rPr>
      </w:pPr>
      <w:r>
        <w:rPr>
          <w:rFonts w:ascii="Arial" w:cs="Arial" w:eastAsia="Arial" w:hAnsi="Arial"/>
          <w:sz w:val="18"/>
          <w:szCs w:val="18"/>
          <w:color w:val="auto"/>
        </w:rPr>
        <w:t>We provisionally estimated the value of the trade names and trademarks using the relief-from-royalty method, which applies an estimated royalty rate to forecasted future cash flows, discounted to present value. We estimated the value of management contracts and member relationships using the multi-period excess earnings method, which is a variation of the income approach. This method estimates an intangible asset’s value based on the present value of the incremental after-tax cash flows attributable to the intangible asset. These valuation approaches utilize Level 3 inputs, and we continue to review the related contracts in addition to evaluating the inputs, including the discount rates and renewal and growth assumptions, which could result in changes to these provisional values.</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Deferred Revenue</w:t>
      </w:r>
    </w:p>
    <w:p>
      <w:pPr>
        <w:spacing w:after="0" w:line="11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Deferred revenue primarily relates to membership fees, which are deferred and recognized over the terms of the applicable memberships, ranging from one to five years, on a straight-line basis. Additionally, deferred revenue includes maintenance fees collected from owners, in certain cases, which are earned by the relevant property owners’ association over the applicable period. We provisionally estimated the value of the deferred revenue utilizing Level 3 inputs based on a review of existing deferred revenue balances against legal performance obligations. While we continue to review the related contracts in addition to evaluating the inputs, we do not expect a material change to the provisional estimate.</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Deferred Income Taxes</w:t>
      </w:r>
    </w:p>
    <w:p>
      <w:pPr>
        <w:spacing w:after="0" w:line="11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Deferred income taxes primarily relate to the fair value of assets and liabilities acquired, including vacation ownership notes receivable, inventory, property and equipment, intangible assets and debt. We provisionally estimated deferred income taxes based on statutory rates in the jurisdictions of the legal entities where the acquired assets and liabilities are recorded. We are continuing to assess the tax rates used, and we will update our estimate of deferred income taxes based on changes to our provisional valuations of the related assets and liabilities and refinement of the effective tax rates, which could result in changes to these provisional values.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Debt</w:t>
      </w:r>
    </w:p>
    <w:p>
      <w:pPr>
        <w:spacing w:after="0" w:line="11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valued the IAC Notes (as defined in Footnote 14 “Debt”) using a quoted market price, which is considered a Level 2 input as it is observable in the market; however these notes have only a limited trading volume and as such this fair value estimate is not necessarily indicative of the value at which the IAC Notes could be retired or transferred. The carrying value of the outstanding balance on the revolving credit facility that was acquired (the “ILG Revolving Credit Facility”) approximated fair value, as the contractual interest rate was variable plus an applicable margin based credit rating (Level 3 input). The ILG Revolving Credit Facility was extinguished and all amounts due were repaid in full upon completion of the ILG Acquisition.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Securitized Debt from VIEs</w:t>
      </w:r>
    </w:p>
    <w:p>
      <w:pPr>
        <w:spacing w:after="0" w:line="11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provisionally estimated the fair value of the securitized debt from VIEs using a discounted cash flow model. The significant assumptions in our analysis include default rates, prepayment rates, bond interest rates and other structural factors (Level 3 inputs). We are continuing to evaluate the significant assumptions underlying the discounted cash flow model including default and prepayment assumptions, which could result in changes to our provisional estimate.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 Forma Results of Operations</w:t>
      </w:r>
    </w:p>
    <w:p>
      <w:pPr>
        <w:spacing w:after="0" w:line="11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following unaudited pro forma information presents the combined results of operations of Marriott Vacations Worldwide and ILG as if we had completed the ILG Acquisition on December 30, 2016, the last day of our 2016 fiscal year, but using our preliminary fair values of assets and liabilities as of the Acquisition Date. As required by GAAP, these unaudited pro forma results do not reflect any synergies from operating efficiencies. Accordingly, these unaudited pro forma results are presented for informational purposes only and are not necessarily indicative of what the actual results of operations of the combined company would have been if the ILG Acquisition had occurred at the beginning of the period presented, nor are they indicative of future results of operations.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right"/>
              <w:ind w:right="413"/>
              <w:spacing w:after="0"/>
              <w:rPr>
                <w:sz w:val="20"/>
                <w:szCs w:val="20"/>
                <w:color w:val="auto"/>
              </w:rPr>
            </w:pPr>
            <w:r>
              <w:rPr>
                <w:rFonts w:ascii="Arial" w:cs="Arial" w:eastAsia="Arial" w:hAnsi="Arial"/>
                <w:sz w:val="16"/>
                <w:szCs w:val="16"/>
                <w:b w:val="1"/>
                <w:bCs w:val="1"/>
                <w:color w:val="auto"/>
              </w:rPr>
              <w:t>Six Months Ended</w:t>
            </w:r>
          </w:p>
        </w:tc>
      </w:tr>
      <w:tr>
        <w:trPr>
          <w:trHeight w:val="237"/>
        </w:trPr>
        <w:tc>
          <w:tcPr>
            <w:tcW w:w="9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 except per share data)</w:t>
            </w:r>
          </w:p>
        </w:tc>
        <w:tc>
          <w:tcPr>
            <w:tcW w:w="3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593"/>
              <w:spacing w:after="0"/>
              <w:rPr>
                <w:sz w:val="20"/>
                <w:szCs w:val="20"/>
                <w:color w:val="auto"/>
              </w:rPr>
            </w:pPr>
            <w:r>
              <w:rPr>
                <w:rFonts w:ascii="Arial" w:cs="Arial" w:eastAsia="Arial" w:hAnsi="Arial"/>
                <w:sz w:val="16"/>
                <w:szCs w:val="16"/>
                <w:b w:val="1"/>
                <w:bCs w:val="1"/>
                <w:color w:val="auto"/>
              </w:rPr>
              <w:t>June 30, 2018</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2,097</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3"/>
              <w:spacing w:after="0"/>
              <w:rPr>
                <w:sz w:val="20"/>
                <w:szCs w:val="20"/>
                <w:color w:val="auto"/>
              </w:rPr>
            </w:pPr>
            <w:r>
              <w:rPr>
                <w:rFonts w:ascii="Arial" w:cs="Arial" w:eastAsia="Arial" w:hAnsi="Arial"/>
                <w:sz w:val="18"/>
                <w:szCs w:val="18"/>
                <w:color w:val="auto"/>
              </w:rPr>
              <w:t>71</w:t>
            </w:r>
          </w:p>
        </w:tc>
      </w:tr>
      <w:tr>
        <w:trPr>
          <w:trHeight w:val="27"/>
        </w:trPr>
        <w:tc>
          <w:tcPr>
            <w:tcW w:w="9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b w:val="1"/>
                <w:bCs w:val="1"/>
                <w:color w:val="auto"/>
              </w:rPr>
              <w:t>EARNINGS PER SHARE ATTRIBUTABLE TO COMMON SHAREHOLDERS</w:t>
            </w:r>
          </w:p>
        </w:tc>
        <w:tc>
          <w:tcPr>
            <w:tcW w:w="30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7"/>
        </w:trPr>
        <w:tc>
          <w:tcPr>
            <w:tcW w:w="9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w:t>
            </w:r>
          </w:p>
        </w:tc>
      </w:tr>
      <w:tr>
        <w:trPr>
          <w:trHeight w:val="243"/>
        </w:trPr>
        <w:tc>
          <w:tcPr>
            <w:tcW w:w="9140" w:type="dxa"/>
            <w:vAlign w:val="bottom"/>
          </w:tcPr>
          <w:p>
            <w:pPr>
              <w:ind w:left="28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3"/>
              <w:spacing w:after="0"/>
              <w:rPr>
                <w:sz w:val="20"/>
                <w:szCs w:val="20"/>
                <w:color w:val="auto"/>
              </w:rPr>
            </w:pPr>
            <w:r>
              <w:rPr>
                <w:rFonts w:ascii="Arial" w:cs="Arial" w:eastAsia="Arial" w:hAnsi="Arial"/>
                <w:sz w:val="18"/>
                <w:szCs w:val="18"/>
                <w:color w:val="auto"/>
              </w:rPr>
              <w:t>1.42</w:t>
            </w:r>
          </w:p>
        </w:tc>
      </w:tr>
      <w:tr>
        <w:trPr>
          <w:trHeight w:val="702"/>
        </w:trPr>
        <w:tc>
          <w:tcPr>
            <w:tcW w:w="9140" w:type="dxa"/>
            <w:vAlign w:val="bottom"/>
          </w:tcPr>
          <w:p>
            <w:pPr>
              <w:ind w:left="562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11420"/>
          </w:cols>
          <w:pgMar w:left="240" w:top="530" w:right="23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The unaudited pro forma results above include $27 million of ILG acquisition-related costs for the six months ended June 30, 2018.</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ILG Results of Operations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results of Legacy-ILG operations included in our Income Statement for the three and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Three Months Ended</w:t>
            </w:r>
          </w:p>
        </w:tc>
        <w:tc>
          <w:tcPr>
            <w:tcW w:w="300" w:type="dxa"/>
            <w:vAlign w:val="bottom"/>
          </w:tcPr>
          <w:p>
            <w:pPr>
              <w:spacing w:after="0"/>
              <w:rPr>
                <w:sz w:val="17"/>
                <w:szCs w:val="17"/>
                <w:color w:val="auto"/>
              </w:rPr>
            </w:pPr>
          </w:p>
        </w:tc>
        <w:tc>
          <w:tcPr>
            <w:tcW w:w="1980" w:type="dxa"/>
            <w:vAlign w:val="bottom"/>
          </w:tcPr>
          <w:p>
            <w:pPr>
              <w:jc w:val="right"/>
              <w:ind w:right="414"/>
              <w:spacing w:after="0"/>
              <w:rPr>
                <w:sz w:val="20"/>
                <w:szCs w:val="20"/>
                <w:color w:val="auto"/>
              </w:rPr>
            </w:pPr>
            <w:r>
              <w:rPr>
                <w:rFonts w:ascii="Arial" w:cs="Arial" w:eastAsia="Arial" w:hAnsi="Arial"/>
                <w:sz w:val="16"/>
                <w:szCs w:val="16"/>
                <w:b w:val="1"/>
                <w:bCs w:val="1"/>
                <w:color w:val="auto"/>
              </w:rPr>
              <w:t>Six Months Ended</w:t>
            </w:r>
          </w:p>
        </w:tc>
      </w:tr>
      <w:tr>
        <w:trPr>
          <w:trHeight w:val="237"/>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Pr>
          <w:p>
            <w:pPr>
              <w:spacing w:after="0"/>
              <w:rPr>
                <w:sz w:val="20"/>
                <w:szCs w:val="20"/>
                <w:color w:val="auto"/>
              </w:rPr>
            </w:pPr>
          </w:p>
        </w:tc>
        <w:tc>
          <w:tcPr>
            <w:tcW w:w="21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June 30, 2019</w:t>
            </w:r>
          </w:p>
        </w:tc>
        <w:tc>
          <w:tcPr>
            <w:tcW w:w="300" w:type="dxa"/>
            <w:vAlign w:val="bottom"/>
          </w:tcPr>
          <w:p>
            <w:pPr>
              <w:spacing w:after="0"/>
              <w:rPr>
                <w:sz w:val="20"/>
                <w:szCs w:val="20"/>
                <w:color w:val="auto"/>
              </w:rPr>
            </w:pPr>
          </w:p>
        </w:tc>
        <w:tc>
          <w:tcPr>
            <w:tcW w:w="1980" w:type="dxa"/>
            <w:vAlign w:val="bottom"/>
          </w:tcPr>
          <w:p>
            <w:pPr>
              <w:jc w:val="right"/>
              <w:ind w:right="594"/>
              <w:spacing w:after="0"/>
              <w:rPr>
                <w:sz w:val="20"/>
                <w:szCs w:val="20"/>
                <w:color w:val="auto"/>
              </w:rPr>
            </w:pPr>
            <w:r>
              <w:rPr>
                <w:rFonts w:ascii="Arial" w:cs="Arial" w:eastAsia="Arial" w:hAnsi="Arial"/>
                <w:sz w:val="16"/>
                <w:szCs w:val="16"/>
                <w:b w:val="1"/>
                <w:bCs w:val="1"/>
                <w:color w:val="auto"/>
              </w:rPr>
              <w:t>June 30, 2019</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Revenue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4"/>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66</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Marco Island, Florida</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first quarter of 2018, we acquired 20 completed vacation ownership units located at our resort in Marco Island, Florida for $24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accounted for the transaction as an asset acquisition with all of the purchase price allocated to Inventory.</w:t>
      </w:r>
    </w:p>
    <w:p>
      <w:pPr>
        <w:spacing w:after="0" w:line="200" w:lineRule="exact"/>
        <w:rPr>
          <w:sz w:val="20"/>
          <w:szCs w:val="20"/>
          <w:color w:val="auto"/>
        </w:rPr>
      </w:pPr>
    </w:p>
    <w:p>
      <w:pPr>
        <w:spacing w:after="0" w:line="277" w:lineRule="exact"/>
        <w:rPr>
          <w:sz w:val="20"/>
          <w:szCs w:val="20"/>
          <w:color w:val="auto"/>
        </w:rPr>
      </w:pPr>
    </w:p>
    <w:p>
      <w:pPr>
        <w:ind w:left="380" w:hanging="345"/>
        <w:spacing w:after="0"/>
        <w:tabs>
          <w:tab w:leader="none" w:pos="3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Revenue by Segment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detail the sources of revenue by segment for the time periods presented.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3"/>
          </w:tcPr>
          <w:p>
            <w:pPr>
              <w:jc w:val="right"/>
              <w:ind w:right="13"/>
              <w:spacing w:after="0"/>
              <w:rPr>
                <w:sz w:val="20"/>
                <w:szCs w:val="20"/>
                <w:color w:val="auto"/>
              </w:rPr>
            </w:pPr>
            <w:r>
              <w:rPr>
                <w:rFonts w:ascii="Arial" w:cs="Arial" w:eastAsia="Arial" w:hAnsi="Arial"/>
                <w:sz w:val="16"/>
                <w:szCs w:val="16"/>
                <w:b w:val="1"/>
                <w:bCs w:val="1"/>
                <w:color w:val="auto"/>
              </w:rPr>
              <w:t>Three Months Ended June 30, 2019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6"/>
              </w:rPr>
              <w:t>Exchange &amp; Third-</w:t>
            </w: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w w:val="92"/>
              </w:rPr>
              <w:t>Vacation Ownership</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5"/>
              </w:rPr>
              <w:t>Party Management</w:t>
            </w:r>
          </w:p>
        </w:tc>
        <w:tc>
          <w:tcPr>
            <w:tcW w:w="10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6"/>
                <w:szCs w:val="16"/>
                <w:b w:val="1"/>
                <w:bCs w:val="1"/>
                <w:color w:val="auto"/>
              </w:rPr>
              <w:t>Corporate and Other</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Total</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5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w:t>
            </w:r>
          </w:p>
        </w:tc>
      </w:tr>
      <w:tr>
        <w:trPr>
          <w:trHeight w:val="324"/>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Ancillary revenues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Management fee revenues</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services revenues</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Management and exchange</w:t>
            </w:r>
          </w:p>
        </w:tc>
        <w:tc>
          <w:tcPr>
            <w:tcW w:w="1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Rental</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158</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252</w:t>
            </w: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 from contracts with customers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w:t>
            </w:r>
          </w:p>
        </w:tc>
      </w:tr>
      <w:tr>
        <w:trPr>
          <w:trHeight w:val="324"/>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r>
      <w:tr>
        <w:trPr>
          <w:trHeight w:val="257"/>
        </w:trPr>
        <w:tc>
          <w:tcPr>
            <w:tcW w:w="424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1053"/>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1,068</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jc w:val="right"/>
              <w:ind w:right="9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476"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3"/>
          </w:tcPr>
          <w:p>
            <w:pPr>
              <w:jc w:val="right"/>
              <w:ind w:right="13"/>
              <w:spacing w:after="0"/>
              <w:rPr>
                <w:sz w:val="20"/>
                <w:szCs w:val="20"/>
                <w:color w:val="auto"/>
              </w:rPr>
            </w:pPr>
            <w:r>
              <w:rPr>
                <w:rFonts w:ascii="Arial" w:cs="Arial" w:eastAsia="Arial" w:hAnsi="Arial"/>
                <w:sz w:val="16"/>
                <w:szCs w:val="16"/>
                <w:b w:val="1"/>
                <w:bCs w:val="1"/>
                <w:color w:val="auto"/>
              </w:rPr>
              <w:t>Three Months Ended June 30, 2018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6"/>
              </w:rPr>
              <w:t>Exchange &amp; Third-</w:t>
            </w: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w w:val="92"/>
              </w:rPr>
              <w:t>Vacation Ownership</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5"/>
              </w:rPr>
              <w:t>Party Management</w:t>
            </w:r>
          </w:p>
        </w:tc>
        <w:tc>
          <w:tcPr>
            <w:tcW w:w="10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6"/>
                <w:szCs w:val="16"/>
                <w:b w:val="1"/>
                <w:bCs w:val="1"/>
                <w:color w:val="auto"/>
              </w:rPr>
              <w:t>Corporate and Other</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Total</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5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r>
      <w:tr>
        <w:trPr>
          <w:trHeight w:val="324"/>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Ancillary revenues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Management fee revenues</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services revenues</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Management and exchange</w:t>
            </w:r>
          </w:p>
        </w:tc>
        <w:tc>
          <w:tcPr>
            <w:tcW w:w="1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Rental</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74</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202</w:t>
            </w: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 from contracts with customers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w:t>
            </w:r>
          </w:p>
        </w:tc>
      </w:tr>
      <w:tr>
        <w:trPr>
          <w:trHeight w:val="324"/>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r>
      <w:tr>
        <w:trPr>
          <w:trHeight w:val="257"/>
        </w:trPr>
        <w:tc>
          <w:tcPr>
            <w:tcW w:w="424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1053"/>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595</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791"/>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20" w:type="dxa"/>
            <w:vAlign w:val="bottom"/>
            <w:gridSpan w:val="3"/>
          </w:tcPr>
          <w:p>
            <w:pPr>
              <w:jc w:val="right"/>
              <w:ind w:right="93"/>
              <w:spacing w:after="0"/>
              <w:rPr>
                <w:sz w:val="20"/>
                <w:szCs w:val="20"/>
                <w:color w:val="auto"/>
              </w:rPr>
            </w:pPr>
            <w:r>
              <w:rPr>
                <w:rFonts w:ascii="Arial" w:cs="Arial" w:eastAsia="Arial" w:hAnsi="Arial"/>
                <w:sz w:val="16"/>
                <w:szCs w:val="16"/>
                <w:b w:val="1"/>
                <w:bCs w:val="1"/>
                <w:color w:val="auto"/>
              </w:rPr>
              <w:t>Six Months Ended June 30, 2019</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
        </w:trPr>
        <w:tc>
          <w:tcPr>
            <w:tcW w:w="4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6"/>
              </w:rPr>
              <w:t>Exchange &amp; Third-</w:t>
            </w: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w w:val="92"/>
              </w:rPr>
              <w:t>Vacation Ownership</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5"/>
              </w:rPr>
              <w:t>Party Management</w:t>
            </w:r>
          </w:p>
        </w:tc>
        <w:tc>
          <w:tcPr>
            <w:tcW w:w="10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6"/>
                <w:szCs w:val="16"/>
                <w:b w:val="1"/>
                <w:bCs w:val="1"/>
                <w:color w:val="auto"/>
              </w:rPr>
              <w:t>Corporate and Other</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Total</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5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w:t>
            </w:r>
          </w:p>
        </w:tc>
      </w:tr>
      <w:tr>
        <w:trPr>
          <w:trHeight w:val="324"/>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Ancillary revenues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Management fee revenues</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94</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services revenues</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Management and exchange</w:t>
            </w:r>
          </w:p>
        </w:tc>
        <w:tc>
          <w:tcPr>
            <w:tcW w:w="1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478</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Rental</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323</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539</w:t>
            </w: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 from contracts with customers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1,991</w:t>
            </w:r>
          </w:p>
        </w:tc>
      </w:tr>
      <w:tr>
        <w:trPr>
          <w:trHeight w:val="324"/>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r>
      <w:tr>
        <w:trPr>
          <w:trHeight w:val="257"/>
        </w:trPr>
        <w:tc>
          <w:tcPr>
            <w:tcW w:w="424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1,882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1053"/>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2,128</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jc w:val="right"/>
              <w:ind w:right="9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760"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gridSpan w:val="3"/>
          </w:tcPr>
          <w:p>
            <w:pPr>
              <w:ind w:left="480"/>
              <w:spacing w:after="0"/>
              <w:rPr>
                <w:sz w:val="20"/>
                <w:szCs w:val="20"/>
                <w:color w:val="auto"/>
              </w:rPr>
            </w:pPr>
            <w:r>
              <w:rPr>
                <w:rFonts w:ascii="Arial" w:cs="Arial" w:eastAsia="Arial" w:hAnsi="Arial"/>
                <w:sz w:val="16"/>
                <w:szCs w:val="16"/>
                <w:b w:val="1"/>
                <w:bCs w:val="1"/>
                <w:color w:val="auto"/>
                <w:w w:val="97"/>
              </w:rPr>
              <w:t>Six Months Ended June 30, 2018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Exchange &amp; Third-</w:t>
            </w: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w w:val="92"/>
              </w:rPr>
              <w:t>Vacation Ownership</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Party Management</w:t>
            </w:r>
          </w:p>
        </w:tc>
        <w:tc>
          <w:tcPr>
            <w:tcW w:w="10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6"/>
                <w:szCs w:val="16"/>
                <w:b w:val="1"/>
                <w:bCs w:val="1"/>
                <w:color w:val="auto"/>
              </w:rPr>
              <w:t>Corporate and Other</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Total</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3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w:t>
            </w:r>
          </w:p>
        </w:tc>
      </w:tr>
      <w:tr>
        <w:trPr>
          <w:trHeight w:val="324"/>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Ancillary revenues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Management fee revenues</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50</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services revenues</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Management and exchange</w:t>
            </w:r>
          </w:p>
        </w:tc>
        <w:tc>
          <w:tcPr>
            <w:tcW w:w="1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Rental</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149</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418</w:t>
            </w: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 from contracts with customers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1,095</w:t>
            </w:r>
          </w:p>
        </w:tc>
      </w:tr>
      <w:tr>
        <w:trPr>
          <w:trHeight w:val="324"/>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r>
      <w:tr>
        <w:trPr>
          <w:trHeight w:val="257"/>
        </w:trPr>
        <w:tc>
          <w:tcPr>
            <w:tcW w:w="424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1,166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33"/>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1,166</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Timing of Revenue from Contracts with Customers by Segment</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detail the timing of revenue from contracts with customers by segment for the time periods presented.</w:t>
      </w:r>
    </w:p>
    <w:p>
      <w:pPr>
        <w:sectPr>
          <w:pgSz w:w="11900" w:h="16838" w:orient="portrait"/>
          <w:cols w:equalWidth="0" w:num="1">
            <w:col w:w="11420"/>
          </w:cols>
          <w:pgMar w:left="240" w:top="7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millions)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Services transferred over time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Goods or services transferred at a point in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millions)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color w:val="auto"/>
          <w:shd w:val="clear" w:color="auto" w:fill="CCEEFF"/>
        </w:rPr>
        <w:t>Services transferred over time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Goods or services transferred at a point in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millions)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color w:val="auto"/>
          <w:shd w:val="clear" w:color="auto" w:fill="CCEEFF"/>
        </w:rPr>
        <w:t>Services transferred over time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Goods or services transferred at a point in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millions)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color w:val="auto"/>
          <w:shd w:val="clear" w:color="auto" w:fill="CCEEFF"/>
        </w:rPr>
        <w:t>Services transferred over time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Goods or services transferred at a point in time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2140"/>
        <w:spacing w:after="0"/>
        <w:rPr>
          <w:sz w:val="20"/>
          <w:szCs w:val="20"/>
          <w:color w:val="auto"/>
        </w:rPr>
      </w:pPr>
      <w:r>
        <w:rPr>
          <w:rFonts w:ascii="Arial" w:cs="Arial" w:eastAsia="Arial" w:hAnsi="Arial"/>
          <w:sz w:val="16"/>
          <w:szCs w:val="16"/>
          <w:b w:val="1"/>
          <w:bCs w:val="1"/>
          <w:color w:val="auto"/>
        </w:rPr>
        <w:t>Three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42710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66" w:lineRule="exact"/>
        <w:rPr>
          <w:sz w:val="20"/>
          <w:szCs w:val="20"/>
          <w:color w:val="auto"/>
        </w:rPr>
      </w:pPr>
    </w:p>
    <w:p>
      <w:pPr>
        <w:ind w:left="1840"/>
        <w:spacing w:after="0"/>
        <w:rPr>
          <w:sz w:val="20"/>
          <w:szCs w:val="20"/>
          <w:color w:val="auto"/>
        </w:rPr>
      </w:pPr>
      <w:r>
        <w:rPr>
          <w:rFonts w:ascii="Arial" w:cs="Arial" w:eastAsia="Arial" w:hAnsi="Arial"/>
          <w:sz w:val="16"/>
          <w:szCs w:val="16"/>
          <w:b w:val="1"/>
          <w:bCs w:val="1"/>
          <w:color w:val="auto"/>
        </w:rPr>
        <w:t>Exchange &amp; Third-</w:t>
      </w:r>
    </w:p>
    <w:p>
      <w:pPr>
        <w:spacing w:after="0" w:line="26" w:lineRule="exact"/>
        <w:rPr>
          <w:sz w:val="20"/>
          <w:szCs w:val="20"/>
          <w:color w:val="auto"/>
        </w:rPr>
      </w:pPr>
    </w:p>
    <w:p>
      <w:pPr>
        <w:ind w:left="100"/>
        <w:spacing w:after="0"/>
        <w:tabs>
          <w:tab w:leader="none" w:pos="1840" w:val="left"/>
          <w:tab w:leader="none" w:pos="3460" w:val="left"/>
          <w:tab w:leader="none" w:pos="5720" w:val="left"/>
        </w:tabs>
        <w:rPr>
          <w:sz w:val="20"/>
          <w:szCs w:val="20"/>
          <w:color w:val="auto"/>
        </w:rPr>
      </w:pPr>
      <w:r>
        <w:rPr>
          <w:rFonts w:ascii="Arial" w:cs="Arial" w:eastAsia="Arial" w:hAnsi="Arial"/>
          <w:sz w:val="16"/>
          <w:szCs w:val="16"/>
          <w:b w:val="1"/>
          <w:bCs w:val="1"/>
          <w:color w:val="auto"/>
        </w:rPr>
        <w:t>Vacation Ownership</w:t>
      </w:r>
      <w:r>
        <w:rPr>
          <w:sz w:val="20"/>
          <w:szCs w:val="20"/>
          <w:color w:val="auto"/>
        </w:rPr>
        <w:tab/>
      </w:r>
      <w:r>
        <w:rPr>
          <w:rFonts w:ascii="Arial" w:cs="Arial" w:eastAsia="Arial" w:hAnsi="Arial"/>
          <w:sz w:val="16"/>
          <w:szCs w:val="16"/>
          <w:b w:val="1"/>
          <w:bCs w:val="1"/>
          <w:color w:val="auto"/>
        </w:rPr>
        <w:t>Party Management</w:t>
      </w:r>
      <w:r>
        <w:rPr>
          <w:sz w:val="20"/>
          <w:szCs w:val="20"/>
          <w:color w:val="auto"/>
        </w:rPr>
        <w:tab/>
      </w:r>
      <w:r>
        <w:rPr>
          <w:rFonts w:ascii="Arial" w:cs="Arial" w:eastAsia="Arial" w:hAnsi="Arial"/>
          <w:sz w:val="16"/>
          <w:szCs w:val="16"/>
          <w:b w:val="1"/>
          <w:bCs w:val="1"/>
          <w:color w:val="auto"/>
        </w:rPr>
        <w:t>Corporate and Other</w:t>
      </w:r>
      <w:r>
        <w:rPr>
          <w:sz w:val="20"/>
          <w:szCs w:val="20"/>
          <w:color w:val="auto"/>
        </w:rPr>
        <w:tab/>
      </w:r>
      <w:r>
        <w:rPr>
          <w:rFonts w:ascii="Arial" w:cs="Arial" w:eastAsia="Arial" w:hAnsi="Arial"/>
          <w:sz w:val="15"/>
          <w:szCs w:val="15"/>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33020</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jc w:val="right"/>
              <w:ind w:right="39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1240" w:type="dxa"/>
            <w:vAlign w:val="bottom"/>
          </w:tcPr>
          <w:p>
            <w:pPr>
              <w:jc w:val="right"/>
              <w:ind w:right="1032"/>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528</w:t>
            </w:r>
          </w:p>
        </w:tc>
      </w:tr>
      <w:tr>
        <w:trPr>
          <w:trHeight w:val="270"/>
        </w:trPr>
        <w:tc>
          <w:tcPr>
            <w:tcW w:w="60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471</w:t>
            </w:r>
          </w:p>
        </w:tc>
      </w:tr>
      <w:tr>
        <w:trPr>
          <w:trHeight w:val="27"/>
        </w:trPr>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jc w:val="right"/>
              <w:ind w:right="39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1240" w:type="dxa"/>
            <w:vAlign w:val="bottom"/>
          </w:tcPr>
          <w:p>
            <w:pPr>
              <w:jc w:val="right"/>
              <w:ind w:right="1032"/>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999</w:t>
            </w:r>
          </w:p>
        </w:tc>
      </w:tr>
      <w:tr>
        <w:trPr>
          <w:trHeight w:val="27"/>
        </w:trPr>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07"/>
        </w:trPr>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 June 30, 2018</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
        </w:trPr>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Exchange &amp; Third-</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1720" w:type="dxa"/>
            <w:vAlign w:val="bottom"/>
            <w:gridSpan w:val="3"/>
          </w:tcPr>
          <w:p>
            <w:pPr>
              <w:ind w:left="100"/>
              <w:spacing w:after="0"/>
              <w:rPr>
                <w:sz w:val="20"/>
                <w:szCs w:val="20"/>
                <w:color w:val="auto"/>
              </w:rPr>
            </w:pPr>
            <w:r>
              <w:rPr>
                <w:rFonts w:ascii="Arial" w:cs="Arial" w:eastAsia="Arial" w:hAnsi="Arial"/>
                <w:sz w:val="16"/>
                <w:szCs w:val="16"/>
                <w:b w:val="1"/>
                <w:bCs w:val="1"/>
                <w:color w:val="auto"/>
              </w:rPr>
              <w:t>Vacation Ownership</w:t>
            </w: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Party Management</w:t>
            </w:r>
          </w:p>
        </w:tc>
        <w:tc>
          <w:tcPr>
            <w:tcW w:w="1700" w:type="dxa"/>
            <w:vAlign w:val="bottom"/>
            <w:gridSpan w:val="3"/>
          </w:tcPr>
          <w:p>
            <w:pPr>
              <w:ind w:left="60"/>
              <w:spacing w:after="0"/>
              <w:rPr>
                <w:sz w:val="20"/>
                <w:szCs w:val="20"/>
                <w:color w:val="auto"/>
              </w:rPr>
            </w:pPr>
            <w:r>
              <w:rPr>
                <w:rFonts w:ascii="Arial" w:cs="Arial" w:eastAsia="Arial" w:hAnsi="Arial"/>
                <w:sz w:val="16"/>
                <w:szCs w:val="16"/>
                <w:b w:val="1"/>
                <w:bCs w:val="1"/>
                <w:color w:val="auto"/>
              </w:rPr>
              <w:t>Corporate and Other</w:t>
            </w:r>
          </w:p>
        </w:tc>
        <w:tc>
          <w:tcPr>
            <w:tcW w:w="38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Total</w:t>
            </w:r>
          </w:p>
        </w:tc>
      </w:tr>
      <w:tr>
        <w:trPr>
          <w:trHeight w:val="33"/>
        </w:trPr>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jc w:val="right"/>
              <w:ind w:right="39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32"/>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315</w:t>
            </w:r>
          </w:p>
        </w:tc>
      </w:tr>
      <w:tr>
        <w:trPr>
          <w:trHeight w:val="270"/>
        </w:trPr>
        <w:tc>
          <w:tcPr>
            <w:tcW w:w="60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3"/>
                <w:szCs w:val="23"/>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244</w:t>
            </w:r>
          </w:p>
        </w:tc>
      </w:tr>
      <w:tr>
        <w:trPr>
          <w:trHeight w:val="27"/>
        </w:trPr>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jc w:val="right"/>
              <w:ind w:right="39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32"/>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559</w:t>
            </w:r>
          </w:p>
        </w:tc>
      </w:tr>
      <w:tr>
        <w:trPr>
          <w:trHeight w:val="27"/>
        </w:trPr>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23"/>
        </w:trPr>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3"/>
          </w:tcPr>
          <w:p>
            <w:pPr>
              <w:jc w:val="right"/>
              <w:ind w:right="72"/>
              <w:spacing w:after="0"/>
              <w:rPr>
                <w:sz w:val="20"/>
                <w:szCs w:val="20"/>
                <w:color w:val="auto"/>
              </w:rPr>
            </w:pPr>
            <w:r>
              <w:rPr>
                <w:rFonts w:ascii="Arial" w:cs="Arial" w:eastAsia="Arial" w:hAnsi="Arial"/>
                <w:sz w:val="16"/>
                <w:szCs w:val="16"/>
                <w:b w:val="1"/>
                <w:bCs w:val="1"/>
                <w:color w:val="auto"/>
              </w:rPr>
              <w:t>Six Months Ended June 30, 2019</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
        </w:trPr>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Exchange &amp; Third-</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1720" w:type="dxa"/>
            <w:vAlign w:val="bottom"/>
            <w:gridSpan w:val="3"/>
          </w:tcPr>
          <w:p>
            <w:pPr>
              <w:ind w:left="100"/>
              <w:spacing w:after="0"/>
              <w:rPr>
                <w:sz w:val="20"/>
                <w:szCs w:val="20"/>
                <w:color w:val="auto"/>
              </w:rPr>
            </w:pPr>
            <w:r>
              <w:rPr>
                <w:rFonts w:ascii="Arial" w:cs="Arial" w:eastAsia="Arial" w:hAnsi="Arial"/>
                <w:sz w:val="16"/>
                <w:szCs w:val="16"/>
                <w:b w:val="1"/>
                <w:bCs w:val="1"/>
                <w:color w:val="auto"/>
              </w:rPr>
              <w:t>Vacation Ownership</w:t>
            </w: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Party Management</w:t>
            </w:r>
          </w:p>
        </w:tc>
        <w:tc>
          <w:tcPr>
            <w:tcW w:w="1700" w:type="dxa"/>
            <w:vAlign w:val="bottom"/>
            <w:gridSpan w:val="3"/>
          </w:tcPr>
          <w:p>
            <w:pPr>
              <w:ind w:left="60"/>
              <w:spacing w:after="0"/>
              <w:rPr>
                <w:sz w:val="20"/>
                <w:szCs w:val="20"/>
                <w:color w:val="auto"/>
              </w:rPr>
            </w:pPr>
            <w:r>
              <w:rPr>
                <w:rFonts w:ascii="Arial" w:cs="Arial" w:eastAsia="Arial" w:hAnsi="Arial"/>
                <w:sz w:val="16"/>
                <w:szCs w:val="16"/>
                <w:b w:val="1"/>
                <w:bCs w:val="1"/>
                <w:color w:val="auto"/>
              </w:rPr>
              <w:t>Corporate and Other</w:t>
            </w:r>
          </w:p>
        </w:tc>
        <w:tc>
          <w:tcPr>
            <w:tcW w:w="38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Total</w:t>
            </w:r>
          </w:p>
        </w:tc>
      </w:tr>
      <w:tr>
        <w:trPr>
          <w:trHeight w:val="33"/>
        </w:trPr>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jc w:val="right"/>
              <w:ind w:right="39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1240" w:type="dxa"/>
            <w:vAlign w:val="bottom"/>
          </w:tcPr>
          <w:p>
            <w:pPr>
              <w:jc w:val="right"/>
              <w:ind w:right="1032"/>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1,098</w:t>
            </w:r>
          </w:p>
        </w:tc>
      </w:tr>
      <w:tr>
        <w:trPr>
          <w:trHeight w:val="270"/>
        </w:trPr>
        <w:tc>
          <w:tcPr>
            <w:tcW w:w="60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893</w:t>
            </w:r>
          </w:p>
        </w:tc>
      </w:tr>
      <w:tr>
        <w:trPr>
          <w:trHeight w:val="27"/>
        </w:trPr>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jc w:val="right"/>
              <w:ind w:right="39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1,747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1240" w:type="dxa"/>
            <w:vAlign w:val="bottom"/>
          </w:tcPr>
          <w:p>
            <w:pPr>
              <w:jc w:val="right"/>
              <w:ind w:right="1032"/>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1,991</w:t>
            </w:r>
          </w:p>
        </w:tc>
      </w:tr>
      <w:tr>
        <w:trPr>
          <w:trHeight w:val="27"/>
        </w:trPr>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07"/>
        </w:trPr>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3"/>
          </w:tcPr>
          <w:p>
            <w:pPr>
              <w:jc w:val="right"/>
              <w:ind w:right="72"/>
              <w:spacing w:after="0"/>
              <w:rPr>
                <w:sz w:val="20"/>
                <w:szCs w:val="20"/>
                <w:color w:val="auto"/>
              </w:rPr>
            </w:pPr>
            <w:r>
              <w:rPr>
                <w:rFonts w:ascii="Arial" w:cs="Arial" w:eastAsia="Arial" w:hAnsi="Arial"/>
                <w:sz w:val="16"/>
                <w:szCs w:val="16"/>
                <w:b w:val="1"/>
                <w:bCs w:val="1"/>
                <w:color w:val="auto"/>
              </w:rPr>
              <w:t>Six Months Ended June 30, 2018</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
        </w:trPr>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Exchange &amp; Third-</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1720" w:type="dxa"/>
            <w:vAlign w:val="bottom"/>
            <w:gridSpan w:val="3"/>
          </w:tcPr>
          <w:p>
            <w:pPr>
              <w:ind w:left="100"/>
              <w:spacing w:after="0"/>
              <w:rPr>
                <w:sz w:val="20"/>
                <w:szCs w:val="20"/>
                <w:color w:val="auto"/>
              </w:rPr>
            </w:pPr>
            <w:r>
              <w:rPr>
                <w:rFonts w:ascii="Arial" w:cs="Arial" w:eastAsia="Arial" w:hAnsi="Arial"/>
                <w:sz w:val="16"/>
                <w:szCs w:val="16"/>
                <w:b w:val="1"/>
                <w:bCs w:val="1"/>
                <w:color w:val="auto"/>
              </w:rPr>
              <w:t>Vacation Ownership</w:t>
            </w: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Party Management</w:t>
            </w:r>
          </w:p>
        </w:tc>
        <w:tc>
          <w:tcPr>
            <w:tcW w:w="1700" w:type="dxa"/>
            <w:vAlign w:val="bottom"/>
            <w:gridSpan w:val="3"/>
          </w:tcPr>
          <w:p>
            <w:pPr>
              <w:ind w:left="60"/>
              <w:spacing w:after="0"/>
              <w:rPr>
                <w:sz w:val="20"/>
                <w:szCs w:val="20"/>
                <w:color w:val="auto"/>
              </w:rPr>
            </w:pPr>
            <w:r>
              <w:rPr>
                <w:rFonts w:ascii="Arial" w:cs="Arial" w:eastAsia="Arial" w:hAnsi="Arial"/>
                <w:sz w:val="16"/>
                <w:szCs w:val="16"/>
                <w:b w:val="1"/>
                <w:bCs w:val="1"/>
                <w:color w:val="auto"/>
              </w:rPr>
              <w:t>Corporate and Other</w:t>
            </w:r>
          </w:p>
        </w:tc>
        <w:tc>
          <w:tcPr>
            <w:tcW w:w="38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Total</w:t>
            </w:r>
          </w:p>
        </w:tc>
      </w:tr>
      <w:tr>
        <w:trPr>
          <w:trHeight w:val="33"/>
        </w:trPr>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jc w:val="right"/>
              <w:ind w:right="39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32"/>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643</w:t>
            </w:r>
          </w:p>
        </w:tc>
      </w:tr>
      <w:tr>
        <w:trPr>
          <w:trHeight w:val="270"/>
        </w:trPr>
        <w:tc>
          <w:tcPr>
            <w:tcW w:w="60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3"/>
                <w:szCs w:val="23"/>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452</w:t>
            </w:r>
          </w:p>
        </w:tc>
      </w:tr>
      <w:tr>
        <w:trPr>
          <w:trHeight w:val="27"/>
        </w:trPr>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jc w:val="right"/>
              <w:ind w:right="39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32"/>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1,095</w:t>
            </w:r>
          </w:p>
        </w:tc>
      </w:tr>
      <w:tr>
        <w:trPr>
          <w:trHeight w:val="27"/>
        </w:trPr>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-3789680</wp:posOffset>
            </wp:positionV>
            <wp:extent cx="72466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-2992120</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-2640965</wp:posOffset>
            </wp:positionV>
            <wp:extent cx="72466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-1706245</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-1354455</wp:posOffset>
            </wp:positionV>
            <wp:extent cx="72466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-556895</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-205105</wp:posOffset>
            </wp:positionV>
            <wp:extent cx="72466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6720"/>
          </w:cols>
          <w:pgMar w:left="240" w:top="760"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760"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ind w:right="80" w:firstLine="662"/>
        <w:spacing w:after="0" w:line="277" w:lineRule="auto"/>
        <w:rPr>
          <w:sz w:val="20"/>
          <w:szCs w:val="20"/>
          <w:color w:val="auto"/>
        </w:rPr>
      </w:pPr>
      <w:r>
        <w:rPr>
          <w:rFonts w:ascii="Arial" w:cs="Arial" w:eastAsia="Arial" w:hAnsi="Arial"/>
          <w:sz w:val="18"/>
          <w:szCs w:val="18"/>
          <w:color w:val="auto"/>
        </w:rPr>
        <w:t>Revenues were reduced during the second quarter and first half of 2019 by $4 million and $3 million, respectively, due to changes in our estimate of variable consideration for performance obligations that were satisfied in prior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Contract Assets &amp; Contract Liabilities</w:t>
      </w:r>
    </w:p>
    <w:p>
      <w:pPr>
        <w:spacing w:after="0" w:line="117" w:lineRule="exact"/>
        <w:rPr>
          <w:sz w:val="20"/>
          <w:szCs w:val="20"/>
          <w:color w:val="auto"/>
        </w:rPr>
      </w:pPr>
    </w:p>
    <w:p>
      <w:pPr>
        <w:ind w:right="840" w:firstLine="662"/>
        <w:spacing w:after="0" w:line="277" w:lineRule="auto"/>
        <w:rPr>
          <w:sz w:val="20"/>
          <w:szCs w:val="20"/>
          <w:color w:val="auto"/>
        </w:rPr>
      </w:pPr>
      <w:r>
        <w:rPr>
          <w:rFonts w:ascii="Arial" w:cs="Arial" w:eastAsia="Arial" w:hAnsi="Arial"/>
          <w:sz w:val="18"/>
          <w:szCs w:val="18"/>
          <w:color w:val="auto"/>
        </w:rPr>
        <w:t>The following table shows the composition of our receivables and contract liabilities. We had no contract assets at either June 30, 2019 or December 31,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 in millions)</w:t>
            </w:r>
          </w:p>
        </w:tc>
        <w:tc>
          <w:tcPr>
            <w:tcW w:w="280" w:type="dxa"/>
            <w:vAlign w:val="bottom"/>
          </w:tcPr>
          <w:p>
            <w:pPr>
              <w:spacing w:after="0"/>
              <w:rPr>
                <w:sz w:val="18"/>
                <w:szCs w:val="18"/>
                <w:color w:val="auto"/>
              </w:rPr>
            </w:pPr>
          </w:p>
        </w:tc>
        <w:tc>
          <w:tcPr>
            <w:tcW w:w="1880" w:type="dxa"/>
            <w:vAlign w:val="bottom"/>
            <w:gridSpan w:val="2"/>
          </w:tcPr>
          <w:p>
            <w:pPr>
              <w:ind w:left="180"/>
              <w:spacing w:after="0"/>
              <w:rPr>
                <w:sz w:val="20"/>
                <w:szCs w:val="20"/>
                <w:color w:val="auto"/>
              </w:rPr>
            </w:pPr>
            <w:r>
              <w:rPr>
                <w:rFonts w:ascii="Arial" w:cs="Arial" w:eastAsia="Arial" w:hAnsi="Arial"/>
                <w:sz w:val="16"/>
                <w:szCs w:val="16"/>
                <w:b w:val="1"/>
                <w:bCs w:val="1"/>
                <w:color w:val="auto"/>
              </w:rPr>
              <w:t>At June 30, 2019</w:t>
            </w:r>
          </w:p>
        </w:tc>
        <w:tc>
          <w:tcPr>
            <w:tcW w:w="200" w:type="dxa"/>
            <w:vAlign w:val="bottom"/>
          </w:tcPr>
          <w:p>
            <w:pPr>
              <w:spacing w:after="0"/>
              <w:rPr>
                <w:sz w:val="18"/>
                <w:szCs w:val="18"/>
                <w:color w:val="auto"/>
              </w:rPr>
            </w:pPr>
          </w:p>
        </w:tc>
        <w:tc>
          <w:tcPr>
            <w:tcW w:w="1860" w:type="dxa"/>
            <w:vAlign w:val="bottom"/>
          </w:tcPr>
          <w:p>
            <w:pPr>
              <w:jc w:val="right"/>
              <w:ind w:right="171"/>
              <w:spacing w:after="0"/>
              <w:rPr>
                <w:sz w:val="20"/>
                <w:szCs w:val="20"/>
                <w:color w:val="auto"/>
              </w:rPr>
            </w:pPr>
            <w:r>
              <w:rPr>
                <w:rFonts w:ascii="Arial" w:cs="Arial" w:eastAsia="Arial" w:hAnsi="Arial"/>
                <w:sz w:val="16"/>
                <w:szCs w:val="16"/>
                <w:b w:val="1"/>
                <w:bCs w:val="1"/>
                <w:color w:val="auto"/>
                <w:w w:val="95"/>
              </w:rPr>
              <w:t>At December 31, 2018</w:t>
            </w:r>
          </w:p>
        </w:tc>
      </w:tr>
      <w:tr>
        <w:trPr>
          <w:trHeight w:val="33"/>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Receivables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164</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Vacation ownership notes receivable, net</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2,039</w:t>
            </w:r>
          </w:p>
        </w:tc>
      </w:tr>
      <w:tr>
        <w:trPr>
          <w:trHeight w:val="237"/>
        </w:trPr>
        <w:tc>
          <w:tcPr>
            <w:tcW w:w="72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2,203</w:t>
            </w:r>
          </w:p>
        </w:tc>
      </w:tr>
      <w:tr>
        <w:trPr>
          <w:trHeight w:val="67"/>
        </w:trPr>
        <w:tc>
          <w:tcPr>
            <w:tcW w:w="72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r>
      <w:tr>
        <w:trPr>
          <w:trHeight w:val="231"/>
        </w:trPr>
        <w:tc>
          <w:tcPr>
            <w:tcW w:w="72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Contract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Advance deposits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171</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w:t>
            </w:r>
          </w:p>
        </w:tc>
      </w:tr>
      <w:tr>
        <w:trPr>
          <w:trHeight w:val="237"/>
        </w:trPr>
        <w:tc>
          <w:tcPr>
            <w:tcW w:w="72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490</w:t>
            </w:r>
          </w:p>
        </w:tc>
      </w:tr>
      <w:tr>
        <w:trPr>
          <w:trHeight w:val="27"/>
        </w:trPr>
        <w:tc>
          <w:tcPr>
            <w:tcW w:w="7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80" w:firstLine="662"/>
        <w:spacing w:after="0" w:line="277" w:lineRule="auto"/>
        <w:rPr>
          <w:sz w:val="20"/>
          <w:szCs w:val="20"/>
          <w:color w:val="auto"/>
        </w:rPr>
      </w:pPr>
      <w:r>
        <w:rPr>
          <w:rFonts w:ascii="Arial" w:cs="Arial" w:eastAsia="Arial" w:hAnsi="Arial"/>
          <w:sz w:val="18"/>
          <w:szCs w:val="18"/>
          <w:color w:val="auto"/>
        </w:rPr>
        <w:t>Revenue recognized during the second quarter and first half of 2019 that was included in our contract liabilities balance at December 31, 2018 was $51 million and $203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58"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Our remaining performance obligations represent the expected transaction price allocated to our contracts that we expect to recognize as revenue in future periods when we perform under the contracts. At June 30, 2019, over 90 percent of this amount is expected to be recognized as revenue over the next two years.</w:t>
      </w:r>
    </w:p>
    <w:p>
      <w:pPr>
        <w:spacing w:after="0" w:line="200" w:lineRule="exact"/>
        <w:rPr>
          <w:sz w:val="20"/>
          <w:szCs w:val="20"/>
          <w:color w:val="auto"/>
        </w:rPr>
      </w:pPr>
    </w:p>
    <w:p>
      <w:pPr>
        <w:spacing w:after="0" w:line="247" w:lineRule="exact"/>
        <w:rPr>
          <w:sz w:val="20"/>
          <w:szCs w:val="20"/>
          <w:color w:val="auto"/>
        </w:rPr>
      </w:pPr>
    </w:p>
    <w:p>
      <w:pPr>
        <w:ind w:left="380" w:hanging="345"/>
        <w:spacing w:after="0"/>
        <w:tabs>
          <w:tab w:leader="none" w:pos="3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Our provision for income taxes is calculated using an estimated annual effective tax rate, based upon expected annual income, less losses in certain jurisdictions, permanent items, statutory rates and planned tax strategies in the various jurisdictions in which we operate. However, discrete items related to prior year tax items are treated separately.</w:t>
      </w:r>
    </w:p>
    <w:p>
      <w:pPr>
        <w:spacing w:after="0" w:line="73"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Our interim effective tax rate was 32.97 percent and 38.08 percent for the three months ended June 30, 2019 and June 30, 2018, respectively. The decrease in effective tax rate is predominately attributable to a change in our projected mix of earnings in international jurisdictions with differing tax rates and jurisdictions where valuation allowances are recorded, primarily as a result of the ILG Acquisition.</w:t>
      </w:r>
    </w:p>
    <w:p>
      <w:pPr>
        <w:spacing w:after="0" w:line="73"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Our interim effective tax rate was 35.55 percent and 27.05 percent for the six months ended June 30, 2019 and June 30, 2018, respectively. The increase in the effective tax rate is predominately attributable to the change in expected annual income primarily as a result of the ILG Acquisition, and discrete tax adjustments relating to share-based compensation.</w:t>
      </w:r>
    </w:p>
    <w:p>
      <w:pPr>
        <w:spacing w:after="0" w:line="7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file income tax returns with U.S. federal and state and non-U.S. jurisdictions and are subject to audits in these jurisdictions. Certain of our returns are being audited in various jurisdictions for years 2012 through 2017. During the second quarter of 2019, we adjusted our preliminary purchase price allocation for the ILG Acquisition to record a $36 million reserve for Legacy-ILG tax matters prior to the ILG Acquisition. We expect that we will be indemnified for this amount pursuant to the Tax Matters Agreement dated May 11, 2016, among Starwood Hotels &amp; Resorts Worldwide, Inc. (“Starwood”), Vistana Signature Experiences, Inc., and Interval Leisure Group, Inc., and as such, have recorded a corresponding indemnification asset. Our unrecognized tax benefit balance could change significantly during the next fiscal year as a result of audits in various jurisdictions and our total unrecognized tax benefit balance that, if recognized, would impact our effective tax rate, was $2 million at both June 30, 2019 and December 31, 2018.</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9" w:name="page20"/>
    <w:bookmarkEnd w:id="19"/>
    <w:p>
      <w:pPr>
        <w:ind w:left="380" w:hanging="345"/>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VACATION OWNERSHIP NOTES RECEIVABLE</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composition of our vacation ownership notes receivable balances, net of reserves.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2019</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gridSpan w:val="4"/>
          </w:tcPr>
          <w:p>
            <w:pPr>
              <w:ind w:left="80"/>
              <w:spacing w:after="0"/>
              <w:rPr>
                <w:sz w:val="20"/>
                <w:szCs w:val="20"/>
                <w:color w:val="auto"/>
              </w:rPr>
            </w:pPr>
            <w:r>
              <w:rPr>
                <w:rFonts w:ascii="Arial" w:cs="Arial" w:eastAsia="Arial" w:hAnsi="Arial"/>
                <w:sz w:val="16"/>
                <w:szCs w:val="16"/>
                <w:b w:val="1"/>
                <w:bCs w:val="1"/>
                <w:color w:val="auto"/>
                <w:w w:val="94"/>
              </w:rPr>
              <w:t>December 31, 2018</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3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8"/>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Originated</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Acquired</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w w:val="99"/>
              </w:rPr>
              <w:t>Originated</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Acquired</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250"/>
        </w:trPr>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Securitized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1,627</w:t>
            </w:r>
          </w:p>
        </w:tc>
      </w:tr>
      <w:tr>
        <w:trPr>
          <w:trHeight w:val="243"/>
        </w:trPr>
        <w:tc>
          <w:tcPr>
            <w:tcW w:w="3300" w:type="dxa"/>
            <w:vAlign w:val="bottom"/>
          </w:tcPr>
          <w:p>
            <w:pPr>
              <w:ind w:left="160"/>
              <w:spacing w:after="0"/>
              <w:rPr>
                <w:sz w:val="20"/>
                <w:szCs w:val="20"/>
                <w:color w:val="auto"/>
              </w:rPr>
            </w:pPr>
            <w:r>
              <w:rPr>
                <w:rFonts w:ascii="Arial" w:cs="Arial" w:eastAsia="Arial" w:hAnsi="Arial"/>
                <w:sz w:val="18"/>
                <w:szCs w:val="18"/>
                <w:color w:val="auto"/>
              </w:rPr>
              <w:t>Non-securitized</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Eligible for securitization</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107</w:t>
            </w:r>
          </w:p>
        </w:tc>
      </w:tr>
      <w:tr>
        <w:trPr>
          <w:trHeight w:val="270"/>
        </w:trPr>
        <w:tc>
          <w:tcPr>
            <w:tcW w:w="33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Not eligible for securitization</w:t>
            </w:r>
            <w:r>
              <w:rPr>
                <w:rFonts w:ascii="Arial" w:cs="Arial" w:eastAsia="Arial" w:hAnsi="Arial"/>
                <w:sz w:val="21"/>
                <w:szCs w:val="21"/>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305</w:t>
            </w:r>
          </w:p>
        </w:tc>
      </w:tr>
      <w:tr>
        <w:trPr>
          <w:trHeight w:val="264"/>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412</w:t>
            </w:r>
          </w:p>
        </w:tc>
      </w:tr>
      <w:tr>
        <w:trPr>
          <w:trHeight w:val="237"/>
        </w:trPr>
        <w:tc>
          <w:tcPr>
            <w:tcW w:w="33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2,039</w:t>
            </w:r>
          </w:p>
        </w:tc>
      </w:tr>
      <w:tr>
        <w:trPr>
          <w:trHeight w:val="27"/>
        </w:trPr>
        <w:tc>
          <w:tcPr>
            <w:tcW w:w="3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Refer to Footnote 7 “Financial Instruments” for a discussion of eligibility of our vacation ownership notes receivable for securitization.</w:t>
      </w:r>
    </w:p>
    <w:p>
      <w:pPr>
        <w:spacing w:after="0" w:line="20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reflect interest income associated with vacation ownership notes receivable in our Income Statements in the Financing revenues caption. The following table summarizes interest income associated with vacation ownership notes receivable.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68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8"/>
        </w:trPr>
        <w:tc>
          <w:tcPr>
            <w:tcW w:w="56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22"/>
                <w:szCs w:val="22"/>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2019</w:t>
            </w:r>
          </w:p>
        </w:tc>
        <w:tc>
          <w:tcPr>
            <w:tcW w:w="160" w:type="dxa"/>
            <w:vAlign w:val="bottom"/>
          </w:tcPr>
          <w:p>
            <w:pPr>
              <w:spacing w:after="0"/>
              <w:rPr>
                <w:sz w:val="22"/>
                <w:szCs w:val="22"/>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 2018</w:t>
            </w:r>
          </w:p>
        </w:tc>
        <w:tc>
          <w:tcPr>
            <w:tcW w:w="16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2019</w:t>
            </w:r>
          </w:p>
        </w:tc>
        <w:tc>
          <w:tcPr>
            <w:tcW w:w="160" w:type="dxa"/>
            <w:vAlign w:val="bottom"/>
          </w:tcPr>
          <w:p>
            <w:pPr>
              <w:spacing w:after="0"/>
              <w:rPr>
                <w:sz w:val="22"/>
                <w:szCs w:val="22"/>
                <w:color w:val="auto"/>
              </w:rPr>
            </w:pPr>
          </w:p>
        </w:tc>
        <w:tc>
          <w:tcPr>
            <w:tcW w:w="1200" w:type="dxa"/>
            <w:vAlign w:val="bottom"/>
          </w:tcPr>
          <w:p>
            <w:pPr>
              <w:jc w:val="right"/>
              <w:ind w:right="132"/>
              <w:spacing w:after="0"/>
              <w:rPr>
                <w:sz w:val="20"/>
                <w:szCs w:val="20"/>
                <w:color w:val="auto"/>
              </w:rPr>
            </w:pPr>
            <w:r>
              <w:rPr>
                <w:rFonts w:ascii="Arial" w:cs="Arial" w:eastAsia="Arial" w:hAnsi="Arial"/>
                <w:sz w:val="16"/>
                <w:szCs w:val="16"/>
                <w:b w:val="1"/>
                <w:bCs w:val="1"/>
                <w:color w:val="auto"/>
                <w:w w:val="92"/>
              </w:rPr>
              <w:t>June 30, 2018</w:t>
            </w:r>
          </w:p>
        </w:tc>
      </w:tr>
      <w:tr>
        <w:trPr>
          <w:trHeight w:val="215"/>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Interest income associated with vacation ownership notes receivable —</w:t>
            </w: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securitized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1"/>
              </w:rPr>
              <w:t>Interest income associated with vacation ownership notes receivable — non-</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securitized</w:t>
            </w:r>
          </w:p>
        </w:tc>
        <w:tc>
          <w:tcPr>
            <w:tcW w:w="16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27"/>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Total interest income associated with vacation ownership notes receivable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Vacation Ownership Notes Receivable</w:t>
      </w:r>
    </w:p>
    <w:p>
      <w:pPr>
        <w:spacing w:after="0" w:line="11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As part of the ILG Acquisition, we acquired existing portfolios of vacation ownership notes receivable. These notes receivable are accounted for using the expected cash flow method of recognizing discount accretion based on the expected cash flows from the acquired vacation ownership notes receivable pursuant to ASC 310-30, “</w:t>
      </w:r>
      <w:r>
        <w:rPr>
          <w:rFonts w:ascii="Arial" w:cs="Arial" w:eastAsia="Arial" w:hAnsi="Arial"/>
          <w:sz w:val="18"/>
          <w:szCs w:val="18"/>
          <w:i w:val="1"/>
          <w:iCs w:val="1"/>
          <w:color w:val="auto"/>
        </w:rPr>
        <w:t>Loans acquired with deteriorated credit quality</w:t>
      </w:r>
      <w:r>
        <w:rPr>
          <w:rFonts w:ascii="Arial" w:cs="Arial" w:eastAsia="Arial" w:hAnsi="Arial"/>
          <w:sz w:val="18"/>
          <w:szCs w:val="18"/>
          <w:color w:val="auto"/>
        </w:rPr>
        <w:t>” (“ASC 310-30”). At acquisition, we recorded these acquired vacation ownership notes receivable at a preliminary estimate of fair value, including a credit discount which is accreted as an adjustment to yield over the estimated life of the vacation ownership notes receivable.</w:t>
      </w:r>
    </w:p>
    <w:p>
      <w:pPr>
        <w:spacing w:after="0" w:line="8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fair value of our acquired vacation ownership notes receivable as of the Acquisition Date was determined using a discounted cash flow method, which calculated a present value of expected future cash flows based on scheduled principal and interest payments over the term of the respective vacation ownership notes receivable, while considering anticipated defaults and early repayments based on historical experience. Consequently, the fair value of the acquired vacation ownership notes receivable recorded on our balance sheet as of the Acquisition Date included an estimate for future uncollectible amounts, which became the historical cost basis for that portfolio going forward.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50" w:right="239" w:bottom="1440" w:gutter="0" w:footer="0" w:header="0"/>
        </w:sectPr>
      </w:pPr>
    </w:p>
    <w:bookmarkStart w:id="20" w:name="page21"/>
    <w:bookmarkEnd w:id="20"/>
    <w:p>
      <w:pPr>
        <w:ind w:right="60" w:firstLine="648"/>
        <w:spacing w:after="0" w:line="279" w:lineRule="auto"/>
        <w:rPr>
          <w:sz w:val="20"/>
          <w:szCs w:val="20"/>
          <w:color w:val="auto"/>
        </w:rPr>
      </w:pPr>
      <w:r>
        <w:rPr>
          <w:rFonts w:ascii="Arial" w:cs="Arial" w:eastAsia="Arial" w:hAnsi="Arial"/>
          <w:sz w:val="17"/>
          <w:szCs w:val="17"/>
          <w:color w:val="auto"/>
        </w:rPr>
        <w:t>The table below presents a rollforward from December 31, 2018 of the accretable yield (interest income) expected to be earned related to our acquired vacation ownership notes receivable, as well as the amount of non-accretable difference at the end of the period. The non-accretable difference represents estimated contractually required payments in excess of estimated cash flows expected to be collected. The accretable yield represents the excess of estimated cash flows expected to be collected over the carrying amount of the acquired vacation ownership notes receivable.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jc w:val="right"/>
              <w:ind w:right="53"/>
              <w:spacing w:after="0"/>
              <w:rPr>
                <w:sz w:val="20"/>
                <w:szCs w:val="20"/>
                <w:color w:val="auto"/>
              </w:rPr>
            </w:pPr>
            <w:r>
              <w:rPr>
                <w:rFonts w:ascii="Arial" w:cs="Arial" w:eastAsia="Arial" w:hAnsi="Arial"/>
                <w:sz w:val="16"/>
                <w:szCs w:val="16"/>
                <w:b w:val="1"/>
                <w:bCs w:val="1"/>
                <w:color w:val="auto"/>
                <w:w w:val="90"/>
              </w:rPr>
              <w:t>Six Months Ended June 30,</w:t>
            </w:r>
          </w:p>
        </w:tc>
      </w:tr>
      <w:tr>
        <w:trPr>
          <w:trHeight w:val="237"/>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833"/>
              <w:spacing w:after="0"/>
              <w:rPr>
                <w:sz w:val="20"/>
                <w:szCs w:val="20"/>
                <w:color w:val="auto"/>
              </w:rPr>
            </w:pPr>
            <w:r>
              <w:rPr>
                <w:rFonts w:ascii="Arial" w:cs="Arial" w:eastAsia="Arial" w:hAnsi="Arial"/>
                <w:sz w:val="16"/>
                <w:szCs w:val="16"/>
                <w:b w:val="1"/>
                <w:bCs w:val="1"/>
                <w:color w:val="auto"/>
              </w:rPr>
              <w:t>2019</w:t>
            </w: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Accretable yield balance at December 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Accretion</w:t>
            </w: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from non-accretable difference</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97"/>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Accretable yield balance at June 30,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153</w:t>
            </w:r>
          </w:p>
        </w:tc>
      </w:tr>
      <w:tr>
        <w:trPr>
          <w:trHeight w:val="284"/>
        </w:trPr>
        <w:tc>
          <w:tcPr>
            <w:tcW w:w="9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Non-accretable difference at June 30, 2019</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13"/>
              <w:spacing w:after="0"/>
              <w:rPr>
                <w:sz w:val="20"/>
                <w:szCs w:val="20"/>
                <w:color w:val="auto"/>
              </w:rPr>
            </w:pPr>
            <w:r>
              <w:rPr>
                <w:rFonts w:ascii="Arial" w:cs="Arial" w:eastAsia="Arial" w:hAnsi="Arial"/>
                <w:sz w:val="18"/>
                <w:szCs w:val="18"/>
                <w:color w:val="auto"/>
              </w:rPr>
              <w:t>55</w:t>
            </w:r>
          </w:p>
        </w:tc>
      </w:tr>
    </w:tbl>
    <w:p>
      <w:pPr>
        <w:spacing w:after="0" w:line="337"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accretable yield is recognized into interest income over the estimated life of the acquired vacation ownership notes receivable using the level yield method. The accretable yield may change in future periods due to changes in the anticipated remaining life of the acquired vacation ownership notes receivable, which may alter the amount of future interest income expected to be collected, and changes in expected future principal and interest cash collections, which impacts the non-accretable difference.</w:t>
      </w:r>
    </w:p>
    <w:p>
      <w:pPr>
        <w:spacing w:after="0" w:line="7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acquired vacation ownership notes receivable are remeasured at period end based on expected future cash flows, which takes into consideration an estimated measure of anticipated defaults and early repayments. We consider historical Legacy-ILG vacation ownership notes receivable performance and the current economic environment in developing the expected future cash flows used in the re-measurement of our acquired vacation ownership notes receivable.</w:t>
      </w:r>
    </w:p>
    <w:p>
      <w:pPr>
        <w:spacing w:after="0" w:line="7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shows future contractual principal payments, as well as interest rates for our non-securitized and securitized acquired vacation ownership notes receivable, at June 30, 2019.</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60" w:type="dxa"/>
            <w:vAlign w:val="bottom"/>
            <w:gridSpan w:val="7"/>
          </w:tcPr>
          <w:p>
            <w:pPr>
              <w:jc w:val="center"/>
              <w:ind w:right="51"/>
              <w:spacing w:after="0"/>
              <w:rPr>
                <w:sz w:val="20"/>
                <w:szCs w:val="20"/>
                <w:color w:val="auto"/>
              </w:rPr>
            </w:pPr>
            <w:r>
              <w:rPr>
                <w:rFonts w:ascii="Arial" w:cs="Arial" w:eastAsia="Arial" w:hAnsi="Arial"/>
                <w:sz w:val="16"/>
                <w:szCs w:val="16"/>
                <w:b w:val="1"/>
                <w:bCs w:val="1"/>
                <w:color w:val="auto"/>
                <w:w w:val="91"/>
              </w:rPr>
              <w:t>Acquired Vacation Ownership Notes Receivable</w:t>
            </w:r>
          </w:p>
        </w:tc>
      </w:tr>
      <w:tr>
        <w:trPr>
          <w:trHeight w:val="33"/>
        </w:trPr>
        <w:tc>
          <w:tcPr>
            <w:tcW w:w="5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8"/>
        </w:trPr>
        <w:tc>
          <w:tcPr>
            <w:tcW w:w="5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22"/>
                <w:szCs w:val="22"/>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Non-Securitized</w:t>
            </w:r>
          </w:p>
        </w:tc>
        <w:tc>
          <w:tcPr>
            <w:tcW w:w="280" w:type="dxa"/>
            <w:vAlign w:val="bottom"/>
          </w:tcPr>
          <w:p>
            <w:pPr>
              <w:spacing w:after="0"/>
              <w:rPr>
                <w:sz w:val="22"/>
                <w:szCs w:val="22"/>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Securitized</w:t>
            </w:r>
          </w:p>
        </w:tc>
        <w:tc>
          <w:tcPr>
            <w:tcW w:w="280" w:type="dxa"/>
            <w:vAlign w:val="bottom"/>
          </w:tcPr>
          <w:p>
            <w:pPr>
              <w:spacing w:after="0"/>
              <w:rPr>
                <w:sz w:val="22"/>
                <w:szCs w:val="22"/>
                <w:color w:val="auto"/>
              </w:rPr>
            </w:pPr>
          </w:p>
        </w:tc>
        <w:tc>
          <w:tcPr>
            <w:tcW w:w="1660" w:type="dxa"/>
            <w:vAlign w:val="bottom"/>
          </w:tcPr>
          <w:p>
            <w:pPr>
              <w:jc w:val="center"/>
              <w:ind w:right="171"/>
              <w:spacing w:after="0"/>
              <w:rPr>
                <w:sz w:val="20"/>
                <w:szCs w:val="20"/>
                <w:color w:val="auto"/>
              </w:rPr>
            </w:pPr>
            <w:r>
              <w:rPr>
                <w:rFonts w:ascii="Arial" w:cs="Arial" w:eastAsia="Arial" w:hAnsi="Arial"/>
                <w:sz w:val="16"/>
                <w:szCs w:val="16"/>
                <w:b w:val="1"/>
                <w:bCs w:val="1"/>
                <w:color w:val="auto"/>
                <w:w w:val="94"/>
              </w:rPr>
              <w:t>Total</w:t>
            </w: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remaining</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60</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61</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241</w:t>
            </w: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545</w:t>
            </w: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30"/>
        </w:trPr>
        <w:tc>
          <w:tcPr>
            <w:tcW w:w="5380" w:type="dxa"/>
            <w:vAlign w:val="bottom"/>
          </w:tcPr>
          <w:p>
            <w:pPr>
              <w:ind w:left="40"/>
              <w:spacing w:after="0"/>
              <w:rPr>
                <w:sz w:val="20"/>
                <w:szCs w:val="20"/>
                <w:color w:val="auto"/>
              </w:rPr>
            </w:pPr>
            <w:r>
              <w:rPr>
                <w:rFonts w:ascii="Arial" w:cs="Arial" w:eastAsia="Arial" w:hAnsi="Arial"/>
                <w:sz w:val="18"/>
                <w:szCs w:val="18"/>
                <w:color w:val="auto"/>
              </w:rPr>
              <w:t>Weighted average stated interest rate</w:t>
            </w:r>
          </w:p>
        </w:tc>
        <w:tc>
          <w:tcPr>
            <w:tcW w:w="180" w:type="dxa"/>
            <w:vAlign w:val="bottom"/>
          </w:tcPr>
          <w:p>
            <w:pPr>
              <w:spacing w:after="0"/>
              <w:rPr>
                <w:sz w:val="20"/>
                <w:szCs w:val="20"/>
                <w:color w:val="auto"/>
              </w:rPr>
            </w:pPr>
          </w:p>
        </w:tc>
        <w:tc>
          <w:tcPr>
            <w:tcW w:w="1780" w:type="dxa"/>
            <w:vAlign w:val="bottom"/>
          </w:tcPr>
          <w:p>
            <w:pPr>
              <w:jc w:val="center"/>
              <w:ind w:right="91"/>
              <w:spacing w:after="0"/>
              <w:rPr>
                <w:sz w:val="20"/>
                <w:szCs w:val="20"/>
                <w:color w:val="auto"/>
              </w:rPr>
            </w:pPr>
            <w:r>
              <w:rPr>
                <w:rFonts w:ascii="Arial" w:cs="Arial" w:eastAsia="Arial" w:hAnsi="Arial"/>
                <w:sz w:val="18"/>
                <w:szCs w:val="18"/>
                <w:color w:val="auto"/>
                <w:w w:val="93"/>
              </w:rPr>
              <w:t>13.5%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center"/>
              <w:ind w:right="191"/>
              <w:spacing w:after="0"/>
              <w:rPr>
                <w:sz w:val="20"/>
                <w:szCs w:val="20"/>
                <w:color w:val="auto"/>
              </w:rPr>
            </w:pPr>
            <w:r>
              <w:rPr>
                <w:rFonts w:ascii="Arial" w:cs="Arial" w:eastAsia="Arial" w:hAnsi="Arial"/>
                <w:sz w:val="18"/>
                <w:szCs w:val="18"/>
                <w:color w:val="auto"/>
                <w:w w:val="90"/>
              </w:rPr>
              <w:t>13.4%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center"/>
              <w:ind w:right="191"/>
              <w:spacing w:after="0"/>
              <w:rPr>
                <w:sz w:val="20"/>
                <w:szCs w:val="20"/>
                <w:color w:val="auto"/>
              </w:rPr>
            </w:pPr>
            <w:r>
              <w:rPr>
                <w:rFonts w:ascii="Arial" w:cs="Arial" w:eastAsia="Arial" w:hAnsi="Arial"/>
                <w:sz w:val="18"/>
                <w:szCs w:val="18"/>
                <w:color w:val="auto"/>
                <w:w w:val="90"/>
              </w:rPr>
              <w:t>13.4%</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Range of stated interest rates</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0.0% to 17.9%</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2"/>
              </w:rPr>
              <w:t>6.0% to 16.9%</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ind w:right="191"/>
              <w:spacing w:after="0"/>
              <w:rPr>
                <w:sz w:val="20"/>
                <w:szCs w:val="20"/>
                <w:color w:val="auto"/>
              </w:rPr>
            </w:pPr>
            <w:r>
              <w:rPr>
                <w:rFonts w:ascii="Arial" w:cs="Arial" w:eastAsia="Arial" w:hAnsi="Arial"/>
                <w:sz w:val="18"/>
                <w:szCs w:val="18"/>
                <w:color w:val="auto"/>
                <w:w w:val="90"/>
              </w:rPr>
              <w:t>0.0% to 17.9%</w:t>
            </w:r>
          </w:p>
        </w:tc>
      </w:tr>
      <w:tr>
        <w:trPr>
          <w:trHeight w:val="675"/>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ind w:right="145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420"/>
          </w:cols>
          <w:pgMar w:left="240" w:top="476" w:right="239"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i w:val="1"/>
          <w:iCs w:val="1"/>
          <w:color w:val="auto"/>
        </w:rPr>
        <w:t>Originated Vacation Ownership Notes Receivable</w:t>
      </w:r>
    </w:p>
    <w:p>
      <w:pPr>
        <w:spacing w:after="0" w:line="11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Originated vacation ownership notes receivable represent vacation ownership notes receivable originated by Legacy-ILG subsequent to the Acquisition Date and all Legacy-MVW vacation ownership notes receivable. The following table shows future principal payments, net of reserves, as well as interest rates, for our originated non-securitized and securitized originated vacation ownership notes receivable at June 30, 2019.</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60" w:type="dxa"/>
            <w:vAlign w:val="bottom"/>
            <w:gridSpan w:val="7"/>
          </w:tcPr>
          <w:p>
            <w:pPr>
              <w:jc w:val="center"/>
              <w:ind w:right="171"/>
              <w:spacing w:after="0"/>
              <w:rPr>
                <w:sz w:val="20"/>
                <w:szCs w:val="20"/>
                <w:color w:val="auto"/>
              </w:rPr>
            </w:pPr>
            <w:r>
              <w:rPr>
                <w:rFonts w:ascii="Arial" w:cs="Arial" w:eastAsia="Arial" w:hAnsi="Arial"/>
                <w:sz w:val="16"/>
                <w:szCs w:val="16"/>
                <w:b w:val="1"/>
                <w:bCs w:val="1"/>
                <w:color w:val="auto"/>
                <w:w w:val="91"/>
              </w:rPr>
              <w:t>Originated Vacation Ownership Notes Receivable</w:t>
            </w:r>
          </w:p>
        </w:tc>
      </w:tr>
      <w:tr>
        <w:trPr>
          <w:trHeight w:val="33"/>
        </w:trPr>
        <w:tc>
          <w:tcPr>
            <w:tcW w:w="5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8"/>
        </w:trPr>
        <w:tc>
          <w:tcPr>
            <w:tcW w:w="5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2"/>
                <w:szCs w:val="22"/>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Non-Securitized</w:t>
            </w:r>
          </w:p>
        </w:tc>
        <w:tc>
          <w:tcPr>
            <w:tcW w:w="280" w:type="dxa"/>
            <w:vAlign w:val="bottom"/>
          </w:tcPr>
          <w:p>
            <w:pPr>
              <w:spacing w:after="0"/>
              <w:rPr>
                <w:sz w:val="22"/>
                <w:szCs w:val="22"/>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Securitized</w:t>
            </w:r>
          </w:p>
        </w:tc>
        <w:tc>
          <w:tcPr>
            <w:tcW w:w="280" w:type="dxa"/>
            <w:vAlign w:val="bottom"/>
          </w:tcPr>
          <w:p>
            <w:pPr>
              <w:spacing w:after="0"/>
              <w:rPr>
                <w:sz w:val="22"/>
                <w:szCs w:val="22"/>
                <w:color w:val="auto"/>
              </w:rPr>
            </w:pPr>
          </w:p>
        </w:tc>
        <w:tc>
          <w:tcPr>
            <w:tcW w:w="1660" w:type="dxa"/>
            <w:vAlign w:val="bottom"/>
          </w:tcPr>
          <w:p>
            <w:pPr>
              <w:jc w:val="center"/>
              <w:ind w:right="171"/>
              <w:spacing w:after="0"/>
              <w:rPr>
                <w:sz w:val="20"/>
                <w:szCs w:val="20"/>
                <w:color w:val="auto"/>
              </w:rPr>
            </w:pPr>
            <w:r>
              <w:rPr>
                <w:rFonts w:ascii="Arial" w:cs="Arial" w:eastAsia="Arial" w:hAnsi="Arial"/>
                <w:sz w:val="16"/>
                <w:szCs w:val="16"/>
                <w:b w:val="1"/>
                <w:bCs w:val="1"/>
                <w:color w:val="auto"/>
                <w:w w:val="94"/>
              </w:rPr>
              <w:t>Total</w:t>
            </w: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remaining</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159</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157</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824</w:t>
            </w:r>
          </w:p>
        </w:tc>
      </w:tr>
      <w:tr>
        <w:trPr>
          <w:trHeight w:val="27"/>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2019</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1,553</w:t>
            </w: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30"/>
        </w:trPr>
        <w:tc>
          <w:tcPr>
            <w:tcW w:w="5380" w:type="dxa"/>
            <w:vAlign w:val="bottom"/>
          </w:tcPr>
          <w:p>
            <w:pPr>
              <w:ind w:left="40"/>
              <w:spacing w:after="0"/>
              <w:rPr>
                <w:sz w:val="20"/>
                <w:szCs w:val="20"/>
                <w:color w:val="auto"/>
              </w:rPr>
            </w:pPr>
            <w:r>
              <w:rPr>
                <w:rFonts w:ascii="Arial" w:cs="Arial" w:eastAsia="Arial" w:hAnsi="Arial"/>
                <w:sz w:val="18"/>
                <w:szCs w:val="18"/>
                <w:color w:val="auto"/>
              </w:rPr>
              <w:t>Weighted average stated interest rate</w:t>
            </w:r>
          </w:p>
        </w:tc>
        <w:tc>
          <w:tcPr>
            <w:tcW w:w="280" w:type="dxa"/>
            <w:vAlign w:val="bottom"/>
          </w:tcPr>
          <w:p>
            <w:pPr>
              <w:spacing w:after="0"/>
              <w:rPr>
                <w:sz w:val="20"/>
                <w:szCs w:val="20"/>
                <w:color w:val="auto"/>
              </w:rPr>
            </w:pPr>
          </w:p>
        </w:tc>
        <w:tc>
          <w:tcPr>
            <w:tcW w:w="1680" w:type="dxa"/>
            <w:vAlign w:val="bottom"/>
          </w:tcPr>
          <w:p>
            <w:pPr>
              <w:jc w:val="center"/>
              <w:ind w:right="172"/>
              <w:spacing w:after="0"/>
              <w:rPr>
                <w:sz w:val="20"/>
                <w:szCs w:val="20"/>
                <w:color w:val="auto"/>
              </w:rPr>
            </w:pPr>
            <w:r>
              <w:rPr>
                <w:rFonts w:ascii="Arial" w:cs="Arial" w:eastAsia="Arial" w:hAnsi="Arial"/>
                <w:sz w:val="18"/>
                <w:szCs w:val="18"/>
                <w:color w:val="auto"/>
                <w:w w:val="90"/>
              </w:rPr>
              <w:t>11.8%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center"/>
              <w:ind w:right="191"/>
              <w:spacing w:after="0"/>
              <w:rPr>
                <w:sz w:val="20"/>
                <w:szCs w:val="20"/>
                <w:color w:val="auto"/>
              </w:rPr>
            </w:pPr>
            <w:r>
              <w:rPr>
                <w:rFonts w:ascii="Arial" w:cs="Arial" w:eastAsia="Arial" w:hAnsi="Arial"/>
                <w:sz w:val="18"/>
                <w:szCs w:val="18"/>
                <w:color w:val="auto"/>
                <w:w w:val="90"/>
              </w:rPr>
              <w:t>12.6%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center"/>
              <w:ind w:right="191"/>
              <w:spacing w:after="0"/>
              <w:rPr>
                <w:sz w:val="20"/>
                <w:szCs w:val="20"/>
                <w:color w:val="auto"/>
              </w:rPr>
            </w:pPr>
            <w:r>
              <w:rPr>
                <w:rFonts w:ascii="Arial" w:cs="Arial" w:eastAsia="Arial" w:hAnsi="Arial"/>
                <w:sz w:val="18"/>
                <w:szCs w:val="18"/>
                <w:color w:val="auto"/>
                <w:w w:val="90"/>
              </w:rPr>
              <w:t>12.4%</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Range of stated interest rates</w:t>
            </w:r>
          </w:p>
        </w:tc>
        <w:tc>
          <w:tcPr>
            <w:tcW w:w="28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2"/>
              </w:rPr>
              <w:t>0.0% to 18.0%</w:t>
            </w:r>
          </w:p>
        </w:tc>
        <w:tc>
          <w:tcPr>
            <w:tcW w:w="28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2"/>
              </w:rPr>
              <w:t>5.2% to 17.5%</w:t>
            </w:r>
          </w:p>
        </w:tc>
        <w:tc>
          <w:tcPr>
            <w:tcW w:w="280" w:type="dxa"/>
            <w:vAlign w:val="bottom"/>
            <w:shd w:val="clear" w:color="auto" w:fill="CCEEFF"/>
          </w:tcPr>
          <w:p>
            <w:pPr>
              <w:spacing w:after="0"/>
              <w:rPr>
                <w:sz w:val="21"/>
                <w:szCs w:val="21"/>
                <w:color w:val="auto"/>
              </w:rPr>
            </w:pPr>
          </w:p>
        </w:tc>
        <w:tc>
          <w:tcPr>
            <w:tcW w:w="1660" w:type="dxa"/>
            <w:vAlign w:val="bottom"/>
            <w:shd w:val="clear" w:color="auto" w:fill="CCEEFF"/>
          </w:tcPr>
          <w:p>
            <w:pPr>
              <w:jc w:val="center"/>
              <w:ind w:right="191"/>
              <w:spacing w:after="0"/>
              <w:rPr>
                <w:sz w:val="20"/>
                <w:szCs w:val="20"/>
                <w:color w:val="auto"/>
              </w:rPr>
            </w:pPr>
            <w:r>
              <w:rPr>
                <w:rFonts w:ascii="Arial" w:cs="Arial" w:eastAsia="Arial" w:hAnsi="Arial"/>
                <w:sz w:val="18"/>
                <w:szCs w:val="18"/>
                <w:color w:val="auto"/>
                <w:w w:val="90"/>
              </w:rPr>
              <w:t>0.0% to 18.0%</w:t>
            </w:r>
          </w:p>
        </w:tc>
      </w:tr>
      <w:tr>
        <w:trPr>
          <w:trHeight w:val="27"/>
        </w:trPr>
        <w:tc>
          <w:tcPr>
            <w:tcW w:w="5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right="100" w:firstLine="648"/>
        <w:spacing w:after="0" w:line="342" w:lineRule="auto"/>
        <w:rPr>
          <w:sz w:val="20"/>
          <w:szCs w:val="20"/>
          <w:color w:val="auto"/>
        </w:rPr>
      </w:pPr>
      <w:r>
        <w:rPr>
          <w:rFonts w:ascii="Arial" w:cs="Arial" w:eastAsia="Arial" w:hAnsi="Arial"/>
          <w:sz w:val="16"/>
          <w:szCs w:val="16"/>
          <w:color w:val="auto"/>
        </w:rPr>
        <w:t>For originated vacation ownership notes receivable, we record the difference between the vacation ownership note receivable and the variable consideration included in the transaction price for the sale of the related vacation ownership product as a reserve on our vacation ownership notes receivable.</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our originated vacation ownership notes receivable reserve.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5460" w:type="dxa"/>
            <w:vAlign w:val="bottom"/>
            <w:gridSpan w:val="7"/>
          </w:tcPr>
          <w:p>
            <w:pPr>
              <w:jc w:val="right"/>
              <w:ind w:right="333"/>
              <w:spacing w:after="0"/>
              <w:rPr>
                <w:sz w:val="20"/>
                <w:szCs w:val="20"/>
                <w:color w:val="auto"/>
              </w:rPr>
            </w:pPr>
            <w:r>
              <w:rPr>
                <w:rFonts w:ascii="Arial" w:cs="Arial" w:eastAsia="Arial" w:hAnsi="Arial"/>
                <w:sz w:val="16"/>
                <w:szCs w:val="16"/>
                <w:b w:val="1"/>
                <w:bCs w:val="1"/>
                <w:color w:val="auto"/>
              </w:rPr>
              <w:t>Originated Vacation Ownership Notes Receivable Reserve</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Non-Securitized</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Securitized</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Total</w:t>
            </w:r>
          </w:p>
        </w:tc>
        <w:tc>
          <w:tcPr>
            <w:tcW w:w="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580" w:type="dxa"/>
            <w:vAlign w:val="bottom"/>
            <w:tcBorders>
              <w:bottom w:val="single" w:sz="8" w:color="CCEEFF"/>
            </w:tcBorders>
            <w:shd w:val="clear" w:color="auto" w:fill="CCEEFF"/>
          </w:tcPr>
          <w:p>
            <w:pPr>
              <w:jc w:val="right"/>
              <w:ind w:right="1374"/>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7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5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Increase in vacation ownership notes receivable reserve</w:t>
            </w:r>
          </w:p>
        </w:tc>
        <w:tc>
          <w:tcPr>
            <w:tcW w:w="15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Securitizations</w:t>
            </w:r>
          </w:p>
        </w:tc>
        <w:tc>
          <w:tcPr>
            <w:tcW w:w="1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2"/>
        </w:trPr>
        <w:tc>
          <w:tcPr>
            <w:tcW w:w="5380" w:type="dxa"/>
            <w:vAlign w:val="bottom"/>
          </w:tcPr>
          <w:p>
            <w:pPr>
              <w:ind w:left="280"/>
              <w:spacing w:after="0"/>
              <w:rPr>
                <w:sz w:val="20"/>
                <w:szCs w:val="20"/>
                <w:color w:val="auto"/>
              </w:rPr>
            </w:pPr>
            <w:r>
              <w:rPr>
                <w:rFonts w:ascii="Arial" w:cs="Arial" w:eastAsia="Arial" w:hAnsi="Arial"/>
                <w:sz w:val="18"/>
                <w:szCs w:val="18"/>
                <w:color w:val="auto"/>
              </w:rPr>
              <w:t>Clean-up call</w:t>
            </w:r>
            <w:r>
              <w:rPr>
                <w:rFonts w:ascii="Arial" w:cs="Arial" w:eastAsia="Arial" w:hAnsi="Arial"/>
                <w:sz w:val="18"/>
                <w:szCs w:val="18"/>
                <w:color w:val="auto"/>
                <w:vertAlign w:val="superscript"/>
              </w:rPr>
              <w:t>(1)</w:t>
            </w:r>
          </w:p>
        </w:tc>
        <w:tc>
          <w:tcPr>
            <w:tcW w:w="1580" w:type="dxa"/>
            <w:vAlign w:val="bottom"/>
          </w:tcPr>
          <w:p>
            <w:pPr>
              <w:spacing w:after="0"/>
              <w:rPr>
                <w:sz w:val="22"/>
                <w:szCs w:val="22"/>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Write-offs</w:t>
            </w:r>
          </w:p>
        </w:tc>
        <w:tc>
          <w:tcPr>
            <w:tcW w:w="15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w w:val="93"/>
              </w:rPr>
              <w:t>Defaulted vacation ownership notes receivable repurchase activity</w:t>
            </w:r>
            <w:r>
              <w:rPr>
                <w:rFonts w:ascii="Arial" w:cs="Arial" w:eastAsia="Arial" w:hAnsi="Arial"/>
                <w:sz w:val="18"/>
                <w:szCs w:val="18"/>
                <w:color w:val="auto"/>
                <w:w w:val="93"/>
                <w:vertAlign w:val="superscript"/>
              </w:rPr>
              <w:t>(2)</w:t>
            </w:r>
          </w:p>
        </w:tc>
        <w:tc>
          <w:tcPr>
            <w:tcW w:w="15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2019</w:t>
            </w:r>
          </w:p>
        </w:tc>
        <w:tc>
          <w:tcPr>
            <w:tcW w:w="1580" w:type="dxa"/>
            <w:vAlign w:val="bottom"/>
            <w:tcBorders>
              <w:bottom w:val="single" w:sz="8" w:color="CCEEFF"/>
            </w:tcBorders>
            <w:shd w:val="clear" w:color="auto" w:fill="CCEEFF"/>
          </w:tcPr>
          <w:p>
            <w:pPr>
              <w:jc w:val="right"/>
              <w:ind w:right="1374"/>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7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5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580" w:hanging="652"/>
        <w:spacing w:after="0" w:line="216"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Refers to our voluntary repurchase of previously securitized non-defaulted vacation ownership notes receivable to retire outstanding vacation ownership notes receivable from our Warehouse Credit Facility.</w:t>
      </w:r>
    </w:p>
    <w:p>
      <w:pPr>
        <w:spacing w:after="0" w:line="41" w:lineRule="exact"/>
        <w:rPr>
          <w:rFonts w:ascii="Arial" w:cs="Arial" w:eastAsia="Arial" w:hAnsi="Arial"/>
          <w:sz w:val="25"/>
          <w:szCs w:val="25"/>
          <w:color w:val="auto"/>
          <w:vertAlign w:val="superscript"/>
        </w:rPr>
      </w:pPr>
    </w:p>
    <w:p>
      <w:pPr>
        <w:ind w:left="660" w:right="40" w:hanging="652"/>
        <w:spacing w:after="0" w:line="252" w:lineRule="auto"/>
        <w:tabs>
          <w:tab w:leader="none" w:pos="66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Decrease in securitized vacation ownership notes receivable reserve and increase in non-securitized vacation ownership notes receivable reserve was attributable to the transfer of the reserve when we voluntarily repurchased defaulted securitized vacation ownership notes receivable.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of Vacation Ownership Notes Receivable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Legacy-MVW Vacation Ownership Notes Receivable</w:t>
      </w:r>
    </w:p>
    <w:p>
      <w:pPr>
        <w:spacing w:after="0" w:line="117"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Although we consider loans to owners to be past due if we do not receive payment within 30 days of the due date, we suspend accrual of interest only on those loans that are over 90 days past due. We consider loans over 150 days past due to be in default and fully reserve such amounts.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past due principal, interest, fees and penalties owed and fully reinstate the note. We write off vacation ownership notes receivable against the reserve once we receive title to the vacation ownership products through the foreclosure or deed-in-lieu process or, in Asia Pacific or Europe, when revocation is complete. For both Legacy-MVW non-securitized and securitized vacation ownership notes receivable, we estimated average remaining default rates of 6.94 percent and 7.01 percent as of June 30, 2019 and December 31, 2018, respectively. A 0.5</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2" w:name="page23"/>
    <w:bookmarkEnd w:id="22"/>
    <w:p>
      <w:pPr>
        <w:ind w:right="140"/>
        <w:spacing w:after="0" w:line="277" w:lineRule="auto"/>
        <w:rPr>
          <w:sz w:val="20"/>
          <w:szCs w:val="20"/>
          <w:color w:val="auto"/>
        </w:rPr>
      </w:pPr>
      <w:r>
        <w:rPr>
          <w:rFonts w:ascii="Arial" w:cs="Arial" w:eastAsia="Arial" w:hAnsi="Arial"/>
          <w:sz w:val="18"/>
          <w:szCs w:val="18"/>
          <w:color w:val="auto"/>
        </w:rPr>
        <w:t>percentage point increase in the estimated default rate would have resulted in an increase in our vacation ownership notes receivable reserve of $7 million as of both June 30, 2019 and December 31, 2018.</w:t>
      </w:r>
    </w:p>
    <w:p>
      <w:pPr>
        <w:spacing w:after="0" w:line="62"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The following table shows our recorded investment in non-accrual Legacy-MVW vacation ownership notes receivable, which are vacation ownership notes receivable that are 90 days or more past due.</w:t>
      </w:r>
    </w:p>
    <w:p>
      <w:pPr>
        <w:sectPr>
          <w:pgSz w:w="11900" w:h="16838" w:orient="portrait"/>
          <w:cols w:equalWidth="0" w:num="1">
            <w:col w:w="11420"/>
          </w:cols>
          <w:pgMar w:left="240" w:top="476" w:right="2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millions)</w:t>
      </w:r>
    </w:p>
    <w:p>
      <w:pPr>
        <w:spacing w:after="0" w:line="46"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Investment in vacation ownership notes receivable on non-accrual status at June 30, 2019</w:t>
      </w:r>
    </w:p>
    <w:p>
      <w:pPr>
        <w:spacing w:after="0" w:line="8"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Investment in vacation ownership notes receivable on non-accrual status at December 31, 2018</w:t>
      </w:r>
    </w:p>
    <w:p>
      <w:pPr>
        <w:spacing w:after="0" w:line="8" w:lineRule="exact"/>
        <w:rPr>
          <w:sz w:val="20"/>
          <w:szCs w:val="20"/>
          <w:color w:val="auto"/>
        </w:rPr>
      </w:pPr>
    </w:p>
    <w:p>
      <w:pPr>
        <w:ind w:left="40" w:right="340"/>
        <w:spacing w:after="0" w:line="277" w:lineRule="auto"/>
        <w:rPr>
          <w:sz w:val="20"/>
          <w:szCs w:val="20"/>
          <w:color w:val="auto"/>
        </w:rPr>
      </w:pPr>
      <w:r>
        <w:rPr>
          <w:rFonts w:ascii="Arial" w:cs="Arial" w:eastAsia="Arial" w:hAnsi="Arial"/>
          <w:sz w:val="18"/>
          <w:szCs w:val="18"/>
          <w:color w:val="auto"/>
        </w:rPr>
        <w:t>Average investment in vacation ownership notes receivable on non-accrual status during the second quarter of 2019</w:t>
      </w:r>
    </w:p>
    <w:p>
      <w:pPr>
        <w:spacing w:after="0" w:line="8" w:lineRule="exact"/>
        <w:rPr>
          <w:sz w:val="20"/>
          <w:szCs w:val="20"/>
          <w:color w:val="auto"/>
        </w:rPr>
      </w:pPr>
    </w:p>
    <w:p>
      <w:pPr>
        <w:ind w:left="40" w:right="340"/>
        <w:spacing w:after="0" w:line="277" w:lineRule="auto"/>
        <w:rPr>
          <w:sz w:val="20"/>
          <w:szCs w:val="20"/>
          <w:color w:val="auto"/>
        </w:rPr>
      </w:pPr>
      <w:r>
        <w:rPr>
          <w:rFonts w:ascii="Arial" w:cs="Arial" w:eastAsia="Arial" w:hAnsi="Arial"/>
          <w:sz w:val="18"/>
          <w:szCs w:val="18"/>
          <w:color w:val="auto"/>
        </w:rPr>
        <w:t>Average investment in vacation ownership notes receivable on non-accrual status during the second quarter of 2018</w:t>
      </w:r>
    </w:p>
    <w:p>
      <w:pPr>
        <w:spacing w:after="0" w:line="8" w:lineRule="exact"/>
        <w:rPr>
          <w:sz w:val="20"/>
          <w:szCs w:val="20"/>
          <w:color w:val="auto"/>
        </w:rPr>
      </w:pPr>
    </w:p>
    <w:p>
      <w:pPr>
        <w:ind w:left="40" w:right="340"/>
        <w:spacing w:after="0" w:line="277" w:lineRule="auto"/>
        <w:rPr>
          <w:sz w:val="20"/>
          <w:szCs w:val="20"/>
          <w:color w:val="auto"/>
        </w:rPr>
      </w:pPr>
      <w:r>
        <w:rPr>
          <w:rFonts w:ascii="Arial" w:cs="Arial" w:eastAsia="Arial" w:hAnsi="Arial"/>
          <w:sz w:val="18"/>
          <w:szCs w:val="18"/>
          <w:color w:val="auto"/>
        </w:rPr>
        <w:t>Average investment in vacation ownership notes receivable on non-accrual status during the first half of 2019</w:t>
      </w:r>
    </w:p>
    <w:p>
      <w:pPr>
        <w:spacing w:after="0" w:line="8" w:lineRule="exact"/>
        <w:rPr>
          <w:sz w:val="20"/>
          <w:szCs w:val="20"/>
          <w:color w:val="auto"/>
        </w:rPr>
      </w:pPr>
    </w:p>
    <w:p>
      <w:pPr>
        <w:ind w:left="40" w:right="340"/>
        <w:spacing w:after="0" w:line="277" w:lineRule="auto"/>
        <w:rPr>
          <w:sz w:val="20"/>
          <w:szCs w:val="20"/>
          <w:color w:val="auto"/>
        </w:rPr>
      </w:pPr>
      <w:r>
        <w:rPr>
          <w:rFonts w:ascii="Arial" w:cs="Arial" w:eastAsia="Arial" w:hAnsi="Arial"/>
          <w:sz w:val="18"/>
          <w:szCs w:val="18"/>
          <w:color w:val="auto"/>
        </w:rPr>
        <w:t>Average investment in vacation ownership notes receivable on non-accrual status during the first half of 2018</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left="1220"/>
        <w:spacing w:after="0"/>
        <w:rPr>
          <w:sz w:val="20"/>
          <w:szCs w:val="20"/>
          <w:color w:val="auto"/>
        </w:rPr>
      </w:pPr>
      <w:r>
        <w:rPr>
          <w:rFonts w:ascii="Arial" w:cs="Arial" w:eastAsia="Arial" w:hAnsi="Arial"/>
          <w:sz w:val="16"/>
          <w:szCs w:val="16"/>
          <w:b w:val="1"/>
          <w:bCs w:val="1"/>
          <w:color w:val="auto"/>
        </w:rPr>
        <w:t>Legacy-MVW Vacation Ownership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37465</wp:posOffset>
            </wp:positionV>
            <wp:extent cx="38334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Non-Securitized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51"/>
              <w:spacing w:after="0"/>
              <w:rPr>
                <w:sz w:val="20"/>
                <w:szCs w:val="20"/>
                <w:color w:val="auto"/>
              </w:rPr>
            </w:pPr>
            <w:r>
              <w:rPr>
                <w:rFonts w:ascii="Arial" w:cs="Arial" w:eastAsia="Arial" w:hAnsi="Arial"/>
                <w:sz w:val="16"/>
                <w:szCs w:val="16"/>
                <w:b w:val="1"/>
                <w:bCs w:val="1"/>
                <w:color w:val="auto"/>
              </w:rPr>
              <w:t>Securitized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ind w:right="691"/>
              <w:spacing w:after="0"/>
              <w:rPr>
                <w:sz w:val="20"/>
                <w:szCs w:val="20"/>
                <w:color w:val="auto"/>
              </w:rPr>
            </w:pPr>
            <w:r>
              <w:rPr>
                <w:rFonts w:ascii="Arial" w:cs="Arial" w:eastAsia="Arial" w:hAnsi="Arial"/>
                <w:sz w:val="16"/>
                <w:szCs w:val="16"/>
                <w:b w:val="1"/>
                <w:bCs w:val="1"/>
                <w:color w:val="auto"/>
              </w:rPr>
              <w:t>Total</w:t>
            </w:r>
          </w:p>
        </w:tc>
      </w:tr>
      <w:tr>
        <w:trPr>
          <w:trHeight w:val="33"/>
        </w:trPr>
        <w:tc>
          <w:tcPr>
            <w:tcW w:w="1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331"/>
        </w:trPr>
        <w:tc>
          <w:tcPr>
            <w:tcW w:w="1600" w:type="dxa"/>
            <w:vAlign w:val="bottom"/>
          </w:tcPr>
          <w:p>
            <w:pPr>
              <w:jc w:val="right"/>
              <w:ind w:right="1391"/>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500" w:type="dxa"/>
            <w:vAlign w:val="bottom"/>
          </w:tcPr>
          <w:p>
            <w:pPr>
              <w:jc w:val="right"/>
              <w:ind w:right="1291"/>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49</w:t>
            </w:r>
          </w:p>
        </w:tc>
      </w:tr>
      <w:tr>
        <w:trPr>
          <w:trHeight w:val="486"/>
        </w:trPr>
        <w:tc>
          <w:tcPr>
            <w:tcW w:w="1600" w:type="dxa"/>
            <w:vAlign w:val="bottom"/>
          </w:tcPr>
          <w:p>
            <w:pPr>
              <w:jc w:val="right"/>
              <w:ind w:right="1391"/>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1500" w:type="dxa"/>
            <w:vAlign w:val="bottom"/>
          </w:tcPr>
          <w:p>
            <w:pPr>
              <w:jc w:val="right"/>
              <w:ind w:right="1291"/>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45</w:t>
            </w:r>
          </w:p>
        </w:tc>
      </w:tr>
      <w:tr>
        <w:trPr>
          <w:trHeight w:val="486"/>
        </w:trPr>
        <w:tc>
          <w:tcPr>
            <w:tcW w:w="1600" w:type="dxa"/>
            <w:vAlign w:val="bottom"/>
          </w:tcPr>
          <w:p>
            <w:pPr>
              <w:jc w:val="right"/>
              <w:ind w:right="1391"/>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1500" w:type="dxa"/>
            <w:vAlign w:val="bottom"/>
          </w:tcPr>
          <w:p>
            <w:pPr>
              <w:jc w:val="right"/>
              <w:ind w:right="1291"/>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49</w:t>
            </w:r>
          </w:p>
        </w:tc>
      </w:tr>
      <w:tr>
        <w:trPr>
          <w:trHeight w:val="486"/>
        </w:trPr>
        <w:tc>
          <w:tcPr>
            <w:tcW w:w="1600" w:type="dxa"/>
            <w:vAlign w:val="bottom"/>
          </w:tcPr>
          <w:p>
            <w:pPr>
              <w:jc w:val="right"/>
              <w:ind w:right="1391"/>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1500" w:type="dxa"/>
            <w:vAlign w:val="bottom"/>
          </w:tcPr>
          <w:p>
            <w:pPr>
              <w:jc w:val="right"/>
              <w:ind w:right="1291"/>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47</w:t>
            </w:r>
          </w:p>
        </w:tc>
      </w:tr>
      <w:tr>
        <w:trPr>
          <w:trHeight w:val="486"/>
        </w:trPr>
        <w:tc>
          <w:tcPr>
            <w:tcW w:w="1600" w:type="dxa"/>
            <w:vAlign w:val="bottom"/>
          </w:tcPr>
          <w:p>
            <w:pPr>
              <w:jc w:val="right"/>
              <w:ind w:right="1391"/>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1500" w:type="dxa"/>
            <w:vAlign w:val="bottom"/>
          </w:tcPr>
          <w:p>
            <w:pPr>
              <w:jc w:val="right"/>
              <w:ind w:right="1291"/>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47</w:t>
            </w:r>
          </w:p>
        </w:tc>
      </w:tr>
      <w:tr>
        <w:trPr>
          <w:trHeight w:val="486"/>
        </w:trPr>
        <w:tc>
          <w:tcPr>
            <w:tcW w:w="1600" w:type="dxa"/>
            <w:vAlign w:val="bottom"/>
          </w:tcPr>
          <w:p>
            <w:pPr>
              <w:jc w:val="right"/>
              <w:ind w:right="1391"/>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1500" w:type="dxa"/>
            <w:vAlign w:val="bottom"/>
          </w:tcPr>
          <w:p>
            <w:pPr>
              <w:jc w:val="right"/>
              <w:ind w:right="1291"/>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-1765935</wp:posOffset>
            </wp:positionV>
            <wp:extent cx="724662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-1148715</wp:posOffset>
            </wp:positionV>
            <wp:extent cx="724662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-530860</wp:posOffset>
            </wp:positionV>
            <wp:extent cx="724662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339" w:lineRule="exact"/>
        <w:rPr>
          <w:sz w:val="20"/>
          <w:szCs w:val="20"/>
          <w:color w:val="auto"/>
        </w:rPr>
      </w:pPr>
    </w:p>
    <w:p>
      <w:pPr>
        <w:sectPr>
          <w:pgSz w:w="11900" w:h="16838" w:orient="portrait"/>
          <w:cols w:equalWidth="0" w:num="2">
            <w:col w:w="5260" w:space="120"/>
            <w:col w:w="6040"/>
          </w:cols>
          <w:pgMar w:left="240" w:top="476" w:right="239" w:bottom="1440" w:gutter="0" w:footer="0" w:header="0"/>
          <w:type w:val="continuous"/>
        </w:sectPr>
      </w:pPr>
    </w:p>
    <w:p>
      <w:pPr>
        <w:spacing w:after="0" w:line="16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shows the aging of the recorded investment in principal, before reserves, in Legacy-MVW vacation ownership notes receivable as of June 30, 2019.</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0" w:type="dxa"/>
            <w:vAlign w:val="bottom"/>
            <w:gridSpan w:val="6"/>
          </w:tcPr>
          <w:p>
            <w:pPr>
              <w:jc w:val="center"/>
              <w:ind w:left="832"/>
              <w:spacing w:after="0"/>
              <w:rPr>
                <w:sz w:val="20"/>
                <w:szCs w:val="20"/>
                <w:color w:val="auto"/>
              </w:rPr>
            </w:pPr>
            <w:r>
              <w:rPr>
                <w:rFonts w:ascii="Arial" w:cs="Arial" w:eastAsia="Arial" w:hAnsi="Arial"/>
                <w:sz w:val="16"/>
                <w:szCs w:val="16"/>
                <w:b w:val="1"/>
                <w:bCs w:val="1"/>
                <w:color w:val="auto"/>
                <w:w w:val="92"/>
              </w:rPr>
              <w:t>Legacy-MVW Vacation Ownership Notes Receivable</w:t>
            </w:r>
          </w:p>
        </w:tc>
        <w:tc>
          <w:tcPr>
            <w:tcW w:w="1160" w:type="dxa"/>
            <w:vAlign w:val="bottom"/>
          </w:tcPr>
          <w:p>
            <w:pPr>
              <w:spacing w:after="0"/>
              <w:rPr>
                <w:sz w:val="18"/>
                <w:szCs w:val="18"/>
                <w:color w:val="auto"/>
              </w:rPr>
            </w:pPr>
          </w:p>
        </w:tc>
      </w:tr>
      <w:tr>
        <w:trPr>
          <w:trHeight w:val="33"/>
        </w:trPr>
        <w:tc>
          <w:tcPr>
            <w:tcW w:w="538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8"/>
        </w:trPr>
        <w:tc>
          <w:tcPr>
            <w:tcW w:w="538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2"/>
                <w:szCs w:val="22"/>
                <w:color w:val="auto"/>
              </w:rPr>
            </w:pPr>
          </w:p>
        </w:tc>
        <w:tc>
          <w:tcPr>
            <w:tcW w:w="1780" w:type="dxa"/>
            <w:vAlign w:val="bottom"/>
            <w:gridSpan w:val="2"/>
          </w:tcPr>
          <w:p>
            <w:pPr>
              <w:ind w:left="140"/>
              <w:spacing w:after="0"/>
              <w:rPr>
                <w:sz w:val="20"/>
                <w:szCs w:val="20"/>
                <w:color w:val="auto"/>
              </w:rPr>
            </w:pPr>
            <w:r>
              <w:rPr>
                <w:rFonts w:ascii="Arial" w:cs="Arial" w:eastAsia="Arial" w:hAnsi="Arial"/>
                <w:sz w:val="16"/>
                <w:szCs w:val="16"/>
                <w:b w:val="1"/>
                <w:bCs w:val="1"/>
                <w:color w:val="auto"/>
              </w:rPr>
              <w:t>Non-Securitized</w:t>
            </w:r>
          </w:p>
        </w:tc>
        <w:tc>
          <w:tcPr>
            <w:tcW w:w="360" w:type="dxa"/>
            <w:vAlign w:val="bottom"/>
          </w:tcPr>
          <w:p>
            <w:pPr>
              <w:spacing w:after="0"/>
              <w:rPr>
                <w:sz w:val="22"/>
                <w:szCs w:val="22"/>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1"/>
              </w:rPr>
              <w:t>Securitized</w:t>
            </w:r>
          </w:p>
        </w:tc>
        <w:tc>
          <w:tcPr>
            <w:tcW w:w="780" w:type="dxa"/>
            <w:vAlign w:val="bottom"/>
          </w:tcPr>
          <w:p>
            <w:pPr>
              <w:spacing w:after="0"/>
              <w:rPr>
                <w:sz w:val="22"/>
                <w:szCs w:val="22"/>
                <w:color w:val="auto"/>
              </w:rPr>
            </w:pPr>
          </w:p>
        </w:tc>
        <w:tc>
          <w:tcPr>
            <w:tcW w:w="1160" w:type="dxa"/>
            <w:vAlign w:val="bottom"/>
          </w:tcPr>
          <w:p>
            <w:pPr>
              <w:jc w:val="right"/>
              <w:ind w:right="691"/>
              <w:spacing w:after="0"/>
              <w:rPr>
                <w:sz w:val="20"/>
                <w:szCs w:val="20"/>
                <w:color w:val="auto"/>
              </w:rPr>
            </w:pPr>
            <w:r>
              <w:rPr>
                <w:rFonts w:ascii="Arial" w:cs="Arial" w:eastAsia="Arial" w:hAnsi="Arial"/>
                <w:sz w:val="16"/>
                <w:szCs w:val="16"/>
                <w:b w:val="1"/>
                <w:bCs w:val="1"/>
                <w:color w:val="auto"/>
                <w:w w:val="94"/>
              </w:rPr>
              <w:t>Total</w:t>
            </w:r>
          </w:p>
        </w:tc>
      </w:tr>
      <w:tr>
        <w:trPr>
          <w:trHeight w:val="250"/>
        </w:trPr>
        <w:tc>
          <w:tcPr>
            <w:tcW w:w="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31</w:t>
            </w: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90 days past due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r>
      <w:tr>
        <w:trPr>
          <w:trHeight w:val="243"/>
        </w:trPr>
        <w:tc>
          <w:tcPr>
            <w:tcW w:w="240" w:type="dxa"/>
            <w:vAlign w:val="bottom"/>
          </w:tcPr>
          <w:p>
            <w:pPr>
              <w:ind w:left="40"/>
              <w:spacing w:after="0"/>
              <w:rPr>
                <w:sz w:val="20"/>
                <w:szCs w:val="20"/>
                <w:color w:val="auto"/>
              </w:rPr>
            </w:pPr>
            <w:r>
              <w:rPr>
                <w:rFonts w:ascii="Arial" w:cs="Arial" w:eastAsia="Arial" w:hAnsi="Arial"/>
                <w:sz w:val="18"/>
                <w:szCs w:val="18"/>
                <w:color w:val="auto"/>
                <w:w w:val="89"/>
              </w:rPr>
              <w:t>91</w:t>
            </w:r>
          </w:p>
        </w:tc>
        <w:tc>
          <w:tcPr>
            <w:tcW w:w="5140" w:type="dxa"/>
            <w:vAlign w:val="bottom"/>
          </w:tcPr>
          <w:p>
            <w:pPr>
              <w:ind w:left="20"/>
              <w:spacing w:after="0"/>
              <w:rPr>
                <w:sz w:val="20"/>
                <w:szCs w:val="20"/>
                <w:color w:val="auto"/>
              </w:rPr>
            </w:pPr>
            <w:r>
              <w:rPr>
                <w:rFonts w:ascii="Arial" w:cs="Arial" w:eastAsia="Arial" w:hAnsi="Arial"/>
                <w:sz w:val="18"/>
                <w:szCs w:val="18"/>
                <w:color w:val="auto"/>
              </w:rPr>
              <w:t>– 150 days past due</w:t>
            </w:r>
          </w:p>
        </w:tc>
        <w:tc>
          <w:tcPr>
            <w:tcW w:w="2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53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Greater than 150 days past due</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 past due</w:t>
            </w:r>
          </w:p>
        </w:tc>
        <w:tc>
          <w:tcPr>
            <w:tcW w:w="2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w:t>
            </w:r>
          </w:p>
        </w:tc>
      </w:tr>
      <w:tr>
        <w:trPr>
          <w:trHeight w:val="27"/>
        </w:trPr>
        <w:tc>
          <w:tcPr>
            <w:tcW w:w="53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1,160</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1,383</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 vacation ownership notes receivable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1,459</w:t>
            </w:r>
          </w:p>
        </w:tc>
      </w:tr>
      <w:tr>
        <w:trPr>
          <w:trHeight w:val="27"/>
        </w:trPr>
        <w:tc>
          <w:tcPr>
            <w:tcW w:w="2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2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567"/>
        <w:spacing w:after="0" w:line="277" w:lineRule="auto"/>
        <w:rPr>
          <w:sz w:val="20"/>
          <w:szCs w:val="20"/>
          <w:color w:val="auto"/>
        </w:rPr>
      </w:pPr>
      <w:r>
        <w:rPr>
          <w:rFonts w:ascii="Arial" w:cs="Arial" w:eastAsia="Arial" w:hAnsi="Arial"/>
          <w:sz w:val="18"/>
          <w:szCs w:val="18"/>
          <w:color w:val="auto"/>
        </w:rPr>
        <w:t>The following table shows the aging of the recorded investment in principal, before reserves, in Legacy-MVW vacation ownership notes receivable as of December 31,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00" w:type="dxa"/>
            <w:vAlign w:val="bottom"/>
            <w:gridSpan w:val="6"/>
          </w:tcPr>
          <w:p>
            <w:pPr>
              <w:jc w:val="center"/>
              <w:ind w:left="932"/>
              <w:spacing w:after="0"/>
              <w:rPr>
                <w:sz w:val="20"/>
                <w:szCs w:val="20"/>
                <w:color w:val="auto"/>
              </w:rPr>
            </w:pPr>
            <w:r>
              <w:rPr>
                <w:rFonts w:ascii="Arial" w:cs="Arial" w:eastAsia="Arial" w:hAnsi="Arial"/>
                <w:sz w:val="16"/>
                <w:szCs w:val="16"/>
                <w:b w:val="1"/>
                <w:bCs w:val="1"/>
                <w:color w:val="auto"/>
                <w:w w:val="92"/>
              </w:rPr>
              <w:t>Legacy-MVW Vacation Ownership Notes Receivable</w:t>
            </w:r>
          </w:p>
        </w:tc>
        <w:tc>
          <w:tcPr>
            <w:tcW w:w="1160" w:type="dxa"/>
            <w:vAlign w:val="bottom"/>
          </w:tcPr>
          <w:p>
            <w:pPr>
              <w:spacing w:after="0"/>
              <w:rPr>
                <w:sz w:val="18"/>
                <w:szCs w:val="18"/>
                <w:color w:val="auto"/>
              </w:rPr>
            </w:pPr>
          </w:p>
        </w:tc>
      </w:tr>
      <w:tr>
        <w:trPr>
          <w:trHeight w:val="33"/>
        </w:trPr>
        <w:tc>
          <w:tcPr>
            <w:tcW w:w="538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8"/>
        </w:trPr>
        <w:tc>
          <w:tcPr>
            <w:tcW w:w="538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22"/>
                <w:szCs w:val="22"/>
                <w:color w:val="auto"/>
              </w:rPr>
            </w:pPr>
          </w:p>
        </w:tc>
        <w:tc>
          <w:tcPr>
            <w:tcW w:w="1880" w:type="dxa"/>
            <w:vAlign w:val="bottom"/>
            <w:gridSpan w:val="2"/>
          </w:tcPr>
          <w:p>
            <w:pPr>
              <w:ind w:left="240"/>
              <w:spacing w:after="0"/>
              <w:rPr>
                <w:sz w:val="20"/>
                <w:szCs w:val="20"/>
                <w:color w:val="auto"/>
              </w:rPr>
            </w:pPr>
            <w:r>
              <w:rPr>
                <w:rFonts w:ascii="Arial" w:cs="Arial" w:eastAsia="Arial" w:hAnsi="Arial"/>
                <w:sz w:val="16"/>
                <w:szCs w:val="16"/>
                <w:b w:val="1"/>
                <w:bCs w:val="1"/>
                <w:color w:val="auto"/>
              </w:rPr>
              <w:t>Non-Securitized</w:t>
            </w:r>
          </w:p>
        </w:tc>
        <w:tc>
          <w:tcPr>
            <w:tcW w:w="360" w:type="dxa"/>
            <w:vAlign w:val="bottom"/>
          </w:tcPr>
          <w:p>
            <w:pPr>
              <w:spacing w:after="0"/>
              <w:rPr>
                <w:sz w:val="22"/>
                <w:szCs w:val="22"/>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1"/>
              </w:rPr>
              <w:t>Securitized</w:t>
            </w:r>
          </w:p>
        </w:tc>
        <w:tc>
          <w:tcPr>
            <w:tcW w:w="780" w:type="dxa"/>
            <w:vAlign w:val="bottom"/>
          </w:tcPr>
          <w:p>
            <w:pPr>
              <w:spacing w:after="0"/>
              <w:rPr>
                <w:sz w:val="22"/>
                <w:szCs w:val="22"/>
                <w:color w:val="auto"/>
              </w:rPr>
            </w:pPr>
          </w:p>
        </w:tc>
        <w:tc>
          <w:tcPr>
            <w:tcW w:w="1160" w:type="dxa"/>
            <w:vAlign w:val="bottom"/>
          </w:tcPr>
          <w:p>
            <w:pPr>
              <w:jc w:val="right"/>
              <w:ind w:right="691"/>
              <w:spacing w:after="0"/>
              <w:rPr>
                <w:sz w:val="20"/>
                <w:szCs w:val="20"/>
                <w:color w:val="auto"/>
              </w:rPr>
            </w:pPr>
            <w:r>
              <w:rPr>
                <w:rFonts w:ascii="Arial" w:cs="Arial" w:eastAsia="Arial" w:hAnsi="Arial"/>
                <w:sz w:val="16"/>
                <w:szCs w:val="16"/>
                <w:b w:val="1"/>
                <w:bCs w:val="1"/>
                <w:color w:val="auto"/>
                <w:w w:val="94"/>
              </w:rPr>
              <w:t>Total</w:t>
            </w:r>
          </w:p>
        </w:tc>
      </w:tr>
      <w:tr>
        <w:trPr>
          <w:trHeight w:val="250"/>
        </w:trPr>
        <w:tc>
          <w:tcPr>
            <w:tcW w:w="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31</w:t>
            </w: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90 days past due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r>
      <w:tr>
        <w:trPr>
          <w:trHeight w:val="243"/>
        </w:trPr>
        <w:tc>
          <w:tcPr>
            <w:tcW w:w="240" w:type="dxa"/>
            <w:vAlign w:val="bottom"/>
          </w:tcPr>
          <w:p>
            <w:pPr>
              <w:ind w:left="40"/>
              <w:spacing w:after="0"/>
              <w:rPr>
                <w:sz w:val="20"/>
                <w:szCs w:val="20"/>
                <w:color w:val="auto"/>
              </w:rPr>
            </w:pPr>
            <w:r>
              <w:rPr>
                <w:rFonts w:ascii="Arial" w:cs="Arial" w:eastAsia="Arial" w:hAnsi="Arial"/>
                <w:sz w:val="18"/>
                <w:szCs w:val="18"/>
                <w:color w:val="auto"/>
                <w:w w:val="89"/>
              </w:rPr>
              <w:t>91</w:t>
            </w:r>
          </w:p>
        </w:tc>
        <w:tc>
          <w:tcPr>
            <w:tcW w:w="5140" w:type="dxa"/>
            <w:vAlign w:val="bottom"/>
          </w:tcPr>
          <w:p>
            <w:pPr>
              <w:ind w:left="20"/>
              <w:spacing w:after="0"/>
              <w:rPr>
                <w:sz w:val="20"/>
                <w:szCs w:val="20"/>
                <w:color w:val="auto"/>
              </w:rPr>
            </w:pPr>
            <w:r>
              <w:rPr>
                <w:rFonts w:ascii="Arial" w:cs="Arial" w:eastAsia="Arial" w:hAnsi="Arial"/>
                <w:sz w:val="18"/>
                <w:szCs w:val="18"/>
                <w:color w:val="auto"/>
              </w:rPr>
              <w:t>– 150 days past due</w:t>
            </w:r>
          </w:p>
        </w:tc>
        <w:tc>
          <w:tcPr>
            <w:tcW w:w="1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53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Greater than 150 days past due</w:t>
            </w: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 past due</w:t>
            </w:r>
          </w:p>
        </w:tc>
        <w:tc>
          <w:tcPr>
            <w:tcW w:w="1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w:t>
            </w:r>
          </w:p>
        </w:tc>
      </w:tr>
      <w:tr>
        <w:trPr>
          <w:trHeight w:val="27"/>
        </w:trPr>
        <w:tc>
          <w:tcPr>
            <w:tcW w:w="53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1,325</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 vacation ownership notes receivable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1,403</w:t>
            </w:r>
          </w:p>
        </w:tc>
      </w:tr>
      <w:tr>
        <w:trPr>
          <w:trHeight w:val="27"/>
        </w:trPr>
        <w:tc>
          <w:tcPr>
            <w:tcW w:w="2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2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656"/>
        </w:trPr>
        <w:tc>
          <w:tcPr>
            <w:tcW w:w="2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ind w:right="145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476" w:right="239" w:bottom="1440" w:gutter="0" w:footer="0" w:header="0"/>
          <w:type w:val="continuous"/>
        </w:sectPr>
      </w:pPr>
    </w:p>
    <w:bookmarkStart w:id="23" w:name="page24"/>
    <w:bookmarkEnd w:id="23"/>
    <w:p>
      <w:pPr>
        <w:ind w:left="660"/>
        <w:spacing w:after="0"/>
        <w:rPr>
          <w:sz w:val="20"/>
          <w:szCs w:val="20"/>
          <w:color w:val="auto"/>
        </w:rPr>
      </w:pPr>
      <w:r>
        <w:rPr>
          <w:rFonts w:ascii="Arial" w:cs="Arial" w:eastAsia="Arial" w:hAnsi="Arial"/>
          <w:sz w:val="18"/>
          <w:szCs w:val="18"/>
          <w:i w:val="1"/>
          <w:iCs w:val="1"/>
          <w:color w:val="auto"/>
        </w:rPr>
        <w:t>Legacy-ILG Vacation Ownership Notes Receivable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an ongoing basis, we monitor credit quality of our Legacy-ILG vacation ownership notes receivable portfolio based on payment activity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03" w:lineRule="exact"/>
        <w:rPr>
          <w:sz w:val="20"/>
          <w:szCs w:val="20"/>
          <w:color w:val="auto"/>
        </w:rPr>
      </w:pPr>
    </w:p>
    <w:p>
      <w:pPr>
        <w:ind w:left="980" w:right="6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Current — The vacation ownership note receivable is in good standing as payments and reporting are current per the terms contractually stipulated in the agreement.</w:t>
      </w:r>
    </w:p>
    <w:p>
      <w:pPr>
        <w:spacing w:after="0" w:line="62"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Delinquent — We consider a vacation ownership note receivable to be delinquent based on the contractual terms of each individual financing agreement.</w:t>
      </w:r>
    </w:p>
    <w:p>
      <w:pPr>
        <w:spacing w:after="0" w:line="62" w:lineRule="exact"/>
        <w:rPr>
          <w:rFonts w:ascii="Arial" w:cs="Arial" w:eastAsia="Arial" w:hAnsi="Arial"/>
          <w:sz w:val="18"/>
          <w:szCs w:val="18"/>
          <w:color w:val="auto"/>
        </w:rPr>
      </w:pPr>
    </w:p>
    <w:p>
      <w:pPr>
        <w:ind w:left="980" w:right="180" w:hanging="324"/>
        <w:spacing w:after="0" w:line="279"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Non-performing — Our vacation ownership notes receivable are generally considered non-performing if interest or principal is more than 30 days past due. All non-performing vacation ownership notes receivable are placed on non-accrual status and we do not resume interest accrual until the vacation ownership notes receivable becomes contractually current. We apply payments we receive for vacation ownership notes receivable on non-performing status first to interest, then to principal, and any remainder to fees.</w:t>
      </w:r>
    </w:p>
    <w:p>
      <w:pPr>
        <w:spacing w:after="0" w:line="63"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consider vacation ownership notes receivable to be in default upon reaching 120 days outstanding. We use the origination of the vacation ownership notes receivable by brand (Hyatt, Sheraton or Westin) and the FICO scores of the customer as the primary credit quality indicators for our Legacy-ILG vacation ownership notes receivable, as historical performance indicates that there is a relationship between the default behavior of borrowers and the brand associated with the vacation ownership property they have acquired, supplemented by the FICO scores of the customers.</w:t>
      </w:r>
    </w:p>
    <w:p>
      <w:pPr>
        <w:spacing w:after="0" w:line="63"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At June 30, 2019 and December 31, 2018, the weighted average FICO score within our consolidated Legacy-ILG vacation ownership notes receivable pools was 711 and 710, respectively, based upon the outstanding vacation ownership notes receivable balance at time of origination. The average estimated rate for all future defaults for our Legacy-ILG consolidated outstanding pool of vacation ownership notes receivable as of June 30, 2019 and December 31, 2018 was 12.41 percent and 12.37 percent, respectively. A 0.5 percentage point increase in the estimated default rate on the Legacy-ILG originated vacation ownership notes receivable would have resulted in an increase in the related vacation ownership notes receivable reserve of $2 million and $1 million as of June 30, 2019 and December 31, 2018, respectively.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the Legacy-ILG acquired vacation ownership notes receivable by brand and FICO score as of June 30, 2019.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40" w:type="dxa"/>
            <w:vAlign w:val="bottom"/>
            <w:gridSpan w:val="6"/>
          </w:tcPr>
          <w:p>
            <w:pPr>
              <w:jc w:val="right"/>
              <w:ind w:right="253"/>
              <w:spacing w:after="0"/>
              <w:rPr>
                <w:sz w:val="20"/>
                <w:szCs w:val="20"/>
                <w:color w:val="auto"/>
              </w:rPr>
            </w:pPr>
            <w:r>
              <w:rPr>
                <w:rFonts w:ascii="Arial" w:cs="Arial" w:eastAsia="Arial" w:hAnsi="Arial"/>
                <w:sz w:val="16"/>
                <w:szCs w:val="16"/>
                <w:b w:val="1"/>
                <w:bCs w:val="1"/>
                <w:color w:val="auto"/>
              </w:rPr>
              <w:t>Acquired Vacation Ownership Notes Receivable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700 +</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600 - 699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&lt; 600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No Score</w:t>
            </w:r>
            <w:r>
              <w:rPr>
                <w:rFonts w:ascii="Arial" w:cs="Arial" w:eastAsia="Arial" w:hAnsi="Arial"/>
                <w:sz w:val="17"/>
                <w:szCs w:val="17"/>
                <w:b w:val="1"/>
                <w:bCs w:val="1"/>
                <w:color w:val="auto"/>
                <w:vertAlign w:val="superscript"/>
              </w:rPr>
              <w:t>(1)</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Westin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Sheraton</w:t>
            </w:r>
          </w:p>
        </w:tc>
        <w:tc>
          <w:tcPr>
            <w:tcW w:w="3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Hyatt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Vacation ownership notes receivable with no FICO score primarily relate to non-U.S. resident borrowers.</w:t>
      </w:r>
    </w:p>
    <w:p>
      <w:pPr>
        <w:spacing w:after="0" w:line="202"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7"/>
          <w:szCs w:val="17"/>
          <w:color w:val="auto"/>
        </w:rPr>
        <w:t>The following table shows the Legacy-ILG acquired vacation ownership notes receivable by brand and FICO score as of December 31, 2018.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40" w:type="dxa"/>
            <w:vAlign w:val="bottom"/>
            <w:gridSpan w:val="6"/>
          </w:tcPr>
          <w:p>
            <w:pPr>
              <w:jc w:val="right"/>
              <w:ind w:right="253"/>
              <w:spacing w:after="0"/>
              <w:rPr>
                <w:sz w:val="20"/>
                <w:szCs w:val="20"/>
                <w:color w:val="auto"/>
              </w:rPr>
            </w:pPr>
            <w:r>
              <w:rPr>
                <w:rFonts w:ascii="Arial" w:cs="Arial" w:eastAsia="Arial" w:hAnsi="Arial"/>
                <w:sz w:val="16"/>
                <w:szCs w:val="16"/>
                <w:b w:val="1"/>
                <w:bCs w:val="1"/>
                <w:color w:val="auto"/>
              </w:rPr>
              <w:t>Acquired Vacation Ownership Notes Receivable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700 +</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600 - 699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&lt; 600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No Score</w:t>
            </w:r>
            <w:r>
              <w:rPr>
                <w:rFonts w:ascii="Arial" w:cs="Arial" w:eastAsia="Arial" w:hAnsi="Arial"/>
                <w:sz w:val="17"/>
                <w:szCs w:val="17"/>
                <w:b w:val="1"/>
                <w:bCs w:val="1"/>
                <w:color w:val="auto"/>
                <w:vertAlign w:val="superscript"/>
              </w:rPr>
              <w:t>(1)</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Westin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Sheraton</w:t>
            </w:r>
          </w:p>
        </w:tc>
        <w:tc>
          <w:tcPr>
            <w:tcW w:w="3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Hyatt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620" w:right="3180" w:hanging="5612"/>
        <w:spacing w:after="0" w:line="466" w:lineRule="auto"/>
        <w:tabs>
          <w:tab w:leader="none" w:pos="652"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Vacation ownership notes receivable with no FICO score primarily relate to non-U.S. resident borrowers. 22</w:t>
      </w:r>
    </w:p>
    <w:p>
      <w:pPr>
        <w:sectPr>
          <w:pgSz w:w="11900" w:h="16838" w:orient="portrait"/>
          <w:cols w:equalWidth="0" w:num="1">
            <w:col w:w="11420"/>
          </w:cols>
          <w:pgMar w:left="240" w:top="584" w:right="239" w:bottom="1440" w:gutter="0" w:footer="0" w:header="0"/>
        </w:sectPr>
      </w:pPr>
    </w:p>
    <w:bookmarkStart w:id="24" w:name="page25"/>
    <w:bookmarkEnd w:id="24"/>
    <w:p>
      <w:pPr>
        <w:ind w:left="660"/>
        <w:spacing w:after="0"/>
        <w:rPr>
          <w:sz w:val="20"/>
          <w:szCs w:val="20"/>
          <w:color w:val="auto"/>
        </w:rPr>
      </w:pPr>
      <w:r>
        <w:rPr>
          <w:rFonts w:ascii="Arial" w:cs="Arial" w:eastAsia="Arial" w:hAnsi="Arial"/>
          <w:sz w:val="17"/>
          <w:szCs w:val="17"/>
          <w:color w:val="auto"/>
        </w:rPr>
        <w:t>The following table shows the Legacy-ILG originated vacation ownership notes receivable by brand and FICO score as of June 30, 2019.</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40" w:type="dxa"/>
            <w:vAlign w:val="bottom"/>
            <w:gridSpan w:val="6"/>
          </w:tcPr>
          <w:p>
            <w:pPr>
              <w:jc w:val="right"/>
              <w:ind w:right="213"/>
              <w:spacing w:after="0"/>
              <w:rPr>
                <w:sz w:val="20"/>
                <w:szCs w:val="20"/>
                <w:color w:val="auto"/>
              </w:rPr>
            </w:pPr>
            <w:r>
              <w:rPr>
                <w:rFonts w:ascii="Arial" w:cs="Arial" w:eastAsia="Arial" w:hAnsi="Arial"/>
                <w:sz w:val="16"/>
                <w:szCs w:val="16"/>
                <w:b w:val="1"/>
                <w:bCs w:val="1"/>
                <w:color w:val="auto"/>
                <w:w w:val="99"/>
              </w:rPr>
              <w:t>Originated Vacation Ownership Notes Receivable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54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700 +</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600 - 699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&lt; 600</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No Score</w:t>
            </w:r>
            <w:r>
              <w:rPr>
                <w:rFonts w:ascii="Arial" w:cs="Arial" w:eastAsia="Arial" w:hAnsi="Arial"/>
                <w:sz w:val="17"/>
                <w:szCs w:val="17"/>
                <w:b w:val="1"/>
                <w:bCs w:val="1"/>
                <w:color w:val="auto"/>
                <w:vertAlign w:val="superscript"/>
              </w:rPr>
              <w:t>(1)</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5"/>
        </w:trPr>
        <w:tc>
          <w:tcPr>
            <w:tcW w:w="540" w:type="dxa"/>
            <w:vAlign w:val="bottom"/>
            <w:tcBorders>
              <w:top w:val="single" w:sz="8" w:color="CCEEFF"/>
              <w:left w:val="single" w:sz="8" w:color="CCEEFF"/>
              <w:bottom w:val="single" w:sz="8" w:color="CCEEFF"/>
            </w:tcBorders>
            <w:gridSpan w:val="2"/>
            <w:shd w:val="clear" w:color="auto" w:fill="BFE4FF"/>
          </w:tcPr>
          <w:p>
            <w:pPr>
              <w:ind w:left="40"/>
              <w:spacing w:after="0" w:line="191" w:lineRule="exact"/>
              <w:rPr>
                <w:sz w:val="20"/>
                <w:szCs w:val="20"/>
                <w:color w:val="auto"/>
              </w:rPr>
            </w:pPr>
            <w:r>
              <w:rPr>
                <w:rFonts w:ascii="Arial" w:cs="Arial" w:eastAsia="Arial" w:hAnsi="Arial"/>
                <w:sz w:val="18"/>
                <w:szCs w:val="18"/>
                <w:color w:val="auto"/>
                <w:w w:val="87"/>
                <w:shd w:val="clear" w:color="auto" w:fill="BFE4FF"/>
              </w:rPr>
              <w:t>Westin</w:t>
            </w:r>
          </w:p>
        </w:tc>
        <w:tc>
          <w:tcPr>
            <w:tcW w:w="30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jc w:val="right"/>
              <w:ind w:right="130"/>
              <w:spacing w:after="0" w:line="191"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CCEEFF"/>
              <w:bottom w:val="single" w:sz="8" w:color="CCEEFF"/>
            </w:tcBorders>
            <w:shd w:val="clear" w:color="auto" w:fill="CCEEFF"/>
          </w:tcPr>
          <w:p>
            <w:pPr>
              <w:jc w:val="right"/>
              <w:ind w:right="32"/>
              <w:spacing w:after="0" w:line="191" w:lineRule="exact"/>
              <w:rPr>
                <w:sz w:val="20"/>
                <w:szCs w:val="20"/>
                <w:color w:val="auto"/>
              </w:rPr>
            </w:pPr>
            <w:r>
              <w:rPr>
                <w:rFonts w:ascii="Arial" w:cs="Arial" w:eastAsia="Arial" w:hAnsi="Arial"/>
                <w:sz w:val="18"/>
                <w:szCs w:val="18"/>
                <w:color w:val="auto"/>
              </w:rPr>
              <w:t>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jc w:val="right"/>
              <w:ind w:right="70"/>
              <w:spacing w:after="0" w:line="191"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CCEEFF"/>
              <w:bottom w:val="single" w:sz="8" w:color="CCEEFF"/>
            </w:tcBorders>
            <w:shd w:val="clear" w:color="auto" w:fill="CCEEFF"/>
          </w:tcPr>
          <w:p>
            <w:pPr>
              <w:jc w:val="right"/>
              <w:ind w:right="13"/>
              <w:spacing w:after="0" w:line="191" w:lineRule="exact"/>
              <w:rPr>
                <w:sz w:val="20"/>
                <w:szCs w:val="20"/>
                <w:color w:val="auto"/>
              </w:rPr>
            </w:pPr>
            <w:r>
              <w:rPr>
                <w:rFonts w:ascii="Arial" w:cs="Arial" w:eastAsia="Arial" w:hAnsi="Arial"/>
                <w:sz w:val="18"/>
                <w:szCs w:val="18"/>
                <w:color w:val="auto"/>
              </w:rPr>
              <w:t>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jc w:val="right"/>
              <w:ind w:right="130"/>
              <w:spacing w:after="0" w:line="191"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CCEEFF"/>
              <w:bottom w:val="single" w:sz="8" w:color="CCEEFF"/>
            </w:tcBorders>
            <w:shd w:val="clear" w:color="auto" w:fill="CCEEFF"/>
          </w:tcPr>
          <w:p>
            <w:pPr>
              <w:jc w:val="right"/>
              <w:ind w:right="12"/>
              <w:spacing w:after="0" w:line="191" w:lineRule="exact"/>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jc w:val="right"/>
              <w:ind w:right="933"/>
              <w:spacing w:after="0" w:line="191"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CCEEFF"/>
              <w:bottom w:val="single" w:sz="8" w:color="CCEEFF"/>
            </w:tcBorders>
            <w:shd w:val="clear" w:color="auto" w:fill="CCEEFF"/>
          </w:tcPr>
          <w:p>
            <w:pPr>
              <w:jc w:val="right"/>
              <w:ind w:right="10"/>
              <w:spacing w:after="0" w:line="191" w:lineRule="exact"/>
              <w:rPr>
                <w:sz w:val="20"/>
                <w:szCs w:val="20"/>
                <w:color w:val="auto"/>
              </w:rPr>
            </w:pPr>
            <w:r>
              <w:rPr>
                <w:rFonts w:ascii="Arial" w:cs="Arial" w:eastAsia="Arial" w:hAnsi="Arial"/>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jc w:val="right"/>
              <w:ind w:right="130"/>
              <w:spacing w:after="0" w:line="191"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CCEEFF"/>
              <w:bottom w:val="single" w:sz="8" w:color="CCEEFF"/>
            </w:tcBorders>
            <w:shd w:val="clear" w:color="auto" w:fill="CCEEFF"/>
          </w:tcPr>
          <w:p>
            <w:pPr>
              <w:jc w:val="right"/>
              <w:ind w:right="12"/>
              <w:spacing w:after="0" w:line="191"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Sheraton</w:t>
            </w:r>
          </w:p>
        </w:tc>
        <w:tc>
          <w:tcPr>
            <w:tcW w:w="3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34"/>
        </w:trPr>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0" w:type="dxa"/>
            <w:vAlign w:val="bottom"/>
            <w:tcBorders>
              <w:left w:val="single" w:sz="8" w:color="CCEEFF"/>
              <w:bottom w:val="single" w:sz="8" w:color="CCEEFF"/>
            </w:tcBorders>
            <w:shd w:val="clear" w:color="auto" w:fill="BFE4FF"/>
          </w:tcPr>
          <w:p>
            <w:pPr>
              <w:ind w:left="40"/>
              <w:spacing w:after="0" w:line="202" w:lineRule="exact"/>
              <w:rPr>
                <w:sz w:val="20"/>
                <w:szCs w:val="20"/>
                <w:color w:val="auto"/>
              </w:rPr>
            </w:pPr>
            <w:r>
              <w:rPr>
                <w:rFonts w:ascii="Arial" w:cs="Arial" w:eastAsia="Arial" w:hAnsi="Arial"/>
                <w:sz w:val="18"/>
                <w:szCs w:val="18"/>
                <w:color w:val="auto"/>
                <w:w w:val="90"/>
                <w:shd w:val="clear" w:color="auto" w:fill="BFE4FF"/>
              </w:rPr>
              <w:t>Hyatt</w:t>
            </w:r>
          </w:p>
        </w:tc>
        <w:tc>
          <w:tcPr>
            <w:tcW w:w="3100" w:type="dxa"/>
            <w:vAlign w:val="bottom"/>
            <w:tcBorders>
              <w:bottom w:val="single" w:sz="8" w:color="CCEEFF"/>
            </w:tcBorders>
            <w:gridSpan w:val="2"/>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933"/>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354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_________________________</w:t>
            </w: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gridSpan w:val="3"/>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Vacation ownership notes receivable with no FICO score primarily relate to non-U.S. resident borrowers.</w:t>
      </w:r>
    </w:p>
    <w:p>
      <w:pPr>
        <w:spacing w:after="0" w:line="202"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7"/>
          <w:szCs w:val="17"/>
          <w:color w:val="auto"/>
        </w:rPr>
        <w:t>The following table shows the Legacy-ILG originated vacation ownership notes receivable by brand and FICO score as of December 31, 2018.</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gridSpan w:val="8"/>
          </w:tcPr>
          <w:p>
            <w:pPr>
              <w:ind w:left="320"/>
              <w:spacing w:after="0"/>
              <w:rPr>
                <w:sz w:val="20"/>
                <w:szCs w:val="20"/>
                <w:color w:val="auto"/>
              </w:rPr>
            </w:pPr>
            <w:r>
              <w:rPr>
                <w:rFonts w:ascii="Arial" w:cs="Arial" w:eastAsia="Arial" w:hAnsi="Arial"/>
                <w:sz w:val="16"/>
                <w:szCs w:val="16"/>
                <w:b w:val="1"/>
                <w:bCs w:val="1"/>
                <w:color w:val="auto"/>
              </w:rPr>
              <w:t>Originated Vacation Ownership Notes Receivable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5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Pr>
          <w:p>
            <w:pPr>
              <w:spacing w:after="0"/>
              <w:rPr>
                <w:sz w:val="24"/>
                <w:szCs w:val="24"/>
                <w:color w:val="auto"/>
              </w:rPr>
            </w:pPr>
          </w:p>
        </w:tc>
        <w:tc>
          <w:tcPr>
            <w:tcW w:w="1180" w:type="dxa"/>
            <w:vAlign w:val="bottom"/>
          </w:tcPr>
          <w:p>
            <w:pPr>
              <w:jc w:val="right"/>
              <w:ind w:right="472"/>
              <w:spacing w:after="0"/>
              <w:rPr>
                <w:sz w:val="20"/>
                <w:szCs w:val="20"/>
                <w:color w:val="auto"/>
              </w:rPr>
            </w:pPr>
            <w:r>
              <w:rPr>
                <w:rFonts w:ascii="Arial" w:cs="Arial" w:eastAsia="Arial" w:hAnsi="Arial"/>
                <w:sz w:val="16"/>
                <w:szCs w:val="16"/>
                <w:b w:val="1"/>
                <w:bCs w:val="1"/>
                <w:color w:val="auto"/>
              </w:rPr>
              <w:t>700 +</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353"/>
              <w:spacing w:after="0"/>
              <w:rPr>
                <w:sz w:val="20"/>
                <w:szCs w:val="20"/>
                <w:color w:val="auto"/>
              </w:rPr>
            </w:pPr>
            <w:r>
              <w:rPr>
                <w:rFonts w:ascii="Arial" w:cs="Arial" w:eastAsia="Arial" w:hAnsi="Arial"/>
                <w:sz w:val="16"/>
                <w:szCs w:val="16"/>
                <w:b w:val="1"/>
                <w:bCs w:val="1"/>
                <w:color w:val="auto"/>
              </w:rPr>
              <w:t>600 - 699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52"/>
              <w:spacing w:after="0"/>
              <w:rPr>
                <w:sz w:val="20"/>
                <w:szCs w:val="20"/>
                <w:color w:val="auto"/>
              </w:rPr>
            </w:pPr>
            <w:r>
              <w:rPr>
                <w:rFonts w:ascii="Arial" w:cs="Arial" w:eastAsia="Arial" w:hAnsi="Arial"/>
                <w:sz w:val="16"/>
                <w:szCs w:val="16"/>
                <w:b w:val="1"/>
                <w:bCs w:val="1"/>
                <w:color w:val="auto"/>
              </w:rPr>
              <w:t>&lt; 600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No Score</w:t>
            </w:r>
            <w:r>
              <w:rPr>
                <w:rFonts w:ascii="Arial" w:cs="Arial" w:eastAsia="Arial" w:hAnsi="Arial"/>
                <w:sz w:val="17"/>
                <w:szCs w:val="17"/>
                <w:b w:val="1"/>
                <w:bCs w:val="1"/>
                <w:color w:val="auto"/>
                <w:vertAlign w:val="superscript"/>
              </w:rPr>
              <w:t>(1)</w:t>
            </w:r>
          </w:p>
        </w:tc>
        <w:tc>
          <w:tcPr>
            <w:tcW w:w="340" w:type="dxa"/>
            <w:vAlign w:val="bottom"/>
          </w:tcPr>
          <w:p>
            <w:pPr>
              <w:spacing w:after="0"/>
              <w:rPr>
                <w:sz w:val="24"/>
                <w:szCs w:val="24"/>
                <w:color w:val="auto"/>
              </w:rPr>
            </w:pPr>
          </w:p>
        </w:tc>
        <w:tc>
          <w:tcPr>
            <w:tcW w:w="1140" w:type="dxa"/>
            <w:vAlign w:val="bottom"/>
          </w:tcPr>
          <w:p>
            <w:pPr>
              <w:jc w:val="right"/>
              <w:ind w:right="4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5"/>
        </w:trPr>
        <w:tc>
          <w:tcPr>
            <w:tcW w:w="540" w:type="dxa"/>
            <w:vAlign w:val="bottom"/>
            <w:tcBorders>
              <w:top w:val="single" w:sz="8" w:color="CCEEFF"/>
              <w:left w:val="single" w:sz="8" w:color="CCEEFF"/>
              <w:bottom w:val="single" w:sz="8" w:color="CCEEFF"/>
            </w:tcBorders>
            <w:gridSpan w:val="2"/>
            <w:shd w:val="clear" w:color="auto" w:fill="BFE4FF"/>
          </w:tcPr>
          <w:p>
            <w:pPr>
              <w:ind w:left="40"/>
              <w:spacing w:after="0" w:line="191" w:lineRule="exact"/>
              <w:rPr>
                <w:sz w:val="20"/>
                <w:szCs w:val="20"/>
                <w:color w:val="auto"/>
              </w:rPr>
            </w:pPr>
            <w:r>
              <w:rPr>
                <w:rFonts w:ascii="Arial" w:cs="Arial" w:eastAsia="Arial" w:hAnsi="Arial"/>
                <w:sz w:val="18"/>
                <w:szCs w:val="18"/>
                <w:color w:val="auto"/>
                <w:w w:val="87"/>
                <w:shd w:val="clear" w:color="auto" w:fill="BFE4FF"/>
              </w:rPr>
              <w:t>Westin</w:t>
            </w:r>
          </w:p>
        </w:tc>
        <w:tc>
          <w:tcPr>
            <w:tcW w:w="30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jc w:val="right"/>
              <w:ind w:right="130"/>
              <w:spacing w:after="0" w:line="191"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2"/>
              <w:spacing w:after="0" w:line="191" w:lineRule="exact"/>
              <w:rPr>
                <w:sz w:val="20"/>
                <w:szCs w:val="20"/>
                <w:color w:val="auto"/>
              </w:rPr>
            </w:pPr>
            <w:r>
              <w:rPr>
                <w:rFonts w:ascii="Arial" w:cs="Arial" w:eastAsia="Arial" w:hAnsi="Arial"/>
                <w:sz w:val="18"/>
                <w:szCs w:val="18"/>
                <w:color w:val="auto"/>
              </w:rPr>
              <w:t>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70"/>
              <w:spacing w:after="0" w:line="191"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3"/>
              <w:spacing w:after="0" w:line="191" w:lineRule="exact"/>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jc w:val="right"/>
              <w:ind w:right="130"/>
              <w:spacing w:after="0" w:line="191"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2"/>
              <w:spacing w:after="0" w:line="191" w:lineRule="exact"/>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jc w:val="right"/>
              <w:ind w:right="50"/>
              <w:spacing w:after="0" w:line="191"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2"/>
              <w:spacing w:after="0" w:line="191" w:lineRule="exact"/>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jc w:val="right"/>
              <w:ind w:right="130"/>
              <w:spacing w:after="0" w:line="191"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2"/>
              <w:spacing w:after="0" w:line="191"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Sheraton</w:t>
            </w:r>
          </w:p>
        </w:tc>
        <w:tc>
          <w:tcPr>
            <w:tcW w:w="3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4"/>
        </w:trPr>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0" w:type="dxa"/>
            <w:vAlign w:val="bottom"/>
            <w:tcBorders>
              <w:left w:val="single" w:sz="8" w:color="CCEEFF"/>
              <w:bottom w:val="single" w:sz="8" w:color="CCEEFF"/>
            </w:tcBorders>
            <w:shd w:val="clear" w:color="auto" w:fill="BFE4FF"/>
          </w:tcPr>
          <w:p>
            <w:pPr>
              <w:ind w:left="40"/>
              <w:spacing w:after="0" w:line="202" w:lineRule="exact"/>
              <w:rPr>
                <w:sz w:val="20"/>
                <w:szCs w:val="20"/>
                <w:color w:val="auto"/>
              </w:rPr>
            </w:pPr>
            <w:r>
              <w:rPr>
                <w:rFonts w:ascii="Arial" w:cs="Arial" w:eastAsia="Arial" w:hAnsi="Arial"/>
                <w:sz w:val="18"/>
                <w:szCs w:val="18"/>
                <w:color w:val="auto"/>
                <w:w w:val="90"/>
                <w:shd w:val="clear" w:color="auto" w:fill="BFE4FF"/>
              </w:rPr>
              <w:t>Hyatt</w:t>
            </w:r>
          </w:p>
        </w:tc>
        <w:tc>
          <w:tcPr>
            <w:tcW w:w="3100" w:type="dxa"/>
            <w:vAlign w:val="bottom"/>
            <w:tcBorders>
              <w:bottom w:val="single" w:sz="8" w:color="CCEEFF"/>
            </w:tcBorders>
            <w:gridSpan w:val="2"/>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354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_________________________</w:t>
            </w: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gridSpan w:val="3"/>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Vacation ownership notes receivable with no FICO score primarily relate to non-U.S. resident borrowers.</w:t>
      </w:r>
    </w:p>
    <w:p>
      <w:pPr>
        <w:spacing w:after="0" w:line="202" w:lineRule="exact"/>
        <w:rPr>
          <w:sz w:val="20"/>
          <w:szCs w:val="20"/>
          <w:color w:val="auto"/>
        </w:rPr>
      </w:pPr>
    </w:p>
    <w:p>
      <w:pPr>
        <w:ind w:left="60" w:right="240" w:firstLine="648"/>
        <w:spacing w:after="0" w:line="277" w:lineRule="auto"/>
        <w:rPr>
          <w:sz w:val="20"/>
          <w:szCs w:val="20"/>
          <w:color w:val="auto"/>
        </w:rPr>
      </w:pPr>
      <w:r>
        <w:rPr>
          <w:rFonts w:ascii="Arial" w:cs="Arial" w:eastAsia="Arial" w:hAnsi="Arial"/>
          <w:sz w:val="18"/>
          <w:szCs w:val="18"/>
          <w:color w:val="auto"/>
        </w:rPr>
        <w:t>The following table shows the aging of the recorded investment in principal, before reserves, in Legacy-ILG originated vacation ownership notes receivable as of June 30, 2019 and December 31,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40" w:type="dxa"/>
            <w:vAlign w:val="bottom"/>
            <w:gridSpan w:val="8"/>
          </w:tcPr>
          <w:p>
            <w:pPr>
              <w:ind w:left="300"/>
              <w:spacing w:after="0"/>
              <w:rPr>
                <w:sz w:val="20"/>
                <w:szCs w:val="20"/>
                <w:color w:val="auto"/>
              </w:rPr>
            </w:pPr>
            <w:r>
              <w:rPr>
                <w:rFonts w:ascii="Arial" w:cs="Arial" w:eastAsia="Arial" w:hAnsi="Arial"/>
                <w:sz w:val="16"/>
                <w:szCs w:val="16"/>
                <w:b w:val="1"/>
                <w:bCs w:val="1"/>
                <w:color w:val="auto"/>
                <w:w w:val="96"/>
              </w:rPr>
              <w:t>Originated Vacation Ownership Notes Receivable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Delinquent</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Defaulted</w:t>
            </w:r>
            <w:r>
              <w:rPr>
                <w:rFonts w:ascii="Arial" w:cs="Arial" w:eastAsia="Arial" w:hAnsi="Arial"/>
                <w:sz w:val="17"/>
                <w:szCs w:val="17"/>
                <w:b w:val="1"/>
                <w:bCs w:val="1"/>
                <w:color w:val="auto"/>
                <w:vertAlign w:val="superscript"/>
              </w:rPr>
              <w:t>(1)</w:t>
            </w:r>
          </w:p>
        </w:tc>
        <w:tc>
          <w:tcPr>
            <w:tcW w:w="10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b w:val="1"/>
                <w:bCs w:val="1"/>
                <w:color w:val="auto"/>
                <w:w w:val="94"/>
              </w:rPr>
              <w:t>Total Delinquent</w:t>
            </w:r>
          </w:p>
        </w:tc>
      </w:tr>
      <w:tr>
        <w:trPr>
          <w:trHeight w:val="258"/>
        </w:trPr>
        <w:tc>
          <w:tcPr>
            <w:tcW w:w="20" w:type="dxa"/>
            <w:vAlign w:val="bottom"/>
          </w:tcPr>
          <w:p>
            <w:pPr>
              <w:spacing w:after="0"/>
              <w:rPr>
                <w:sz w:val="22"/>
                <w:szCs w:val="22"/>
                <w:color w:val="auto"/>
              </w:rPr>
            </w:pPr>
          </w:p>
        </w:tc>
        <w:tc>
          <w:tcPr>
            <w:tcW w:w="2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w w:val="86"/>
              </w:rPr>
              <w:t>Receivables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rPr>
              <w:t>Current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w w:val="95"/>
              </w:rPr>
              <w:t>30 - 59 Days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w w:val="92"/>
              </w:rPr>
              <w:t>60 - 89 Days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w w:val="90"/>
              </w:rPr>
              <w:t>90 - 119 Days</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&gt; 120 Days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w w:val="98"/>
              </w:rPr>
              <w:t>&amp; Defaulted</w:t>
            </w:r>
          </w:p>
        </w:tc>
      </w:tr>
      <w:tr>
        <w:trPr>
          <w:trHeight w:val="250"/>
        </w:trPr>
        <w:tc>
          <w:tcPr>
            <w:tcW w:w="20" w:type="dxa"/>
            <w:vAlign w:val="bottom"/>
          </w:tcPr>
          <w:p>
            <w:pPr>
              <w:spacing w:after="0"/>
              <w:rPr>
                <w:sz w:val="21"/>
                <w:szCs w:val="21"/>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June 30,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r>
      <w:tr>
        <w:trPr>
          <w:trHeight w:val="297"/>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w w:val="88"/>
              </w:rPr>
              <w:t>_________________________</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25" w:lineRule="exact"/>
        <w:rPr>
          <w:sz w:val="20"/>
          <w:szCs w:val="20"/>
          <w:color w:val="auto"/>
        </w:rPr>
      </w:pPr>
    </w:p>
    <w:p>
      <w:pPr>
        <w:ind w:left="5620" w:right="3860" w:hanging="5612"/>
        <w:spacing w:after="0" w:line="466" w:lineRule="auto"/>
        <w:tabs>
          <w:tab w:leader="none" w:pos="652"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Vacation ownership notes receivable equal to or greater than 120 days are considered in default. 23</w:t>
      </w:r>
    </w:p>
    <w:p>
      <w:pPr>
        <w:sectPr>
          <w:pgSz w:w="11900" w:h="16838" w:orient="portrait"/>
          <w:cols w:equalWidth="0" w:num="1">
            <w:col w:w="11420"/>
          </w:cols>
          <w:pgMar w:left="240" w:top="584" w:right="239" w:bottom="1440" w:gutter="0" w:footer="0" w:header="0"/>
        </w:sectPr>
      </w:pPr>
    </w:p>
    <w:bookmarkStart w:id="25" w:name="page26"/>
    <w:bookmarkEnd w:id="25"/>
    <w:p>
      <w:pPr>
        <w:ind w:left="380" w:hanging="345"/>
        <w:spacing w:after="0"/>
        <w:tabs>
          <w:tab w:leader="none" w:pos="3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48"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receivable, Accounts payable, Advance deposits and Accrued liabilities, all of which had fair values approximating their carrying amounts due to the short maturities and liquidity of these instruments. The table also excludes acquired vacation ownership notes receivable which are remeasured at each period end based on expected future cash flows. See Footnote 6 “Vacation Ownership Notes Receivable” for additional information on our acquired vacation ownership notes receivable.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b w:val="1"/>
                <w:bCs w:val="1"/>
                <w:color w:val="auto"/>
              </w:rPr>
              <w:t>At June 30, 2019</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At December 31, 2018</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Carrying</w:t>
            </w:r>
          </w:p>
        </w:tc>
        <w:tc>
          <w:tcPr>
            <w:tcW w:w="540" w:type="dxa"/>
            <w:vAlign w:val="bottom"/>
          </w:tcPr>
          <w:p>
            <w:pPr>
              <w:spacing w:after="0"/>
              <w:rPr>
                <w:sz w:val="18"/>
                <w:szCs w:val="18"/>
                <w:color w:val="auto"/>
              </w:rPr>
            </w:pPr>
          </w:p>
        </w:tc>
        <w:tc>
          <w:tcPr>
            <w:tcW w:w="104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rPr>
              <w:t>Fair</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Carrying</w:t>
            </w: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0"/>
                <w:szCs w:val="20"/>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Amount</w:t>
            </w:r>
          </w:p>
        </w:tc>
        <w:tc>
          <w:tcPr>
            <w:tcW w:w="540" w:type="dxa"/>
            <w:vAlign w:val="bottom"/>
          </w:tcPr>
          <w:p>
            <w:pPr>
              <w:spacing w:after="0"/>
              <w:rPr>
                <w:sz w:val="20"/>
                <w:szCs w:val="20"/>
                <w:color w:val="auto"/>
              </w:rPr>
            </w:pPr>
          </w:p>
        </w:tc>
        <w:tc>
          <w:tcPr>
            <w:tcW w:w="104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93"/>
              </w:rPr>
              <w:t>Value</w:t>
            </w:r>
          </w:p>
        </w:tc>
        <w:tc>
          <w:tcPr>
            <w:tcW w:w="2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Amount</w:t>
            </w:r>
          </w:p>
        </w:tc>
        <w:tc>
          <w:tcPr>
            <w:tcW w:w="340" w:type="dxa"/>
            <w:vAlign w:val="bottom"/>
          </w:tcPr>
          <w:p>
            <w:pPr>
              <w:spacing w:after="0"/>
              <w:rPr>
                <w:sz w:val="20"/>
                <w:szCs w:val="20"/>
                <w:color w:val="auto"/>
              </w:rPr>
            </w:pPr>
          </w:p>
        </w:tc>
        <w:tc>
          <w:tcPr>
            <w:tcW w:w="1140" w:type="dxa"/>
            <w:vAlign w:val="bottom"/>
          </w:tcPr>
          <w:p>
            <w:pPr>
              <w:jc w:val="center"/>
              <w:ind w:right="252"/>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Originated vacation ownership notes receivable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financial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1,594</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Securitized debt,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Exchange Notes, 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Unsecured Notes,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IAC Notes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Revolving Corporate Credit Facility, 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notes,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Non-interest bearing note payable, net</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financial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i w:val="1"/>
                <w:iCs w:val="1"/>
                <w:color w:val="auto"/>
              </w:rPr>
              <w:t>Originated Vacation Ownership Notes Receivable</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1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b w:val="1"/>
                <w:bCs w:val="1"/>
                <w:color w:val="auto"/>
              </w:rPr>
              <w:t>At June 30, 2019</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At December 31, 2018</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Carrying</w:t>
            </w:r>
          </w:p>
        </w:tc>
        <w:tc>
          <w:tcPr>
            <w:tcW w:w="540" w:type="dxa"/>
            <w:vAlign w:val="bottom"/>
          </w:tcPr>
          <w:p>
            <w:pPr>
              <w:spacing w:after="0"/>
              <w:rPr>
                <w:sz w:val="18"/>
                <w:szCs w:val="18"/>
                <w:color w:val="auto"/>
              </w:rPr>
            </w:pPr>
          </w:p>
        </w:tc>
        <w:tc>
          <w:tcPr>
            <w:tcW w:w="104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rPr>
              <w:t>Fair</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Carrying</w:t>
            </w: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0"/>
                <w:szCs w:val="20"/>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Amount</w:t>
            </w:r>
          </w:p>
        </w:tc>
        <w:tc>
          <w:tcPr>
            <w:tcW w:w="540" w:type="dxa"/>
            <w:vAlign w:val="bottom"/>
          </w:tcPr>
          <w:p>
            <w:pPr>
              <w:spacing w:after="0"/>
              <w:rPr>
                <w:sz w:val="20"/>
                <w:szCs w:val="20"/>
                <w:color w:val="auto"/>
              </w:rPr>
            </w:pPr>
          </w:p>
        </w:tc>
        <w:tc>
          <w:tcPr>
            <w:tcW w:w="104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93"/>
              </w:rPr>
              <w:t>Value</w:t>
            </w:r>
          </w:p>
        </w:tc>
        <w:tc>
          <w:tcPr>
            <w:tcW w:w="2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Amount</w:t>
            </w:r>
          </w:p>
        </w:tc>
        <w:tc>
          <w:tcPr>
            <w:tcW w:w="340" w:type="dxa"/>
            <w:vAlign w:val="bottom"/>
          </w:tcPr>
          <w:p>
            <w:pPr>
              <w:spacing w:after="0"/>
              <w:rPr>
                <w:sz w:val="20"/>
                <w:szCs w:val="20"/>
                <w:color w:val="auto"/>
              </w:rPr>
            </w:pPr>
          </w:p>
        </w:tc>
        <w:tc>
          <w:tcPr>
            <w:tcW w:w="1140" w:type="dxa"/>
            <w:vAlign w:val="bottom"/>
          </w:tcPr>
          <w:p>
            <w:pPr>
              <w:jc w:val="center"/>
              <w:ind w:right="252"/>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Originated vacation ownership notes receivable</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Securitized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1,209</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Eligible for securitization</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Not eligible for securitization</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Non-securitized</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1,553</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We estimate the fair value of our originated vacation ownership notes receivable that have been securitized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to determine the fair value of the underlying vacation ownership notes receivable. We concluded that this fair value measurement should be categorized within Level 3.</w:t>
      </w:r>
    </w:p>
    <w:p>
      <w:pPr>
        <w:spacing w:after="0" w:line="46"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Due to factors that impact the general marketability of our originated vacation ownership notes receivable that have not been securitized, as well as current market conditions, we bifurcate our non-securitized vacation ownership notes receivable at each balance sheet date into those eligible and not eligible for securitization using criteria applicable to current securitization transactions in the ABS market. Generally, vacation ownership notes receivable are considered not eligible for securitization if any of the following attributes are present: (1) payments are greater than 30 days past due; (2) the first payment has not been received; or (3) the collateral is located in Asia or Europe.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sectPr>
          <w:pgSz w:w="11900" w:h="16838" w:orient="portrait"/>
          <w:cols w:equalWidth="0" w:num="1">
            <w:col w:w="11420"/>
          </w:cols>
          <w:pgMar w:left="240" w:top="850"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850" w:right="239" w:bottom="1440" w:gutter="0" w:footer="0" w:header="0"/>
          <w:type w:val="continuous"/>
        </w:sectPr>
      </w:pPr>
    </w:p>
    <w:bookmarkStart w:id="26" w:name="page27"/>
    <w:bookmarkEnd w:id="26"/>
    <w:p>
      <w:pPr>
        <w:ind w:firstLine="648"/>
        <w:spacing w:after="0" w:line="277" w:lineRule="auto"/>
        <w:rPr>
          <w:sz w:val="20"/>
          <w:szCs w:val="20"/>
          <w:color w:val="auto"/>
        </w:rPr>
      </w:pPr>
      <w:r>
        <w:rPr>
          <w:rFonts w:ascii="Arial" w:cs="Arial" w:eastAsia="Arial" w:hAnsi="Arial"/>
          <w:sz w:val="18"/>
          <w:szCs w:val="18"/>
          <w:color w:val="auto"/>
        </w:rPr>
        <w:t>The table above shows the bifurcation of our originated vacation ownership notes receivable that have not been securitized into those eligible and not eligible for securitization based upon the aforementioned eligibility criteria.</w:t>
      </w:r>
    </w:p>
    <w:p>
      <w:pPr>
        <w:spacing w:after="0" w:line="6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estimate the fair value of the portion of our originated vacation ownership notes receivable that have not been securitized that we believe will ultimately be securitized in the same manner as originated vacation ownership notes receivable that have been securitized. We value the remaining originated vacation ownership notes receivable that have not been securitized at their carrying value, rather than using our pricing model. We believe that the carrying value of these particular vacation ownership notes receivable approximates fair value because the stated, or otherwise imputed, interest rates of these loans are consistent with current market rates and the reserve for these vacation ownership notes receivable appropriately accounts for risks in default rates, prepayment rates, discount rates and loan terms. We concluded that this fair value measurement should be categorized within Level 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11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Other assets include $34 million of company owned insurance policies (the “COLI policies”), acquired on the lives of certain participants in the Marriott Vacations Worldwide Deferred Compensation Plan, that are held in a rabbi trust. The carrying value of the COLI policies is equal to their cash surrender value (Level 2 inputs). In addition, we have investments in marketable securities of $7 million that are marked to market as trading securities using quoted market prices (Level 1 inputs).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Securitized Debt</w:t>
      </w:r>
    </w:p>
    <w:p>
      <w:pPr>
        <w:spacing w:after="0" w:line="11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 We concluded that this fair value measurement should be categorized within Level 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Notes</w:t>
      </w:r>
    </w:p>
    <w:p>
      <w:pPr>
        <w:spacing w:after="0" w:line="117"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We estimate the fair value of our Exchange Notes (as defined in Footnote 14 “Debt”) using indicative quotes from securities dealers as of the last trading day for the quarter; however these notes have only a limited trading history and volume and as such this fair value estimate is not necessarily indicative of the value at which the Exchange Notes could be retired or transferred. We concluded that this fair value measurement should be categorized within Level 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11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estimate the fair value of our Senior Unsecured Notes (as defined in Footnote 14 “Debt”) using quoted market prices as of the last trading day for the quarter; however these notes have only a limited trading history and volume and as such this fair value estimate is not necessarily indicative of the value at which the Senior Unsecured Notes could be retired or transferred. We concluded that this fair value measurement should be categorized within Level 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IAC Notes</w:t>
      </w:r>
    </w:p>
    <w:p>
      <w:pPr>
        <w:spacing w:after="0" w:line="117"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We estimate the fair value of our IAC Notes (as defined in Footnote 14 “Debt”) using indicative quotes from securities dealers as of the last trading day for the quarter; however these notes have only a limited trading volume and as such this fair value estimate is not necessarily indicative of the value at which the IAC Notes could be retired or transferred. We concluded that this fair value measurement should be categorized within Level 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117"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We estimate that the fair value of our Term Loan (as defined in Footnote 14 “Debt”) indicative quotes from securities dealers as of the last trading day for the quarter; however these notes have only a limited trading history and volume and as such this fair value estimate is not necessarily indicative of the value at which the Term Loan could be retired or transferred. We concluded that this fair value measurement should be categorized within Level 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Corporate Credit Facility</w:t>
      </w:r>
    </w:p>
    <w:p>
      <w:pPr>
        <w:spacing w:after="0" w:line="117"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We estimate that the fair value of our Revolving Corporate Credit Facility (as defined in Footnote 11 “Contingencies and Commitments”) approximates its gross carrying value as the contractual interest rate is variable plus an applicable margin. We concluded that this fair value measurement should be categorized within Level 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7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We estimate the fair value of our Convertible Notes (as defined in Footnote 14 “Debt”) using quoted market prices as of the last trading day for the quarter; however these notes have only a limited trading history and volume and as such this fair value estimate is not necessarily indicative of the value at which the Convertible Notes could be retired or transferred. We concluded that this fair value measurement should be categorized within Level 2. The difference between the carrying value and the fair value is primarily attributed to the underlying conversion feature, and the spread between the conversion price and the market value of the shares underlying the Convertible Notes.</w:t>
      </w:r>
    </w:p>
    <w:p>
      <w:pPr>
        <w:spacing w:after="0" w:line="200" w:lineRule="exact"/>
        <w:rPr>
          <w:sz w:val="20"/>
          <w:szCs w:val="20"/>
          <w:color w:val="auto"/>
        </w:rPr>
      </w:pPr>
    </w:p>
    <w:p>
      <w:pPr>
        <w:spacing w:after="0" w:line="239" w:lineRule="exact"/>
        <w:rPr>
          <w:sz w:val="20"/>
          <w:szCs w:val="20"/>
          <w:color w:val="auto"/>
        </w:rPr>
      </w:pPr>
    </w:p>
    <w:p>
      <w:pPr>
        <w:ind w:left="380" w:hanging="345"/>
        <w:spacing w:after="0"/>
        <w:tabs>
          <w:tab w:leader="none" w:pos="3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Basic earnings per common share attributable to common shareholders is calculated by dividing net income attributable to common shareholders by the weighted average number of shares of common stock outstanding during the reporting period. Treasury stock is excluded from the weighted average number of shares of common stock outstanding. Diluted earnings per common share attributable to common shareholders is calculated to give effect to all potentially dilutive common shares that were outstanding during the reporting period. The dilutive effect of outstanding equity-based compensation awards is reflected in diluted earnings per common share applicable to common shareholders by application of the treasury stock method using average market prices during the period.</w:t>
      </w:r>
    </w:p>
    <w:p>
      <w:pPr>
        <w:spacing w:after="0" w:line="8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calculation of diluted earnings per share attributable to common shareholders reflects our intent to settle conversions of the Convertible Notes through a combination settlement, which contemplates repayment in cash of the principal amount and repayment in shares of our common stock of any excess of the conversion value over the principal amount (the “conversion premium”). Therefore, we include only the shares that may be issued with respect to any conversion premium in total dilutive weighted average shares outstanding, which we calculate using the treasury stock method. As no conversion premium existed as of either June 30, 2019 or June 30, 2018, there was no dilutive impact from the Convertible Notes for either the second quarter or first half of 2019 or 2018.</w:t>
      </w:r>
    </w:p>
    <w:p>
      <w:pPr>
        <w:spacing w:after="0" w:line="8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shares issuable on exercise of the Warrants (as defined in Footnote 14 “Debt”) sold in connection with the issuance of the Convertible Notes will not impact the total dilutive weighted average shares outstanding unless and until the price of our common stock exceeds the strike price, which was subject to adjustment during the second quarter of 2019 to $175.79, as described in Footnote 14 “Debt.” If and when the price of our common stock exceeds the strike price of the Warrants, we will include the dilutive effect of the additional shares that may be issued upon exercise of the Warrants in total dilutive weighted average shares outstanding, which we calculate using the treasury stock method. The Convertible Note Hedges (as defined in Footnote 14 “Debt”) purchased in connection with the issuance of the Convertible Notes are considered to be anti-dilutive and will not impact our calculation of diluted earnings per share attributable to common shareholders.</w:t>
      </w:r>
    </w:p>
    <w:p>
      <w:pPr>
        <w:spacing w:after="0" w:line="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table below illustrates the reconciliation of the earnings and number of shares used in our calculation of basic and diluted earnings per share attributable to common shareholders.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900" w:type="dxa"/>
            <w:vAlign w:val="bottom"/>
            <w:gridSpan w:val="4"/>
          </w:tcPr>
          <w:p>
            <w:pPr>
              <w:jc w:val="right"/>
              <w:ind w:right="79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w w:val="91"/>
              </w:rPr>
              <w:t>June 30, 2019</w:t>
            </w:r>
            <w:r>
              <w:rPr>
                <w:rFonts w:ascii="Arial" w:cs="Arial" w:eastAsia="Arial" w:hAnsi="Arial"/>
                <w:sz w:val="17"/>
                <w:szCs w:val="17"/>
                <w:b w:val="1"/>
                <w:bCs w:val="1"/>
                <w:color w:val="auto"/>
                <w:w w:val="91"/>
                <w:vertAlign w:val="superscript"/>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1"/>
              </w:rPr>
              <w:t>June 30, 2018</w:t>
            </w:r>
            <w:r>
              <w:rPr>
                <w:rFonts w:ascii="Arial" w:cs="Arial" w:eastAsia="Arial" w:hAnsi="Arial"/>
                <w:sz w:val="17"/>
                <w:szCs w:val="17"/>
                <w:b w:val="1"/>
                <w:bCs w:val="1"/>
                <w:color w:val="auto"/>
                <w:w w:val="91"/>
                <w:vertAlign w:val="superscript"/>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91"/>
              </w:rPr>
              <w:t>June 30, 2019</w:t>
            </w:r>
            <w:r>
              <w:rPr>
                <w:rFonts w:ascii="Arial" w:cs="Arial" w:eastAsia="Arial" w:hAnsi="Arial"/>
                <w:sz w:val="17"/>
                <w:szCs w:val="17"/>
                <w:b w:val="1"/>
                <w:bCs w:val="1"/>
                <w:color w:val="auto"/>
                <w:w w:val="91"/>
                <w:vertAlign w:val="superscript"/>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1"/>
              </w:rPr>
              <w:t>June 30, 2018</w:t>
            </w:r>
            <w:r>
              <w:rPr>
                <w:rFonts w:ascii="Arial" w:cs="Arial" w:eastAsia="Arial" w:hAnsi="Arial"/>
                <w:sz w:val="17"/>
                <w:szCs w:val="17"/>
                <w:b w:val="1"/>
                <w:bCs w:val="1"/>
                <w:color w:val="auto"/>
                <w:w w:val="91"/>
                <w:vertAlign w:val="superscript"/>
              </w:rPr>
              <w:t>(1)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7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7"/>
                <w:szCs w:val="17"/>
                <w:b w:val="1"/>
                <w:bCs w:val="1"/>
                <w:color w:val="auto"/>
              </w:rPr>
              <w:t>Computation of Basic Earnings Per Share Attributable to Common Shareholders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260"/>
              <w:spacing w:after="0"/>
              <w:rPr>
                <w:sz w:val="20"/>
                <w:szCs w:val="20"/>
                <w:color w:val="auto"/>
              </w:rPr>
            </w:pPr>
            <w:r>
              <w:rPr>
                <w:rFonts w:ascii="Arial" w:cs="Arial" w:eastAsia="Arial" w:hAnsi="Arial"/>
                <w:sz w:val="18"/>
                <w:szCs w:val="18"/>
                <w:color w:val="auto"/>
              </w:rPr>
              <w:t>Net income attributable to common shareholders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Shares for basic earnings per share</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1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Basic earnings per share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7"/>
                <w:szCs w:val="17"/>
                <w:b w:val="1"/>
                <w:bCs w:val="1"/>
                <w:color w:val="auto"/>
              </w:rPr>
              <w:t>Computation of Diluted Earnings Per Share Attributable to Common Shareholders</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260"/>
              <w:spacing w:after="0"/>
              <w:rPr>
                <w:sz w:val="20"/>
                <w:szCs w:val="20"/>
                <w:color w:val="auto"/>
              </w:rPr>
            </w:pPr>
            <w:r>
              <w:rPr>
                <w:rFonts w:ascii="Arial" w:cs="Arial" w:eastAsia="Arial" w:hAnsi="Arial"/>
                <w:sz w:val="18"/>
                <w:szCs w:val="18"/>
                <w:color w:val="auto"/>
              </w:rPr>
              <w:t>Net income attributable to common shareholders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Shares for basic earnings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260"/>
              <w:spacing w:after="0"/>
              <w:rPr>
                <w:sz w:val="20"/>
                <w:szCs w:val="20"/>
                <w:color w:val="auto"/>
              </w:rPr>
            </w:pPr>
            <w:r>
              <w:rPr>
                <w:rFonts w:ascii="Arial" w:cs="Arial" w:eastAsia="Arial" w:hAnsi="Arial"/>
                <w:sz w:val="18"/>
                <w:szCs w:val="18"/>
                <w:color w:val="auto"/>
              </w:rPr>
              <w:t>Effect of dilutive shares outstanding</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Employee stock options and SARs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480"/>
              <w:spacing w:after="0"/>
              <w:rPr>
                <w:sz w:val="20"/>
                <w:szCs w:val="20"/>
                <w:color w:val="auto"/>
              </w:rPr>
            </w:pPr>
            <w:r>
              <w:rPr>
                <w:rFonts w:ascii="Arial" w:cs="Arial" w:eastAsia="Arial" w:hAnsi="Arial"/>
                <w:sz w:val="18"/>
                <w:szCs w:val="18"/>
                <w:color w:val="auto"/>
              </w:rPr>
              <w:t>Restricted stock units</w:t>
            </w: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Shares for diluted earnings per share</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tcPr>
          <w:p>
            <w:pPr>
              <w:ind w:left="26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jc w:val="right"/>
              <w:ind w:right="2832"/>
              <w:spacing w:after="0"/>
              <w:rPr>
                <w:sz w:val="20"/>
                <w:szCs w:val="20"/>
                <w:color w:val="auto"/>
              </w:rPr>
            </w:pPr>
            <w:r>
              <w:rPr>
                <w:rFonts w:ascii="Arial" w:cs="Arial" w:eastAsia="Arial" w:hAnsi="Arial"/>
                <w:sz w:val="14"/>
                <w:szCs w:val="14"/>
                <w:color w:val="auto"/>
                <w:w w:val="91"/>
              </w:rPr>
              <w:t>_______________________________</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1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660" w:right="80" w:hanging="652"/>
        <w:spacing w:after="0" w:line="232" w:lineRule="auto"/>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The computations of diluted earnings per share attributable to common shareholders exclude approximately 452,000 and 307,000 shares of common stock, the maximum number of shares issuable as of June 30, 2019 and June 30, 2018, respectively, upon the vesting of certain performance-based awards because the performance conditions required to be met for the shares subject to such awards to vest were not achieved by the end of the reporting period.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8" w:name="page29"/>
    <w:bookmarkEnd w:id="28"/>
    <w:p>
      <w:pPr>
        <w:ind w:right="80" w:firstLine="648"/>
        <w:spacing w:after="0" w:line="312" w:lineRule="auto"/>
        <w:rPr>
          <w:sz w:val="20"/>
          <w:szCs w:val="20"/>
          <w:color w:val="auto"/>
        </w:rPr>
      </w:pPr>
      <w:r>
        <w:rPr>
          <w:rFonts w:ascii="Arial" w:cs="Arial" w:eastAsia="Arial" w:hAnsi="Arial"/>
          <w:sz w:val="16"/>
          <w:szCs w:val="16"/>
          <w:color w:val="auto"/>
        </w:rPr>
        <w:t>In accordance with the applicable accounting guidance for calculating earnings per share, for the second quarter of 2019, we excluded from our calculation of diluted earnings per share 167,760 shares underlying stock appreciation rights (“SARs”) that may settle in shares of common stock because the exercise prices of such SARs, which ranged from $100.52 to $143.38, were greater than the average market price for the applicable period.</w:t>
      </w:r>
    </w:p>
    <w:p>
      <w:pPr>
        <w:spacing w:after="0" w:line="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first half of 2019, we excluded from our calculation of diluted earnings per share 249,737 shares underlying SARs that may settle in shares of common stock because the exercise prices of such SARs, which ranged from $97.53 to $143.38, were greater than the average market price for the applicable period.</w:t>
      </w:r>
    </w:p>
    <w:p>
      <w:pPr>
        <w:spacing w:after="0" w:line="73"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For the second quarter and first half of 2018, we excluded from our calculation of diluted earnings per share 56,649 shares underlying SARs that may settle in shares of common stock because the exercise price of $143.38 of such SARs was greater than the average market price for the applicable period.</w:t>
      </w:r>
    </w:p>
    <w:p>
      <w:pPr>
        <w:spacing w:after="0" w:line="390" w:lineRule="exact"/>
        <w:rPr>
          <w:sz w:val="20"/>
          <w:szCs w:val="20"/>
          <w:color w:val="auto"/>
        </w:rPr>
      </w:pPr>
    </w:p>
    <w:p>
      <w:pPr>
        <w:ind w:left="40"/>
        <w:spacing w:after="0"/>
        <w:tabs>
          <w:tab w:leader="none" w:pos="360" w:val="left"/>
        </w:tabs>
        <w:rPr>
          <w:sz w:val="20"/>
          <w:szCs w:val="20"/>
          <w:color w:val="auto"/>
        </w:rPr>
      </w:pPr>
      <w:r>
        <w:rPr>
          <w:rFonts w:ascii="Arial" w:cs="Arial" w:eastAsia="Arial" w:hAnsi="Arial"/>
          <w:sz w:val="18"/>
          <w:szCs w:val="18"/>
          <w:b w:val="1"/>
          <w:bCs w:val="1"/>
          <w:color w:val="auto"/>
        </w:rPr>
        <w:t>9.</w:t>
        <w:tab/>
        <w:t>INVENTORY</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composition of our inventory balances: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Pr>
          <w:p>
            <w:pPr>
              <w:spacing w:after="0"/>
              <w:rPr>
                <w:sz w:val="20"/>
                <w:szCs w:val="20"/>
                <w:color w:val="auto"/>
              </w:rPr>
            </w:pPr>
          </w:p>
        </w:tc>
        <w:tc>
          <w:tcPr>
            <w:tcW w:w="2060" w:type="dxa"/>
            <w:vAlign w:val="bottom"/>
            <w:gridSpan w:val="2"/>
          </w:tcPr>
          <w:p>
            <w:pPr>
              <w:ind w:left="240"/>
              <w:spacing w:after="0"/>
              <w:rPr>
                <w:sz w:val="20"/>
                <w:szCs w:val="20"/>
                <w:color w:val="auto"/>
              </w:rPr>
            </w:pPr>
            <w:r>
              <w:rPr>
                <w:rFonts w:ascii="Arial" w:cs="Arial" w:eastAsia="Arial" w:hAnsi="Arial"/>
                <w:sz w:val="16"/>
                <w:szCs w:val="16"/>
                <w:b w:val="1"/>
                <w:bCs w:val="1"/>
                <w:color w:val="auto"/>
              </w:rPr>
              <w:t>At June 30, 2019</w:t>
            </w:r>
          </w:p>
        </w:tc>
        <w:tc>
          <w:tcPr>
            <w:tcW w:w="240" w:type="dxa"/>
            <w:vAlign w:val="bottom"/>
          </w:tcPr>
          <w:p>
            <w:pPr>
              <w:spacing w:after="0"/>
              <w:rPr>
                <w:sz w:val="20"/>
                <w:szCs w:val="20"/>
                <w:color w:val="auto"/>
              </w:rPr>
            </w:pPr>
          </w:p>
        </w:tc>
        <w:tc>
          <w:tcPr>
            <w:tcW w:w="2040" w:type="dxa"/>
            <w:vAlign w:val="bottom"/>
          </w:tcPr>
          <w:p>
            <w:pPr>
              <w:jc w:val="right"/>
              <w:ind w:right="291"/>
              <w:spacing w:after="0"/>
              <w:rPr>
                <w:sz w:val="20"/>
                <w:szCs w:val="20"/>
                <w:color w:val="auto"/>
              </w:rPr>
            </w:pPr>
            <w:r>
              <w:rPr>
                <w:rFonts w:ascii="Arial" w:cs="Arial" w:eastAsia="Arial" w:hAnsi="Arial"/>
                <w:sz w:val="16"/>
                <w:szCs w:val="16"/>
                <w:b w:val="1"/>
                <w:bCs w:val="1"/>
                <w:color w:val="auto"/>
                <w:w w:val="99"/>
              </w:rPr>
              <w:t>At December 31, 2018</w:t>
            </w:r>
          </w:p>
        </w:tc>
        <w:tc>
          <w:tcPr>
            <w:tcW w:w="0" w:type="dxa"/>
            <w:vAlign w:val="bottom"/>
          </w:tcPr>
          <w:p>
            <w:pPr>
              <w:spacing w:after="0"/>
              <w:rPr>
                <w:sz w:val="1"/>
                <w:szCs w:val="1"/>
                <w:color w:val="auto"/>
              </w:rPr>
            </w:pPr>
          </w:p>
        </w:tc>
      </w:tr>
      <w:tr>
        <w:trPr>
          <w:trHeight w:val="270"/>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r>
              <w:rPr>
                <w:rFonts w:ascii="Arial" w:cs="Arial" w:eastAsia="Arial" w:hAnsi="Arial"/>
                <w:sz w:val="18"/>
                <w:szCs w:val="18"/>
                <w:color w:val="auto"/>
                <w:vertAlign w:val="superscript"/>
              </w:rPr>
              <w:t>(1)</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828</w:t>
            </w: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Work-in-progress</w:t>
            </w:r>
          </w:p>
        </w:tc>
        <w:tc>
          <w:tcPr>
            <w:tcW w:w="34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inventory</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180" w:hanging="652"/>
        <w:spacing w:after="0" w:line="216"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Represents completed inventory that is either registered for sale as vacation ownership interests, or unregistered and available for sale in its current form.</w:t>
      </w:r>
    </w:p>
    <w:p>
      <w:pPr>
        <w:spacing w:after="0" w:line="9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value vacation ownership products at the lower of cost or fair market value less costs to sell, in accordance with applicable accounting guidance, and we record operating supplies at the lower of cost (using the first-in, first-out method) or net realizable value. Product cost true-up activity relating to vacation ownership products increased carrying values of inventory by $4 million and less than $1 million during the first half of 2019 and the first half of 2018, respectively.</w:t>
      </w:r>
    </w:p>
    <w:p>
      <w:pPr>
        <w:spacing w:after="0" w:line="7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addition to the above, at June 30, 2019, we had $48 million of completed vacation ownership units which have been classified as a component of Property and equipment until the time at which they are legally registered for sale as vacation ownership products.</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PROPERTY AND EQUIPMENT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the composition of our property and equipment balances: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Pr>
          <w:p>
            <w:pPr>
              <w:spacing w:after="0"/>
              <w:rPr>
                <w:sz w:val="20"/>
                <w:szCs w:val="20"/>
                <w:color w:val="auto"/>
              </w:rPr>
            </w:pPr>
          </w:p>
        </w:tc>
        <w:tc>
          <w:tcPr>
            <w:tcW w:w="2060" w:type="dxa"/>
            <w:vAlign w:val="bottom"/>
            <w:gridSpan w:val="2"/>
          </w:tcPr>
          <w:p>
            <w:pPr>
              <w:ind w:left="240"/>
              <w:spacing w:after="0"/>
              <w:rPr>
                <w:sz w:val="20"/>
                <w:szCs w:val="20"/>
                <w:color w:val="auto"/>
              </w:rPr>
            </w:pPr>
            <w:r>
              <w:rPr>
                <w:rFonts w:ascii="Arial" w:cs="Arial" w:eastAsia="Arial" w:hAnsi="Arial"/>
                <w:sz w:val="16"/>
                <w:szCs w:val="16"/>
                <w:b w:val="1"/>
                <w:bCs w:val="1"/>
                <w:color w:val="auto"/>
              </w:rPr>
              <w:t>At June 30, 2019</w:t>
            </w:r>
          </w:p>
        </w:tc>
        <w:tc>
          <w:tcPr>
            <w:tcW w:w="240" w:type="dxa"/>
            <w:vAlign w:val="bottom"/>
          </w:tcPr>
          <w:p>
            <w:pPr>
              <w:spacing w:after="0"/>
              <w:rPr>
                <w:sz w:val="20"/>
                <w:szCs w:val="20"/>
                <w:color w:val="auto"/>
              </w:rPr>
            </w:pPr>
          </w:p>
        </w:tc>
        <w:tc>
          <w:tcPr>
            <w:tcW w:w="2040" w:type="dxa"/>
            <w:vAlign w:val="bottom"/>
          </w:tcPr>
          <w:p>
            <w:pPr>
              <w:jc w:val="right"/>
              <w:ind w:right="291"/>
              <w:spacing w:after="0"/>
              <w:rPr>
                <w:sz w:val="20"/>
                <w:szCs w:val="20"/>
                <w:color w:val="auto"/>
              </w:rPr>
            </w:pPr>
            <w:r>
              <w:rPr>
                <w:rFonts w:ascii="Arial" w:cs="Arial" w:eastAsia="Arial" w:hAnsi="Arial"/>
                <w:sz w:val="16"/>
                <w:szCs w:val="16"/>
                <w:b w:val="1"/>
                <w:bCs w:val="1"/>
                <w:color w:val="auto"/>
                <w:w w:val="99"/>
              </w:rPr>
              <w:t>At December 31, 2018</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34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404</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other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Information technology</w:t>
            </w:r>
          </w:p>
        </w:tc>
        <w:tc>
          <w:tcPr>
            <w:tcW w:w="34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297</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3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r>
      <w:tr>
        <w:trPr>
          <w:trHeight w:val="237"/>
        </w:trPr>
        <w:tc>
          <w:tcPr>
            <w:tcW w:w="67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1,287</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37"/>
        </w:trPr>
        <w:tc>
          <w:tcPr>
            <w:tcW w:w="67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951</w:t>
            </w: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As a result of the ILG Acquisition, we are performing a comprehensive review of our property and equipment to determine the best strategic direction with respect to these assets for the combined company. These assets include undeveloped parcels, future phases of existing resorts, operating hotels and other non-core assets. A key focus of the comprehensive review is to evaluate opportunities to reduce holdings in markets where we have excess supply so that future inventory spend will be focused on markets that create incremental cost-effective sales locations in areas of high customer demand. The result of this review could have a material impact on the carrying value of certain assets, which, in turn, would result in non-cash impairments.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76" w:right="239" w:bottom="1440" w:gutter="0" w:footer="0" w:header="0"/>
        </w:sectPr>
      </w:pPr>
    </w:p>
    <w:bookmarkStart w:id="29" w:name="page30"/>
    <w:bookmarkEnd w:id="29"/>
    <w:p>
      <w:pPr>
        <w:ind w:right="80" w:firstLine="648"/>
        <w:spacing w:after="0" w:line="302" w:lineRule="auto"/>
        <w:rPr>
          <w:sz w:val="20"/>
          <w:szCs w:val="20"/>
          <w:color w:val="auto"/>
        </w:rPr>
      </w:pPr>
      <w:r>
        <w:rPr>
          <w:rFonts w:ascii="Arial" w:cs="Arial" w:eastAsia="Arial" w:hAnsi="Arial"/>
          <w:sz w:val="16"/>
          <w:szCs w:val="16"/>
          <w:color w:val="auto"/>
        </w:rPr>
        <w:t>During the second quarter of 2019, we entered into a contract to sell land and land improvements associated with a future phase of an existing resort located in Orlando, Florida for $10 million, which was less than the carrying value of the land and land improvements. As a result, we recorded a non-cash impairment of $26 million in the first half of 2019. The impairment is primarily attributable to the fact that the book value of the assets to be sold exceeds the sales price because the book value includes allocations of common costs incurred when we built the infrastructure for the resort, including future phases.</w:t>
      </w: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11. CONTINGENCIES AND COMMITMENTS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Letters of Credit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2019, we had the following commitments outstanding:</w:t>
      </w:r>
    </w:p>
    <w:p>
      <w:pPr>
        <w:spacing w:after="0" w:line="117" w:lineRule="exact"/>
        <w:rPr>
          <w:sz w:val="20"/>
          <w:szCs w:val="20"/>
          <w:color w:val="auto"/>
        </w:rPr>
      </w:pPr>
    </w:p>
    <w:p>
      <w:pPr>
        <w:jc w:val="both"/>
        <w:ind w:left="980" w:right="540" w:hanging="324"/>
        <w:spacing w:after="0" w:line="312"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have various contracts for the use of information technology hardware and software that we use in the normal course of business. Our aggregate commitments under these contracts were $62 million, of which we expect $19 million, $19 million, $10 million, $7 million, $6 million and $1 million will be paid in the remainder of 2019, 2020, 2021, 2022, 2023 and thereafter, respectively.</w:t>
      </w:r>
    </w:p>
    <w:p>
      <w:pPr>
        <w:spacing w:after="0" w:line="38" w:lineRule="exact"/>
        <w:rPr>
          <w:rFonts w:ascii="Arial" w:cs="Arial" w:eastAsia="Arial" w:hAnsi="Arial"/>
          <w:sz w:val="16"/>
          <w:szCs w:val="16"/>
          <w:color w:val="auto"/>
        </w:rPr>
      </w:pPr>
    </w:p>
    <w:p>
      <w:pPr>
        <w:ind w:left="980" w:right="16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commitments of $3 million to subsidize operating costs of vacation ownership property owners’ associations, which we expect to pay in 2019.</w:t>
      </w:r>
    </w:p>
    <w:p>
      <w:pPr>
        <w:spacing w:after="0" w:line="62" w:lineRule="exact"/>
        <w:rPr>
          <w:rFonts w:ascii="Arial" w:cs="Arial" w:eastAsia="Arial" w:hAnsi="Arial"/>
          <w:sz w:val="18"/>
          <w:szCs w:val="18"/>
          <w:color w:val="auto"/>
        </w:rPr>
      </w:pPr>
    </w:p>
    <w:p>
      <w:pPr>
        <w:ind w:left="980" w:right="20" w:hanging="324"/>
        <w:spacing w:after="0" w:line="276"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have a commitment to purchase an operating property located in New York, New York for $182 million, of which $7 million is attributable to a related finance lease arrangement and recorded in Debt. We expect to acquire the units in the property in their current form, over time, and we expect to make payments for these units of $120 million and $62 million in 2020 and 2021, respectively. We currently manage this property, which was rebranded as Marriott Vacation Club Pulse, New York City. See Footnote 17 “Variable Interest Entities” for additional information on this transaction and our activities relating to the variable interest entity involved in this transaction.</w:t>
      </w:r>
    </w:p>
    <w:p>
      <w:pPr>
        <w:spacing w:after="0" w:line="64" w:lineRule="exact"/>
        <w:rPr>
          <w:rFonts w:ascii="Arial" w:cs="Arial" w:eastAsia="Arial" w:hAnsi="Arial"/>
          <w:sz w:val="17"/>
          <w:szCs w:val="17"/>
          <w:color w:val="auto"/>
        </w:rPr>
      </w:pPr>
    </w:p>
    <w:p>
      <w:pPr>
        <w:ind w:left="980" w:right="360" w:hanging="324"/>
        <w:spacing w:after="0" w:line="259"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a commitment to purchase 88 vacation ownership units located in Bali, Indonesia for use in our Vacation Ownership segment, contingent upon completion of construction to agreed-upon standards within specified timeframes. We expect to complete the acquisition in 2020 and to make the remaining payments with respect to these units when specific construction milestones are completed, as follows: $7 million in 2019, $23 million in 2020 and $2 million in 2021.</w:t>
      </w:r>
    </w:p>
    <w:p>
      <w:pPr>
        <w:spacing w:after="0" w:line="78" w:lineRule="exact"/>
        <w:rPr>
          <w:rFonts w:ascii="Arial" w:cs="Arial" w:eastAsia="Arial" w:hAnsi="Arial"/>
          <w:sz w:val="18"/>
          <w:szCs w:val="18"/>
          <w:color w:val="auto"/>
        </w:rPr>
      </w:pPr>
    </w:p>
    <w:p>
      <w:pPr>
        <w:ind w:left="980" w:right="20" w:hanging="324"/>
        <w:spacing w:after="0" w:line="293"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During the second quarter of 2019, we amended a commitment to purchase an operating property located in San Francisco, California for $158 million of which $9 million is attributable to a related finance lease arrangement and recorded in Debt. We expect to acquire the operating property over time and expect to make payments for the operating property as follows: $57 million in 2019, $55 million in 2020 and $46 million in 2021. We currently manage this property, which was rebranded as Marriott Vacation Club Pulse, San Francisco, during 2019. See Footnote 17 “Variable Interest Entities” for additional information on this transaction and our activities relating to the variable interest entity involved in this transaction. Subsequent to the end of the second quarter of 2019, we made a payment of $57 million relating to this commitment.</w:t>
      </w:r>
    </w:p>
    <w:p>
      <w:pPr>
        <w:spacing w:after="0" w:line="57"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Surety bonds issued as of June 30, 2019 totaled $78 million, the majority of which were requested by federal, state or local governments in connection with our operations.</w:t>
      </w:r>
    </w:p>
    <w:p>
      <w:pPr>
        <w:spacing w:after="0" w:line="62"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As of June 30, 2019, we had $4 million of letters of credit outstanding under our $600 million revolving credit facility (the “Revolving Corporate Credit Facility”). In addition, as of June 30, 2019, we had $4 million in letters of credit outstanding related to and in lieu of reserves required for several vacation ownership notes receivable securitization transactions outstanding. These letters of credit are not issued pursuant to, nor do they impact our borrowing capacity under, the Revolving Credit Facility.</w:t>
      </w:r>
    </w:p>
    <w:p>
      <w:pPr>
        <w:spacing w:after="0" w:line="7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estimate the cash outflow associated with completing the phases of our existing portfolio of vacation ownership projects currently under development will be approximately $17 million, of which $3 million is included within liabilities on our Balance Sheet at June 30, 2019. This estimate is based on our current development plans, which remain subject to change, and we expect the phases currently under development will be completed by the end of 2019.</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7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Guarantees</w:t>
      </w:r>
    </w:p>
    <w:p>
      <w:pPr>
        <w:spacing w:after="0" w:line="11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Certain of our rental management agreements in our Exchange &amp; Third-Party Management segment provide for owners of properties we manage to receive specified percentages or guaranteed amounts of the rental revenue generated under our management. In these cases, the operating expenses for the rental operations are paid from the revenue generated by the rentals, the owners are then paid their contractual percentages or guaranteed amounts, and our vacation rental business either retains the balance (if any) as its fee or makes up the deficit. At June 30, 2019, our maximum exposure under these guarantees is $37 million, of which $8 million, $10 million, $9 million, $4 million, $2 million and $4 million relate to the remainder of 2019, 2020, 2021, 2022, 2023 and thereafter. In addition, our maximum exposure under other guarantees is $4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11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March 2017, RCHFU, L.L.C. and other owners at The Ritz-Carlton Club, Aspen Highlands (“RCC Aspen Highlands”) filed a complaint in an action pending in the U.S. District Court for the District of Colorado against us and certain third parties, alleging that their fractional interests were devalued by the affiliation of the RCC Aspen Highlands and other Ritz-Carlton Clubs with our points-based Marriott Vacation Club Destinations (“MVCD”) program. The plaintiffs are seeking compensatory damages, disgorgement, fees and costs.</w:t>
      </w:r>
    </w:p>
    <w:p>
      <w:pPr>
        <w:spacing w:after="0" w:line="7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May 2016, a purported class-action lawsuit was filed in the U.S. District Court for the Middle District of Florida by Anthony and Beth Lennen against us and certain third parties. The complaint challenges the characterization of the beneficial interests in the MVCD trust that are sold to customers as real estate interests under Florida law, the structure of the trust, and associated operational aspects of the trust. The plaintiffs are seeking declaratory relief, an unwinding of the MVCD product, and punitive damages.</w:t>
      </w:r>
    </w:p>
    <w:p>
      <w:pPr>
        <w:spacing w:after="0" w:line="7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December 2016, Flora and Bruce Gillespie and other owners and former owners of fractional interests at the Fifth and Fifty-Fifth Residence Club located within The St. Regis, New York (the “St. Regis NY Club”) filed an action in the U.S. District Court for the Southern District of New York against ILG, certain of its subsidiaries, and certain third parties alleging that the sale of less than all interests offered in the fractional offering plan, the amendment of the plan to include additional units, and the rental of unsold fractional interests by the plan’s sponsor breached the relevant agreements and harmed the value of plaintiffs’ fractional interests. The plaintiffs are seeking compensatory damages, rescission, disgorgement, fees and costs.</w:t>
      </w:r>
    </w:p>
    <w:p>
      <w:pPr>
        <w:spacing w:after="0" w:line="6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February 2017, the owners’ association for the St. Regis NY Club filed a separate suit against ILG and certain of its subsidiaries in the U.S. District Court for the Southern District of New York, which was amended to add Marriott International and Starwood as additional defendants in March 2017. The lawsuit was subsequently transferred to the U.S. District Court for the Middle District of Florida. The operative complaint alleges that the sponsor of the St. Regis NY Club (St. Regis Residence Club, New York, Inc.), the St. Regis NY Club manager (St. Regis New York Management, Inc.), and certain affiliated entities, as well as Marriott International and Starwood, breached their fiduciary duties related to sale and rental practices, and further alleges tortious interference with the management agreement, unjust enrichment, and anticompetitive conduct. The amended complaint also alleges anticompetitive conduct in connection with the renewal of the St. Regis NY Club management agreement. The plaintiff is seeking declaratory relief in connection with the Starpoint conversion program and the exchange program at the St. Regis NY Club, unspecified damages, and disgorgement of payments under the management and purchase agreements.</w:t>
      </w:r>
    </w:p>
    <w:p>
      <w:pPr>
        <w:spacing w:after="0" w:line="8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April 2019, a purported class-action lawsuit was filed by Alan and Marjorie Helman and others against us in the Superior Court of the Virgin Islands, Division of St. Thomas alleging that their fractional interests were devalued by the affiliation of The Ritz-Carlton Club, St. Thomas and other Ritz-Carlton Clubs with our MVCD program. The lawsuit was subsequently removed to the U.S. District Court for the District of the Virgin Islands. The plaintiffs are seeking unspecified damages, disgorgement of profits, fees and costs.</w:t>
      </w:r>
    </w:p>
    <w:p>
      <w:pPr>
        <w:spacing w:after="0" w:line="79" w:lineRule="exact"/>
        <w:rPr>
          <w:sz w:val="20"/>
          <w:szCs w:val="20"/>
          <w:color w:val="auto"/>
        </w:rPr>
      </w:pPr>
    </w:p>
    <w:p>
      <w:pPr>
        <w:jc w:val="both"/>
        <w:ind w:right="120" w:firstLine="648"/>
        <w:spacing w:after="0" w:line="288" w:lineRule="auto"/>
        <w:rPr>
          <w:sz w:val="20"/>
          <w:szCs w:val="20"/>
          <w:color w:val="auto"/>
        </w:rPr>
      </w:pPr>
      <w:r>
        <w:rPr>
          <w:rFonts w:ascii="Arial" w:cs="Arial" w:eastAsia="Arial" w:hAnsi="Arial"/>
          <w:sz w:val="16"/>
          <w:szCs w:val="16"/>
          <w:color w:val="auto"/>
        </w:rPr>
        <w:t>In May 2019, the G.A. Resort Condominium Association Inc., the owners’ association for the fractional owners at the Hyatt Residence Club Grand Aspen resort (“HRC Grand Aspen”) filed a lawsuit against us in the District Court for the County of Pitkin, Colorado relating to the transfer of ownership of developer-owned fractional interests at HRC Grand Aspen to the HPC Trust Club for sale and use as a part of the Hyatt Residence Club Portfolio Program.</w:t>
      </w:r>
    </w:p>
    <w:p>
      <w:pPr>
        <w:ind w:right="500"/>
        <w:spacing w:after="0" w:line="277" w:lineRule="auto"/>
        <w:rPr>
          <w:sz w:val="20"/>
          <w:szCs w:val="20"/>
          <w:color w:val="auto"/>
        </w:rPr>
      </w:pPr>
      <w:r>
        <w:rPr>
          <w:rFonts w:ascii="Arial" w:cs="Arial" w:eastAsia="Arial" w:hAnsi="Arial"/>
          <w:sz w:val="17"/>
          <w:szCs w:val="17"/>
          <w:color w:val="auto"/>
        </w:rPr>
        <w:t>The lawsuit was subsequently removed to the U.S. District Court for the District of Colorado. The plaintiff is seeking termination of the management agreement with the owners’ association, the annulment of certain amendments to governing documents at HRC Grand Aspen, the removal of fractional interests at HRC Grand Aspen from the HPC Trust Club, unspecified damages, disgorgement of profits, fees and costs.</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we have meritorious defenses to the claims in each of the above matters and intend to vigorously defend each matter.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84" w:right="259" w:bottom="1440" w:gutter="0" w:footer="0" w:header="0"/>
        </w:sectPr>
      </w:pPr>
    </w:p>
    <w:bookmarkStart w:id="31" w:name="page32"/>
    <w:bookmarkEnd w:id="31"/>
    <w:p>
      <w:pPr>
        <w:ind w:right="100" w:firstLine="648"/>
        <w:spacing w:after="0" w:line="276" w:lineRule="auto"/>
        <w:rPr>
          <w:sz w:val="20"/>
          <w:szCs w:val="20"/>
          <w:color w:val="auto"/>
        </w:rPr>
      </w:pPr>
      <w:r>
        <w:rPr>
          <w:rFonts w:ascii="Arial" w:cs="Arial" w:eastAsia="Arial" w:hAnsi="Arial"/>
          <w:sz w:val="17"/>
          <w:szCs w:val="17"/>
          <w:color w:val="auto"/>
        </w:rPr>
        <w:t>In the ordinary course of our business, various claims and lawsuits have been filed or are pending against us. A number of these lawsuits and claims may exist at any given time. We record and accrue for legal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loss. We review these accruals each reporting period and make revisions based on changes in facts and circumstances.</w:t>
      </w:r>
    </w:p>
    <w:p>
      <w:pPr>
        <w:spacing w:after="0" w:line="64" w:lineRule="exact"/>
        <w:rPr>
          <w:sz w:val="20"/>
          <w:szCs w:val="20"/>
          <w:color w:val="auto"/>
        </w:rPr>
      </w:pPr>
    </w:p>
    <w:p>
      <w:pPr>
        <w:jc w:val="both"/>
        <w:ind w:right="80" w:firstLine="648"/>
        <w:spacing w:after="0" w:line="273" w:lineRule="auto"/>
        <w:rPr>
          <w:sz w:val="20"/>
          <w:szCs w:val="20"/>
          <w:color w:val="auto"/>
        </w:rPr>
      </w:pPr>
      <w:r>
        <w:rPr>
          <w:rFonts w:ascii="Arial" w:cs="Arial" w:eastAsia="Arial" w:hAnsi="Arial"/>
          <w:sz w:val="17"/>
          <w:szCs w:val="17"/>
          <w:color w:val="auto"/>
        </w:rPr>
        <w:t>We have not accrued for any of the pending matters described above and we cannot estimate a range of the potential liability associated with these pending matters, if any, at this time. We have accrued for other claims and lawsuits, but the amount accrued is not material in the aggregate. For matters not requiring accrual, we do not believe that the ultimate outcome of such matters, individually and in the aggregate, will materially harm our financial position, cash flows, or overall trends in results of operations based on information currently available. However, legal proceedings are inherently uncertain, and while we believe that our accruals are adequate and/or we have valid defenses to the claims asserted, unfavorable rulings could occur that could, individually or in the aggregate, have a material adverse effect on our business, financial condition, or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During June 2018, we identified forged and fraudulently induced electronic payment disbursements we made to third parties in an aggregate amount of $10 million resulting from unauthorized third-party access to our email system. Upon detection, we immediately notified law enforcement authorities and relevant financial institutions and commenced a forensic investigation. During 2018, we recovered $6 million. During the second quarter of 2019, we received $3 million from our insurance company as final settlement of our claim, and the insurance company waived the requirement for us to reimburse the insurance company for any monies subsequently recovered. We recorded a gain of $3 million in the Gains (losses) and other income (expense), net line of our Income Statement for the second quarter and first half of 2019. Any additional recoveries will be recorded in our results in the future. We have concluded that this event did not involve access to any of our other systems. No other misappropriation of assets was identified during our investigation.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Recoveries</w:t>
      </w:r>
    </w:p>
    <w:p>
      <w:pPr>
        <w:spacing w:after="0" w:line="117"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During September 2017, the Westin St. John Resort Villas, a Legacy-ILG property, sustained damage as a result of Hurricane Irma and remained closed until January 2019. As of June 30, 2019, the property insurance claim receivable related to this event and other 2017 storms was $10 million and is presented within Accounts receivable on our Balance Sheet. This balance is subject to change.</w:t>
      </w:r>
    </w:p>
    <w:p>
      <w:pPr>
        <w:spacing w:after="0" w:line="73"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September 2017, over 20 of our Legacy-MVW properties were impacted by Hurricane Irma and Hurricane Maria and, as a result, as of December 31, 2017, we accrued $1 million for the estimated property damage insurance deductibles and impairment of property and equipment, which was recorded in the Gains and other income, net line on our Income Statement for the year ended December 31, 2017. In 2018, we received $32 million of insurance proceeds related to the settlement of Legacy-MVW business interruption insurance claims arising from Hurricane Irma. These proceeds, and the related deductible of $3 million, were recorded net in the Gains and other income, net line on our Income Statement for the year ended December 31, 2018. During the first quarter of 2019, we recorded an additional $9 million of other income relating to the final settlement of these business interruption insurance claims, which was recorded in the Gains (losses) and other income (expense), net line on our Income Statement for the six months ended June 30, 2019.</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12. LEASES</w:t>
      </w:r>
    </w:p>
    <w:p>
      <w:pPr>
        <w:spacing w:after="0" w:line="148" w:lineRule="exact"/>
        <w:rPr>
          <w:sz w:val="20"/>
          <w:szCs w:val="20"/>
          <w:color w:val="auto"/>
        </w:rPr>
      </w:pPr>
    </w:p>
    <w:p>
      <w:pPr>
        <w:ind w:right="20" w:firstLine="662"/>
        <w:spacing w:after="0" w:line="264" w:lineRule="auto"/>
        <w:rPr>
          <w:sz w:val="20"/>
          <w:szCs w:val="20"/>
          <w:color w:val="auto"/>
        </w:rPr>
      </w:pPr>
      <w:r>
        <w:rPr>
          <w:rFonts w:ascii="Arial" w:cs="Arial" w:eastAsia="Arial" w:hAnsi="Arial"/>
          <w:sz w:val="18"/>
          <w:szCs w:val="18"/>
          <w:color w:val="auto"/>
        </w:rPr>
        <w:t>We account for leases in accordance with ASC 842, which we adopted using the optional transition method in the period of adoption as of January 1, 2019, without retrospective application to comparative periods. See Footnote 2 “Significant Accounting Policies and Recent Accounting Standards” for additional information.</w:t>
      </w:r>
    </w:p>
    <w:p>
      <w:pPr>
        <w:spacing w:after="0" w:line="73" w:lineRule="exact"/>
        <w:rPr>
          <w:sz w:val="20"/>
          <w:szCs w:val="20"/>
          <w:color w:val="auto"/>
        </w:rPr>
      </w:pPr>
    </w:p>
    <w:p>
      <w:pPr>
        <w:ind w:firstLine="662"/>
        <w:spacing w:after="0" w:line="279" w:lineRule="auto"/>
        <w:rPr>
          <w:sz w:val="20"/>
          <w:szCs w:val="20"/>
          <w:color w:val="auto"/>
        </w:rPr>
      </w:pPr>
      <w:r>
        <w:rPr>
          <w:rFonts w:ascii="Arial" w:cs="Arial" w:eastAsia="Arial" w:hAnsi="Arial"/>
          <w:sz w:val="17"/>
          <w:szCs w:val="17"/>
          <w:color w:val="auto"/>
        </w:rPr>
        <w:t>Operating leases include lease arrangements for various land, corporate facilities, real estate and equipment. Our land leases consist of long-term leases for a golf course (term of 30 years) and for land underlying an operating hotel (term of 50 years). Corporate facilities leases are for office space, including our corporate headquarters in Orlando, Florida, and have lease terms that range from nine to 14 years. Other operating leases are primarily for office and retail space, as well as various equipment supporting our operations, with varying terms and renewal option periods.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76" w:right="239" w:bottom="1440" w:gutter="0" w:footer="0" w:header="0"/>
        </w:sectPr>
      </w:pPr>
    </w:p>
    <w:bookmarkStart w:id="32" w:name="page33"/>
    <w:bookmarkEnd w:id="32"/>
    <w:p>
      <w:pPr>
        <w:ind w:right="120" w:firstLine="662"/>
        <w:spacing w:after="0" w:line="276" w:lineRule="auto"/>
        <w:rPr>
          <w:sz w:val="20"/>
          <w:szCs w:val="20"/>
          <w:color w:val="auto"/>
        </w:rPr>
      </w:pPr>
      <w:r>
        <w:rPr>
          <w:rFonts w:ascii="Arial" w:cs="Arial" w:eastAsia="Arial" w:hAnsi="Arial"/>
          <w:sz w:val="17"/>
          <w:szCs w:val="17"/>
          <w:color w:val="auto"/>
        </w:rPr>
        <w:t>Finance leases (analogous to capital leases under ASC 840) include lease arrangements for ancillary and operations space for which it is reasonably certain we will exercise the option to purchase the underlying assets in connection with the commitment to purchase the associated operating property. See Footnote 11 “Contingencies and Commitments” for additional information regarding these transactions. In addition, we also lease various equipment supporting our operations and classify these leases as finance leases in accordance with ASC 842. The depreciable life of these assets are limited to the expected lease term, unless there is a transfer of title or purchase option reasonably certain of exercise.</w:t>
      </w:r>
    </w:p>
    <w:p>
      <w:pPr>
        <w:spacing w:after="0" w:line="64" w:lineRule="exact"/>
        <w:rPr>
          <w:sz w:val="20"/>
          <w:szCs w:val="20"/>
          <w:color w:val="auto"/>
        </w:rPr>
      </w:pPr>
    </w:p>
    <w:p>
      <w:pPr>
        <w:ind w:right="20" w:firstLine="662"/>
        <w:spacing w:after="0" w:line="271" w:lineRule="auto"/>
        <w:rPr>
          <w:sz w:val="20"/>
          <w:szCs w:val="20"/>
          <w:color w:val="auto"/>
        </w:rPr>
      </w:pPr>
      <w:r>
        <w:rPr>
          <w:rFonts w:ascii="Arial" w:cs="Arial" w:eastAsia="Arial" w:hAnsi="Arial"/>
          <w:sz w:val="17"/>
          <w:szCs w:val="17"/>
          <w:color w:val="auto"/>
        </w:rPr>
        <w:t>Right-of-use assets and lease liabilities are recognized based on the present value of lease payments over the lease term at commencement date. For purposes of calculating lease liabilities, lease terms may be deemed to include options to extend or terminate the lease when it is reasonably certain that we will exercise that option. Macro-economic conditions are the primary factor used to estimate whether an option to extend a lease term will be exercised or not. For existing leases that commenced prior to the adoption of ASC 842, we made an accounting policy election to use our incremental borrowing rate, considering the remaining lease term and remaining minimum rental payments during transition, in establishing our lease liabilities. For new leases entered into after the adoption of ASC 842, we will use an incremental borrowing rate based on the information available at the commencement date in determining the present value of lease payments. Certain of our lease agreements include variable rental payments that are based on a percentage of retail sales over contractual levels and others include rental payments adjusted periodically for inflation.</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carrying values of our leases and the classification on our Balance Sheet as of June 30,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Balance Sheet Classification</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At June 30, 2019</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assets</w:t>
            </w:r>
          </w:p>
        </w:tc>
        <w:tc>
          <w:tcPr>
            <w:tcW w:w="5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Other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Finance lease assets</w:t>
            </w:r>
          </w:p>
        </w:tc>
        <w:tc>
          <w:tcPr>
            <w:tcW w:w="57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Property and equipment</w:t>
            </w:r>
          </w:p>
        </w:tc>
        <w:tc>
          <w:tcPr>
            <w:tcW w:w="3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22</w:t>
            </w:r>
          </w:p>
        </w:tc>
      </w:tr>
      <w:tr>
        <w:trPr>
          <w:trHeight w:val="27"/>
        </w:trPr>
        <w:tc>
          <w:tcPr>
            <w:tcW w:w="3540" w:type="dxa"/>
            <w:vAlign w:val="bottom"/>
            <w:tcBorders>
              <w:bottom w:val="single" w:sz="8" w:color="CCEEFF"/>
            </w:tcBorders>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spacing w:after="0"/>
              <w:rPr>
                <w:sz w:val="22"/>
                <w:szCs w:val="22"/>
                <w:color w:val="auto"/>
              </w:rPr>
            </w:pPr>
          </w:p>
        </w:tc>
        <w:tc>
          <w:tcPr>
            <w:tcW w:w="5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35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5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Accrued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Finance lease liabilities</w:t>
            </w:r>
          </w:p>
        </w:tc>
        <w:tc>
          <w:tcPr>
            <w:tcW w:w="57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Debt</w:t>
            </w:r>
          </w:p>
        </w:tc>
        <w:tc>
          <w:tcPr>
            <w:tcW w:w="3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22</w:t>
            </w:r>
          </w:p>
        </w:tc>
      </w:tr>
      <w:tr>
        <w:trPr>
          <w:trHeight w:val="27"/>
        </w:trPr>
        <w:tc>
          <w:tcPr>
            <w:tcW w:w="3540" w:type="dxa"/>
            <w:vAlign w:val="bottom"/>
            <w:tcBorders>
              <w:bottom w:val="single" w:sz="8" w:color="CCEEFF"/>
            </w:tcBorders>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spacing w:after="0"/>
              <w:rPr>
                <w:sz w:val="22"/>
                <w:szCs w:val="22"/>
                <w:color w:val="auto"/>
              </w:rPr>
            </w:pPr>
          </w:p>
        </w:tc>
        <w:tc>
          <w:tcPr>
            <w:tcW w:w="5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lease costs and the classification on our Income Statement for the three and six months ended June 30, 2019.</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Three Months Ended June 30,</w:t>
            </w:r>
          </w:p>
        </w:tc>
        <w:tc>
          <w:tcPr>
            <w:tcW w:w="120" w:type="dxa"/>
            <w:vAlign w:val="bottom"/>
          </w:tcPr>
          <w:p>
            <w:pPr>
              <w:spacing w:after="0"/>
              <w:rPr>
                <w:sz w:val="17"/>
                <w:szCs w:val="17"/>
                <w:color w:val="auto"/>
              </w:rPr>
            </w:pPr>
          </w:p>
        </w:tc>
        <w:tc>
          <w:tcPr>
            <w:tcW w:w="2040" w:type="dxa"/>
            <w:vAlign w:val="bottom"/>
          </w:tcPr>
          <w:p>
            <w:pPr>
              <w:jc w:val="right"/>
              <w:ind w:right="53"/>
              <w:spacing w:after="0"/>
              <w:rPr>
                <w:sz w:val="20"/>
                <w:szCs w:val="20"/>
                <w:color w:val="auto"/>
              </w:rPr>
            </w:pPr>
            <w:r>
              <w:rPr>
                <w:rFonts w:ascii="Arial" w:cs="Arial" w:eastAsia="Arial" w:hAnsi="Arial"/>
                <w:sz w:val="16"/>
                <w:szCs w:val="16"/>
                <w:b w:val="1"/>
                <w:bCs w:val="1"/>
                <w:color w:val="auto"/>
                <w:w w:val="90"/>
              </w:rPr>
              <w:t>Six Months Ended June 30,</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Income Statement Classification</w:t>
            </w:r>
          </w:p>
        </w:tc>
        <w:tc>
          <w:tcPr>
            <w:tcW w:w="14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83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833"/>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8"/>
        </w:trPr>
        <w:tc>
          <w:tcPr>
            <w:tcW w:w="35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3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Marketing and sales expense</w:t>
            </w:r>
          </w:p>
        </w:tc>
        <w:tc>
          <w:tcPr>
            <w:tcW w:w="5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22"/>
        </w:trPr>
        <w:tc>
          <w:tcPr>
            <w:tcW w:w="3540" w:type="dxa"/>
            <w:vAlign w:val="bottom"/>
            <w:vMerge w:val="continue"/>
            <w:shd w:val="clear" w:color="auto" w:fill="CCEEFF"/>
          </w:tcPr>
          <w:p>
            <w:pPr>
              <w:spacing w:after="0"/>
              <w:rPr>
                <w:sz w:val="10"/>
                <w:szCs w:val="10"/>
                <w:color w:val="auto"/>
              </w:rPr>
            </w:pPr>
          </w:p>
        </w:tc>
        <w:tc>
          <w:tcPr>
            <w:tcW w:w="34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9"/>
              </w:rPr>
              <w:t>General and administrative expense</w:t>
            </w:r>
          </w:p>
        </w:tc>
        <w:tc>
          <w:tcPr>
            <w:tcW w:w="500" w:type="dxa"/>
            <w:vAlign w:val="bottom"/>
            <w:vMerge w:val="continue"/>
            <w:shd w:val="clear" w:color="auto" w:fill="CCEEFF"/>
          </w:tcPr>
          <w:p>
            <w:pPr>
              <w:spacing w:after="0"/>
              <w:rPr>
                <w:sz w:val="10"/>
                <w:szCs w:val="10"/>
                <w:color w:val="auto"/>
              </w:rPr>
            </w:pPr>
          </w:p>
        </w:tc>
        <w:tc>
          <w:tcPr>
            <w:tcW w:w="16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20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CCEEFF"/>
            </w:tcBorders>
            <w:shd w:val="clear" w:color="auto" w:fill="CCEEFF"/>
          </w:tcPr>
          <w:p>
            <w:pPr>
              <w:spacing w:after="0"/>
              <w:rPr>
                <w:sz w:val="10"/>
                <w:szCs w:val="10"/>
                <w:color w:val="auto"/>
              </w:rPr>
            </w:pPr>
          </w:p>
        </w:tc>
        <w:tc>
          <w:tcPr>
            <w:tcW w:w="3460" w:type="dxa"/>
            <w:vAlign w:val="bottom"/>
            <w:tcBorders>
              <w:bottom w:val="single" w:sz="8" w:color="CCEEFF"/>
            </w:tcBorders>
            <w:gridSpan w:val="2"/>
            <w:vMerge w:val="continue"/>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16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Finance lease cost</w:t>
            </w:r>
          </w:p>
        </w:tc>
        <w:tc>
          <w:tcPr>
            <w:tcW w:w="3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right-of-use assets</w:t>
            </w:r>
          </w:p>
        </w:tc>
        <w:tc>
          <w:tcPr>
            <w:tcW w:w="34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Depreciation and amortization</w:t>
            </w: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Interest on lease liabilities</w:t>
            </w:r>
          </w:p>
        </w:tc>
        <w:tc>
          <w:tcPr>
            <w:tcW w:w="34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Interest expense</w:t>
            </w:r>
          </w:p>
        </w:tc>
        <w:tc>
          <w:tcPr>
            <w:tcW w:w="500" w:type="dxa"/>
            <w:vAlign w:val="bottom"/>
          </w:tcPr>
          <w:p>
            <w:pPr>
              <w:spacing w:after="0"/>
              <w:rPr>
                <w:sz w:val="21"/>
                <w:szCs w:val="21"/>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lease cost</w:t>
            </w:r>
          </w:p>
        </w:tc>
        <w:tc>
          <w:tcPr>
            <w:tcW w:w="34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Marketing and sales expense</w:t>
            </w:r>
          </w:p>
        </w:tc>
        <w:tc>
          <w:tcPr>
            <w:tcW w:w="5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320" w:type="dxa"/>
            <w:vAlign w:val="bottom"/>
            <w:vMerge w:val="restart"/>
          </w:tcPr>
          <w:p>
            <w:pPr>
              <w:jc w:val="right"/>
              <w:ind w:right="971"/>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32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54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color w:val="auto"/>
        </w:rPr>
        <w:t>The following table presents the maturity of our operating and financing lease liabilities as of June 30,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21"/>
                <w:szCs w:val="21"/>
                <w:color w:val="auto"/>
              </w:rPr>
            </w:pPr>
          </w:p>
        </w:tc>
        <w:tc>
          <w:tcPr>
            <w:tcW w:w="2000" w:type="dxa"/>
            <w:vAlign w:val="bottom"/>
            <w:gridSpan w:val="2"/>
          </w:tcPr>
          <w:p>
            <w:pPr>
              <w:ind w:left="180"/>
              <w:spacing w:after="0"/>
              <w:rPr>
                <w:sz w:val="20"/>
                <w:szCs w:val="20"/>
                <w:color w:val="auto"/>
              </w:rPr>
            </w:pPr>
            <w:r>
              <w:rPr>
                <w:rFonts w:ascii="Arial" w:cs="Arial" w:eastAsia="Arial" w:hAnsi="Arial"/>
                <w:sz w:val="16"/>
                <w:szCs w:val="16"/>
                <w:b w:val="1"/>
                <w:bCs w:val="1"/>
                <w:color w:val="auto"/>
              </w:rPr>
              <w:t>Operating Leases</w:t>
            </w:r>
          </w:p>
        </w:tc>
        <w:tc>
          <w:tcPr>
            <w:tcW w:w="1760" w:type="dxa"/>
            <w:vAlign w:val="bottom"/>
          </w:tcPr>
          <w:p>
            <w:pPr>
              <w:jc w:val="right"/>
              <w:ind w:right="33"/>
              <w:spacing w:after="0"/>
              <w:rPr>
                <w:sz w:val="20"/>
                <w:szCs w:val="20"/>
                <w:color w:val="auto"/>
              </w:rPr>
            </w:pPr>
            <w:r>
              <w:rPr>
                <w:rFonts w:ascii="Arial" w:cs="Arial" w:eastAsia="Arial" w:hAnsi="Arial"/>
                <w:sz w:val="16"/>
                <w:szCs w:val="16"/>
                <w:b w:val="1"/>
                <w:bCs w:val="1"/>
                <w:color w:val="auto"/>
              </w:rPr>
              <w:t>Finance Leases</w:t>
            </w:r>
            <w:r>
              <w:rPr>
                <w:rFonts w:ascii="Arial" w:cs="Arial" w:eastAsia="Arial" w:hAnsi="Arial"/>
                <w:sz w:val="17"/>
                <w:szCs w:val="17"/>
                <w:b w:val="1"/>
                <w:bCs w:val="1"/>
                <w:color w:val="auto"/>
                <w:vertAlign w:val="superscript"/>
              </w:rPr>
              <w:t>(1)</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ind w:right="8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5"/>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remaining</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ind w:right="1573"/>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1"/>
                <w:szCs w:val="21"/>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1"/>
                <w:szCs w:val="21"/>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Less: Imputed interest</w:t>
            </w:r>
          </w:p>
        </w:tc>
        <w:tc>
          <w:tcPr>
            <w:tcW w:w="3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57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100" w:hanging="652"/>
        <w:spacing w:after="0" w:line="226" w:lineRule="auto"/>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Finance lease payments include $17 million related to residual value guarantees associated with purchase commitments for operating properties in San Francisco, California and New York, New York. See Footnote 11 “Contingencies and Commitments” for additional information regarding these transactions.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Term and Discount Rate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center"/>
              <w:ind w:right="292"/>
              <w:spacing w:after="0"/>
              <w:rPr>
                <w:sz w:val="20"/>
                <w:szCs w:val="20"/>
                <w:color w:val="auto"/>
              </w:rPr>
            </w:pPr>
            <w:r>
              <w:rPr>
                <w:rFonts w:ascii="Arial" w:cs="Arial" w:eastAsia="Arial" w:hAnsi="Arial"/>
                <w:sz w:val="16"/>
                <w:szCs w:val="16"/>
                <w:b w:val="1"/>
                <w:bCs w:val="1"/>
                <w:color w:val="auto"/>
                <w:w w:val="92"/>
              </w:rPr>
              <w:t>At June 30, 2019</w:t>
            </w:r>
          </w:p>
        </w:tc>
        <w:tc>
          <w:tcPr>
            <w:tcW w:w="0" w:type="dxa"/>
            <w:vAlign w:val="bottom"/>
          </w:tcPr>
          <w:p>
            <w:pPr>
              <w:spacing w:after="0"/>
              <w:rPr>
                <w:sz w:val="1"/>
                <w:szCs w:val="1"/>
                <w:color w:val="auto"/>
              </w:rPr>
            </w:pPr>
          </w:p>
        </w:tc>
      </w:tr>
      <w:tr>
        <w:trPr>
          <w:trHeight w:val="33"/>
        </w:trPr>
        <w:tc>
          <w:tcPr>
            <w:tcW w:w="66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(in years)</w:t>
            </w:r>
          </w:p>
        </w:tc>
        <w:tc>
          <w:tcPr>
            <w:tcW w:w="3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gridSpan w:val="2"/>
          </w:tcPr>
          <w:p>
            <w:pPr>
              <w:ind w:left="280"/>
              <w:spacing w:after="0"/>
              <w:rPr>
                <w:sz w:val="20"/>
                <w:szCs w:val="20"/>
                <w:color w:val="auto"/>
              </w:rPr>
            </w:pPr>
            <w:r>
              <w:rPr>
                <w:rFonts w:ascii="Arial" w:cs="Arial" w:eastAsia="Arial" w:hAnsi="Arial"/>
                <w:sz w:val="18"/>
                <w:szCs w:val="18"/>
                <w:color w:val="auto"/>
              </w:rPr>
              <w:t>Operating leases</w:t>
            </w:r>
          </w:p>
        </w:tc>
        <w:tc>
          <w:tcPr>
            <w:tcW w:w="3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center"/>
              <w:ind w:right="292"/>
              <w:spacing w:after="0"/>
              <w:rPr>
                <w:sz w:val="20"/>
                <w:szCs w:val="20"/>
                <w:color w:val="auto"/>
              </w:rPr>
            </w:pPr>
            <w:r>
              <w:rPr>
                <w:rFonts w:ascii="Arial" w:cs="Arial" w:eastAsia="Arial" w:hAnsi="Arial"/>
                <w:sz w:val="18"/>
                <w:szCs w:val="18"/>
                <w:color w:val="auto"/>
                <w:w w:val="85"/>
              </w:rPr>
              <w:t>11.4 years</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Finance leases</w:t>
            </w:r>
          </w:p>
        </w:tc>
        <w:tc>
          <w:tcPr>
            <w:tcW w:w="3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center"/>
              <w:ind w:right="292"/>
              <w:spacing w:after="0"/>
              <w:rPr>
                <w:sz w:val="20"/>
                <w:szCs w:val="20"/>
                <w:color w:val="auto"/>
              </w:rPr>
            </w:pPr>
            <w:r>
              <w:rPr>
                <w:rFonts w:ascii="Arial" w:cs="Arial" w:eastAsia="Arial" w:hAnsi="Arial"/>
                <w:sz w:val="18"/>
                <w:szCs w:val="18"/>
                <w:color w:val="auto"/>
                <w:w w:val="86"/>
              </w:rPr>
              <w:t>0.7 years</w:t>
            </w:r>
          </w:p>
        </w:tc>
        <w:tc>
          <w:tcPr>
            <w:tcW w:w="0" w:type="dxa"/>
            <w:vAlign w:val="bottom"/>
          </w:tcPr>
          <w:p>
            <w:pPr>
              <w:spacing w:after="0"/>
              <w:rPr>
                <w:sz w:val="1"/>
                <w:szCs w:val="1"/>
                <w:color w:val="auto"/>
              </w:rPr>
            </w:pPr>
          </w:p>
        </w:tc>
      </w:tr>
      <w:tr>
        <w:trPr>
          <w:trHeight w:val="243"/>
        </w:trPr>
        <w:tc>
          <w:tcPr>
            <w:tcW w:w="5560" w:type="dxa"/>
            <w:vAlign w:val="bottom"/>
            <w:gridSpan w:val="2"/>
          </w:tcPr>
          <w:p>
            <w:pPr>
              <w:ind w:left="40"/>
              <w:spacing w:after="0"/>
              <w:rPr>
                <w:sz w:val="20"/>
                <w:szCs w:val="20"/>
                <w:color w:val="auto"/>
              </w:rPr>
            </w:pPr>
            <w:r>
              <w:rPr>
                <w:rFonts w:ascii="Arial" w:cs="Arial" w:eastAsia="Arial" w:hAnsi="Arial"/>
                <w:sz w:val="18"/>
                <w:szCs w:val="18"/>
                <w:color w:val="auto"/>
              </w:rPr>
              <w:t>Weighted-average discount rate</w:t>
            </w:r>
          </w:p>
        </w:tc>
        <w:tc>
          <w:tcPr>
            <w:tcW w:w="3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Operating leases</w:t>
            </w:r>
          </w:p>
        </w:tc>
        <w:tc>
          <w:tcPr>
            <w:tcW w:w="3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center"/>
              <w:ind w:right="292"/>
              <w:spacing w:after="0"/>
              <w:rPr>
                <w:sz w:val="20"/>
                <w:szCs w:val="20"/>
                <w:color w:val="auto"/>
              </w:rPr>
            </w:pPr>
            <w:r>
              <w:rPr>
                <w:rFonts w:ascii="Arial" w:cs="Arial" w:eastAsia="Arial" w:hAnsi="Arial"/>
                <w:sz w:val="18"/>
                <w:szCs w:val="18"/>
                <w:color w:val="auto"/>
                <w:w w:val="87"/>
              </w:rPr>
              <w:t>6.1%</w:t>
            </w:r>
          </w:p>
        </w:tc>
        <w:tc>
          <w:tcPr>
            <w:tcW w:w="0" w:type="dxa"/>
            <w:vAlign w:val="bottom"/>
          </w:tcPr>
          <w:p>
            <w:pPr>
              <w:spacing w:after="0"/>
              <w:rPr>
                <w:sz w:val="1"/>
                <w:szCs w:val="1"/>
                <w:color w:val="auto"/>
              </w:rPr>
            </w:pPr>
          </w:p>
        </w:tc>
      </w:tr>
      <w:tr>
        <w:trPr>
          <w:trHeight w:val="243"/>
        </w:trPr>
        <w:tc>
          <w:tcPr>
            <w:tcW w:w="5560" w:type="dxa"/>
            <w:vAlign w:val="bottom"/>
            <w:gridSpan w:val="2"/>
          </w:tcPr>
          <w:p>
            <w:pPr>
              <w:ind w:left="280"/>
              <w:spacing w:after="0"/>
              <w:rPr>
                <w:sz w:val="20"/>
                <w:szCs w:val="20"/>
                <w:color w:val="auto"/>
              </w:rPr>
            </w:pPr>
            <w:r>
              <w:rPr>
                <w:rFonts w:ascii="Arial" w:cs="Arial" w:eastAsia="Arial" w:hAnsi="Arial"/>
                <w:sz w:val="18"/>
                <w:szCs w:val="18"/>
                <w:color w:val="auto"/>
              </w:rPr>
              <w:t>Finance leases</w:t>
            </w:r>
          </w:p>
        </w:tc>
        <w:tc>
          <w:tcPr>
            <w:tcW w:w="3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center"/>
              <w:ind w:right="292"/>
              <w:spacing w:after="0"/>
              <w:rPr>
                <w:sz w:val="20"/>
                <w:szCs w:val="20"/>
                <w:color w:val="auto"/>
              </w:rPr>
            </w:pPr>
            <w:r>
              <w:rPr>
                <w:rFonts w:ascii="Arial" w:cs="Arial" w:eastAsia="Arial" w:hAnsi="Arial"/>
                <w:sz w:val="18"/>
                <w:szCs w:val="18"/>
                <w:color w:val="auto"/>
                <w:w w:val="87"/>
              </w:rPr>
              <w:t>4.8%</w:t>
            </w:r>
          </w:p>
        </w:tc>
        <w:tc>
          <w:tcPr>
            <w:tcW w:w="0" w:type="dxa"/>
            <w:vAlign w:val="bottom"/>
          </w:tcPr>
          <w:p>
            <w:pPr>
              <w:spacing w:after="0"/>
              <w:rPr>
                <w:sz w:val="1"/>
                <w:szCs w:val="1"/>
                <w:color w:val="auto"/>
              </w:rPr>
            </w:pPr>
          </w:p>
        </w:tc>
      </w:tr>
      <w:tr>
        <w:trPr>
          <w:trHeight w:val="459"/>
        </w:trPr>
        <w:tc>
          <w:tcPr>
            <w:tcW w:w="5560" w:type="dxa"/>
            <w:vAlign w:val="bottom"/>
            <w:gridSpan w:val="2"/>
          </w:tcPr>
          <w:p>
            <w:pPr>
              <w:spacing w:after="0"/>
              <w:rPr>
                <w:sz w:val="20"/>
                <w:szCs w:val="20"/>
                <w:color w:val="auto"/>
              </w:rPr>
            </w:pPr>
            <w:r>
              <w:rPr>
                <w:rFonts w:ascii="Arial" w:cs="Arial" w:eastAsia="Arial" w:hAnsi="Arial"/>
                <w:sz w:val="18"/>
                <w:szCs w:val="18"/>
                <w:i w:val="1"/>
                <w:iCs w:val="1"/>
                <w:color w:val="auto"/>
              </w:rPr>
              <w:t>Other Information</w:t>
            </w:r>
          </w:p>
        </w:tc>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Six Months Ended June 30,</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7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77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Cash paid for amounts included in measurement of lease liabilities</w:t>
            </w:r>
          </w:p>
        </w:tc>
        <w:tc>
          <w:tcPr>
            <w:tcW w:w="3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900" w:type="dxa"/>
            <w:vAlign w:val="bottom"/>
          </w:tcPr>
          <w:p>
            <w:pPr>
              <w:ind w:left="260"/>
              <w:spacing w:after="0"/>
              <w:rPr>
                <w:sz w:val="20"/>
                <w:szCs w:val="20"/>
                <w:color w:val="auto"/>
              </w:rPr>
            </w:pPr>
            <w:r>
              <w:rPr>
                <w:rFonts w:ascii="Arial" w:cs="Arial" w:eastAsia="Arial" w:hAnsi="Arial"/>
                <w:sz w:val="18"/>
                <w:szCs w:val="18"/>
                <w:color w:val="auto"/>
              </w:rPr>
              <w:t>Operating cash flows for finance leases</w:t>
            </w:r>
          </w:p>
        </w:tc>
        <w:tc>
          <w:tcPr>
            <w:tcW w:w="4080" w:type="dxa"/>
            <w:vAlign w:val="bottom"/>
            <w:gridSpan w:val="3"/>
          </w:tcPr>
          <w:p>
            <w:pPr>
              <w:jc w:val="right"/>
              <w:ind w:right="59"/>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cash flows for operating leases</w:t>
            </w:r>
          </w:p>
        </w:tc>
        <w:tc>
          <w:tcPr>
            <w:tcW w:w="3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900" w:type="dxa"/>
            <w:vAlign w:val="bottom"/>
          </w:tcPr>
          <w:p>
            <w:pPr>
              <w:ind w:left="260"/>
              <w:spacing w:after="0"/>
              <w:rPr>
                <w:sz w:val="20"/>
                <w:szCs w:val="20"/>
                <w:color w:val="auto"/>
              </w:rPr>
            </w:pPr>
            <w:r>
              <w:rPr>
                <w:rFonts w:ascii="Arial" w:cs="Arial" w:eastAsia="Arial" w:hAnsi="Arial"/>
                <w:sz w:val="18"/>
                <w:szCs w:val="18"/>
                <w:color w:val="auto"/>
              </w:rPr>
              <w:t>Financing cash flows for finance leases</w:t>
            </w:r>
          </w:p>
        </w:tc>
        <w:tc>
          <w:tcPr>
            <w:tcW w:w="3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0" w:type="dxa"/>
            <w:vAlign w:val="bottom"/>
          </w:tcPr>
          <w:p>
            <w:pPr>
              <w:spacing w:after="0"/>
              <w:rPr>
                <w:sz w:val="22"/>
                <w:szCs w:val="22"/>
                <w:color w:val="auto"/>
              </w:rPr>
            </w:pPr>
          </w:p>
        </w:tc>
        <w:tc>
          <w:tcPr>
            <w:tcW w:w="4900" w:type="dxa"/>
            <w:vAlign w:val="bottom"/>
            <w:tcBorders>
              <w:bottom w:val="single" w:sz="8" w:color="CCEEFF"/>
            </w:tcBorders>
            <w:shd w:val="clear" w:color="auto" w:fill="CCEEFF"/>
          </w:tcPr>
          <w:p>
            <w:pPr>
              <w:spacing w:after="0"/>
              <w:rPr>
                <w:sz w:val="22"/>
                <w:szCs w:val="22"/>
                <w:color w:val="auto"/>
              </w:rPr>
            </w:pPr>
          </w:p>
        </w:tc>
        <w:tc>
          <w:tcPr>
            <w:tcW w:w="408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bottom w:val="single" w:sz="8" w:color="CCEEFF"/>
            </w:tcBorders>
            <w:vMerge w:val="restart"/>
          </w:tcPr>
          <w:p>
            <w:pPr>
              <w:jc w:val="right"/>
              <w:ind w:right="3370"/>
              <w:spacing w:after="0"/>
              <w:rPr>
                <w:sz w:val="20"/>
                <w:szCs w:val="20"/>
                <w:color w:val="auto"/>
              </w:rPr>
            </w:pPr>
            <w:r>
              <w:rPr>
                <w:rFonts w:ascii="Arial" w:cs="Arial" w:eastAsia="Arial" w:hAnsi="Arial"/>
                <w:sz w:val="18"/>
                <w:szCs w:val="18"/>
                <w:color w:val="auto"/>
              </w:rPr>
              <w:t>32</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34" w:name="page35"/>
    <w:bookmarkEnd w:id="34"/>
    <w:p>
      <w:pPr>
        <w:ind w:left="40"/>
        <w:spacing w:after="0"/>
        <w:rPr>
          <w:sz w:val="20"/>
          <w:szCs w:val="20"/>
          <w:color w:val="auto"/>
        </w:rPr>
      </w:pPr>
      <w:r>
        <w:rPr>
          <w:rFonts w:ascii="Arial" w:cs="Arial" w:eastAsia="Arial" w:hAnsi="Arial"/>
          <w:sz w:val="18"/>
          <w:szCs w:val="18"/>
          <w:b w:val="1"/>
          <w:bCs w:val="1"/>
          <w:color w:val="auto"/>
        </w:rPr>
        <w:t>13. SECURITIZED DEBT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 on our securitized debt, net of unamortized debt issuance costs.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0"/>
                <w:szCs w:val="20"/>
                <w:color w:val="auto"/>
              </w:rPr>
            </w:pPr>
          </w:p>
        </w:tc>
        <w:tc>
          <w:tcPr>
            <w:tcW w:w="1880" w:type="dxa"/>
            <w:vAlign w:val="bottom"/>
            <w:gridSpan w:val="2"/>
          </w:tcPr>
          <w:p>
            <w:pPr>
              <w:ind w:left="180"/>
              <w:spacing w:after="0"/>
              <w:rPr>
                <w:sz w:val="20"/>
                <w:szCs w:val="20"/>
                <w:color w:val="auto"/>
              </w:rPr>
            </w:pPr>
            <w:r>
              <w:rPr>
                <w:rFonts w:ascii="Arial" w:cs="Arial" w:eastAsia="Arial" w:hAnsi="Arial"/>
                <w:sz w:val="16"/>
                <w:szCs w:val="16"/>
                <w:b w:val="1"/>
                <w:bCs w:val="1"/>
                <w:color w:val="auto"/>
              </w:rPr>
              <w:t>At June 30, 2019</w:t>
            </w:r>
          </w:p>
        </w:tc>
        <w:tc>
          <w:tcPr>
            <w:tcW w:w="200" w:type="dxa"/>
            <w:vAlign w:val="bottom"/>
          </w:tcPr>
          <w:p>
            <w:pPr>
              <w:spacing w:after="0"/>
              <w:rPr>
                <w:sz w:val="20"/>
                <w:szCs w:val="20"/>
                <w:color w:val="auto"/>
              </w:rPr>
            </w:pPr>
          </w:p>
        </w:tc>
        <w:tc>
          <w:tcPr>
            <w:tcW w:w="1860" w:type="dxa"/>
            <w:vAlign w:val="bottom"/>
          </w:tcPr>
          <w:p>
            <w:pPr>
              <w:jc w:val="right"/>
              <w:ind w:right="171"/>
              <w:spacing w:after="0"/>
              <w:rPr>
                <w:sz w:val="20"/>
                <w:szCs w:val="20"/>
                <w:color w:val="auto"/>
              </w:rPr>
            </w:pPr>
            <w:r>
              <w:rPr>
                <w:rFonts w:ascii="Arial" w:cs="Arial" w:eastAsia="Arial" w:hAnsi="Arial"/>
                <w:sz w:val="16"/>
                <w:szCs w:val="16"/>
                <w:b w:val="1"/>
                <w:bCs w:val="1"/>
                <w:color w:val="auto"/>
                <w:w w:val="95"/>
              </w:rPr>
              <w:t>At December 31, 2018</w:t>
            </w:r>
          </w:p>
        </w:tc>
        <w:tc>
          <w:tcPr>
            <w:tcW w:w="0" w:type="dxa"/>
            <w:vAlign w:val="bottom"/>
          </w:tcPr>
          <w:p>
            <w:pPr>
              <w:spacing w:after="0"/>
              <w:rPr>
                <w:sz w:val="1"/>
                <w:szCs w:val="1"/>
                <w:color w:val="auto"/>
              </w:rPr>
            </w:pPr>
          </w:p>
        </w:tc>
      </w:tr>
      <w:tr>
        <w:trPr>
          <w:trHeight w:val="270"/>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securitizations, gross</w:t>
            </w:r>
            <w:r>
              <w:rPr>
                <w:rFonts w:ascii="Arial" w:cs="Arial" w:eastAsia="Arial" w:hAnsi="Arial"/>
                <w:sz w:val="18"/>
                <w:szCs w:val="18"/>
                <w:color w:val="auto"/>
                <w:vertAlign w:val="superscript"/>
              </w:rPr>
              <w:t>(1)</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1,787</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Unamortized debt discount and issuance costs</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97"/>
        </w:trPr>
        <w:tc>
          <w:tcPr>
            <w:tcW w:w="7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Warehouse Credit Facility, gross</w:t>
            </w: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Unamortized debt issuance costs</w:t>
            </w:r>
            <w:r>
              <w:rPr>
                <w:rFonts w:ascii="Arial" w:cs="Arial" w:eastAsia="Arial" w:hAnsi="Arial"/>
                <w:sz w:val="18"/>
                <w:szCs w:val="18"/>
                <w:color w:val="auto"/>
                <w:vertAlign w:val="superscript"/>
              </w:rPr>
              <w:t>(2)</w:t>
            </w:r>
          </w:p>
        </w:tc>
        <w:tc>
          <w:tcPr>
            <w:tcW w:w="2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97"/>
        </w:trPr>
        <w:tc>
          <w:tcPr>
            <w:tcW w:w="7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r>
              <w:rPr>
                <w:rFonts w:ascii="Arial" w:cs="Arial" w:eastAsia="Arial" w:hAnsi="Arial"/>
                <w:sz w:val="18"/>
                <w:szCs w:val="18"/>
                <w:color w:val="auto"/>
                <w:vertAlign w:val="superscript"/>
              </w:rPr>
              <w:t>(3)</w:t>
            </w:r>
          </w:p>
        </w:tc>
        <w:tc>
          <w:tcPr>
            <w:tcW w:w="28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7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7"/>
        </w:trPr>
        <w:tc>
          <w:tcPr>
            <w:tcW w:w="720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Interest rates as of June 30, 2019 range from 2.2% to 6.3%, with a weighted average interest rate of 2.9%</w:t>
      </w:r>
    </w:p>
    <w:p>
      <w:pPr>
        <w:spacing w:after="0" w:line="56" w:lineRule="exact"/>
        <w:rPr>
          <w:rFonts w:ascii="Arial" w:cs="Arial" w:eastAsia="Arial" w:hAnsi="Arial"/>
          <w:sz w:val="25"/>
          <w:szCs w:val="25"/>
          <w:color w:val="auto"/>
          <w:vertAlign w:val="superscript"/>
        </w:rPr>
      </w:pPr>
    </w:p>
    <w:p>
      <w:pPr>
        <w:ind w:left="660" w:right="520" w:hanging="652"/>
        <w:spacing w:after="0" w:line="208" w:lineRule="auto"/>
        <w:tabs>
          <w:tab w:leader="none" w:pos="66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Excludes $1 million of unamortized debt issuance costs as of June 30, 2019, as no cash borrowings were outstanding on the Warehouse Credit Facility at that time</w:t>
      </w:r>
    </w:p>
    <w:p>
      <w:pPr>
        <w:spacing w:after="0" w:line="14" w:lineRule="exact"/>
        <w:rPr>
          <w:rFonts w:ascii="Arial" w:cs="Arial" w:eastAsia="Arial" w:hAnsi="Arial"/>
          <w:sz w:val="25"/>
          <w:szCs w:val="25"/>
          <w:color w:val="auto"/>
          <w:vertAlign w:val="superscript"/>
        </w:rPr>
      </w:pPr>
    </w:p>
    <w:p>
      <w:pPr>
        <w:ind w:left="860" w:hanging="852"/>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Non-recourse</w:t>
      </w:r>
    </w:p>
    <w:p>
      <w:pPr>
        <w:spacing w:after="0" w:line="239"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See Footnote 17 “Variable Interest Entities” for a discussion of the collateral for the non-recourse debt associated with the securitized vacation ownership notes receivable and our non-recourse warehouse credit facility (the “Warehouse Credit Facility”). The debt associated with our vacation ownership notes receivable securitizations and our Warehouse Credit Facility is non-recourse to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Vacation Ownership Notes Receivable Securitizations</w:t>
      </w:r>
    </w:p>
    <w:p>
      <w:pPr>
        <w:spacing w:after="0" w:line="11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On May 23, 2019, we completed the securitization of a pool of $459 million of vacation ownership notes receivable. Approximately $367 million of the vacation ownership notes receivable were purchased on May 23, 2019 by MVW 2019-1 LLC (the “2019-1 LLC”), and an additional $85 million of the vacation ownership notes receivable were purchased prior to June 30, 2019. As of June 30, 2019, the 2019-1 LLC held $6 million of the proceeds, which were released as the remaining vacation ownership notes receivable were purchased. On July 12, 2019, subsequent to the end of the second quarter of 2019, the 2019-1 LLC purchased the remaining $7 million of vacation ownership notes receivable and $6 million was released from restricted cash. In connection with the securitization, investors purchased in a private placement $450 million in vacation ownership loan backed notes from the 2019-1 LLC. Three classes of vacation ownership loan backed notes were issued by the 2019-1 LLC: $350 million of Class A Notes, $67 million of Class B Notes and $33 million of Class C Notes. The Class A Notes have an interest rate of 2.89 percent, the Class B Notes have an interest rate of 3.00 percent and the Class C Notes have an interest rate of 3.33 percent, for an overall weighted average interest rate of 2.94 percent.</w:t>
      </w:r>
    </w:p>
    <w:p>
      <w:pPr>
        <w:spacing w:after="0" w:line="7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second quarter of 2019, and as of June 30, 2019, no securitized vacation ownership notes receivable pools were out of compliance with their respective established parameters. As of June 30, 2019, we had 12 securitized vacation ownership notes receivable pools outstanding.</w:t>
      </w:r>
    </w:p>
    <w:p>
      <w:pPr>
        <w:spacing w:after="0" w:line="70" w:lineRule="exact"/>
        <w:rPr>
          <w:sz w:val="20"/>
          <w:szCs w:val="20"/>
          <w:color w:val="auto"/>
        </w:rPr>
      </w:pPr>
    </w:p>
    <w:p>
      <w:pPr>
        <w:jc w:val="both"/>
        <w:ind w:right="640" w:firstLine="648"/>
        <w:spacing w:after="0" w:line="342" w:lineRule="auto"/>
        <w:rPr>
          <w:sz w:val="20"/>
          <w:szCs w:val="20"/>
          <w:color w:val="auto"/>
        </w:rPr>
      </w:pPr>
      <w:r>
        <w:rPr>
          <w:rFonts w:ascii="Arial" w:cs="Arial" w:eastAsia="Arial" w:hAnsi="Arial"/>
          <w:sz w:val="16"/>
          <w:szCs w:val="16"/>
          <w:color w:val="auto"/>
        </w:rPr>
        <w:t>As the contractual terms of the underlying securitized vacation ownership notes receivable determine the maturities of the non-recourse debt associated with them, actual maturities may occur earlier than shown below due to prepayments by the vacation ownership notes receivable obligors.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50" w:right="239" w:bottom="1440" w:gutter="0" w:footer="0" w:header="0"/>
        </w:sectPr>
      </w:pPr>
    </w:p>
    <w:bookmarkStart w:id="35" w:name="page36"/>
    <w:bookmarkEnd w:id="35"/>
    <w:p>
      <w:pPr>
        <w:ind w:left="660"/>
        <w:spacing w:after="0"/>
        <w:rPr>
          <w:sz w:val="20"/>
          <w:szCs w:val="20"/>
          <w:color w:val="auto"/>
        </w:rPr>
      </w:pPr>
      <w:r>
        <w:rPr>
          <w:rFonts w:ascii="Arial" w:cs="Arial" w:eastAsia="Arial" w:hAnsi="Arial"/>
          <w:sz w:val="18"/>
          <w:szCs w:val="18"/>
          <w:color w:val="auto"/>
        </w:rPr>
        <w:t>The following table shows scheduled future principal payments for our securitized debt as of June 30,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Vacation Ownership</w:t>
            </w:r>
          </w:p>
        </w:tc>
        <w:tc>
          <w:tcPr>
            <w:tcW w:w="1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5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Notes Receivable</w:t>
            </w:r>
          </w:p>
        </w:tc>
        <w:tc>
          <w:tcPr>
            <w:tcW w:w="1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20"/>
                <w:szCs w:val="20"/>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Securitizations</w:t>
            </w:r>
          </w:p>
        </w:tc>
        <w:tc>
          <w:tcPr>
            <w:tcW w:w="1500" w:type="dxa"/>
            <w:vAlign w:val="bottom"/>
          </w:tcPr>
          <w:p>
            <w:pPr>
              <w:jc w:val="right"/>
              <w:ind w:right="173"/>
              <w:spacing w:after="0"/>
              <w:rPr>
                <w:sz w:val="20"/>
                <w:szCs w:val="20"/>
                <w:color w:val="auto"/>
              </w:rPr>
            </w:pPr>
            <w:r>
              <w:rPr>
                <w:rFonts w:ascii="Arial" w:cs="Arial" w:eastAsia="Arial" w:hAnsi="Arial"/>
                <w:sz w:val="16"/>
                <w:szCs w:val="16"/>
                <w:b w:val="1"/>
                <w:bCs w:val="1"/>
                <w:color w:val="auto"/>
              </w:rPr>
              <w:t>Other</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jc w:val="right"/>
              <w:ind w:right="751"/>
              <w:spacing w:after="0"/>
              <w:rPr>
                <w:sz w:val="20"/>
                <w:szCs w:val="20"/>
                <w:color w:val="auto"/>
              </w:rPr>
            </w:pPr>
            <w:r>
              <w:rPr>
                <w:rFonts w:ascii="Arial" w:cs="Arial" w:eastAsia="Arial" w:hAnsi="Arial"/>
                <w:sz w:val="16"/>
                <w:szCs w:val="16"/>
                <w:b w:val="1"/>
                <w:bCs w:val="1"/>
                <w:color w:val="auto"/>
              </w:rPr>
              <w:t>Total</w:t>
            </w: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Payments Year</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2019, remaining</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13"/>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500" w:type="dxa"/>
            <w:vAlign w:val="bottom"/>
          </w:tcPr>
          <w:p>
            <w:pPr>
              <w:jc w:val="right"/>
              <w:ind w:right="1293"/>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129</w:t>
            </w: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840" w:type="dxa"/>
            <w:vAlign w:val="bottom"/>
          </w:tcPr>
          <w:p>
            <w:pPr>
              <w:jc w:val="right"/>
              <w:ind w:right="13"/>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204</w:t>
            </w: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1840" w:type="dxa"/>
            <w:vAlign w:val="bottom"/>
          </w:tcPr>
          <w:p>
            <w:pPr>
              <w:jc w:val="right"/>
              <w:ind w:right="13"/>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188</w:t>
            </w:r>
          </w:p>
        </w:tc>
      </w:tr>
      <w:tr>
        <w:trPr>
          <w:trHeight w:val="27"/>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865</w:t>
            </w:r>
          </w:p>
        </w:tc>
      </w:tr>
      <w:tr>
        <w:trPr>
          <w:trHeight w:val="237"/>
        </w:trPr>
        <w:tc>
          <w:tcPr>
            <w:tcW w:w="50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20"/>
                <w:szCs w:val="20"/>
                <w:color w:val="auto"/>
              </w:rPr>
            </w:pPr>
          </w:p>
        </w:tc>
        <w:tc>
          <w:tcPr>
            <w:tcW w:w="1500" w:type="dxa"/>
            <w:vAlign w:val="bottom"/>
            <w:tcBorders>
              <w:top w:val="single" w:sz="8" w:color="auto"/>
            </w:tcBorders>
          </w:tcPr>
          <w:p>
            <w:pPr>
              <w:jc w:val="right"/>
              <w:ind w:right="1293"/>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1,807</w:t>
            </w:r>
          </w:p>
        </w:tc>
      </w:tr>
      <w:tr>
        <w:trPr>
          <w:trHeight w:val="27"/>
        </w:trPr>
        <w:tc>
          <w:tcPr>
            <w:tcW w:w="5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Warehouse Credit Facility</w:t>
      </w:r>
    </w:p>
    <w:p>
      <w:pPr>
        <w:spacing w:after="0" w:line="117"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The Warehouse Credit Facility, which has a borrowing capacity of $250 million, allows for the securitization of Legacy-MVW vacation ownership notes receivable on a revolving non-recourse basis through March 13, 2020. During the first quarter of 2019, we securitized vacation ownership notes receivable under our Warehouse Credit Facility. The carrying amount of the vacation ownership notes receivable securitized was $146 million. The advance rate was 85 percent, which resulted in gross proceeds of $124 million. Net proceeds were $123 million due to the funding of reserve accounts of $1 million.</w:t>
      </w:r>
    </w:p>
    <w:p>
      <w:pPr>
        <w:spacing w:after="0" w:line="4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As of June 30, 2019, there were no cash borrowings outstanding under our Warehouse Credit Facility. All outstanding amounts were repaid with proceeds from our vacation ownership notes receivable securitization transaction during the second quarter of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76" w:right="239" w:bottom="1440" w:gutter="0" w:footer="0" w:header="0"/>
        </w:sectPr>
      </w:pPr>
    </w:p>
    <w:bookmarkStart w:id="36" w:name="page37"/>
    <w:bookmarkEnd w:id="36"/>
    <w:p>
      <w:pPr>
        <w:ind w:left="40"/>
        <w:spacing w:after="0"/>
        <w:rPr>
          <w:sz w:val="20"/>
          <w:szCs w:val="20"/>
          <w:color w:val="auto"/>
        </w:rPr>
      </w:pPr>
      <w:r>
        <w:rPr>
          <w:rFonts w:ascii="Arial" w:cs="Arial" w:eastAsia="Arial" w:hAnsi="Arial"/>
          <w:sz w:val="18"/>
          <w:szCs w:val="18"/>
          <w:b w:val="1"/>
          <w:bCs w:val="1"/>
          <w:color w:val="auto"/>
        </w:rPr>
        <w:t>14. DEBT</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 on our debt balances, net of unamortized debt discount and issuance costs.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0"/>
                <w:szCs w:val="20"/>
                <w:color w:val="auto"/>
              </w:rPr>
            </w:pPr>
          </w:p>
        </w:tc>
        <w:tc>
          <w:tcPr>
            <w:tcW w:w="1880" w:type="dxa"/>
            <w:vAlign w:val="bottom"/>
            <w:gridSpan w:val="2"/>
          </w:tcPr>
          <w:p>
            <w:pPr>
              <w:ind w:left="180"/>
              <w:spacing w:after="0"/>
              <w:rPr>
                <w:sz w:val="20"/>
                <w:szCs w:val="20"/>
                <w:color w:val="auto"/>
              </w:rPr>
            </w:pPr>
            <w:r>
              <w:rPr>
                <w:rFonts w:ascii="Arial" w:cs="Arial" w:eastAsia="Arial" w:hAnsi="Arial"/>
                <w:sz w:val="16"/>
                <w:szCs w:val="16"/>
                <w:b w:val="1"/>
                <w:bCs w:val="1"/>
                <w:color w:val="auto"/>
              </w:rPr>
              <w:t>At June 30, 2019</w:t>
            </w:r>
          </w:p>
        </w:tc>
        <w:tc>
          <w:tcPr>
            <w:tcW w:w="200" w:type="dxa"/>
            <w:vAlign w:val="bottom"/>
          </w:tcPr>
          <w:p>
            <w:pPr>
              <w:spacing w:after="0"/>
              <w:rPr>
                <w:sz w:val="20"/>
                <w:szCs w:val="20"/>
                <w:color w:val="auto"/>
              </w:rPr>
            </w:pPr>
          </w:p>
        </w:tc>
        <w:tc>
          <w:tcPr>
            <w:tcW w:w="1860" w:type="dxa"/>
            <w:vAlign w:val="bottom"/>
          </w:tcPr>
          <w:p>
            <w:pPr>
              <w:jc w:val="right"/>
              <w:ind w:right="170"/>
              <w:spacing w:after="0"/>
              <w:rPr>
                <w:sz w:val="20"/>
                <w:szCs w:val="20"/>
                <w:color w:val="auto"/>
              </w:rPr>
            </w:pPr>
            <w:r>
              <w:rPr>
                <w:rFonts w:ascii="Arial" w:cs="Arial" w:eastAsia="Arial" w:hAnsi="Arial"/>
                <w:sz w:val="16"/>
                <w:szCs w:val="16"/>
                <w:b w:val="1"/>
                <w:bCs w:val="1"/>
                <w:color w:val="auto"/>
                <w:w w:val="95"/>
              </w:rPr>
              <w:t>At December 31, 2018</w:t>
            </w:r>
          </w:p>
        </w:tc>
        <w:tc>
          <w:tcPr>
            <w:tcW w:w="0" w:type="dxa"/>
            <w:vAlign w:val="bottom"/>
          </w:tcPr>
          <w:p>
            <w:pPr>
              <w:spacing w:after="0"/>
              <w:rPr>
                <w:sz w:val="1"/>
                <w:szCs w:val="1"/>
                <w:color w:val="auto"/>
              </w:rPr>
            </w:pPr>
          </w:p>
        </w:tc>
      </w:tr>
      <w:tr>
        <w:trPr>
          <w:trHeight w:val="250"/>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Exchange Notes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Unamortized debt issuance costs</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Senior Unsecured Notes</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Unamortized debt issuance costs</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IAC Notes</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Corporate Credit Facility</w:t>
            </w: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Unamortized debt discount and issuance costs</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97"/>
        </w:trPr>
        <w:tc>
          <w:tcPr>
            <w:tcW w:w="7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Revolving Corporate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Unamortized debt issuance costs</w:t>
            </w:r>
            <w:r>
              <w:rPr>
                <w:rFonts w:ascii="Arial" w:cs="Arial" w:eastAsia="Arial" w:hAnsi="Arial"/>
                <w:sz w:val="18"/>
                <w:szCs w:val="18"/>
                <w:color w:val="auto"/>
                <w:vertAlign w:val="superscript"/>
              </w:rPr>
              <w:t>(1)</w:t>
            </w:r>
          </w:p>
        </w:tc>
        <w:tc>
          <w:tcPr>
            <w:tcW w:w="2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7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notes, gross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Unamortized debt discount and issuance costs</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97"/>
        </w:trPr>
        <w:tc>
          <w:tcPr>
            <w:tcW w:w="7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Non-Interest bearing note payable</w:t>
            </w: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Unamortized debt discount</w:t>
            </w:r>
          </w:p>
        </w:tc>
        <w:tc>
          <w:tcPr>
            <w:tcW w:w="28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97"/>
        </w:trPr>
        <w:tc>
          <w:tcPr>
            <w:tcW w:w="7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leases</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7"/>
        </w:trPr>
        <w:tc>
          <w:tcPr>
            <w:tcW w:w="720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660" w:hanging="652"/>
        <w:spacing w:after="0" w:line="216" w:lineRule="auto"/>
        <w:tabs>
          <w:tab w:leader="none" w:pos="6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Excludes $4 million of unamortized debt issuance costs as of December 31, 2018, as no cash borrowings were outstanding on the Revolving Corporate Credit Facility at that time.</w:t>
      </w:r>
    </w:p>
    <w:p>
      <w:pPr>
        <w:spacing w:after="0" w:line="95"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table shows scheduled future principal payments for our debt, excluding finance leases, as of June 30, 2019.</w:t>
      </w:r>
    </w:p>
    <w:p>
      <w:pPr>
        <w:spacing w:after="0" w:line="185" w:lineRule="exact"/>
        <w:rPr>
          <w:sz w:val="20"/>
          <w:szCs w:val="20"/>
          <w:color w:val="auto"/>
        </w:rPr>
      </w:pPr>
    </w:p>
    <w:tbl>
      <w:tblPr>
        <w:tblLayout w:type="fixed"/>
        <w:tblInd w:w="1180" w:type="dxa"/>
        <w:tblCellMar>
          <w:top w:w="0" w:type="dxa"/>
          <w:left w:w="0" w:type="dxa"/>
          <w:bottom w:w="0" w:type="dxa"/>
          <w:right w:w="0" w:type="dxa"/>
        </w:tblCellMar>
      </w:tblPr>
      <w:tr>
        <w:trPr>
          <w:trHeight w:val="210"/>
        </w:trPr>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5"/>
          </w:tcPr>
          <w:p>
            <w:pPr>
              <w:ind w:left="580"/>
              <w:spacing w:after="0"/>
              <w:rPr>
                <w:sz w:val="20"/>
                <w:szCs w:val="20"/>
                <w:color w:val="auto"/>
              </w:rPr>
            </w:pPr>
            <w:r>
              <w:rPr>
                <w:rFonts w:ascii="Arial" w:cs="Arial" w:eastAsia="Arial" w:hAnsi="Arial"/>
                <w:sz w:val="16"/>
                <w:szCs w:val="16"/>
                <w:b w:val="1"/>
                <w:bCs w:val="1"/>
                <w:color w:val="auto"/>
                <w:w w:val="92"/>
              </w:rPr>
              <w:t>Payments Year</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33"/>
        </w:trPr>
        <w:tc>
          <w:tcPr>
            <w:tcW w:w="2560" w:type="dxa"/>
            <w:vAlign w:val="bottom"/>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9"/>
        </w:trPr>
        <w:tc>
          <w:tcPr>
            <w:tcW w:w="256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7"/>
        </w:trPr>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9"/>
              </w:rPr>
              <w:t>Thereafter</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w w:val="99"/>
              </w:rPr>
              <w:t>Total</w:t>
            </w:r>
          </w:p>
        </w:tc>
      </w:tr>
      <w:tr>
        <w:trPr>
          <w:trHeight w:val="250"/>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Exchange Notes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43"/>
        </w:trPr>
        <w:tc>
          <w:tcPr>
            <w:tcW w:w="2560" w:type="dxa"/>
            <w:vAlign w:val="bottom"/>
          </w:tcPr>
          <w:p>
            <w:pPr>
              <w:ind w:left="20"/>
              <w:spacing w:after="0"/>
              <w:rPr>
                <w:sz w:val="20"/>
                <w:szCs w:val="20"/>
                <w:color w:val="auto"/>
              </w:rPr>
            </w:pPr>
            <w:r>
              <w:rPr>
                <w:rFonts w:ascii="Arial" w:cs="Arial" w:eastAsia="Arial" w:hAnsi="Arial"/>
                <w:sz w:val="18"/>
                <w:szCs w:val="18"/>
                <w:color w:val="auto"/>
              </w:rPr>
              <w:t>Senior Unsecured Notes</w:t>
            </w:r>
          </w:p>
        </w:tc>
        <w:tc>
          <w:tcPr>
            <w:tcW w:w="20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7"/>
        </w:trPr>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IAC Notes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43"/>
        </w:trPr>
        <w:tc>
          <w:tcPr>
            <w:tcW w:w="2560" w:type="dxa"/>
            <w:vAlign w:val="bottom"/>
          </w:tcPr>
          <w:p>
            <w:pPr>
              <w:ind w:left="20"/>
              <w:spacing w:after="0"/>
              <w:rPr>
                <w:sz w:val="20"/>
                <w:szCs w:val="20"/>
                <w:color w:val="auto"/>
              </w:rPr>
            </w:pPr>
            <w:r>
              <w:rPr>
                <w:rFonts w:ascii="Arial" w:cs="Arial" w:eastAsia="Arial" w:hAnsi="Arial"/>
                <w:sz w:val="18"/>
                <w:szCs w:val="18"/>
                <w:color w:val="auto"/>
              </w:rPr>
              <w:t>Term Loan</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895</w:t>
            </w:r>
          </w:p>
        </w:tc>
      </w:tr>
      <w:tr>
        <w:trPr>
          <w:trHeight w:val="27"/>
        </w:trPr>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9"/>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Corporate Credit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7"/>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Facility</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256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20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7"/>
        </w:trPr>
        <w:tc>
          <w:tcPr>
            <w:tcW w:w="2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9"/>
        </w:trPr>
        <w:tc>
          <w:tcPr>
            <w:tcW w:w="25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5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850" w:right="2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Our Senior Notes include the following: $750 million aggregate principal amount of 6.500% senior unsecured notes due 2026 issued in the third quarter of 2018 (the “Senior Unsecured Notes”); $350 million in aggregate principal amount of outstanding 5.625% Senior Unsecured Notes due 2023 assumed in connection with the ILG Acquisition (the “IAC Notes”); and 5.625% Senior Unsecured Notes due 2023 offered in exchange for the IAC Notes during the third quarter of 2018 (the “Exchange Notes”).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Credit Facility</w:t>
      </w:r>
    </w:p>
    <w:p>
      <w:pPr>
        <w:spacing w:after="0" w:line="11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corporate credit facility (“Corporate Credit Facility”), which provides support for our business, including ongoing liquidity and letters of credit, includes a $900 million term loan facility (the “Term Loan”) which matures on August 31, 2025, and a Revolving Corporate Credit Facility with a borrowing capacity of $600 million that terminates on August 31, 2023. The Term Loan bears interest at LIBOR plus 2.25 percent. Borrowings under the Revolving Corporate Credit Facility generally bear interest at a floating rate plus an applicable margin that varies from 0.50 percent to 2.75 percent depending on the type of loan and our credit rating. In addition, we pay a commitment fee on the unused availability under the Revolving Corporate Credit Facility at a rate that varies from 20 to 40 basis points per annum, also depending on our credit rating. The Revolving Corporate Credit Facility also includes a letter of credit sub-facility of $75 million. As of June 30, 2019, we were in compliance with the applicable financial and operating covenants under the Corporate Credit Facility.</w:t>
      </w:r>
    </w:p>
    <w:p>
      <w:pPr>
        <w:spacing w:after="0" w:line="5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entered into $250 million of interest rate swaps under which we pay a fixed rate of 2.9625 percent and receive a floating interest rate through September 2023 and $200 million of interest rate swaps under which we pay a fixed rate of 2.2480 percent and receive a floating interest rate through April 2024, in each case to hedge a portion of our interest rate risk on the Term Loan. We also entered into a $100 million interest rate collar with a cap strike rate of 2.5000% and a floor strike rate of 1.8810% through April 2024 to further hedge our interest rate risk on the Term Loan. Both the interest rate swaps and the interest rate collar have been designated and qualify as cash flow hedges of interest rate risk and recorded in Other liabilities on our Balance Sheet as of June 30, 2019. We characterize payments we make in connection with these derivative instruments as interest expense and a reclassification of accumulated other comprehensive income for presentation purposes.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reflects the activity in accumulated other comprehensive loss related to our derivative instruments during the first half of 2019:</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right"/>
              <w:ind w:right="132"/>
              <w:spacing w:after="0"/>
              <w:rPr>
                <w:sz w:val="20"/>
                <w:szCs w:val="20"/>
                <w:color w:val="auto"/>
              </w:rPr>
            </w:pPr>
            <w:r>
              <w:rPr>
                <w:rFonts w:ascii="Arial" w:cs="Arial" w:eastAsia="Arial" w:hAnsi="Arial"/>
                <w:sz w:val="16"/>
                <w:szCs w:val="16"/>
                <w:b w:val="1"/>
                <w:bCs w:val="1"/>
                <w:color w:val="auto"/>
                <w:w w:val="96"/>
              </w:rPr>
              <w:t>Derivative Instrument</w:t>
            </w:r>
          </w:p>
        </w:tc>
      </w:tr>
      <w:tr>
        <w:trPr>
          <w:trHeight w:val="237"/>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Adjustments</w:t>
            </w: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7200" w:type="dxa"/>
            <w:vAlign w:val="bottom"/>
          </w:tcPr>
          <w:p>
            <w:pPr>
              <w:ind w:left="260"/>
              <w:spacing w:after="0"/>
              <w:rPr>
                <w:sz w:val="20"/>
                <w:szCs w:val="20"/>
                <w:color w:val="auto"/>
              </w:rPr>
            </w:pPr>
            <w:r>
              <w:rPr>
                <w:rFonts w:ascii="Arial" w:cs="Arial" w:eastAsia="Arial" w:hAnsi="Arial"/>
                <w:sz w:val="18"/>
                <w:szCs w:val="18"/>
                <w:color w:val="auto"/>
              </w:rPr>
              <w:t>Other comprehensive loss before reclassifications</w:t>
            </w: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Reclassification to Income Statement</w:t>
            </w:r>
          </w:p>
        </w:tc>
        <w:tc>
          <w:tcPr>
            <w:tcW w:w="1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7200" w:type="dxa"/>
            <w:vAlign w:val="bottom"/>
          </w:tcPr>
          <w:p>
            <w:pPr>
              <w:ind w:left="480"/>
              <w:spacing w:after="0"/>
              <w:rPr>
                <w:sz w:val="20"/>
                <w:szCs w:val="20"/>
                <w:color w:val="auto"/>
              </w:rPr>
            </w:pPr>
            <w:r>
              <w:rPr>
                <w:rFonts w:ascii="Arial" w:cs="Arial" w:eastAsia="Arial" w:hAnsi="Arial"/>
                <w:sz w:val="18"/>
                <w:szCs w:val="18"/>
                <w:color w:val="auto"/>
              </w:rPr>
              <w:t>Net other comprehensive loss</w:t>
            </w:r>
          </w:p>
        </w:tc>
        <w:tc>
          <w:tcPr>
            <w:tcW w:w="18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7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2019</w:t>
            </w: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7200" w:type="dxa"/>
            <w:vAlign w:val="bottom"/>
          </w:tcPr>
          <w:p>
            <w:pPr>
              <w:ind w:left="260"/>
              <w:spacing w:after="0"/>
              <w:rPr>
                <w:sz w:val="20"/>
                <w:szCs w:val="20"/>
                <w:color w:val="auto"/>
              </w:rPr>
            </w:pPr>
            <w:r>
              <w:rPr>
                <w:rFonts w:ascii="Arial" w:cs="Arial" w:eastAsia="Arial" w:hAnsi="Arial"/>
                <w:sz w:val="18"/>
                <w:szCs w:val="18"/>
                <w:color w:val="auto"/>
              </w:rPr>
              <w:t>Other comprehensive loss before reclassifications</w:t>
            </w: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Reclassification to Income Statement</w:t>
            </w:r>
          </w:p>
        </w:tc>
        <w:tc>
          <w:tcPr>
            <w:tcW w:w="1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7200" w:type="dxa"/>
            <w:vAlign w:val="bottom"/>
          </w:tcPr>
          <w:p>
            <w:pPr>
              <w:ind w:left="480"/>
              <w:spacing w:after="0"/>
              <w:rPr>
                <w:sz w:val="20"/>
                <w:szCs w:val="20"/>
                <w:color w:val="auto"/>
              </w:rPr>
            </w:pPr>
            <w:r>
              <w:rPr>
                <w:rFonts w:ascii="Arial" w:cs="Arial" w:eastAsia="Arial" w:hAnsi="Arial"/>
                <w:sz w:val="18"/>
                <w:szCs w:val="18"/>
                <w:color w:val="auto"/>
              </w:rPr>
              <w:t>Net other comprehensive loss</w:t>
            </w:r>
          </w:p>
        </w:tc>
        <w:tc>
          <w:tcPr>
            <w:tcW w:w="18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Our $230 million of 1.50% Convertible Senior Notes due 2022 (the “Convertible Notes”) were convertible at an initial rate of 6.7482 shares of common stock per $1,000 principal amount of Convertible Notes (equivalent to an initial conversion price of approximately $148.19 per share of our common stock). The conversion rate is subject to adjustment for certain events as described in the indenture governing the notes and was subject to adjustment during the second quarter of 2019 to 6.7825 shares of common stock per $1,000 principal amount of Convertible Notes (equivalent to a conversion price of approximately $147.44 per share of our common stock) when we declared a quarterly dividend of $0.45 per share, which was greater than the quarterly dividend at the time of the issuance of the Convertible Notes. Upon conversion, we will pay or deliver, as the case may be, cash, shares of our common stock or a combination of cash and shares of our common stock, at our election. It is our intent to settle conversions of the Convertible Notes through combination settlement, which contemplates repayment in cash of the principal amount and repayment in shares of our common stock of any excess of the conversion value over the principal amount. As of June 30, 2019, the effective interest rate was 4.7% and the remaining discount amortization period was 3.2 years.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color w:val="auto"/>
        </w:rPr>
        <w:t>The following table shows the net carrying value of the Convertible Notes.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Pr>
          <w:p>
            <w:pPr>
              <w:spacing w:after="0"/>
              <w:rPr>
                <w:sz w:val="20"/>
                <w:szCs w:val="20"/>
                <w:color w:val="auto"/>
              </w:rPr>
            </w:pPr>
          </w:p>
        </w:tc>
        <w:tc>
          <w:tcPr>
            <w:tcW w:w="1960" w:type="dxa"/>
            <w:vAlign w:val="bottom"/>
            <w:gridSpan w:val="2"/>
          </w:tcPr>
          <w:p>
            <w:pPr>
              <w:ind w:left="180"/>
              <w:spacing w:after="0"/>
              <w:rPr>
                <w:sz w:val="20"/>
                <w:szCs w:val="20"/>
                <w:color w:val="auto"/>
              </w:rPr>
            </w:pPr>
            <w:r>
              <w:rPr>
                <w:rFonts w:ascii="Arial" w:cs="Arial" w:eastAsia="Arial" w:hAnsi="Arial"/>
                <w:sz w:val="16"/>
                <w:szCs w:val="16"/>
                <w:b w:val="1"/>
                <w:bCs w:val="1"/>
                <w:color w:val="auto"/>
              </w:rPr>
              <w:t>At June 30, 2019</w:t>
            </w:r>
          </w:p>
        </w:tc>
        <w:tc>
          <w:tcPr>
            <w:tcW w:w="220" w:type="dxa"/>
            <w:vAlign w:val="bottom"/>
          </w:tcPr>
          <w:p>
            <w:pPr>
              <w:spacing w:after="0"/>
              <w:rPr>
                <w:sz w:val="20"/>
                <w:szCs w:val="20"/>
                <w:color w:val="auto"/>
              </w:rPr>
            </w:pPr>
          </w:p>
        </w:tc>
        <w:tc>
          <w:tcPr>
            <w:tcW w:w="1940" w:type="dxa"/>
            <w:vAlign w:val="bottom"/>
          </w:tcPr>
          <w:p>
            <w:pPr>
              <w:jc w:val="right"/>
              <w:ind w:right="231"/>
              <w:spacing w:after="0"/>
              <w:rPr>
                <w:sz w:val="20"/>
                <w:szCs w:val="20"/>
                <w:color w:val="auto"/>
              </w:rPr>
            </w:pPr>
            <w:r>
              <w:rPr>
                <w:rFonts w:ascii="Arial" w:cs="Arial" w:eastAsia="Arial" w:hAnsi="Arial"/>
                <w:sz w:val="16"/>
                <w:szCs w:val="16"/>
                <w:b w:val="1"/>
                <w:bCs w:val="1"/>
                <w:color w:val="auto"/>
                <w:w w:val="96"/>
              </w:rPr>
              <w:t>At December 31, 2018</w:t>
            </w:r>
          </w:p>
        </w:tc>
      </w:tr>
      <w:tr>
        <w:trPr>
          <w:trHeight w:val="250"/>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component</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Principal amount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3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230</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Unamortized debt discount</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Unamortized debt issuance costs</w:t>
            </w:r>
          </w:p>
        </w:tc>
        <w:tc>
          <w:tcPr>
            <w:tcW w:w="3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carrying amount of the liability component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84"/>
        </w:trPr>
        <w:tc>
          <w:tcPr>
            <w:tcW w:w="6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43"/>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Carrying amount of equity component, net of issuance costs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r>
      <w:tr>
        <w:trPr>
          <w:trHeight w:val="27"/>
        </w:trPr>
        <w:tc>
          <w:tcPr>
            <w:tcW w:w="69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interest expense information related to the Convertible Notes.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5"/>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3480" w:type="dxa"/>
            <w:vAlign w:val="bottom"/>
            <w:gridSpan w:val="4"/>
          </w:tcPr>
          <w:p>
            <w:pPr>
              <w:jc w:val="right"/>
              <w:ind w:right="113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3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June 30, 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June 30, 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June 30, 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June 30, 2018</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Amortization of debt discount</w:t>
            </w:r>
          </w:p>
        </w:tc>
        <w:tc>
          <w:tcPr>
            <w:tcW w:w="2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37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r>
      <w:tr>
        <w:trPr>
          <w:trHeight w:val="27"/>
        </w:trPr>
        <w:tc>
          <w:tcPr>
            <w:tcW w:w="3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 Hedges and Warrants</w:t>
      </w:r>
    </w:p>
    <w:p>
      <w:pPr>
        <w:spacing w:after="0" w:line="11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connection with the offering of the Convertible Notes, we concurrently entered into the following privately-negotiated separate transactions: convertible note hedge transactions with respect to our common stock (“Convertible Note Hedges”), covering a total of approximately 1.55 million shares of our common stock, and warrant transactions (“Warrants”), whereby we sold to the counterparties to the Convertible Note Hedges warrants to acquire approximately 1.55 million shares of our common stock at an initial strike price of $176.68 per share. The strike price was subject to adjustment during the second quarter of 2019 to $175.79 per share when we declared a quarterly dividend of $0.45 per share. As of June 30, 2019, no Convertible Note Hedges or Warrants have been exercised.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Leases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Footnote 12 “Leases” for information on our finance leases accounted for under ASC 842.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w:t>
      </w:r>
    </w:p>
    <w:p>
      <w:pPr>
        <w:spacing w:after="0" w:line="11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Amounts borrowed under the Corporate Credit Facility, as well as obligations with respect to letters of credit issued pursuant to that facility, are secured by a perfected first priority security interest in substantially all of the assets of the borrowers under, and guarantors of, that facility (which include MVWC and certain of our direct and indirect, existing and future, domestic subsidiaries, excluding certain bankruptcy remote special purpose subsidiaries), in each case including inventory, subject to certain exceptions. The IAC Notes are guaranteed by MVWC, ILG and certain other subsidiaries whose voting securities are wholly owned directly or indirectly by ILG. The Senior Unsecured Notes are guaranteed by MVWC and certain of its subsidiaries whose voting securities are wholly owned directly or indirectly by MVWC. The Exchange Notes are guaranteed by MVWC and its domestic subsidiaries that guarantee the Corporate Credit Facility. See Footnote 19 “Supplemental Guarantor Information” for additional information.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76" w:right="239" w:bottom="1440" w:gutter="0" w:footer="0" w:header="0"/>
        </w:sectPr>
      </w:pPr>
    </w:p>
    <w:bookmarkStart w:id="39" w:name="page40"/>
    <w:bookmarkEnd w:id="39"/>
    <w:p>
      <w:pPr>
        <w:ind w:left="40"/>
        <w:spacing w:after="0"/>
        <w:rPr>
          <w:sz w:val="20"/>
          <w:szCs w:val="20"/>
          <w:color w:val="auto"/>
        </w:rPr>
      </w:pPr>
      <w:r>
        <w:rPr>
          <w:rFonts w:ascii="Arial" w:cs="Arial" w:eastAsia="Arial" w:hAnsi="Arial"/>
          <w:sz w:val="18"/>
          <w:szCs w:val="18"/>
          <w:b w:val="1"/>
          <w:bCs w:val="1"/>
          <w:color w:val="auto"/>
        </w:rPr>
        <w:t>15. SHAREHOLDERS’ EQUITY</w:t>
      </w:r>
    </w:p>
    <w:p>
      <w:pPr>
        <w:spacing w:after="0" w:line="148"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Marriott Vacations Worldwide has 100,000,000 authorized shares of common stock, par value of $0.01 per share. At June 30, 2019, there were 57,862,278 shares of Marriott Vacations Worldwide common stock issued, of which 43,882,669 shares were outstanding and 13,979,609 shares were held as treasury stock. At December 31, 2018, there were 57,626,462 shares of Marriott Vacations Worldwide common stock issued, of which 45,992,731 shares were outstanding and 11,633,731 shares were held as treasury stock. Marriott Vacations Worldwide has 2,000,000 authorized shares of preferred stock, par value of $0.01 per share, none of which were issued or outstanding as of June 30, 2019 or December 31,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share repurchase activity under our current share repurchase program: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Number of Shares</w:t>
            </w:r>
          </w:p>
        </w:tc>
        <w:tc>
          <w:tcPr>
            <w:tcW w:w="300" w:type="dxa"/>
            <w:vAlign w:val="bottom"/>
          </w:tcPr>
          <w:p>
            <w:pPr>
              <w:spacing w:after="0"/>
              <w:rPr>
                <w:sz w:val="17"/>
                <w:szCs w:val="17"/>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Cost of Shares</w:t>
            </w:r>
          </w:p>
        </w:tc>
        <w:tc>
          <w:tcPr>
            <w:tcW w:w="160" w:type="dxa"/>
            <w:vAlign w:val="bottom"/>
          </w:tcPr>
          <w:p>
            <w:pPr>
              <w:spacing w:after="0"/>
              <w:rPr>
                <w:sz w:val="17"/>
                <w:szCs w:val="17"/>
                <w:color w:val="auto"/>
              </w:rPr>
            </w:pPr>
          </w:p>
        </w:tc>
        <w:tc>
          <w:tcPr>
            <w:tcW w:w="1780" w:type="dxa"/>
            <w:vAlign w:val="bottom"/>
          </w:tcPr>
          <w:p>
            <w:pPr>
              <w:jc w:val="right"/>
              <w:ind w:right="74"/>
              <w:spacing w:after="0"/>
              <w:rPr>
                <w:sz w:val="20"/>
                <w:szCs w:val="20"/>
                <w:color w:val="auto"/>
              </w:rPr>
            </w:pPr>
            <w:r>
              <w:rPr>
                <w:rFonts w:ascii="Arial" w:cs="Arial" w:eastAsia="Arial" w:hAnsi="Arial"/>
                <w:sz w:val="16"/>
                <w:szCs w:val="16"/>
                <w:b w:val="1"/>
                <w:bCs w:val="1"/>
                <w:color w:val="auto"/>
                <w:w w:val="91"/>
              </w:rPr>
              <w:t>Average Price Paid per</w:t>
            </w:r>
          </w:p>
        </w:tc>
      </w:tr>
      <w:tr>
        <w:trPr>
          <w:trHeight w:val="237"/>
        </w:trPr>
        <w:tc>
          <w:tcPr>
            <w:tcW w:w="52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 except per share amounts)</w:t>
            </w: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Repurchased</w:t>
            </w:r>
          </w:p>
        </w:tc>
        <w:tc>
          <w:tcPr>
            <w:tcW w:w="300" w:type="dxa"/>
            <w:vAlign w:val="bottom"/>
          </w:tcPr>
          <w:p>
            <w:pPr>
              <w:spacing w:after="0"/>
              <w:rPr>
                <w:sz w:val="20"/>
                <w:szCs w:val="20"/>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Repurchased</w:t>
            </w:r>
          </w:p>
        </w:tc>
        <w:tc>
          <w:tcPr>
            <w:tcW w:w="160" w:type="dxa"/>
            <w:vAlign w:val="bottom"/>
          </w:tcPr>
          <w:p>
            <w:pPr>
              <w:spacing w:after="0"/>
              <w:rPr>
                <w:sz w:val="20"/>
                <w:szCs w:val="20"/>
                <w:color w:val="auto"/>
              </w:rPr>
            </w:pPr>
          </w:p>
        </w:tc>
        <w:tc>
          <w:tcPr>
            <w:tcW w:w="1780" w:type="dxa"/>
            <w:vAlign w:val="bottom"/>
          </w:tcPr>
          <w:p>
            <w:pPr>
              <w:jc w:val="right"/>
              <w:ind w:right="674"/>
              <w:spacing w:after="0"/>
              <w:rPr>
                <w:sz w:val="20"/>
                <w:szCs w:val="20"/>
                <w:color w:val="auto"/>
              </w:rPr>
            </w:pPr>
            <w:r>
              <w:rPr>
                <w:rFonts w:ascii="Arial" w:cs="Arial" w:eastAsia="Arial" w:hAnsi="Arial"/>
                <w:sz w:val="16"/>
                <w:szCs w:val="16"/>
                <w:b w:val="1"/>
                <w:bCs w:val="1"/>
                <w:color w:val="auto"/>
              </w:rPr>
              <w:t>Share</w:t>
            </w: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2018</w:t>
            </w:r>
          </w:p>
        </w:tc>
        <w:tc>
          <w:tcPr>
            <w:tcW w:w="20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11,687,774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67.85</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For the first half of 2019</w:t>
            </w:r>
          </w:p>
        </w:tc>
        <w:tc>
          <w:tcPr>
            <w:tcW w:w="2060" w:type="dxa"/>
            <w:vAlign w:val="bottom"/>
          </w:tcPr>
          <w:p>
            <w:pPr>
              <w:jc w:val="right"/>
              <w:ind w:right="34"/>
              <w:spacing w:after="0"/>
              <w:rPr>
                <w:sz w:val="20"/>
                <w:szCs w:val="20"/>
                <w:color w:val="auto"/>
              </w:rPr>
            </w:pPr>
            <w:r>
              <w:rPr>
                <w:rFonts w:ascii="Arial" w:cs="Arial" w:eastAsia="Arial" w:hAnsi="Arial"/>
                <w:sz w:val="18"/>
                <w:szCs w:val="18"/>
                <w:color w:val="auto"/>
              </w:rPr>
              <w:t>2,358,808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91.12</w:t>
            </w:r>
          </w:p>
        </w:tc>
      </w:tr>
      <w:tr>
        <w:trPr>
          <w:trHeight w:val="27"/>
        </w:trPr>
        <w:tc>
          <w:tcPr>
            <w:tcW w:w="526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June 30, 2019</w:t>
            </w:r>
          </w:p>
        </w:tc>
        <w:tc>
          <w:tcPr>
            <w:tcW w:w="2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14,046,582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71.76</w:t>
            </w:r>
          </w:p>
        </w:tc>
      </w:tr>
      <w:tr>
        <w:trPr>
          <w:trHeight w:val="20"/>
        </w:trPr>
        <w:tc>
          <w:tcPr>
            <w:tcW w:w="526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As of June 30, 2019, our Board of Directors had authorized the repurchase of an aggregate of up to 14.9 million shares of our common stock under the share repurchase program since the initiation of the program in October 2013. Subsequent to the end of the second quarter of 2019, our Board of Directors authorized the extension of the duration of our existing share repurchase program to December 31, 2020, as well as the repurchase of up to 4.5 million additional shares of our common stock. Share repurchases may be made through open market purchases, privately negotiated transactions, block transactions, tender offers, accelerated share repurchase agreements or otherwise. The specific timing, amount and other terms of the repurchases will depend on market conditions, corporate and regulatory requirements and other factors. Acquired shares of our common stock are held as treasury shares carried at cost in our Financial Statements. In connection with the repurchase program, we are authorized to adopt one or more trading plans pursuant to the provisions of Rule 10b5-1 under the Securities Exchange Act of 1934, as amended.</w:t>
      </w:r>
    </w:p>
    <w:p>
      <w:pPr>
        <w:spacing w:after="0" w:line="71"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As of June 30, 2019, 0.6 million shares remained available for repurchase under the authorization approved by our Board of Directors. The authorization for the share repurchase program may be suspended, terminated, increased or decreased by our Board of Directors at any time without prior notice.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declared cash dividends to holders of common stock during the first half of 2019 as follows:</w:t>
      </w:r>
    </w:p>
    <w:p>
      <w:pPr>
        <w:spacing w:after="0" w:line="185"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2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Declaration Date</w:t>
            </w:r>
          </w:p>
        </w:tc>
        <w:tc>
          <w:tcPr>
            <w:tcW w:w="2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Shareholder Record Date</w:t>
            </w:r>
          </w:p>
        </w:tc>
        <w:tc>
          <w:tcPr>
            <w:tcW w:w="2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Distribution Date</w:t>
            </w:r>
          </w:p>
        </w:tc>
        <w:tc>
          <w:tcPr>
            <w:tcW w:w="2540" w:type="dxa"/>
            <w:vAlign w:val="bottom"/>
          </w:tcPr>
          <w:p>
            <w:pPr>
              <w:jc w:val="center"/>
              <w:spacing w:after="0"/>
              <w:rPr>
                <w:sz w:val="20"/>
                <w:szCs w:val="20"/>
                <w:color w:val="auto"/>
              </w:rPr>
            </w:pPr>
            <w:r>
              <w:rPr>
                <w:rFonts w:ascii="Arial" w:cs="Arial" w:eastAsia="Arial" w:hAnsi="Arial"/>
                <w:sz w:val="16"/>
                <w:szCs w:val="16"/>
                <w:b w:val="1"/>
                <w:bCs w:val="1"/>
                <w:color w:val="auto"/>
                <w:w w:val="91"/>
              </w:rPr>
              <w:t>Dividend per Share</w:t>
            </w:r>
          </w:p>
        </w:tc>
      </w:tr>
      <w:tr>
        <w:trPr>
          <w:trHeight w:val="33"/>
        </w:trPr>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February 15, 2019</w:t>
            </w:r>
          </w:p>
        </w:tc>
        <w:tc>
          <w:tcPr>
            <w:tcW w:w="28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February 28, 2019</w:t>
            </w:r>
          </w:p>
        </w:tc>
        <w:tc>
          <w:tcPr>
            <w:tcW w:w="2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March 14, 2019</w:t>
            </w:r>
          </w:p>
        </w:tc>
        <w:tc>
          <w:tcPr>
            <w:tcW w:w="2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$0.45</w:t>
            </w:r>
          </w:p>
        </w:tc>
      </w:tr>
      <w:tr>
        <w:trPr>
          <w:trHeight w:val="243"/>
        </w:trPr>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May 9, 2019</w:t>
            </w:r>
          </w:p>
        </w:tc>
        <w:tc>
          <w:tcPr>
            <w:tcW w:w="28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May 23, 2019</w:t>
            </w:r>
          </w:p>
        </w:tc>
        <w:tc>
          <w:tcPr>
            <w:tcW w:w="2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June 6, 2019</w:t>
            </w:r>
          </w:p>
        </w:tc>
        <w:tc>
          <w:tcPr>
            <w:tcW w:w="2540" w:type="dxa"/>
            <w:vAlign w:val="bottom"/>
          </w:tcPr>
          <w:p>
            <w:pPr>
              <w:jc w:val="center"/>
              <w:spacing w:after="0"/>
              <w:rPr>
                <w:sz w:val="20"/>
                <w:szCs w:val="20"/>
                <w:color w:val="auto"/>
              </w:rPr>
            </w:pPr>
            <w:r>
              <w:rPr>
                <w:rFonts w:ascii="Arial" w:cs="Arial" w:eastAsia="Arial" w:hAnsi="Arial"/>
                <w:sz w:val="18"/>
                <w:szCs w:val="18"/>
                <w:color w:val="auto"/>
                <w:w w:val="88"/>
              </w:rPr>
              <w:t>$0.45</w:t>
            </w: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future dividend payments will be subject to Board approval, and there can be no assurance that we will pay dividends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Property Owners’ Associations</w:t>
      </w:r>
    </w:p>
    <w:p>
      <w:pPr>
        <w:spacing w:after="0" w:line="11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As part of the ILG Acquisition we established a noncontrolling interest in property owners’ associations that Legacy-ILG consolidates under the voting interest model, which represents the portion of the property owners’ associations related to individual or third-party VOI owners. As of June 30, 2019, this noncontrolling interest amounts to $10 million and is included on our Balance Sheet as a component of equity.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50" w:right="239" w:bottom="1440" w:gutter="0" w:footer="0" w:header="0"/>
        </w:sectPr>
      </w:pPr>
    </w:p>
    <w:bookmarkStart w:id="40" w:name="page41"/>
    <w:bookmarkEnd w:id="40"/>
    <w:p>
      <w:pPr>
        <w:ind w:left="40"/>
        <w:spacing w:after="0"/>
        <w:rPr>
          <w:sz w:val="20"/>
          <w:szCs w:val="20"/>
          <w:color w:val="auto"/>
        </w:rPr>
      </w:pPr>
      <w:r>
        <w:rPr>
          <w:rFonts w:ascii="Arial" w:cs="Arial" w:eastAsia="Arial" w:hAnsi="Arial"/>
          <w:sz w:val="18"/>
          <w:szCs w:val="18"/>
          <w:b w:val="1"/>
          <w:bCs w:val="1"/>
          <w:color w:val="auto"/>
        </w:rPr>
        <w:t>16. SHARE-BASED COMPENSATION</w:t>
      </w:r>
    </w:p>
    <w:p>
      <w:pPr>
        <w:spacing w:after="0" w:line="14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We maintain the Marriott Vacations Worldwide Corporation Stock and Cash Incentive Plan (the “MVW Stock Plan”) for the benefit of our officers, directors and employees. Under the MVW Stock Plan, we are authorized to award: (1) restricted stock units (“RSUs”) of our common stock, (2) SARs relating to our common stock and (3) stock options to purchase our common stock. A total of 6 million shares are authorized for issuance pursuant to grants under the MVW Stock Plan. As of June 30, 2019, 1 million shares were available for grants under the MVW Stock Plan.</w:t>
      </w:r>
    </w:p>
    <w:p>
      <w:pPr>
        <w:spacing w:after="0" w:line="63" w:lineRule="exact"/>
        <w:rPr>
          <w:sz w:val="20"/>
          <w:szCs w:val="20"/>
          <w:color w:val="auto"/>
        </w:rPr>
      </w:pPr>
    </w:p>
    <w:p>
      <w:pPr>
        <w:ind w:right="40" w:firstLine="662"/>
        <w:spacing w:after="0" w:line="264" w:lineRule="auto"/>
        <w:rPr>
          <w:sz w:val="20"/>
          <w:szCs w:val="20"/>
          <w:color w:val="auto"/>
        </w:rPr>
      </w:pPr>
      <w:r>
        <w:rPr>
          <w:rFonts w:ascii="Arial" w:cs="Arial" w:eastAsia="Arial" w:hAnsi="Arial"/>
          <w:sz w:val="18"/>
          <w:szCs w:val="18"/>
          <w:color w:val="auto"/>
        </w:rPr>
        <w:t>As part of the ILG Acquisition, we assumed the Interval Leisure Group, Inc. 2013 Stock and Incentive Plan (the “ILG Stock Plan”) and equity based awards outstanding under the ILG Stock Plan. As of June 30, 2019, 1 million shares were available for grants under the ILG Stock Plan to Legacy-ILG employees.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our share-based compensation expense related to award grants to our officers, directors and employees: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0" w:type="dxa"/>
            <w:vAlign w:val="bottom"/>
            <w:gridSpan w:val="5"/>
          </w:tcPr>
          <w:p>
            <w:pPr>
              <w:jc w:val="right"/>
              <w:ind w:right="116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0" w:type="dxa"/>
            <w:vAlign w:val="bottom"/>
            <w:gridSpan w:val="6"/>
          </w:tcPr>
          <w:p>
            <w:pPr>
              <w:jc w:val="center"/>
              <w:ind w:right="71"/>
              <w:spacing w:after="0"/>
              <w:rPr>
                <w:sz w:val="20"/>
                <w:szCs w:val="20"/>
                <w:color w:val="auto"/>
              </w:rPr>
            </w:pPr>
            <w:r>
              <w:rPr>
                <w:rFonts w:ascii="Arial" w:cs="Arial" w:eastAsia="Arial" w:hAnsi="Arial"/>
                <w:sz w:val="16"/>
                <w:szCs w:val="16"/>
                <w:b w:val="1"/>
                <w:bCs w:val="1"/>
                <w:color w:val="auto"/>
                <w:w w:val="92"/>
              </w:rPr>
              <w:t>Six Months Ended</w:t>
            </w:r>
          </w:p>
        </w:tc>
      </w:tr>
      <w:tr>
        <w:trPr>
          <w:trHeight w:val="33"/>
        </w:trPr>
        <w:tc>
          <w:tcPr>
            <w:tcW w:w="3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8"/>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June 30, 2019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6"/>
                <w:szCs w:val="16"/>
                <w:b w:val="1"/>
                <w:bCs w:val="1"/>
                <w:color w:val="auto"/>
              </w:rPr>
              <w:t>June 30, 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ind w:left="320"/>
              <w:spacing w:after="0"/>
              <w:rPr>
                <w:sz w:val="20"/>
                <w:szCs w:val="20"/>
                <w:color w:val="auto"/>
              </w:rPr>
            </w:pPr>
            <w:r>
              <w:rPr>
                <w:rFonts w:ascii="Arial" w:cs="Arial" w:eastAsia="Arial" w:hAnsi="Arial"/>
                <w:sz w:val="16"/>
                <w:szCs w:val="16"/>
                <w:b w:val="1"/>
                <w:bCs w:val="1"/>
                <w:color w:val="auto"/>
              </w:rPr>
              <w:t>June 30, 2019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June 30, 2018</w:t>
            </w: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Service-based RSUs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Performance-based RSUs</w:t>
            </w:r>
          </w:p>
        </w:tc>
        <w:tc>
          <w:tcPr>
            <w:tcW w:w="300" w:type="dxa"/>
            <w:vAlign w:val="bottom"/>
          </w:tcPr>
          <w:p>
            <w:pPr>
              <w:spacing w:after="0"/>
              <w:rPr>
                <w:sz w:val="21"/>
                <w:szCs w:val="21"/>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ILG Acquisition Converted RSUs</w:t>
            </w:r>
          </w:p>
        </w:tc>
        <w:tc>
          <w:tcPr>
            <w:tcW w:w="3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33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w:t>
            </w:r>
          </w:p>
        </w:tc>
      </w:tr>
      <w:tr>
        <w:trPr>
          <w:trHeight w:val="27"/>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SARs</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300" w:type="dxa"/>
            <w:vAlign w:val="bottom"/>
          </w:tcPr>
          <w:p>
            <w:pPr>
              <w:spacing w:after="0"/>
              <w:rPr>
                <w:sz w:val="21"/>
                <w:szCs w:val="21"/>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9"/>
        </w:trPr>
        <w:tc>
          <w:tcPr>
            <w:tcW w:w="3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7240" w:type="dxa"/>
            <w:vAlign w:val="bottom"/>
            <w:gridSpan w:val="7"/>
          </w:tcPr>
          <w:p>
            <w:pPr>
              <w:ind w:left="660"/>
              <w:spacing w:after="0"/>
              <w:rPr>
                <w:sz w:val="20"/>
                <w:szCs w:val="20"/>
                <w:color w:val="auto"/>
              </w:rPr>
            </w:pPr>
            <w:r>
              <w:rPr>
                <w:rFonts w:ascii="Arial" w:cs="Arial" w:eastAsia="Arial" w:hAnsi="Arial"/>
                <w:sz w:val="18"/>
                <w:szCs w:val="18"/>
                <w:color w:val="auto"/>
                <w:w w:val="93"/>
              </w:rPr>
              <w:t>The following table details our deferred compensation costs related to unvested awards: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99"/>
        </w:trPr>
        <w:tc>
          <w:tcPr>
            <w:tcW w:w="33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3"/>
          </w:tcPr>
          <w:p>
            <w:pPr>
              <w:ind w:left="40"/>
              <w:spacing w:after="0"/>
              <w:rPr>
                <w:sz w:val="20"/>
                <w:szCs w:val="20"/>
                <w:color w:val="auto"/>
              </w:rPr>
            </w:pPr>
            <w:r>
              <w:rPr>
                <w:rFonts w:ascii="Arial" w:cs="Arial" w:eastAsia="Arial" w:hAnsi="Arial"/>
                <w:sz w:val="16"/>
                <w:szCs w:val="16"/>
                <w:b w:val="1"/>
                <w:bCs w:val="1"/>
                <w:color w:val="auto"/>
              </w:rPr>
              <w:t>At June 30, 2019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jc w:val="right"/>
              <w:ind w:right="171"/>
              <w:spacing w:after="0"/>
              <w:rPr>
                <w:sz w:val="20"/>
                <w:szCs w:val="20"/>
                <w:color w:val="auto"/>
              </w:rPr>
            </w:pPr>
            <w:r>
              <w:rPr>
                <w:rFonts w:ascii="Arial" w:cs="Arial" w:eastAsia="Arial" w:hAnsi="Arial"/>
                <w:sz w:val="16"/>
                <w:szCs w:val="16"/>
                <w:b w:val="1"/>
                <w:bCs w:val="1"/>
                <w:color w:val="auto"/>
                <w:w w:val="91"/>
              </w:rPr>
              <w:t>At December 31, 2018</w:t>
            </w: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Service-based RSUs</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Performance-based RSUs</w:t>
            </w:r>
          </w:p>
        </w:tc>
        <w:tc>
          <w:tcPr>
            <w:tcW w:w="3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ILG Acquisition Converted RSUs</w:t>
            </w:r>
          </w:p>
        </w:tc>
        <w:tc>
          <w:tcPr>
            <w:tcW w:w="3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37"/>
        </w:trPr>
        <w:tc>
          <w:tcPr>
            <w:tcW w:w="3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w:t>
            </w:r>
          </w:p>
        </w:tc>
      </w:tr>
      <w:tr>
        <w:trPr>
          <w:trHeight w:val="27"/>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SARs</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3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9"/>
        </w:trPr>
        <w:tc>
          <w:tcPr>
            <w:tcW w:w="3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granted 189,300 service-based RSUs, which are subject to time-based vesting conditions, with a weighted average grant-date fair value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$96.25, to our employees and non-employee directors during the first half of 2019. During the first half of 2019, we also granted performance-based RSUs,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which are subject to performance-based vesting conditions, to members of management. A maximum of 287,876 RSUs may be earned under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performance-based RSU awards granted during the first half of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11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granted 111,111 SARs, with a weighted average grant-date fair value of $28.89 and a weighted average exercise price of $100.52, to members of management during the first half of 2019. We use the Black-Scholes model to estimate the fair value of the SARs granted. The expected stock price volatility was calculated based on the average of the historical and implied volatility of our stock price. The average expected life was calculated using the simplified method, as we have insufficient historical information to provide a basis for estimating average expected life.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50" w:right="239" w:bottom="144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color w:val="auto"/>
        </w:rPr>
        <w:t>The following table outlines the assumptions used to estimate the fair value of grants during the first half of 2019:</w:t>
      </w:r>
    </w:p>
    <w:p>
      <w:pPr>
        <w:spacing w:after="0" w:line="158" w:lineRule="exact"/>
        <w:rPr>
          <w:sz w:val="20"/>
          <w:szCs w:val="20"/>
          <w:color w:val="auto"/>
        </w:rPr>
      </w:pPr>
    </w:p>
    <w:tbl>
      <w:tblPr>
        <w:tblLayout w:type="fixed"/>
        <w:tblInd w:w="2700" w:type="dxa"/>
        <w:tblCellMar>
          <w:top w:w="0" w:type="dxa"/>
          <w:left w:w="0" w:type="dxa"/>
          <w:bottom w:w="0" w:type="dxa"/>
          <w:right w:w="0" w:type="dxa"/>
        </w:tblCellMar>
      </w:tblPr>
      <w:tr>
        <w:trPr>
          <w:trHeight w:val="27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76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1"/>
              </w:rPr>
              <w:t>31.10%</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760" w:type="dxa"/>
            <w:vAlign w:val="bottom"/>
          </w:tcPr>
          <w:p>
            <w:pPr>
              <w:jc w:val="center"/>
              <w:ind w:left="690"/>
              <w:spacing w:after="0"/>
              <w:rPr>
                <w:sz w:val="20"/>
                <w:szCs w:val="20"/>
                <w:color w:val="auto"/>
              </w:rPr>
            </w:pPr>
            <w:r>
              <w:rPr>
                <w:rFonts w:ascii="Arial" w:cs="Arial" w:eastAsia="Arial" w:hAnsi="Arial"/>
                <w:sz w:val="18"/>
                <w:szCs w:val="18"/>
                <w:color w:val="auto"/>
                <w:w w:val="90"/>
              </w:rPr>
              <w:t>1.76%</w:t>
            </w:r>
          </w:p>
        </w:tc>
      </w:tr>
      <w:tr>
        <w:trPr>
          <w:trHeight w:val="27"/>
        </w:trPr>
        <w:tc>
          <w:tcPr>
            <w:tcW w:w="328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2760" w:type="dxa"/>
            <w:vAlign w:val="bottom"/>
            <w:tcBorders>
              <w:bottom w:val="single" w:sz="8" w:color="CCEEFF"/>
            </w:tcBorders>
            <w:shd w:val="clear" w:color="auto" w:fill="CCEEFF"/>
          </w:tcPr>
          <w:p>
            <w:pPr>
              <w:jc w:val="center"/>
              <w:ind w:left="690"/>
              <w:spacing w:after="0"/>
              <w:rPr>
                <w:sz w:val="20"/>
                <w:szCs w:val="20"/>
                <w:color w:val="auto"/>
              </w:rPr>
            </w:pPr>
            <w:r>
              <w:rPr>
                <w:rFonts w:ascii="Arial" w:cs="Arial" w:eastAsia="Arial" w:hAnsi="Arial"/>
                <w:sz w:val="18"/>
                <w:szCs w:val="18"/>
                <w:color w:val="auto"/>
                <w:w w:val="90"/>
              </w:rPr>
              <w:t>2.59%</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2760" w:type="dxa"/>
            <w:vAlign w:val="bottom"/>
          </w:tcPr>
          <w:p>
            <w:pPr>
              <w:jc w:val="center"/>
              <w:ind w:left="670"/>
              <w:spacing w:after="0"/>
              <w:rPr>
                <w:sz w:val="20"/>
                <w:szCs w:val="20"/>
                <w:color w:val="auto"/>
              </w:rPr>
            </w:pPr>
            <w:r>
              <w:rPr>
                <w:rFonts w:ascii="Arial" w:cs="Arial" w:eastAsia="Arial" w:hAnsi="Arial"/>
                <w:sz w:val="18"/>
                <w:szCs w:val="18"/>
                <w:color w:val="auto"/>
                <w:w w:val="91"/>
              </w:rPr>
              <w:t>6.25</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Legacy-ILG Deferred Compensation Plan</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Certain deferred share units (“DSUs”) of ILG common stock were outstanding on the Acquisition Date under the Interval Leisure Group, Inc. Deferred Compensation Plan for Non-Employee Directors. On the Acquisition Date, these DSUs were converted to equity-based awards with respect to MVW’s common stock and cash-based awards, resulting in 12,265 DSUs (“ILG DSUs”) and $1 million of cash-based awards. The ILG DSUs had a weighted average fair value of $114.31 on the Acquisition Date. The services associated with the ILG DSUs were completed as of the Acquisition Date, resulting in no deferred compensation costs. The ILG DSUs and related cash-based awards were paid in full during the first quarter of 2019 and there is no remaining obligation as of June 30, 2019.</w:t>
      </w: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17. VARIABLE INTEREST ENTITIES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 Related to Our Vacation Ownership Notes Receivable Securitizations</w:t>
      </w:r>
    </w:p>
    <w:p>
      <w:pPr>
        <w:spacing w:after="0" w:line="11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consumer loans we originate to third parties. In a vacation ownership notes receivable securitization, various classes of debt securities issued by a special purpose entity are generally collateralized by a single tranche of transferred assets, which consist of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created these bankruptcy remote special purpose entities to serve as a mechanism for holding assets and related liabilities, and the entities have no equity investment at risk, making them variable interest entities.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 There is no noncontrolling interest balance related to these entities and the creditors of these entities do not have general recourse to us.</w:t>
      </w:r>
    </w:p>
    <w:p>
      <w:pPr>
        <w:spacing w:after="0" w:line="80" w:lineRule="exact"/>
        <w:rPr>
          <w:sz w:val="20"/>
          <w:szCs w:val="20"/>
          <w:color w:val="auto"/>
        </w:rPr>
      </w:pPr>
    </w:p>
    <w:p>
      <w:pPr>
        <w:jc w:val="both"/>
        <w:ind w:right="600" w:firstLine="648"/>
        <w:spacing w:after="0" w:line="264" w:lineRule="auto"/>
        <w:rPr>
          <w:sz w:val="20"/>
          <w:szCs w:val="20"/>
          <w:color w:val="auto"/>
        </w:rPr>
      </w:pPr>
      <w:r>
        <w:rPr>
          <w:rFonts w:ascii="Arial" w:cs="Arial" w:eastAsia="Arial" w:hAnsi="Arial"/>
          <w:sz w:val="18"/>
          <w:szCs w:val="18"/>
          <w:color w:val="auto"/>
        </w:rPr>
        <w:t>As part of the ILG Acquisition, we acquired the variable interests in the entities associated with ILG’s outstanding vacation ownership notes receivable securitization transactions. As these vacation ownership notes receivable securitizations are similar in nature to the Legacy-MVW vacation ownership notes receivable securitizations they have been aggregated for disclosure purposes.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76" w:right="259" w:bottom="1440" w:gutter="0" w:footer="0" w:header="0"/>
        </w:sectPr>
      </w:pPr>
    </w:p>
    <w:bookmarkStart w:id="42" w:name="page43"/>
    <w:bookmarkEnd w:id="42"/>
    <w:p>
      <w:pPr>
        <w:ind w:right="160" w:firstLine="648"/>
        <w:spacing w:after="0" w:line="277" w:lineRule="auto"/>
        <w:rPr>
          <w:sz w:val="20"/>
          <w:szCs w:val="20"/>
          <w:color w:val="auto"/>
        </w:rPr>
      </w:pPr>
      <w:r>
        <w:rPr>
          <w:rFonts w:ascii="Arial" w:cs="Arial" w:eastAsia="Arial" w:hAnsi="Arial"/>
          <w:sz w:val="18"/>
          <w:szCs w:val="18"/>
          <w:color w:val="auto"/>
        </w:rPr>
        <w:t>The following table shows consolidated assets, which are collateral for the obligations of these variable interest entities, and consolidated liabilities included on our Balance Sheet at June 30, 2019:</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Vacation Ownership</w:t>
            </w: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7"/>
              </w:rPr>
              <w:t>Notes Receivable</w:t>
            </w:r>
          </w:p>
        </w:tc>
        <w:tc>
          <w:tcPr>
            <w:tcW w:w="380" w:type="dxa"/>
            <w:vAlign w:val="bottom"/>
          </w:tcPr>
          <w:p>
            <w:pPr>
              <w:spacing w:after="0"/>
              <w:rPr>
                <w:sz w:val="17"/>
                <w:szCs w:val="17"/>
                <w:color w:val="auto"/>
              </w:rPr>
            </w:pPr>
          </w:p>
        </w:tc>
        <w:tc>
          <w:tcPr>
            <w:tcW w:w="2020" w:type="dxa"/>
            <w:vAlign w:val="bottom"/>
            <w:gridSpan w:val="2"/>
          </w:tcPr>
          <w:p>
            <w:pPr>
              <w:ind w:left="380"/>
              <w:spacing w:after="0"/>
              <w:rPr>
                <w:sz w:val="20"/>
                <w:szCs w:val="20"/>
                <w:color w:val="auto"/>
              </w:rPr>
            </w:pPr>
            <w:r>
              <w:rPr>
                <w:rFonts w:ascii="Arial" w:cs="Arial" w:eastAsia="Arial" w:hAnsi="Arial"/>
                <w:sz w:val="16"/>
                <w:szCs w:val="16"/>
                <w:b w:val="1"/>
                <w:bCs w:val="1"/>
                <w:color w:val="auto"/>
              </w:rPr>
              <w:t>Warehouse</w:t>
            </w:r>
          </w:p>
        </w:tc>
        <w:tc>
          <w:tcPr>
            <w:tcW w:w="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0"/>
                <w:szCs w:val="20"/>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Securitizations</w:t>
            </w:r>
          </w:p>
        </w:tc>
        <w:tc>
          <w:tcPr>
            <w:tcW w:w="380" w:type="dxa"/>
            <w:vAlign w:val="bottom"/>
          </w:tcPr>
          <w:p>
            <w:pPr>
              <w:spacing w:after="0"/>
              <w:rPr>
                <w:sz w:val="20"/>
                <w:szCs w:val="20"/>
                <w:color w:val="auto"/>
              </w:rPr>
            </w:pPr>
          </w:p>
        </w:tc>
        <w:tc>
          <w:tcPr>
            <w:tcW w:w="2020" w:type="dxa"/>
            <w:vAlign w:val="bottom"/>
            <w:gridSpan w:val="2"/>
          </w:tcPr>
          <w:p>
            <w:pPr>
              <w:ind w:left="260"/>
              <w:spacing w:after="0"/>
              <w:rPr>
                <w:sz w:val="20"/>
                <w:szCs w:val="20"/>
                <w:color w:val="auto"/>
              </w:rPr>
            </w:pPr>
            <w:r>
              <w:rPr>
                <w:rFonts w:ascii="Arial" w:cs="Arial" w:eastAsia="Arial" w:hAnsi="Arial"/>
                <w:sz w:val="16"/>
                <w:szCs w:val="16"/>
                <w:b w:val="1"/>
                <w:bCs w:val="1"/>
                <w:color w:val="auto"/>
              </w:rPr>
              <w:t>Credit Facility</w:t>
            </w:r>
          </w:p>
        </w:tc>
        <w:tc>
          <w:tcPr>
            <w:tcW w:w="540" w:type="dxa"/>
            <w:vAlign w:val="bottom"/>
          </w:tcPr>
          <w:p>
            <w:pPr>
              <w:spacing w:after="0"/>
              <w:rPr>
                <w:sz w:val="20"/>
                <w:szCs w:val="20"/>
                <w:color w:val="auto"/>
              </w:rPr>
            </w:pPr>
          </w:p>
        </w:tc>
        <w:tc>
          <w:tcPr>
            <w:tcW w:w="1740" w:type="dxa"/>
            <w:vAlign w:val="bottom"/>
          </w:tcPr>
          <w:p>
            <w:pPr>
              <w:jc w:val="right"/>
              <w:ind w:right="8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2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w w:val="96"/>
              </w:rPr>
              <w:t>Vacation ownership notes receivable, net of reserves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3"/>
              <w:spacing w:after="0"/>
              <w:rPr>
                <w:sz w:val="20"/>
                <w:szCs w:val="20"/>
                <w:color w:val="auto"/>
              </w:rPr>
            </w:pPr>
            <w:r>
              <w:rPr>
                <w:rFonts w:ascii="Arial" w:cs="Arial" w:eastAsia="Arial" w:hAnsi="Arial"/>
                <w:sz w:val="18"/>
                <w:szCs w:val="18"/>
                <w:color w:val="auto"/>
              </w:rPr>
              <w:t>1,681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202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Restricted cash</w:t>
            </w:r>
            <w:r>
              <w:rPr>
                <w:rFonts w:ascii="Arial" w:cs="Arial" w:eastAsia="Arial" w:hAnsi="Arial"/>
                <w:sz w:val="18"/>
                <w:szCs w:val="18"/>
                <w:color w:val="auto"/>
                <w:vertAlign w:val="superscript"/>
              </w:rPr>
              <w:t>(1)</w:t>
            </w:r>
          </w:p>
        </w:tc>
        <w:tc>
          <w:tcPr>
            <w:tcW w:w="2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64"/>
        </w:trPr>
        <w:tc>
          <w:tcPr>
            <w:tcW w:w="43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1,773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2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Consolidated 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1"/>
                <w:szCs w:val="21"/>
                <w:color w:val="auto"/>
              </w:rPr>
            </w:pPr>
          </w:p>
        </w:tc>
        <w:tc>
          <w:tcPr>
            <w:tcW w:w="2000" w:type="dxa"/>
            <w:vAlign w:val="bottom"/>
          </w:tcPr>
          <w:p>
            <w:pPr>
              <w:jc w:val="right"/>
              <w:ind w:right="13"/>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2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1,790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2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40" w:hanging="652"/>
        <w:spacing w:after="0" w:line="232"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Includes $6 million of the proceeds from the securitization transaction completed during the second quarter of 2019, which were released when the remaining vacation ownership notes receivable were purchased by the 2019-1 LLC subsequent to the end of the second quarter. Refer to Footnote 13 “Securitized Debt” for a discussion of the terms of this securitization transaction and the purchase of additional vacation ownership notes receivable by the 2019-1 LLC subsequent to June 30, 2019.</w:t>
      </w:r>
    </w:p>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shows the interest income and expense recognized as a result of our involvement with these variable interest entities during the second quarter of 2019:</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Vacation Ownership</w:t>
            </w: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7"/>
              </w:rPr>
              <w:t>Notes Receivable</w:t>
            </w:r>
          </w:p>
        </w:tc>
        <w:tc>
          <w:tcPr>
            <w:tcW w:w="380" w:type="dxa"/>
            <w:vAlign w:val="bottom"/>
          </w:tcPr>
          <w:p>
            <w:pPr>
              <w:spacing w:after="0"/>
              <w:rPr>
                <w:sz w:val="17"/>
                <w:szCs w:val="17"/>
                <w:color w:val="auto"/>
              </w:rPr>
            </w:pPr>
          </w:p>
        </w:tc>
        <w:tc>
          <w:tcPr>
            <w:tcW w:w="20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0"/>
              </w:rPr>
              <w:t>Warehouse</w:t>
            </w:r>
          </w:p>
        </w:tc>
        <w:tc>
          <w:tcPr>
            <w:tcW w:w="5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0"/>
                <w:szCs w:val="20"/>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Securitizations</w:t>
            </w:r>
          </w:p>
        </w:tc>
        <w:tc>
          <w:tcPr>
            <w:tcW w:w="380" w:type="dxa"/>
            <w:vAlign w:val="bottom"/>
          </w:tcPr>
          <w:p>
            <w:pPr>
              <w:spacing w:after="0"/>
              <w:rPr>
                <w:sz w:val="20"/>
                <w:szCs w:val="20"/>
                <w:color w:val="auto"/>
              </w:rPr>
            </w:pPr>
          </w:p>
        </w:tc>
        <w:tc>
          <w:tcPr>
            <w:tcW w:w="20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6"/>
              </w:rPr>
              <w:t>Credit Facility</w:t>
            </w:r>
          </w:p>
        </w:tc>
        <w:tc>
          <w:tcPr>
            <w:tcW w:w="540" w:type="dxa"/>
            <w:vAlign w:val="bottom"/>
          </w:tcPr>
          <w:p>
            <w:pPr>
              <w:spacing w:after="0"/>
              <w:rPr>
                <w:sz w:val="20"/>
                <w:szCs w:val="20"/>
                <w:color w:val="auto"/>
              </w:rPr>
            </w:pPr>
          </w:p>
        </w:tc>
        <w:tc>
          <w:tcPr>
            <w:tcW w:w="1740" w:type="dxa"/>
            <w:vAlign w:val="bottom"/>
          </w:tcPr>
          <w:p>
            <w:pPr>
              <w:jc w:val="right"/>
              <w:ind w:right="872"/>
              <w:spacing w:after="0"/>
              <w:rPr>
                <w:sz w:val="20"/>
                <w:szCs w:val="20"/>
                <w:color w:val="auto"/>
              </w:rPr>
            </w:pPr>
            <w:r>
              <w:rPr>
                <w:rFonts w:ascii="Arial" w:cs="Arial" w:eastAsia="Arial" w:hAnsi="Arial"/>
                <w:sz w:val="16"/>
                <w:szCs w:val="16"/>
                <w:b w:val="1"/>
                <w:bCs w:val="1"/>
                <w:color w:val="auto"/>
              </w:rPr>
              <w:t>Total</w:t>
            </w: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Interest expense to investors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27"/>
        </w:trPr>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 amortization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1</w:t>
            </w:r>
          </w:p>
        </w:tc>
      </w:tr>
    </w:tbl>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shows the interest income and expense recognized as a result of our involvement with these variable interest entities during the first half of 2019:</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Vacation Ownership</w:t>
            </w: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7"/>
              </w:rPr>
              <w:t>Notes Receivable</w:t>
            </w:r>
          </w:p>
        </w:tc>
        <w:tc>
          <w:tcPr>
            <w:tcW w:w="380" w:type="dxa"/>
            <w:vAlign w:val="bottom"/>
          </w:tcPr>
          <w:p>
            <w:pPr>
              <w:spacing w:after="0"/>
              <w:rPr>
                <w:sz w:val="17"/>
                <w:szCs w:val="17"/>
                <w:color w:val="auto"/>
              </w:rPr>
            </w:pPr>
          </w:p>
        </w:tc>
        <w:tc>
          <w:tcPr>
            <w:tcW w:w="20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0"/>
              </w:rPr>
              <w:t>Warehouse</w:t>
            </w:r>
          </w:p>
        </w:tc>
        <w:tc>
          <w:tcPr>
            <w:tcW w:w="5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0"/>
                <w:szCs w:val="20"/>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Securitizations</w:t>
            </w:r>
          </w:p>
        </w:tc>
        <w:tc>
          <w:tcPr>
            <w:tcW w:w="380" w:type="dxa"/>
            <w:vAlign w:val="bottom"/>
          </w:tcPr>
          <w:p>
            <w:pPr>
              <w:spacing w:after="0"/>
              <w:rPr>
                <w:sz w:val="20"/>
                <w:szCs w:val="20"/>
                <w:color w:val="auto"/>
              </w:rPr>
            </w:pPr>
          </w:p>
        </w:tc>
        <w:tc>
          <w:tcPr>
            <w:tcW w:w="20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6"/>
              </w:rPr>
              <w:t>Credit Facility</w:t>
            </w:r>
          </w:p>
        </w:tc>
        <w:tc>
          <w:tcPr>
            <w:tcW w:w="540" w:type="dxa"/>
            <w:vAlign w:val="bottom"/>
          </w:tcPr>
          <w:p>
            <w:pPr>
              <w:spacing w:after="0"/>
              <w:rPr>
                <w:sz w:val="20"/>
                <w:szCs w:val="20"/>
                <w:color w:val="auto"/>
              </w:rPr>
            </w:pPr>
          </w:p>
        </w:tc>
        <w:tc>
          <w:tcPr>
            <w:tcW w:w="1740" w:type="dxa"/>
            <w:vAlign w:val="bottom"/>
          </w:tcPr>
          <w:p>
            <w:pPr>
              <w:jc w:val="right"/>
              <w:ind w:right="872"/>
              <w:spacing w:after="0"/>
              <w:rPr>
                <w:sz w:val="20"/>
                <w:szCs w:val="20"/>
                <w:color w:val="auto"/>
              </w:rPr>
            </w:pPr>
            <w:r>
              <w:rPr>
                <w:rFonts w:ascii="Arial" w:cs="Arial" w:eastAsia="Arial" w:hAnsi="Arial"/>
                <w:sz w:val="16"/>
                <w:szCs w:val="16"/>
                <w:b w:val="1"/>
                <w:bCs w:val="1"/>
                <w:color w:val="auto"/>
              </w:rPr>
              <w:t>Total</w:t>
            </w: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Interest expense to investors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27"/>
        </w:trPr>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 amortization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702"/>
        </w:trPr>
        <w:tc>
          <w:tcPr>
            <w:tcW w:w="4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jc w:val="right"/>
              <w:ind w:right="753"/>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420"/>
          </w:cols>
          <w:pgMar w:left="240" w:top="476" w:right="23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color w:val="auto"/>
        </w:rPr>
        <w:t>The following table shows cash flows between us and the vacation ownership notes receivable securitization variable interest entities: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4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16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8"/>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400" w:type="dxa"/>
            <w:vAlign w:val="bottom"/>
          </w:tcPr>
          <w:p>
            <w:pPr>
              <w:spacing w:after="0"/>
              <w:rPr>
                <w:sz w:val="22"/>
                <w:szCs w:val="22"/>
                <w:color w:val="auto"/>
              </w:rPr>
            </w:pPr>
          </w:p>
        </w:tc>
        <w:tc>
          <w:tcPr>
            <w:tcW w:w="2000" w:type="dxa"/>
            <w:vAlign w:val="bottom"/>
            <w:gridSpan w:val="2"/>
          </w:tcPr>
          <w:p>
            <w:pPr>
              <w:ind w:left="280"/>
              <w:spacing w:after="0"/>
              <w:rPr>
                <w:sz w:val="20"/>
                <w:szCs w:val="20"/>
                <w:color w:val="auto"/>
              </w:rPr>
            </w:pPr>
            <w:r>
              <w:rPr>
                <w:rFonts w:ascii="Arial" w:cs="Arial" w:eastAsia="Arial" w:hAnsi="Arial"/>
                <w:sz w:val="16"/>
                <w:szCs w:val="16"/>
                <w:b w:val="1"/>
                <w:bCs w:val="1"/>
                <w:color w:val="auto"/>
              </w:rPr>
              <w:t>June 30, 2019</w:t>
            </w:r>
          </w:p>
        </w:tc>
        <w:tc>
          <w:tcPr>
            <w:tcW w:w="640" w:type="dxa"/>
            <w:vAlign w:val="bottom"/>
          </w:tcPr>
          <w:p>
            <w:pPr>
              <w:spacing w:after="0"/>
              <w:rPr>
                <w:sz w:val="22"/>
                <w:szCs w:val="22"/>
                <w:color w:val="auto"/>
              </w:rPr>
            </w:pPr>
          </w:p>
        </w:tc>
        <w:tc>
          <w:tcPr>
            <w:tcW w:w="1640" w:type="dxa"/>
            <w:vAlign w:val="bottom"/>
          </w:tcPr>
          <w:p>
            <w:pPr>
              <w:jc w:val="right"/>
              <w:ind w:right="591"/>
              <w:spacing w:after="0"/>
              <w:rPr>
                <w:sz w:val="20"/>
                <w:szCs w:val="20"/>
                <w:color w:val="auto"/>
              </w:rPr>
            </w:pPr>
            <w:r>
              <w:rPr>
                <w:rFonts w:ascii="Arial" w:cs="Arial" w:eastAsia="Arial" w:hAnsi="Arial"/>
                <w:sz w:val="16"/>
                <w:szCs w:val="16"/>
                <w:b w:val="1"/>
                <w:bCs w:val="1"/>
                <w:color w:val="auto"/>
                <w:w w:val="90"/>
              </w:rPr>
              <w:t>June 30, 2018</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Inflows</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Net proceeds from vacation ownership notes receivable securitizations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419</w:t>
            </w:r>
          </w:p>
        </w:tc>
      </w:tr>
      <w:tr>
        <w:trPr>
          <w:trHeight w:val="27"/>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receipts</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Interest receipts</w:t>
            </w:r>
          </w:p>
        </w:tc>
        <w:tc>
          <w:tcPr>
            <w:tcW w:w="400" w:type="dxa"/>
            <w:vAlign w:val="bottom"/>
          </w:tcPr>
          <w:p>
            <w:pPr>
              <w:spacing w:after="0"/>
              <w:rPr>
                <w:sz w:val="21"/>
                <w:szCs w:val="21"/>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52</w:t>
            </w:r>
          </w:p>
        </w:tc>
      </w:tr>
      <w:tr>
        <w:trPr>
          <w:trHeight w:val="27"/>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Reserve release</w:t>
            </w:r>
            <w:r>
              <w:rPr>
                <w:rFonts w:ascii="Arial" w:cs="Arial" w:eastAsia="Arial" w:hAnsi="Arial"/>
                <w:sz w:val="18"/>
                <w:szCs w:val="18"/>
                <w:color w:val="auto"/>
                <w:vertAlign w:val="superscript"/>
              </w:rPr>
              <w:t>(1)</w:t>
            </w:r>
          </w:p>
        </w:tc>
        <w:tc>
          <w:tcPr>
            <w:tcW w:w="40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20"/>
                <w:szCs w:val="20"/>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599</w:t>
            </w:r>
          </w:p>
        </w:tc>
      </w:tr>
      <w:tr>
        <w:trPr>
          <w:trHeight w:val="27"/>
        </w:trPr>
        <w:tc>
          <w:tcPr>
            <w:tcW w:w="67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Outflows</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Principal to investors</w:t>
            </w:r>
          </w:p>
        </w:tc>
        <w:tc>
          <w:tcPr>
            <w:tcW w:w="4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Voluntary repurchases of defaulted vacation ownership notes receivable</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Voluntary clean-up call</w:t>
            </w:r>
          </w:p>
        </w:tc>
        <w:tc>
          <w:tcPr>
            <w:tcW w:w="400" w:type="dxa"/>
            <w:vAlign w:val="bottom"/>
          </w:tcPr>
          <w:p>
            <w:pPr>
              <w:spacing w:after="0"/>
              <w:rPr>
                <w:sz w:val="21"/>
                <w:szCs w:val="21"/>
                <w:color w:val="auto"/>
              </w:rPr>
            </w:pP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to investors</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64"/>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Funding of restricted cash</w:t>
            </w:r>
            <w:r>
              <w:rPr>
                <w:rFonts w:ascii="Arial" w:cs="Arial" w:eastAsia="Arial" w:hAnsi="Arial"/>
                <w:sz w:val="18"/>
                <w:szCs w:val="18"/>
                <w:color w:val="auto"/>
                <w:vertAlign w:val="superscript"/>
              </w:rPr>
              <w:t>(2) (3)</w:t>
            </w:r>
          </w:p>
        </w:tc>
        <w:tc>
          <w:tcPr>
            <w:tcW w:w="4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7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Net Cash Flows</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325</w:t>
            </w:r>
          </w:p>
        </w:tc>
      </w:tr>
      <w:tr>
        <w:trPr>
          <w:trHeight w:val="27"/>
        </w:trPr>
        <w:tc>
          <w:tcPr>
            <w:tcW w:w="67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40" w:hanging="652"/>
        <w:spacing w:after="0" w:line="232"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Includes the release of $84 million related to the securitization transaction completed during the second quarter of 2019, which was released as the remaining vacation ownership notes receivable were purchased by the 2019-1 LLC. Refer to Footnote 13 “Securitized Debt” for a discussion of the terms of this securitization transaction and the purchase of additional vacation ownership notes receivable by the 2019-1 LLC subsequent to June 30, 2019.</w:t>
      </w:r>
    </w:p>
    <w:p>
      <w:pPr>
        <w:spacing w:after="0" w:line="40" w:lineRule="exact"/>
        <w:rPr>
          <w:rFonts w:ascii="Arial" w:cs="Arial" w:eastAsia="Arial" w:hAnsi="Arial"/>
          <w:sz w:val="25"/>
          <w:szCs w:val="25"/>
          <w:color w:val="auto"/>
          <w:vertAlign w:val="superscript"/>
        </w:rPr>
      </w:pPr>
    </w:p>
    <w:p>
      <w:pPr>
        <w:ind w:left="660" w:right="200" w:hanging="652"/>
        <w:spacing w:after="0" w:line="232"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Includes $90 million of the proceeds from the securitization transaction completed during the second quarter of 2019, of which $84 million was released during the second quarter of 2019, as a portion of the remaining vacation ownership notes receivable were purchased by the 2019-1 LLC. The remaining $6 million was released when the remaining vacation ownership notes receivable were purchased by the 2019-1 LLC subsequent to the end of the second quarter of 2019.</w:t>
      </w:r>
    </w:p>
    <w:p>
      <w:pPr>
        <w:spacing w:after="0" w:line="40" w:lineRule="exact"/>
        <w:rPr>
          <w:rFonts w:ascii="Arial" w:cs="Arial" w:eastAsia="Arial" w:hAnsi="Arial"/>
          <w:sz w:val="25"/>
          <w:szCs w:val="25"/>
          <w:color w:val="auto"/>
          <w:vertAlign w:val="superscript"/>
        </w:rPr>
      </w:pPr>
    </w:p>
    <w:p>
      <w:pPr>
        <w:ind w:left="660" w:right="260" w:hanging="652"/>
        <w:spacing w:after="0" w:line="227" w:lineRule="auto"/>
        <w:tabs>
          <w:tab w:leader="none" w:pos="660" w:val="left"/>
        </w:tabs>
        <w:numPr>
          <w:ilvl w:val="0"/>
          <w:numId w:val="29"/>
        </w:numPr>
        <w:rPr>
          <w:rFonts w:ascii="Arial" w:cs="Arial" w:eastAsia="Arial" w:hAnsi="Arial"/>
          <w:sz w:val="24"/>
          <w:szCs w:val="24"/>
          <w:color w:val="auto"/>
          <w:vertAlign w:val="superscript"/>
        </w:rPr>
      </w:pPr>
      <w:r>
        <w:rPr>
          <w:rFonts w:ascii="Arial" w:cs="Arial" w:eastAsia="Arial" w:hAnsi="Arial"/>
          <w:sz w:val="17"/>
          <w:szCs w:val="17"/>
          <w:color w:val="auto"/>
        </w:rPr>
        <w:t>Includes $106 million of the proceeds from the securitization transaction completed during the second quarter of 2018, which were released when the remaining vacation ownership notes receivable were purchased by the 2018-1 Trust during the third quarter of 2018.</w:t>
      </w:r>
    </w:p>
    <w:p>
      <w:pPr>
        <w:spacing w:after="0" w:line="14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Under the terms of our vacation ownership notes receivable securitizations, we have the right to substitute loans for, or repurchase, defaulted loans at our option, subject to certain limitations. Our maximum exposure to loss relating to the special purpose entities that purchase, sell and own these vacation ownership notes receivable is the overcollateralization amount (the difference between the loan collateral balance and the balance on the outstanding vacation ownership notes receivable), plus cash reserves and any residual interest in future cash flows from collateral.</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4" w:name="page45"/>
    <w:bookmarkEnd w:id="44"/>
    <w:p>
      <w:pPr>
        <w:ind w:left="660"/>
        <w:spacing w:after="0"/>
        <w:rPr>
          <w:sz w:val="20"/>
          <w:szCs w:val="20"/>
          <w:color w:val="auto"/>
        </w:rPr>
      </w:pPr>
      <w:r>
        <w:rPr>
          <w:rFonts w:ascii="Arial" w:cs="Arial" w:eastAsia="Arial" w:hAnsi="Arial"/>
          <w:sz w:val="18"/>
          <w:szCs w:val="18"/>
          <w:color w:val="auto"/>
        </w:rPr>
        <w:t>The following table shows cash flows between us and the Warehouse Credit Facility variable interest entity: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4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16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8"/>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Pr>
          <w:p>
            <w:pPr>
              <w:spacing w:after="0"/>
              <w:rPr>
                <w:sz w:val="22"/>
                <w:szCs w:val="22"/>
                <w:color w:val="auto"/>
              </w:rPr>
            </w:pPr>
          </w:p>
        </w:tc>
        <w:tc>
          <w:tcPr>
            <w:tcW w:w="2000" w:type="dxa"/>
            <w:vAlign w:val="bottom"/>
            <w:gridSpan w:val="2"/>
          </w:tcPr>
          <w:p>
            <w:pPr>
              <w:ind w:left="280"/>
              <w:spacing w:after="0"/>
              <w:rPr>
                <w:sz w:val="20"/>
                <w:szCs w:val="20"/>
                <w:color w:val="auto"/>
              </w:rPr>
            </w:pPr>
            <w:r>
              <w:rPr>
                <w:rFonts w:ascii="Arial" w:cs="Arial" w:eastAsia="Arial" w:hAnsi="Arial"/>
                <w:sz w:val="16"/>
                <w:szCs w:val="16"/>
                <w:b w:val="1"/>
                <w:bCs w:val="1"/>
                <w:color w:val="auto"/>
              </w:rPr>
              <w:t>June 30, 2019</w:t>
            </w:r>
          </w:p>
        </w:tc>
        <w:tc>
          <w:tcPr>
            <w:tcW w:w="640" w:type="dxa"/>
            <w:vAlign w:val="bottom"/>
          </w:tcPr>
          <w:p>
            <w:pPr>
              <w:spacing w:after="0"/>
              <w:rPr>
                <w:sz w:val="22"/>
                <w:szCs w:val="22"/>
                <w:color w:val="auto"/>
              </w:rPr>
            </w:pPr>
          </w:p>
        </w:tc>
        <w:tc>
          <w:tcPr>
            <w:tcW w:w="1640" w:type="dxa"/>
            <w:vAlign w:val="bottom"/>
          </w:tcPr>
          <w:p>
            <w:pPr>
              <w:jc w:val="right"/>
              <w:ind w:right="591"/>
              <w:spacing w:after="0"/>
              <w:rPr>
                <w:sz w:val="20"/>
                <w:szCs w:val="20"/>
                <w:color w:val="auto"/>
              </w:rPr>
            </w:pPr>
            <w:r>
              <w:rPr>
                <w:rFonts w:ascii="Arial" w:cs="Arial" w:eastAsia="Arial" w:hAnsi="Arial"/>
                <w:sz w:val="16"/>
                <w:szCs w:val="16"/>
                <w:b w:val="1"/>
                <w:bCs w:val="1"/>
                <w:color w:val="auto"/>
                <w:w w:val="90"/>
              </w:rPr>
              <w:t>June 30, 2018</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Inflows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vacation ownership notes receivable securitizations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receipts</w:t>
            </w: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Interest receipts</w:t>
            </w:r>
          </w:p>
        </w:tc>
        <w:tc>
          <w:tcPr>
            <w:tcW w:w="380" w:type="dxa"/>
            <w:vAlign w:val="bottom"/>
          </w:tcPr>
          <w:p>
            <w:pPr>
              <w:spacing w:after="0"/>
              <w:rPr>
                <w:sz w:val="21"/>
                <w:szCs w:val="21"/>
                <w:color w:val="auto"/>
              </w:rPr>
            </w:pP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Reserve release</w:t>
            </w:r>
          </w:p>
        </w:tc>
        <w:tc>
          <w:tcPr>
            <w:tcW w:w="3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Outflows</w:t>
            </w: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Principal to investors</w:t>
            </w:r>
          </w:p>
        </w:tc>
        <w:tc>
          <w:tcPr>
            <w:tcW w:w="3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 of Warehouse Credit Facility</w:t>
            </w: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Interest to investors</w:t>
            </w:r>
          </w:p>
        </w:tc>
        <w:tc>
          <w:tcPr>
            <w:tcW w:w="3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Funding of restricted cash</w:t>
            </w:r>
          </w:p>
        </w:tc>
        <w:tc>
          <w:tcPr>
            <w:tcW w:w="3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Flows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Variable Interest Entities</w:t>
      </w:r>
    </w:p>
    <w:p>
      <w:pPr>
        <w:spacing w:after="0" w:line="11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have a commitment to purchase an operating property located in San Francisco, California, that we currently manage as Marriott Vacation Club Pulse, San Francisco. Refer to Footnote 11 “Contingencies and Commitments” for additional information on the commitment. We are required to purchase the operating property from the third party developer unless the developer has sold the property to another party. The operating property is held by a variable interest entity for which we are not the primary beneficiary as we cannot prevent the variable interest entity from selling the operating property at a higher price. Accordingly, we have not consolidated the variable interest entity. As of June 30, 2019, our Balance Sheet reflected $14 million in Property and equipment related to a finance lease and leasehold improvements, $1 million in Accrued liabilities and $9 million in Debt related to the finance lease liability for ancillary and operations space we lease from the variable interest entity. In addition, a note receivable of less than $1 million is included in the Accounts receivable line. We believe that our maximum exposure to loss as a result of our involvement with this variable interest entity is $5 million as of June 30, 2019.</w:t>
      </w:r>
    </w:p>
    <w:p>
      <w:pPr>
        <w:spacing w:after="0" w:line="8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We have a commitment to purchase an operating property located in New York, New York, that we currently manage as Marriott Vacation Club Pulse, New York City. Refer to Footnote 11 “Contingencies and Commitments” for additional information on the commitment. We are required to purchase the completed property from the third party developer unless the developer has sold the property to another party. The property is held by a variable interest entity for which we are not the primary beneficiary as we cannot prevent the variable interest entity from selling the property at a higher price. Accordingly, we have not consolidated the variable interest entity. As of June 30, 2019, our Balance Sheet reflected $8 million in Property and equipment related to a finance lease and leasehold improvements, $1 million in Accrued liabilities and $7 million in Debt related to the finance lease liability for ancillary and operations space we lease from the variable interest entity. In addition, a note receivable of less than $1 million is included in the Accounts receivable line on the Balance Sheet as of June 30, 2019. We believe that our maximum exposure to loss as a result of our involvement with this variable interest entity is less than $1 million as of June 30, 2019.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11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consolidate the liabilities of the Marriott Vacations Worldwide Deferred Compensation Plan and the related assets, which consist of the COLI policies held in the rabbi trust. The rabbi trust is considered a variable interest entity. We are considered the primary beneficiary of the rabbi trust because we direct the activities of the trust and are the beneficiary of the trust. At June 30, 2019, the value of the assets held in the rabbi trust was $34 million, which is included in the Other line within assets on our Balance Sheets.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30" w:right="239" w:bottom="1440" w:gutter="0" w:footer="0" w:header="0"/>
        </w:sectPr>
      </w:pPr>
    </w:p>
    <w:bookmarkStart w:id="45" w:name="page46"/>
    <w:bookmarkEnd w:id="45"/>
    <w:p>
      <w:pPr>
        <w:ind w:left="520" w:hanging="485"/>
        <w:spacing w:after="0"/>
        <w:tabs>
          <w:tab w:leader="none" w:pos="5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148"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We define our reportable segments based on the way in which the chief operating decision maker (“CODM”), currently our chief executive officer, manages the operations of the company for purposes of allocating resources and assessing performance. We operate in two operating and reportable business segments:</w:t>
      </w:r>
    </w:p>
    <w:p>
      <w:pPr>
        <w:spacing w:after="0" w:line="73" w:lineRule="exact"/>
        <w:rPr>
          <w:sz w:val="20"/>
          <w:szCs w:val="20"/>
          <w:color w:val="auto"/>
        </w:rPr>
      </w:pPr>
    </w:p>
    <w:p>
      <w:pPr>
        <w:ind w:left="980" w:right="60" w:hanging="324"/>
        <w:spacing w:after="0" w:line="272" w:lineRule="auto"/>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Vacation Ownership includes a diverse portfolio of resorts that includes seven vacation ownership brands licensed under exclusive, long-term relationships with Marriott International and Hyatt Hotels Corporation. We are the exclusive worldwide developer, marketer, seller and manager of vacation ownership and related products under the Marriott Vacation Club, Grand Residences by Marriott, Sheraton, Westin and Hyatt Residence Club brands, as well as under Marriott Vacation Club Pulse, an extension to the Marriott Vacation Club brand. We are also the exclusive worldwide developer, marketer and seller of vacation ownership and related products under The Ritz-Carlton Destination Club brand, we have the non-exclusive right to develop, market and sell whole ownership residential products under The Ritz-Carlton Residences brand and have a license to use the St. Regis brand for specified fractional ownership resorts.</w:t>
      </w:r>
    </w:p>
    <w:p>
      <w:pPr>
        <w:spacing w:after="0" w:line="69" w:lineRule="exact"/>
        <w:rPr>
          <w:rFonts w:ascii="Arial" w:cs="Arial" w:eastAsia="Arial" w:hAnsi="Arial"/>
          <w:sz w:val="17"/>
          <w:szCs w:val="17"/>
          <w:color w:val="auto"/>
        </w:rPr>
      </w:pPr>
    </w:p>
    <w:p>
      <w:pPr>
        <w:ind w:left="980" w:right="40"/>
        <w:spacing w:after="0" w:line="264" w:lineRule="auto"/>
        <w:rPr>
          <w:rFonts w:ascii="Arial" w:cs="Arial" w:eastAsia="Arial" w:hAnsi="Arial"/>
          <w:sz w:val="17"/>
          <w:szCs w:val="17"/>
          <w:color w:val="auto"/>
        </w:rPr>
      </w:pPr>
      <w:r>
        <w:rPr>
          <w:rFonts w:ascii="Arial" w:cs="Arial" w:eastAsia="Arial" w:hAnsi="Arial"/>
          <w:sz w:val="18"/>
          <w:szCs w:val="18"/>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73" w:lineRule="exact"/>
        <w:rPr>
          <w:rFonts w:ascii="Arial" w:cs="Arial" w:eastAsia="Arial" w:hAnsi="Arial"/>
          <w:sz w:val="17"/>
          <w:szCs w:val="17"/>
          <w:color w:val="auto"/>
        </w:rPr>
      </w:pPr>
    </w:p>
    <w:p>
      <w:pPr>
        <w:ind w:left="980" w:right="40" w:hanging="324"/>
        <w:spacing w:after="0" w:line="302" w:lineRule="auto"/>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Exchange &amp; Third-Party Management, includes exchange networks and membership programs, as well as management of resorts and lodging properties. We provide these services through a variety of brands including Interval International, Trading Places International, Vacation Resorts International, Aqua-Aston and Great Destinations. Exchange &amp; Third-Party Management revenue generally is fee-based and derived from membership, exchange and rental transactions, property and association management, and other related products and services.</w:t>
      </w:r>
    </w:p>
    <w:p>
      <w:pPr>
        <w:spacing w:after="0" w:line="4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CODM evaluates the performance of our segments based primarily on the results of the segment without allocating corporate expenses or income taxes. We do not allocate corporate interest expense or indirect general and administrative expenses to our segments. We include interest income specific to segment activities within the appropriate segment. We allocate depreciation, other gains and losses, equity in earnings or losses from our joint ventures and noncontrolling interest to each of our segments as appropriate. Corporate and other represents that portion of our results that are not allocable to our segments, including those relating to property owners’ associations consolidated under the voting interest model, as our CODM does not use this information to make operating segment resource allocations. Prior year segment information has been reclassified to conform to the current reportable segment presentation.</w:t>
      </w:r>
    </w:p>
    <w:p>
      <w:pPr>
        <w:spacing w:after="0" w:line="81" w:lineRule="exact"/>
        <w:rPr>
          <w:sz w:val="20"/>
          <w:szCs w:val="20"/>
          <w:color w:val="auto"/>
        </w:rPr>
      </w:pPr>
    </w:p>
    <w:p>
      <w:pPr>
        <w:ind w:right="180" w:firstLine="662"/>
        <w:spacing w:after="0" w:line="297" w:lineRule="auto"/>
        <w:rPr>
          <w:sz w:val="20"/>
          <w:szCs w:val="20"/>
          <w:color w:val="auto"/>
        </w:rPr>
      </w:pPr>
      <w:r>
        <w:rPr>
          <w:rFonts w:ascii="Arial" w:cs="Arial" w:eastAsia="Arial" w:hAnsi="Arial"/>
          <w:sz w:val="16"/>
          <w:szCs w:val="16"/>
          <w:color w:val="auto"/>
        </w:rPr>
        <w:t>Our CODM uses Adjusted EBITDA to evaluate the profitability of our operating segments, and the components of net income attributable to common shareholders excluded from Adjusted EBITDA are not separately evaluated. Adjusted EBITDA is defined as net income attributable to common shareholders, before interest expense (excluding consumer financing interest expense), income taxes, depreciation and amortization, excluding share-based compensation expense and adjusted for certain items that affect the comparability or our operating performance. Our reconciliation of the aggregate amount of Adjusted EBITDA for our reportable segments to consolidated net income attributable to common shareholders is presented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6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68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8"/>
        </w:trPr>
        <w:tc>
          <w:tcPr>
            <w:tcW w:w="56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22"/>
                <w:szCs w:val="22"/>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2019</w:t>
            </w:r>
          </w:p>
        </w:tc>
        <w:tc>
          <w:tcPr>
            <w:tcW w:w="160" w:type="dxa"/>
            <w:vAlign w:val="bottom"/>
          </w:tcPr>
          <w:p>
            <w:pPr>
              <w:spacing w:after="0"/>
              <w:rPr>
                <w:sz w:val="22"/>
                <w:szCs w:val="22"/>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 2018</w:t>
            </w:r>
          </w:p>
        </w:tc>
        <w:tc>
          <w:tcPr>
            <w:tcW w:w="16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2019</w:t>
            </w:r>
          </w:p>
        </w:tc>
        <w:tc>
          <w:tcPr>
            <w:tcW w:w="160" w:type="dxa"/>
            <w:vAlign w:val="bottom"/>
          </w:tcPr>
          <w:p>
            <w:pPr>
              <w:spacing w:after="0"/>
              <w:rPr>
                <w:sz w:val="22"/>
                <w:szCs w:val="22"/>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b w:val="1"/>
                <w:bCs w:val="1"/>
                <w:color w:val="auto"/>
                <w:w w:val="92"/>
              </w:rPr>
              <w:t>June 30, 2018</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w:t>
            </w: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Exchange &amp; Third-Party Management</w:t>
            </w:r>
          </w:p>
        </w:tc>
        <w:tc>
          <w:tcPr>
            <w:tcW w:w="2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segment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2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6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89"/>
              </w:rPr>
              <w:t>44</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85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Adjusted EBITDA and Reconciliation to Net Income Attributable to Common Shareholders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6"/>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w w:val="92"/>
              </w:rPr>
              <w:t>Six Months Ended</w:t>
            </w:r>
          </w:p>
        </w:tc>
        <w:tc>
          <w:tcPr>
            <w:tcW w:w="0" w:type="dxa"/>
            <w:vAlign w:val="bottom"/>
          </w:tcPr>
          <w:p>
            <w:pPr>
              <w:spacing w:after="0"/>
              <w:rPr>
                <w:sz w:val="1"/>
                <w:szCs w:val="1"/>
                <w:color w:val="auto"/>
              </w:rPr>
            </w:pPr>
          </w:p>
        </w:tc>
      </w:tr>
      <w:tr>
        <w:trPr>
          <w:trHeight w:val="33"/>
        </w:trPr>
        <w:tc>
          <w:tcPr>
            <w:tcW w:w="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22"/>
                <w:szCs w:val="22"/>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2019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June 30, 2018</w:t>
            </w:r>
          </w:p>
        </w:tc>
        <w:tc>
          <w:tcPr>
            <w:tcW w:w="1480" w:type="dxa"/>
            <w:vAlign w:val="bottom"/>
            <w:gridSpan w:val="4"/>
          </w:tcPr>
          <w:p>
            <w:pPr>
              <w:ind w:left="220"/>
              <w:spacing w:after="0"/>
              <w:rPr>
                <w:sz w:val="20"/>
                <w:szCs w:val="20"/>
                <w:color w:val="auto"/>
              </w:rPr>
            </w:pPr>
            <w:r>
              <w:rPr>
                <w:rFonts w:ascii="Arial" w:cs="Arial" w:eastAsia="Arial" w:hAnsi="Arial"/>
                <w:sz w:val="16"/>
                <w:szCs w:val="16"/>
                <w:b w:val="1"/>
                <w:bCs w:val="1"/>
                <w:color w:val="auto"/>
              </w:rPr>
              <w:t>June 30, 2019</w:t>
            </w:r>
          </w:p>
        </w:tc>
        <w:tc>
          <w:tcPr>
            <w:tcW w:w="160" w:type="dxa"/>
            <w:vAlign w:val="bottom"/>
          </w:tcPr>
          <w:p>
            <w:pPr>
              <w:spacing w:after="0"/>
              <w:rPr>
                <w:sz w:val="22"/>
                <w:szCs w:val="22"/>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b w:val="1"/>
                <w:bCs w:val="1"/>
                <w:color w:val="auto"/>
                <w:w w:val="92"/>
              </w:rPr>
              <w:t>June 30, 2018</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 Vacation Ownership</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ind w:right="471"/>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Adjusted EBITDA Exchange &amp; Third-Party Management</w:t>
            </w: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Reconciling items: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Corporate and other</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Tax provision</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Certain items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5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Assets</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6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6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ind w:right="371"/>
              <w:spacing w:after="0"/>
              <w:rPr>
                <w:sz w:val="20"/>
                <w:szCs w:val="20"/>
                <w:color w:val="auto"/>
              </w:rPr>
            </w:pPr>
            <w:r>
              <w:rPr>
                <w:rFonts w:ascii="Arial" w:cs="Arial" w:eastAsia="Arial" w:hAnsi="Arial"/>
                <w:sz w:val="16"/>
                <w:szCs w:val="16"/>
                <w:b w:val="1"/>
                <w:bCs w:val="1"/>
                <w:color w:val="auto"/>
              </w:rPr>
              <w:t>At June 30, 2019</w:t>
            </w:r>
          </w:p>
        </w:tc>
        <w:tc>
          <w:tcPr>
            <w:tcW w:w="100" w:type="dxa"/>
            <w:vAlign w:val="bottom"/>
            <w:tcBorders>
              <w:bottom w:val="single" w:sz="8" w:color="CCEEFF"/>
            </w:tcBorders>
          </w:tcPr>
          <w:p>
            <w:pPr>
              <w:spacing w:after="0"/>
              <w:rPr>
                <w:sz w:val="24"/>
                <w:szCs w:val="24"/>
                <w:color w:val="auto"/>
              </w:rPr>
            </w:pPr>
          </w:p>
        </w:tc>
        <w:tc>
          <w:tcPr>
            <w:tcW w:w="206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6"/>
                <w:szCs w:val="16"/>
                <w:b w:val="1"/>
                <w:bCs w:val="1"/>
                <w:color w:val="auto"/>
              </w:rPr>
              <w:t>At December 31, 2018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Vacation Ownership</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1"/>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7,275</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Exchange &amp; Third-Party Management</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Total segment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8,482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8,457</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Corporate and other</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0" w:type="dxa"/>
            <w:vAlign w:val="bottom"/>
            <w:tcBorders>
              <w:bottom w:val="single" w:sz="8" w:color="CCEEFF"/>
            </w:tcBorders>
            <w:shd w:val="clear" w:color="auto" w:fill="CCEEFF"/>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1"/>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9,018</w:t>
            </w:r>
          </w:p>
        </w:tc>
        <w:tc>
          <w:tcPr>
            <w:tcW w:w="0" w:type="dxa"/>
            <w:vAlign w:val="bottom"/>
          </w:tcPr>
          <w:p>
            <w:pPr>
              <w:spacing w:after="0"/>
              <w:rPr>
                <w:sz w:val="1"/>
                <w:szCs w:val="1"/>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300" w:firstLine="648"/>
        <w:spacing w:after="0" w:line="286" w:lineRule="auto"/>
        <w:rPr>
          <w:sz w:val="20"/>
          <w:szCs w:val="20"/>
          <w:color w:val="auto"/>
        </w:rPr>
      </w:pPr>
      <w:r>
        <w:rPr>
          <w:rFonts w:ascii="Arial" w:cs="Arial" w:eastAsia="Arial" w:hAnsi="Arial"/>
          <w:sz w:val="17"/>
          <w:szCs w:val="17"/>
          <w:color w:val="auto"/>
        </w:rPr>
        <w:t>We conduct business globally, and our operations outside the United States represented approximately 13 percent and 12 percent of our revenues, excluding cost reimbursements, for the three months ended June 30, 2019 and June 30, 2018, respectively, and 14 percent and 12 percent of our revenues, excluding cost reimbursements, for the six months ended June 30, 2019 and June 30, 2018,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7" w:name="page48"/>
    <w:bookmarkEnd w:id="47"/>
    <w:p>
      <w:pPr>
        <w:ind w:right="6980" w:firstLine="35"/>
        <w:spacing w:after="0" w:line="393" w:lineRule="auto"/>
        <w:tabs>
          <w:tab w:leader="none" w:pos="365"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GUARANTOR INFORMATION IAC Notes</w:t>
      </w:r>
    </w:p>
    <w:p>
      <w:pPr>
        <w:spacing w:after="0" w:line="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IAC Notes are guaranteed by MVWC, ILG and certain other subsidiaries whose voting securities are wholly owned directly or indirectly by ILG (such subsidiaries collectively, the “IAC Notes Guarantors”). These guarantees are full and unconditional and joint and several. The guarantees of the IAC Notes Guarantors are subject to release in limited circumstances only upon the occurrence of certain customary conditions. The indenture governing the IAC Notes contains covenants that, among other things, limit the ability of Interval Acquisition Corp. (the “Issuer”) and the IAC Notes Guarantors to pay dividends to us or make distributions, loans or advances to us.</w:t>
      </w:r>
    </w:p>
    <w:p>
      <w:pPr>
        <w:spacing w:after="0" w:line="80"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following tables present consolidating financial information as of June 30, 2019 and December 31, 2018, and for the three and six months ended June 30, 2019 and June 30, 2018 for MVWC and ILG on a stand-alone basis, the Issuer on a stand-alone basis, the IAC Notes Guarantors, the combined non-guarantor subsidiaries of MVW and MVW on a consolidated basis.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Condensed Consolidating Balance Sheet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5"/>
          </w:tcPr>
          <w:p>
            <w:pPr>
              <w:ind w:left="520"/>
              <w:spacing w:after="0"/>
              <w:rPr>
                <w:sz w:val="20"/>
                <w:szCs w:val="20"/>
                <w:color w:val="auto"/>
              </w:rPr>
            </w:pPr>
            <w:r>
              <w:rPr>
                <w:rFonts w:ascii="Arial" w:cs="Arial" w:eastAsia="Arial" w:hAnsi="Arial"/>
                <w:sz w:val="16"/>
                <w:szCs w:val="16"/>
                <w:b w:val="1"/>
                <w:bCs w:val="1"/>
                <w:color w:val="auto"/>
              </w:rPr>
              <w:t>As of June 30, 2019</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330"/>
              <w:spacing w:after="0"/>
              <w:rPr>
                <w:sz w:val="20"/>
                <w:szCs w:val="20"/>
                <w:color w:val="auto"/>
              </w:rPr>
            </w:pPr>
            <w:r>
              <w:rPr>
                <w:rFonts w:ascii="Arial" w:cs="Arial" w:eastAsia="Arial" w:hAnsi="Arial"/>
                <w:sz w:val="16"/>
                <w:szCs w:val="16"/>
                <w:b w:val="1"/>
                <w:bCs w:val="1"/>
                <w:color w:val="auto"/>
              </w:rPr>
              <w:t>Interval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IAC Notes</w:t>
            </w:r>
          </w:p>
        </w:tc>
        <w:tc>
          <w:tcPr>
            <w:tcW w:w="12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Non-Guarantor</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71"/>
              <w:spacing w:after="0"/>
              <w:rPr>
                <w:sz w:val="20"/>
                <w:szCs w:val="20"/>
                <w:color w:val="auto"/>
              </w:rPr>
            </w:pPr>
            <w:r>
              <w:rPr>
                <w:rFonts w:ascii="Arial" w:cs="Arial" w:eastAsia="Arial" w:hAnsi="Arial"/>
                <w:sz w:val="16"/>
                <w:szCs w:val="16"/>
                <w:b w:val="1"/>
                <w:bCs w:val="1"/>
                <w:color w:val="auto"/>
              </w:rPr>
              <w:t>MVW</w:t>
            </w:r>
          </w:p>
        </w:tc>
      </w:tr>
      <w:tr>
        <w:trPr>
          <w:trHeight w:val="237"/>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6"/>
                <w:szCs w:val="16"/>
                <w:b w:val="1"/>
                <w:bCs w:val="1"/>
                <w:color w:val="auto"/>
              </w:rPr>
              <w:t>MVWC</w:t>
            </w:r>
          </w:p>
        </w:tc>
        <w:tc>
          <w:tcPr>
            <w:tcW w:w="12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Acquisition Corp.</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w w:val="97"/>
              </w:rPr>
              <w:t>Guarantors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Subsidiaries</w:t>
            </w: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4"/>
              </w:rPr>
              <w:t>Total Eliminations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4"/>
              </w:rPr>
              <w:t>Consolidated</w:t>
            </w: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337</w:t>
            </w:r>
          </w:p>
        </w:tc>
      </w:tr>
      <w:tr>
        <w:trPr>
          <w:trHeight w:val="27"/>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w:t>
            </w: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Vacation ownership notes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receivable,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1,909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2,098</w:t>
            </w:r>
          </w:p>
        </w:tc>
      </w:tr>
      <w:tr>
        <w:trPr>
          <w:trHeight w:val="27"/>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888</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8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837</w:t>
            </w:r>
          </w:p>
        </w:tc>
      </w:tr>
      <w:tr>
        <w:trPr>
          <w:trHeight w:val="27"/>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2,824</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28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1,075</w:t>
            </w:r>
          </w:p>
        </w:tc>
      </w:tr>
      <w:tr>
        <w:trPr>
          <w:trHeight w:val="27"/>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from parent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Investments in subsidiaries</w:t>
            </w: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w:t>
            </w:r>
          </w:p>
        </w:tc>
      </w:tr>
      <w:tr>
        <w:trPr>
          <w:trHeight w:val="297"/>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5,446</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1,972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4,169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5,755</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9,023</w:t>
            </w:r>
          </w:p>
        </w:tc>
      </w:tr>
      <w:tr>
        <w:trPr>
          <w:trHeight w:val="311"/>
        </w:trPr>
        <w:tc>
          <w:tcPr>
            <w:tcW w:w="26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164</w:t>
            </w:r>
          </w:p>
        </w:tc>
      </w:tr>
      <w:tr>
        <w:trPr>
          <w:trHeight w:val="27"/>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 deposits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417</w:t>
            </w:r>
          </w:p>
        </w:tc>
      </w:tr>
      <w:tr>
        <w:trPr>
          <w:trHeight w:val="27"/>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Payroll and benefits liability</w:t>
            </w: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172</w:t>
            </w:r>
          </w:p>
        </w:tc>
      </w:tr>
      <w:tr>
        <w:trPr>
          <w:trHeight w:val="27"/>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Securitized debt, net</w:t>
            </w:r>
          </w:p>
        </w:tc>
        <w:tc>
          <w:tcPr>
            <w:tcW w:w="28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1,792</w:t>
            </w:r>
          </w:p>
        </w:tc>
      </w:tr>
      <w:tr>
        <w:trPr>
          <w:trHeight w:val="27"/>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net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2,157</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Due to subsidiary</w:t>
            </w: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28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343</w:t>
            </w:r>
          </w:p>
        </w:tc>
      </w:tr>
      <w:tr>
        <w:trPr>
          <w:trHeight w:val="27"/>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MVW 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3,264</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7"/>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5,446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1,972</w:t>
            </w: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4,169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5,755</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9,023</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2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89"/>
              </w:rPr>
              <w:t>46</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851" w:right="2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6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5"/>
          </w:tcPr>
          <w:p>
            <w:pPr>
              <w:ind w:left="300"/>
              <w:spacing w:after="0"/>
              <w:rPr>
                <w:sz w:val="20"/>
                <w:szCs w:val="20"/>
                <w:color w:val="auto"/>
              </w:rPr>
            </w:pPr>
            <w:r>
              <w:rPr>
                <w:rFonts w:ascii="Arial" w:cs="Arial" w:eastAsia="Arial" w:hAnsi="Arial"/>
                <w:sz w:val="16"/>
                <w:szCs w:val="16"/>
                <w:b w:val="1"/>
                <w:bCs w:val="1"/>
                <w:color w:val="auto"/>
              </w:rPr>
              <w:t>As of December 31, 2018</w:t>
            </w:r>
            <w:r>
              <w:rPr>
                <w:rFonts w:ascii="Arial" w:cs="Arial" w:eastAsia="Arial" w:hAnsi="Arial"/>
                <w:sz w:val="17"/>
                <w:szCs w:val="17"/>
                <w:b w:val="1"/>
                <w:bCs w:val="1"/>
                <w:color w:val="auto"/>
                <w:vertAlign w:val="superscript"/>
              </w:rPr>
              <w:t>(1)</w:t>
            </w: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Interval</w:t>
            </w:r>
          </w:p>
        </w:tc>
        <w:tc>
          <w:tcPr>
            <w:tcW w:w="20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Arial" w:cs="Arial" w:eastAsia="Arial" w:hAnsi="Arial"/>
                <w:sz w:val="16"/>
                <w:szCs w:val="16"/>
                <w:b w:val="1"/>
                <w:bCs w:val="1"/>
                <w:color w:val="auto"/>
              </w:rPr>
              <w:t>IAC Notes</w:t>
            </w:r>
          </w:p>
        </w:tc>
        <w:tc>
          <w:tcPr>
            <w:tcW w:w="12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Non-Guarantor</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71"/>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6"/>
                <w:szCs w:val="16"/>
                <w:b w:val="1"/>
                <w:bCs w:val="1"/>
                <w:color w:val="auto"/>
              </w:rPr>
              <w:t>MVWC</w:t>
            </w:r>
          </w:p>
        </w:tc>
        <w:tc>
          <w:tcPr>
            <w:tcW w:w="12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Acquisition Corp.</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w w:val="99"/>
              </w:rPr>
              <w:t>Guarantors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Subsidiaries</w:t>
            </w: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4"/>
              </w:rPr>
              <w:t>Total Eliminations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4"/>
              </w:rPr>
              <w:t>Consolidated</w:t>
            </w: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Vacation ownership notes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receivable,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1,863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8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28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from parent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Investments in subsidiaries</w:t>
            </w: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2,681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97"/>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5,568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4,186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5,688</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9,018</w:t>
            </w:r>
          </w:p>
        </w:tc>
        <w:tc>
          <w:tcPr>
            <w:tcW w:w="0" w:type="dxa"/>
            <w:vAlign w:val="bottom"/>
          </w:tcPr>
          <w:p>
            <w:pPr>
              <w:spacing w:after="0"/>
              <w:rPr>
                <w:sz w:val="1"/>
                <w:szCs w:val="1"/>
                <w:color w:val="auto"/>
              </w:rPr>
            </w:pPr>
          </w:p>
        </w:tc>
      </w:tr>
      <w:tr>
        <w:trPr>
          <w:trHeight w:val="311"/>
        </w:trPr>
        <w:tc>
          <w:tcPr>
            <w:tcW w:w="26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 deposits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Payroll and benefits liability</w:t>
            </w: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Securitized debt, net</w:t>
            </w:r>
          </w:p>
        </w:tc>
        <w:tc>
          <w:tcPr>
            <w:tcW w:w="28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net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Due to subsidiary</w:t>
            </w: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28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MVW 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5,568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4,186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5,688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9,018</w:t>
            </w: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580" w:hanging="652"/>
        <w:spacing w:after="0" w:line="216" w:lineRule="auto"/>
        <w:tabs>
          <w:tab w:leader="none" w:pos="66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Amounts have been revised to correct certain immaterial prior period errors as reported in the 2018 Annual Report and have been reclassified to conform to the current year presentation.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4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Condensed Consolidating Statement of Income</w:t>
      </w:r>
    </w:p>
    <w:p>
      <w:pPr>
        <w:spacing w:after="0" w:line="185" w:lineRule="exact"/>
        <w:rPr>
          <w:sz w:val="20"/>
          <w:szCs w:val="20"/>
          <w:color w:val="auto"/>
        </w:rPr>
      </w:pPr>
    </w:p>
    <w:p>
      <w:pPr>
        <w:jc w:val="right"/>
        <w:ind w:right="3140"/>
        <w:spacing w:after="0"/>
        <w:rPr>
          <w:sz w:val="20"/>
          <w:szCs w:val="20"/>
          <w:color w:val="auto"/>
        </w:rPr>
      </w:pPr>
      <w:r>
        <w:rPr>
          <w:rFonts w:ascii="Arial" w:cs="Arial" w:eastAsia="Arial" w:hAnsi="Arial"/>
          <w:sz w:val="16"/>
          <w:szCs w:val="16"/>
          <w:b w:val="1"/>
          <w:bCs w:val="1"/>
          <w:color w:val="auto"/>
        </w:rPr>
        <w:t>Three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37465</wp:posOffset>
            </wp:positionV>
            <wp:extent cx="55740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p>
      <w:pPr>
        <w:spacing w:after="0" w:line="338"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millions)</w:t>
      </w:r>
    </w:p>
    <w:p>
      <w:pPr>
        <w:spacing w:after="0" w:line="59" w:lineRule="exact"/>
        <w:rPr>
          <w:sz w:val="20"/>
          <w:szCs w:val="20"/>
          <w:color w:val="auto"/>
        </w:rPr>
      </w:pPr>
    </w:p>
    <w:p>
      <w:pPr>
        <w:ind w:left="40"/>
        <w:spacing w:after="0"/>
        <w:tabs>
          <w:tab w:leader="none" w:pos="2640" w:val="left"/>
        </w:tabs>
        <w:rPr>
          <w:sz w:val="20"/>
          <w:szCs w:val="20"/>
          <w:color w:val="auto"/>
        </w:rPr>
      </w:pPr>
      <w:r>
        <w:rPr>
          <w:rFonts w:ascii="Arial" w:cs="Arial" w:eastAsia="Arial" w:hAnsi="Arial"/>
          <w:sz w:val="17"/>
          <w:szCs w:val="17"/>
          <w:color w:val="auto"/>
        </w:rPr>
        <w:t>Revenues</w:t>
      </w:r>
      <w:r>
        <w:rPr>
          <w:sz w:val="20"/>
          <w:szCs w:val="20"/>
          <w:color w:val="auto"/>
        </w:rPr>
        <w:tab/>
      </w:r>
      <w:r>
        <w:rPr>
          <w:rFonts w:ascii="Arial" w:cs="Arial" w:eastAsia="Arial" w:hAnsi="Arial"/>
          <w:sz w:val="17"/>
          <w:szCs w:val="17"/>
          <w:color w:val="auto"/>
        </w:rPr>
        <w:t>$</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Expenses</w:t>
      </w:r>
    </w:p>
    <w:p>
      <w:pPr>
        <w:spacing w:after="0" w:line="63" w:lineRule="exact"/>
        <w:rPr>
          <w:sz w:val="20"/>
          <w:szCs w:val="20"/>
          <w:color w:val="auto"/>
        </w:rPr>
      </w:pPr>
    </w:p>
    <w:p>
      <w:pPr>
        <w:ind w:left="40" w:right="420"/>
        <w:spacing w:after="0" w:line="277" w:lineRule="auto"/>
        <w:rPr>
          <w:sz w:val="20"/>
          <w:szCs w:val="20"/>
          <w:color w:val="auto"/>
        </w:rPr>
      </w:pPr>
      <w:r>
        <w:rPr>
          <w:rFonts w:ascii="Arial" w:cs="Arial" w:eastAsia="Arial" w:hAnsi="Arial"/>
          <w:sz w:val="18"/>
          <w:szCs w:val="18"/>
          <w:color w:val="auto"/>
        </w:rPr>
        <w:t>Gains (losses) and other income (expense), net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ILG acquisition-related costs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40" w:right="1020"/>
        <w:spacing w:after="0" w:line="317" w:lineRule="auto"/>
        <w:rPr>
          <w:sz w:val="20"/>
          <w:szCs w:val="20"/>
          <w:color w:val="auto"/>
        </w:rPr>
      </w:pPr>
      <w:r>
        <w:rPr>
          <w:rFonts w:ascii="Arial" w:cs="Arial" w:eastAsia="Arial" w:hAnsi="Arial"/>
          <w:sz w:val="16"/>
          <w:szCs w:val="16"/>
          <w:color w:val="auto"/>
        </w:rPr>
        <w:t>Equity in earnings from unconsolidated entities</w:t>
      </w:r>
    </w:p>
    <w:p>
      <w:pPr>
        <w:ind w:left="40" w:right="1020"/>
        <w:spacing w:after="0" w:line="277" w:lineRule="auto"/>
        <w:rPr>
          <w:sz w:val="20"/>
          <w:szCs w:val="20"/>
          <w:color w:val="auto"/>
        </w:rPr>
      </w:pPr>
      <w:r>
        <w:rPr>
          <w:rFonts w:ascii="Arial" w:cs="Arial" w:eastAsia="Arial" w:hAnsi="Arial"/>
          <w:sz w:val="18"/>
          <w:szCs w:val="18"/>
          <w:color w:val="auto"/>
        </w:rPr>
        <w:t>Equity in net income of subsidiaries</w:t>
      </w:r>
    </w:p>
    <w:p>
      <w:pPr>
        <w:spacing w:after="0" w:line="8" w:lineRule="exact"/>
        <w:rPr>
          <w:sz w:val="20"/>
          <w:szCs w:val="20"/>
          <w:color w:val="auto"/>
        </w:rPr>
      </w:pPr>
    </w:p>
    <w:p>
      <w:pPr>
        <w:ind w:left="40" w:right="800"/>
        <w:spacing w:after="0" w:line="321" w:lineRule="auto"/>
        <w:rPr>
          <w:sz w:val="20"/>
          <w:szCs w:val="20"/>
          <w:color w:val="auto"/>
        </w:rPr>
      </w:pPr>
      <w:r>
        <w:rPr>
          <w:rFonts w:ascii="Arial" w:cs="Arial" w:eastAsia="Arial" w:hAnsi="Arial"/>
          <w:sz w:val="18"/>
          <w:szCs w:val="18"/>
          <w:color w:val="auto"/>
        </w:rPr>
        <w:t>Provision for income taxes Net income</w:t>
      </w:r>
    </w:p>
    <w:p>
      <w:pPr>
        <w:ind w:left="40" w:right="840"/>
        <w:spacing w:after="0" w:line="317" w:lineRule="auto"/>
        <w:rPr>
          <w:sz w:val="20"/>
          <w:szCs w:val="20"/>
          <w:color w:val="auto"/>
        </w:rPr>
      </w:pPr>
      <w:r>
        <w:rPr>
          <w:rFonts w:ascii="Arial" w:cs="Arial" w:eastAsia="Arial" w:hAnsi="Arial"/>
          <w:sz w:val="16"/>
          <w:szCs w:val="16"/>
          <w:color w:val="auto"/>
        </w:rPr>
        <w:t>Net income attributable to noncontrolling interests</w:t>
      </w:r>
    </w:p>
    <w:p>
      <w:pPr>
        <w:ind w:left="40"/>
        <w:spacing w:after="0"/>
        <w:rPr>
          <w:sz w:val="20"/>
          <w:szCs w:val="20"/>
          <w:color w:val="auto"/>
        </w:rPr>
      </w:pPr>
      <w:r>
        <w:rPr>
          <w:rFonts w:ascii="Arial" w:cs="Arial" w:eastAsia="Arial" w:hAnsi="Arial"/>
          <w:sz w:val="17"/>
          <w:szCs w:val="17"/>
          <w:color w:val="auto"/>
        </w:rPr>
        <w:t>Net income attributable to common</w:t>
      </w:r>
    </w:p>
    <w:p>
      <w:pPr>
        <w:spacing w:after="0" w:line="23" w:lineRule="exact"/>
        <w:rPr>
          <w:sz w:val="20"/>
          <w:szCs w:val="20"/>
          <w:color w:val="auto"/>
        </w:rPr>
      </w:pPr>
    </w:p>
    <w:p>
      <w:pPr>
        <w:ind w:left="40"/>
        <w:spacing w:after="0"/>
        <w:tabs>
          <w:tab w:leader="none" w:pos="2640" w:val="left"/>
        </w:tabs>
        <w:rPr>
          <w:sz w:val="20"/>
          <w:szCs w:val="20"/>
          <w:color w:val="auto"/>
        </w:rPr>
      </w:pPr>
      <w:r>
        <w:rPr>
          <w:rFonts w:ascii="Arial" w:cs="Arial" w:eastAsia="Arial" w:hAnsi="Arial"/>
          <w:sz w:val="17"/>
          <w:szCs w:val="17"/>
          <w:color w:val="auto"/>
        </w:rPr>
        <w:t>shareholders</w:t>
      </w:r>
      <w:r>
        <w:rPr>
          <w:sz w:val="20"/>
          <w:szCs w:val="20"/>
          <w:color w:val="auto"/>
        </w:rPr>
        <w:tab/>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millions)</w:t>
      </w:r>
    </w:p>
    <w:p>
      <w:pPr>
        <w:spacing w:after="0" w:line="59" w:lineRule="exact"/>
        <w:rPr>
          <w:sz w:val="20"/>
          <w:szCs w:val="20"/>
          <w:color w:val="auto"/>
        </w:rPr>
      </w:pPr>
    </w:p>
    <w:p>
      <w:pPr>
        <w:ind w:left="40"/>
        <w:spacing w:after="0"/>
        <w:tabs>
          <w:tab w:leader="none" w:pos="2640" w:val="left"/>
        </w:tabs>
        <w:rPr>
          <w:sz w:val="20"/>
          <w:szCs w:val="20"/>
          <w:color w:val="auto"/>
        </w:rPr>
      </w:pPr>
      <w:r>
        <w:rPr>
          <w:rFonts w:ascii="Arial" w:cs="Arial" w:eastAsia="Arial" w:hAnsi="Arial"/>
          <w:sz w:val="17"/>
          <w:szCs w:val="17"/>
          <w:color w:val="auto"/>
        </w:rPr>
        <w:t>Revenues</w:t>
      </w:r>
      <w:r>
        <w:rPr>
          <w:sz w:val="20"/>
          <w:szCs w:val="20"/>
          <w:color w:val="auto"/>
        </w:rPr>
        <w:tab/>
      </w:r>
      <w:r>
        <w:rPr>
          <w:rFonts w:ascii="Arial" w:cs="Arial" w:eastAsia="Arial" w:hAnsi="Arial"/>
          <w:sz w:val="17"/>
          <w:szCs w:val="17"/>
          <w:color w:val="auto"/>
        </w:rPr>
        <w:t>$</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Expenses</w:t>
      </w:r>
    </w:p>
    <w:p>
      <w:pPr>
        <w:spacing w:after="0" w:line="63" w:lineRule="exact"/>
        <w:rPr>
          <w:sz w:val="20"/>
          <w:szCs w:val="20"/>
          <w:color w:val="auto"/>
        </w:rPr>
      </w:pPr>
    </w:p>
    <w:p>
      <w:pPr>
        <w:ind w:left="40" w:right="420"/>
        <w:spacing w:after="0" w:line="277" w:lineRule="auto"/>
        <w:rPr>
          <w:sz w:val="20"/>
          <w:szCs w:val="20"/>
          <w:color w:val="auto"/>
        </w:rPr>
      </w:pPr>
      <w:r>
        <w:rPr>
          <w:rFonts w:ascii="Arial" w:cs="Arial" w:eastAsia="Arial" w:hAnsi="Arial"/>
          <w:sz w:val="18"/>
          <w:szCs w:val="18"/>
          <w:color w:val="auto"/>
        </w:rPr>
        <w:t>Gains (losses) and other income (expense), net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ILG acquisition-related costs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Provision for income taxes</w:t>
      </w:r>
    </w:p>
    <w:p>
      <w:pPr>
        <w:spacing w:after="0" w:line="63" w:lineRule="exact"/>
        <w:rPr>
          <w:sz w:val="20"/>
          <w:szCs w:val="20"/>
          <w:color w:val="auto"/>
        </w:rPr>
      </w:pPr>
    </w:p>
    <w:p>
      <w:pPr>
        <w:ind w:left="40" w:right="1020"/>
        <w:spacing w:after="0" w:line="317" w:lineRule="auto"/>
        <w:rPr>
          <w:sz w:val="20"/>
          <w:szCs w:val="20"/>
          <w:color w:val="auto"/>
        </w:rPr>
      </w:pPr>
      <w:r>
        <w:rPr>
          <w:rFonts w:ascii="Arial" w:cs="Arial" w:eastAsia="Arial" w:hAnsi="Arial"/>
          <w:sz w:val="16"/>
          <w:szCs w:val="16"/>
          <w:color w:val="auto"/>
        </w:rPr>
        <w:t>Equity in earnings from unconsolidated entities</w:t>
      </w:r>
    </w:p>
    <w:p>
      <w:pPr>
        <w:ind w:left="40" w:right="1020"/>
        <w:spacing w:after="0" w:line="277" w:lineRule="auto"/>
        <w:rPr>
          <w:sz w:val="20"/>
          <w:szCs w:val="20"/>
          <w:color w:val="auto"/>
        </w:rPr>
      </w:pPr>
      <w:r>
        <w:rPr>
          <w:rFonts w:ascii="Arial" w:cs="Arial" w:eastAsia="Arial" w:hAnsi="Arial"/>
          <w:sz w:val="18"/>
          <w:szCs w:val="18"/>
          <w:color w:val="auto"/>
        </w:rPr>
        <w:t>Equity in net income of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63" w:lineRule="exact"/>
        <w:rPr>
          <w:sz w:val="20"/>
          <w:szCs w:val="20"/>
          <w:color w:val="auto"/>
        </w:rPr>
      </w:pPr>
    </w:p>
    <w:p>
      <w:pPr>
        <w:ind w:left="40" w:right="840"/>
        <w:spacing w:after="0" w:line="317" w:lineRule="auto"/>
        <w:rPr>
          <w:sz w:val="20"/>
          <w:szCs w:val="20"/>
          <w:color w:val="auto"/>
        </w:rPr>
      </w:pPr>
      <w:r>
        <w:rPr>
          <w:rFonts w:ascii="Arial" w:cs="Arial" w:eastAsia="Arial" w:hAnsi="Arial"/>
          <w:sz w:val="16"/>
          <w:szCs w:val="16"/>
          <w:color w:val="auto"/>
        </w:rPr>
        <w:t>Net income attributable to noncontrolling interests</w:t>
      </w:r>
    </w:p>
    <w:p>
      <w:pPr>
        <w:ind w:left="40"/>
        <w:spacing w:after="0"/>
        <w:rPr>
          <w:sz w:val="20"/>
          <w:szCs w:val="20"/>
          <w:color w:val="auto"/>
        </w:rPr>
      </w:pPr>
      <w:r>
        <w:rPr>
          <w:rFonts w:ascii="Arial" w:cs="Arial" w:eastAsia="Arial" w:hAnsi="Arial"/>
          <w:sz w:val="17"/>
          <w:szCs w:val="17"/>
          <w:color w:val="auto"/>
        </w:rPr>
        <w:t>Net income attributable to common</w:t>
      </w:r>
    </w:p>
    <w:p>
      <w:pPr>
        <w:spacing w:after="0" w:line="23" w:lineRule="exact"/>
        <w:rPr>
          <w:sz w:val="20"/>
          <w:szCs w:val="20"/>
          <w:color w:val="auto"/>
        </w:rPr>
      </w:pPr>
    </w:p>
    <w:p>
      <w:pPr>
        <w:ind w:left="40"/>
        <w:spacing w:after="0"/>
        <w:tabs>
          <w:tab w:leader="none" w:pos="2640" w:val="left"/>
        </w:tabs>
        <w:rPr>
          <w:sz w:val="20"/>
          <w:szCs w:val="20"/>
          <w:color w:val="auto"/>
        </w:rPr>
      </w:pPr>
      <w:r>
        <w:rPr>
          <w:rFonts w:ascii="Arial" w:cs="Arial" w:eastAsia="Arial" w:hAnsi="Arial"/>
          <w:sz w:val="17"/>
          <w:szCs w:val="17"/>
          <w:color w:val="auto"/>
        </w:rPr>
        <w:t>shareholders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6"/>
                <w:szCs w:val="16"/>
                <w:b w:val="1"/>
                <w:bCs w:val="1"/>
                <w:color w:val="auto"/>
              </w:rPr>
              <w:t>Interval</w:t>
            </w:r>
          </w:p>
        </w:tc>
        <w:tc>
          <w:tcPr>
            <w:tcW w:w="140" w:type="dxa"/>
            <w:vAlign w:val="bottom"/>
          </w:tcPr>
          <w:p>
            <w:pPr>
              <w:spacing w:after="0"/>
              <w:rPr>
                <w:sz w:val="17"/>
                <w:szCs w:val="17"/>
                <w:color w:val="auto"/>
              </w:rPr>
            </w:pPr>
          </w:p>
        </w:tc>
        <w:tc>
          <w:tcPr>
            <w:tcW w:w="1340" w:type="dxa"/>
            <w:vAlign w:val="bottom"/>
            <w:gridSpan w:val="2"/>
          </w:tcPr>
          <w:p>
            <w:pPr>
              <w:ind w:left="180"/>
              <w:spacing w:after="0"/>
              <w:rPr>
                <w:sz w:val="20"/>
                <w:szCs w:val="20"/>
                <w:color w:val="auto"/>
              </w:rPr>
            </w:pPr>
            <w:r>
              <w:rPr>
                <w:rFonts w:ascii="Arial" w:cs="Arial" w:eastAsia="Arial" w:hAnsi="Arial"/>
                <w:sz w:val="16"/>
                <w:szCs w:val="16"/>
                <w:b w:val="1"/>
                <w:bCs w:val="1"/>
                <w:color w:val="auto"/>
              </w:rPr>
              <w:t>IAC Notes</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Non-Guarantor</w:t>
            </w: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rPr>
              <w:t>MVW</w:t>
            </w:r>
          </w:p>
        </w:tc>
      </w:tr>
      <w:tr>
        <w:trPr>
          <w:trHeight w:val="210"/>
        </w:trPr>
        <w:tc>
          <w:tcPr>
            <w:tcW w:w="1100" w:type="dxa"/>
            <w:vAlign w:val="bottom"/>
          </w:tcPr>
          <w:p>
            <w:pPr>
              <w:jc w:val="right"/>
              <w:ind w:right="451"/>
              <w:spacing w:after="0"/>
              <w:rPr>
                <w:sz w:val="20"/>
                <w:szCs w:val="20"/>
                <w:color w:val="auto"/>
              </w:rPr>
            </w:pPr>
            <w:r>
              <w:rPr>
                <w:rFonts w:ascii="Arial" w:cs="Arial" w:eastAsia="Arial" w:hAnsi="Arial"/>
                <w:sz w:val="16"/>
                <w:szCs w:val="16"/>
                <w:b w:val="1"/>
                <w:bCs w:val="1"/>
                <w:color w:val="auto"/>
              </w:rPr>
              <w:t>MVWC</w:t>
            </w:r>
          </w:p>
        </w:tc>
        <w:tc>
          <w:tcPr>
            <w:tcW w:w="1480" w:type="dxa"/>
            <w:vAlign w:val="bottom"/>
            <w:gridSpan w:val="3"/>
          </w:tcPr>
          <w:p>
            <w:pPr>
              <w:ind w:left="80"/>
              <w:spacing w:after="0"/>
              <w:rPr>
                <w:sz w:val="20"/>
                <w:szCs w:val="20"/>
                <w:color w:val="auto"/>
              </w:rPr>
            </w:pPr>
            <w:r>
              <w:rPr>
                <w:rFonts w:ascii="Arial" w:cs="Arial" w:eastAsia="Arial" w:hAnsi="Arial"/>
                <w:sz w:val="16"/>
                <w:szCs w:val="16"/>
                <w:b w:val="1"/>
                <w:bCs w:val="1"/>
                <w:color w:val="auto"/>
              </w:rPr>
              <w:t>Acquisition Corp.</w:t>
            </w:r>
          </w:p>
        </w:tc>
        <w:tc>
          <w:tcPr>
            <w:tcW w:w="1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b w:val="1"/>
                <w:bCs w:val="1"/>
                <w:color w:val="auto"/>
              </w:rPr>
              <w:t>Guarantors</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Subsidiaries</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Total Eliminations</w:t>
            </w:r>
          </w:p>
        </w:tc>
        <w:tc>
          <w:tcPr>
            <w:tcW w:w="160" w:type="dxa"/>
            <w:vAlign w:val="bottom"/>
          </w:tcPr>
          <w:p>
            <w:pPr>
              <w:spacing w:after="0"/>
              <w:rPr>
                <w:sz w:val="18"/>
                <w:szCs w:val="18"/>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w w:val="90"/>
              </w:rPr>
              <w:t>Consolidated</w:t>
            </w:r>
          </w:p>
        </w:tc>
      </w:tr>
      <w:tr>
        <w:trPr>
          <w:trHeight w:val="33"/>
        </w:trPr>
        <w:tc>
          <w:tcPr>
            <w:tcW w:w="1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0"/>
                <w:szCs w:val="20"/>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1,068</w:t>
            </w:r>
          </w:p>
        </w:tc>
      </w:tr>
      <w:tr>
        <w:trPr>
          <w:trHeight w:val="270"/>
        </w:trPr>
        <w:tc>
          <w:tcPr>
            <w:tcW w:w="1100" w:type="dxa"/>
            <w:vAlign w:val="bottom"/>
          </w:tcPr>
          <w:p>
            <w:pPr>
              <w:jc w:val="right"/>
              <w:ind w:right="91"/>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(925)</w:t>
            </w:r>
          </w:p>
        </w:tc>
      </w:tr>
      <w:tr>
        <w:trPr>
          <w:trHeight w:val="486"/>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0"/>
        </w:trPr>
        <w:tc>
          <w:tcPr>
            <w:tcW w:w="1100" w:type="dxa"/>
            <w:vAlign w:val="bottom"/>
          </w:tcPr>
          <w:p>
            <w:pPr>
              <w:jc w:val="right"/>
              <w:ind w:right="91"/>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486"/>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486"/>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24"/>
                <w:szCs w:val="24"/>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1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49</w:t>
            </w:r>
          </w:p>
        </w:tc>
      </w:tr>
      <w:tr>
        <w:trPr>
          <w:trHeight w:val="486"/>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426"/>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49</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49</w:t>
            </w:r>
          </w:p>
        </w:tc>
      </w:tr>
      <w:tr>
        <w:trPr>
          <w:trHeight w:val="27"/>
        </w:trPr>
        <w:tc>
          <w:tcPr>
            <w:tcW w:w="1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1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785"/>
        </w:trPr>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June 30, 2018</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2"/>
        </w:trPr>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gridSpan w:val="2"/>
          </w:tcPr>
          <w:p>
            <w:pPr>
              <w:ind w:left="160"/>
              <w:spacing w:after="0"/>
              <w:rPr>
                <w:sz w:val="20"/>
                <w:szCs w:val="20"/>
                <w:color w:val="auto"/>
              </w:rPr>
            </w:pPr>
            <w:r>
              <w:rPr>
                <w:rFonts w:ascii="Arial" w:cs="Arial" w:eastAsia="Arial" w:hAnsi="Arial"/>
                <w:sz w:val="16"/>
                <w:szCs w:val="16"/>
                <w:b w:val="1"/>
                <w:bCs w:val="1"/>
                <w:color w:val="auto"/>
              </w:rPr>
              <w:t>Interval</w:t>
            </w:r>
          </w:p>
        </w:tc>
        <w:tc>
          <w:tcPr>
            <w:tcW w:w="140" w:type="dxa"/>
            <w:vAlign w:val="bottom"/>
          </w:tcPr>
          <w:p>
            <w:pPr>
              <w:spacing w:after="0"/>
              <w:rPr>
                <w:sz w:val="22"/>
                <w:szCs w:val="22"/>
                <w:color w:val="auto"/>
              </w:rPr>
            </w:pPr>
          </w:p>
        </w:tc>
        <w:tc>
          <w:tcPr>
            <w:tcW w:w="1340" w:type="dxa"/>
            <w:vAlign w:val="bottom"/>
            <w:gridSpan w:val="2"/>
          </w:tcPr>
          <w:p>
            <w:pPr>
              <w:ind w:left="180"/>
              <w:spacing w:after="0"/>
              <w:rPr>
                <w:sz w:val="20"/>
                <w:szCs w:val="20"/>
                <w:color w:val="auto"/>
              </w:rPr>
            </w:pPr>
            <w:r>
              <w:rPr>
                <w:rFonts w:ascii="Arial" w:cs="Arial" w:eastAsia="Arial" w:hAnsi="Arial"/>
                <w:sz w:val="16"/>
                <w:szCs w:val="16"/>
                <w:b w:val="1"/>
                <w:bCs w:val="1"/>
                <w:color w:val="auto"/>
              </w:rPr>
              <w:t>IAC Notes</w:t>
            </w:r>
          </w:p>
        </w:tc>
        <w:tc>
          <w:tcPr>
            <w:tcW w:w="120" w:type="dxa"/>
            <w:vAlign w:val="bottom"/>
          </w:tcPr>
          <w:p>
            <w:pPr>
              <w:spacing w:after="0"/>
              <w:rPr>
                <w:sz w:val="22"/>
                <w:szCs w:val="22"/>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Non-Guarantor</w:t>
            </w: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rPr>
              <w:t>MVW</w:t>
            </w:r>
          </w:p>
        </w:tc>
      </w:tr>
      <w:tr>
        <w:trPr>
          <w:trHeight w:val="210"/>
        </w:trPr>
        <w:tc>
          <w:tcPr>
            <w:tcW w:w="1100" w:type="dxa"/>
            <w:vAlign w:val="bottom"/>
          </w:tcPr>
          <w:p>
            <w:pPr>
              <w:jc w:val="right"/>
              <w:ind w:right="451"/>
              <w:spacing w:after="0"/>
              <w:rPr>
                <w:sz w:val="20"/>
                <w:szCs w:val="20"/>
                <w:color w:val="auto"/>
              </w:rPr>
            </w:pPr>
            <w:r>
              <w:rPr>
                <w:rFonts w:ascii="Arial" w:cs="Arial" w:eastAsia="Arial" w:hAnsi="Arial"/>
                <w:sz w:val="16"/>
                <w:szCs w:val="16"/>
                <w:b w:val="1"/>
                <w:bCs w:val="1"/>
                <w:color w:val="auto"/>
              </w:rPr>
              <w:t>MVWC</w:t>
            </w:r>
          </w:p>
        </w:tc>
        <w:tc>
          <w:tcPr>
            <w:tcW w:w="1480" w:type="dxa"/>
            <w:vAlign w:val="bottom"/>
            <w:gridSpan w:val="3"/>
          </w:tcPr>
          <w:p>
            <w:pPr>
              <w:ind w:left="80"/>
              <w:spacing w:after="0"/>
              <w:rPr>
                <w:sz w:val="20"/>
                <w:szCs w:val="20"/>
                <w:color w:val="auto"/>
              </w:rPr>
            </w:pPr>
            <w:r>
              <w:rPr>
                <w:rFonts w:ascii="Arial" w:cs="Arial" w:eastAsia="Arial" w:hAnsi="Arial"/>
                <w:sz w:val="16"/>
                <w:szCs w:val="16"/>
                <w:b w:val="1"/>
                <w:bCs w:val="1"/>
                <w:color w:val="auto"/>
              </w:rPr>
              <w:t>Acquisition Corp.</w:t>
            </w:r>
          </w:p>
        </w:tc>
        <w:tc>
          <w:tcPr>
            <w:tcW w:w="1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b w:val="1"/>
                <w:bCs w:val="1"/>
                <w:color w:val="auto"/>
              </w:rPr>
              <w:t>Guarantors</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Subsidiaries</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Total Eliminations</w:t>
            </w:r>
          </w:p>
        </w:tc>
        <w:tc>
          <w:tcPr>
            <w:tcW w:w="160" w:type="dxa"/>
            <w:vAlign w:val="bottom"/>
          </w:tcPr>
          <w:p>
            <w:pPr>
              <w:spacing w:after="0"/>
              <w:rPr>
                <w:sz w:val="18"/>
                <w:szCs w:val="18"/>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w w:val="90"/>
              </w:rPr>
              <w:t>Consolidated</w:t>
            </w:r>
          </w:p>
        </w:tc>
      </w:tr>
      <w:tr>
        <w:trPr>
          <w:trHeight w:val="33"/>
        </w:trPr>
        <w:tc>
          <w:tcPr>
            <w:tcW w:w="1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0"/>
                <w:szCs w:val="20"/>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595</w:t>
            </w:r>
          </w:p>
        </w:tc>
      </w:tr>
      <w:tr>
        <w:trPr>
          <w:trHeight w:val="270"/>
        </w:trPr>
        <w:tc>
          <w:tcPr>
            <w:tcW w:w="1100" w:type="dxa"/>
            <w:vAlign w:val="bottom"/>
          </w:tcPr>
          <w:p>
            <w:pPr>
              <w:jc w:val="right"/>
              <w:ind w:right="91"/>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(546)</w:t>
            </w:r>
          </w:p>
        </w:tc>
      </w:tr>
      <w:tr>
        <w:trPr>
          <w:trHeight w:val="486"/>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1100" w:type="dxa"/>
            <w:vAlign w:val="bottom"/>
          </w:tcPr>
          <w:p>
            <w:pPr>
              <w:jc w:val="right"/>
              <w:ind w:right="91"/>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86"/>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486"/>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486"/>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426"/>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11</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7"/>
        </w:trPr>
        <w:tc>
          <w:tcPr>
            <w:tcW w:w="1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1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-6036945</wp:posOffset>
            </wp:positionV>
            <wp:extent cx="7246620"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-5556250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-5213350</wp:posOffset>
            </wp:positionV>
            <wp:extent cx="7246620"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-4596130</wp:posOffset>
            </wp:positionV>
            <wp:extent cx="7246620" cy="986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986155"/>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-6388100</wp:posOffset>
            </wp:positionV>
            <wp:extent cx="724662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-2426335</wp:posOffset>
            </wp:positionV>
            <wp:extent cx="7246620"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-1946275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-1602740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-1122680</wp:posOffset>
            </wp:positionV>
            <wp:extent cx="7246620" cy="11233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123315"/>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-2778125</wp:posOffset>
            </wp:positionV>
            <wp:extent cx="724662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-264795</wp:posOffset>
            </wp:positionH>
            <wp:positionV relativeFrom="paragraph">
              <wp:posOffset>-3077845</wp:posOffset>
            </wp:positionV>
            <wp:extent cx="55740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60" w:space="300"/>
            <w:col w:w="8360"/>
          </w:cols>
          <w:pgMar w:left="240" w:top="476"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476" w:right="239" w:bottom="1440" w:gutter="0" w:footer="0" w:header="0"/>
          <w:type w:val="continuous"/>
        </w:sectPr>
      </w:pPr>
    </w:p>
    <w:bookmarkStart w:id="50" w:name="page51"/>
    <w:bookmarkEnd w:id="50"/>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in millions)</w:t>
      </w:r>
    </w:p>
    <w:p>
      <w:pPr>
        <w:spacing w:after="0" w:line="59" w:lineRule="exact"/>
        <w:rPr>
          <w:sz w:val="20"/>
          <w:szCs w:val="20"/>
          <w:color w:val="auto"/>
        </w:rPr>
      </w:pPr>
    </w:p>
    <w:p>
      <w:pPr>
        <w:spacing w:after="0"/>
        <w:tabs>
          <w:tab w:leader="none" w:pos="2600" w:val="left"/>
        </w:tabs>
        <w:rPr>
          <w:sz w:val="20"/>
          <w:szCs w:val="20"/>
          <w:color w:val="auto"/>
        </w:rPr>
      </w:pPr>
      <w:r>
        <w:rPr>
          <w:rFonts w:ascii="Arial" w:cs="Arial" w:eastAsia="Arial" w:hAnsi="Arial"/>
          <w:sz w:val="17"/>
          <w:szCs w:val="17"/>
          <w:color w:val="auto"/>
        </w:rPr>
        <w:t>Revenues</w:t>
      </w:r>
      <w:r>
        <w:rPr>
          <w:sz w:val="20"/>
          <w:szCs w:val="20"/>
          <w:color w:val="auto"/>
        </w:rPr>
        <w:tab/>
      </w:r>
      <w:r>
        <w:rPr>
          <w:rFonts w:ascii="Arial" w:cs="Arial" w:eastAsia="Arial" w:hAnsi="Arial"/>
          <w:sz w:val="17"/>
          <w:szCs w:val="17"/>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Expenses</w:t>
      </w:r>
    </w:p>
    <w:p>
      <w:pPr>
        <w:spacing w:after="0" w:line="6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Gains (losses) and other income (expense), net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ILG acquisition-related costs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63" w:lineRule="exact"/>
        <w:rPr>
          <w:sz w:val="20"/>
          <w:szCs w:val="20"/>
          <w:color w:val="auto"/>
        </w:rPr>
      </w:pPr>
    </w:p>
    <w:p>
      <w:pPr>
        <w:ind w:right="1020"/>
        <w:spacing w:after="0" w:line="317" w:lineRule="auto"/>
        <w:rPr>
          <w:sz w:val="20"/>
          <w:szCs w:val="20"/>
          <w:color w:val="auto"/>
        </w:rPr>
      </w:pPr>
      <w:r>
        <w:rPr>
          <w:rFonts w:ascii="Arial" w:cs="Arial" w:eastAsia="Arial" w:hAnsi="Arial"/>
          <w:sz w:val="16"/>
          <w:szCs w:val="16"/>
          <w:color w:val="auto"/>
        </w:rPr>
        <w:t>Equity in earnings from unconsolidated entities</w:t>
      </w:r>
    </w:p>
    <w:p>
      <w:pPr>
        <w:ind w:right="1020"/>
        <w:spacing w:after="0" w:line="277" w:lineRule="auto"/>
        <w:rPr>
          <w:sz w:val="20"/>
          <w:szCs w:val="20"/>
          <w:color w:val="auto"/>
        </w:rPr>
      </w:pPr>
      <w:r>
        <w:rPr>
          <w:rFonts w:ascii="Arial" w:cs="Arial" w:eastAsia="Arial" w:hAnsi="Arial"/>
          <w:sz w:val="18"/>
          <w:szCs w:val="18"/>
          <w:color w:val="auto"/>
        </w:rPr>
        <w:t>Equity in net income of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63" w:lineRule="exact"/>
        <w:rPr>
          <w:sz w:val="20"/>
          <w:szCs w:val="20"/>
          <w:color w:val="auto"/>
        </w:rPr>
      </w:pPr>
    </w:p>
    <w:p>
      <w:pPr>
        <w:ind w:right="840"/>
        <w:spacing w:after="0" w:line="317" w:lineRule="auto"/>
        <w:rPr>
          <w:sz w:val="20"/>
          <w:szCs w:val="20"/>
          <w:color w:val="auto"/>
        </w:rPr>
      </w:pPr>
      <w:r>
        <w:rPr>
          <w:rFonts w:ascii="Arial" w:cs="Arial" w:eastAsia="Arial" w:hAnsi="Arial"/>
          <w:sz w:val="16"/>
          <w:szCs w:val="16"/>
          <w:color w:val="auto"/>
        </w:rPr>
        <w:t>Net income attributable to noncontrolling interests</w:t>
      </w:r>
    </w:p>
    <w:p>
      <w:pPr>
        <w:spacing w:after="0"/>
        <w:rPr>
          <w:sz w:val="20"/>
          <w:szCs w:val="20"/>
          <w:color w:val="auto"/>
        </w:rPr>
      </w:pPr>
      <w:r>
        <w:rPr>
          <w:rFonts w:ascii="Arial" w:cs="Arial" w:eastAsia="Arial" w:hAnsi="Arial"/>
          <w:sz w:val="17"/>
          <w:szCs w:val="17"/>
          <w:color w:val="auto"/>
        </w:rPr>
        <w:t>Net income attributable to common</w:t>
      </w:r>
    </w:p>
    <w:p>
      <w:pPr>
        <w:spacing w:after="0" w:line="23" w:lineRule="exact"/>
        <w:rPr>
          <w:sz w:val="20"/>
          <w:szCs w:val="20"/>
          <w:color w:val="auto"/>
        </w:rPr>
      </w:pPr>
    </w:p>
    <w:p>
      <w:pPr>
        <w:spacing w:after="0"/>
        <w:tabs>
          <w:tab w:leader="none" w:pos="2600" w:val="left"/>
        </w:tabs>
        <w:rPr>
          <w:sz w:val="20"/>
          <w:szCs w:val="20"/>
          <w:color w:val="auto"/>
        </w:rPr>
      </w:pPr>
      <w:r>
        <w:rPr>
          <w:rFonts w:ascii="Arial" w:cs="Arial" w:eastAsia="Arial" w:hAnsi="Arial"/>
          <w:sz w:val="17"/>
          <w:szCs w:val="17"/>
          <w:color w:val="auto"/>
        </w:rPr>
        <w:t>shareholders</w:t>
      </w:r>
      <w:r>
        <w:rPr>
          <w:sz w:val="20"/>
          <w:szCs w:val="20"/>
          <w:color w:val="auto"/>
        </w:rPr>
        <w:tab/>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in millions)</w:t>
      </w:r>
    </w:p>
    <w:p>
      <w:pPr>
        <w:spacing w:after="0" w:line="59" w:lineRule="exact"/>
        <w:rPr>
          <w:sz w:val="20"/>
          <w:szCs w:val="20"/>
          <w:color w:val="auto"/>
        </w:rPr>
      </w:pPr>
    </w:p>
    <w:p>
      <w:pPr>
        <w:spacing w:after="0"/>
        <w:tabs>
          <w:tab w:leader="none" w:pos="2600" w:val="left"/>
        </w:tabs>
        <w:rPr>
          <w:sz w:val="20"/>
          <w:szCs w:val="20"/>
          <w:color w:val="auto"/>
        </w:rPr>
      </w:pPr>
      <w:r>
        <w:rPr>
          <w:rFonts w:ascii="Arial" w:cs="Arial" w:eastAsia="Arial" w:hAnsi="Arial"/>
          <w:sz w:val="17"/>
          <w:szCs w:val="17"/>
          <w:color w:val="auto"/>
        </w:rPr>
        <w:t>Revenues</w:t>
      </w:r>
      <w:r>
        <w:rPr>
          <w:sz w:val="20"/>
          <w:szCs w:val="20"/>
          <w:color w:val="auto"/>
        </w:rPr>
        <w:tab/>
      </w:r>
      <w:r>
        <w:rPr>
          <w:rFonts w:ascii="Arial" w:cs="Arial" w:eastAsia="Arial" w:hAnsi="Arial"/>
          <w:sz w:val="17"/>
          <w:szCs w:val="17"/>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Expenses</w:t>
      </w:r>
    </w:p>
    <w:p>
      <w:pPr>
        <w:spacing w:after="0" w:line="6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Gains (losses) and other income (expense), net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ILG acquisition-related costs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63" w:lineRule="exact"/>
        <w:rPr>
          <w:sz w:val="20"/>
          <w:szCs w:val="20"/>
          <w:color w:val="auto"/>
        </w:rPr>
      </w:pPr>
    </w:p>
    <w:p>
      <w:pPr>
        <w:ind w:right="1020"/>
        <w:spacing w:after="0" w:line="317" w:lineRule="auto"/>
        <w:rPr>
          <w:sz w:val="20"/>
          <w:szCs w:val="20"/>
          <w:color w:val="auto"/>
        </w:rPr>
      </w:pPr>
      <w:r>
        <w:rPr>
          <w:rFonts w:ascii="Arial" w:cs="Arial" w:eastAsia="Arial" w:hAnsi="Arial"/>
          <w:sz w:val="16"/>
          <w:szCs w:val="16"/>
          <w:color w:val="auto"/>
        </w:rPr>
        <w:t>Equity in earnings from unconsolidated entities</w:t>
      </w:r>
    </w:p>
    <w:p>
      <w:pPr>
        <w:ind w:right="1020"/>
        <w:spacing w:after="0" w:line="277" w:lineRule="auto"/>
        <w:rPr>
          <w:sz w:val="20"/>
          <w:szCs w:val="20"/>
          <w:color w:val="auto"/>
        </w:rPr>
      </w:pPr>
      <w:r>
        <w:rPr>
          <w:rFonts w:ascii="Arial" w:cs="Arial" w:eastAsia="Arial" w:hAnsi="Arial"/>
          <w:sz w:val="18"/>
          <w:szCs w:val="18"/>
          <w:color w:val="auto"/>
        </w:rPr>
        <w:t>Equity in net income of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63" w:lineRule="exact"/>
        <w:rPr>
          <w:sz w:val="20"/>
          <w:szCs w:val="20"/>
          <w:color w:val="auto"/>
        </w:rPr>
      </w:pPr>
    </w:p>
    <w:p>
      <w:pPr>
        <w:ind w:right="840"/>
        <w:spacing w:after="0" w:line="317" w:lineRule="auto"/>
        <w:rPr>
          <w:sz w:val="20"/>
          <w:szCs w:val="20"/>
          <w:color w:val="auto"/>
        </w:rPr>
      </w:pPr>
      <w:r>
        <w:rPr>
          <w:rFonts w:ascii="Arial" w:cs="Arial" w:eastAsia="Arial" w:hAnsi="Arial"/>
          <w:sz w:val="16"/>
          <w:szCs w:val="16"/>
          <w:color w:val="auto"/>
        </w:rPr>
        <w:t>Net income attributable to noncontrolling interests</w:t>
      </w:r>
    </w:p>
    <w:p>
      <w:pPr>
        <w:spacing w:after="0"/>
        <w:rPr>
          <w:sz w:val="20"/>
          <w:szCs w:val="20"/>
          <w:color w:val="auto"/>
        </w:rPr>
      </w:pPr>
      <w:r>
        <w:rPr>
          <w:rFonts w:ascii="Arial" w:cs="Arial" w:eastAsia="Arial" w:hAnsi="Arial"/>
          <w:sz w:val="17"/>
          <w:szCs w:val="17"/>
          <w:color w:val="auto"/>
        </w:rPr>
        <w:t>Net income attributable to common</w:t>
      </w:r>
    </w:p>
    <w:p>
      <w:pPr>
        <w:spacing w:after="0" w:line="23" w:lineRule="exact"/>
        <w:rPr>
          <w:sz w:val="20"/>
          <w:szCs w:val="20"/>
          <w:color w:val="auto"/>
        </w:rPr>
      </w:pPr>
    </w:p>
    <w:p>
      <w:pPr>
        <w:spacing w:after="0"/>
        <w:tabs>
          <w:tab w:leader="none" w:pos="2600" w:val="left"/>
        </w:tabs>
        <w:rPr>
          <w:sz w:val="20"/>
          <w:szCs w:val="20"/>
          <w:color w:val="auto"/>
        </w:rPr>
      </w:pPr>
      <w:r>
        <w:rPr>
          <w:rFonts w:ascii="Arial" w:cs="Arial" w:eastAsia="Arial" w:hAnsi="Arial"/>
          <w:sz w:val="17"/>
          <w:szCs w:val="17"/>
          <w:color w:val="auto"/>
        </w:rPr>
        <w:t>shareholders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center"/>
        <w:ind w:right="400"/>
        <w:spacing w:after="0"/>
        <w:rPr>
          <w:sz w:val="20"/>
          <w:szCs w:val="20"/>
          <w:color w:val="auto"/>
        </w:rPr>
      </w:pPr>
      <w:r>
        <w:rPr>
          <w:rFonts w:ascii="Arial" w:cs="Arial" w:eastAsia="Arial" w:hAnsi="Arial"/>
          <w:sz w:val="16"/>
          <w:szCs w:val="16"/>
          <w:b w:val="1"/>
          <w:bCs w:val="1"/>
          <w:color w:val="auto"/>
        </w:rPr>
        <w:t>Six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37465</wp:posOffset>
            </wp:positionV>
            <wp:extent cx="55740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6"/>
                <w:szCs w:val="16"/>
                <w:b w:val="1"/>
                <w:bCs w:val="1"/>
                <w:color w:val="auto"/>
              </w:rPr>
              <w:t>Interval</w:t>
            </w:r>
          </w:p>
        </w:tc>
        <w:tc>
          <w:tcPr>
            <w:tcW w:w="200" w:type="dxa"/>
            <w:vAlign w:val="bottom"/>
          </w:tcPr>
          <w:p>
            <w:pPr>
              <w:spacing w:after="0"/>
              <w:rPr>
                <w:sz w:val="17"/>
                <w:szCs w:val="17"/>
                <w:color w:val="auto"/>
              </w:rPr>
            </w:pPr>
          </w:p>
        </w:tc>
        <w:tc>
          <w:tcPr>
            <w:tcW w:w="1280" w:type="dxa"/>
            <w:vAlign w:val="bottom"/>
            <w:gridSpan w:val="2"/>
          </w:tcPr>
          <w:p>
            <w:pPr>
              <w:ind w:left="120"/>
              <w:spacing w:after="0"/>
              <w:rPr>
                <w:sz w:val="20"/>
                <w:szCs w:val="20"/>
                <w:color w:val="auto"/>
              </w:rPr>
            </w:pPr>
            <w:r>
              <w:rPr>
                <w:rFonts w:ascii="Arial" w:cs="Arial" w:eastAsia="Arial" w:hAnsi="Arial"/>
                <w:sz w:val="16"/>
                <w:szCs w:val="16"/>
                <w:b w:val="1"/>
                <w:bCs w:val="1"/>
                <w:color w:val="auto"/>
              </w:rPr>
              <w:t>IAC Notes</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Non-Guarantor</w:t>
            </w: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rPr>
              <w:t>MVW</w:t>
            </w:r>
          </w:p>
        </w:tc>
      </w:tr>
      <w:tr>
        <w:trPr>
          <w:trHeight w:val="210"/>
        </w:trPr>
        <w:tc>
          <w:tcPr>
            <w:tcW w:w="1100" w:type="dxa"/>
            <w:vAlign w:val="bottom"/>
          </w:tcPr>
          <w:p>
            <w:pPr>
              <w:jc w:val="right"/>
              <w:ind w:right="451"/>
              <w:spacing w:after="0"/>
              <w:rPr>
                <w:sz w:val="20"/>
                <w:szCs w:val="20"/>
                <w:color w:val="auto"/>
              </w:rPr>
            </w:pPr>
            <w:r>
              <w:rPr>
                <w:rFonts w:ascii="Arial" w:cs="Arial" w:eastAsia="Arial" w:hAnsi="Arial"/>
                <w:sz w:val="16"/>
                <w:szCs w:val="16"/>
                <w:b w:val="1"/>
                <w:bCs w:val="1"/>
                <w:color w:val="auto"/>
              </w:rPr>
              <w:t>MVWC</w:t>
            </w:r>
          </w:p>
        </w:tc>
        <w:tc>
          <w:tcPr>
            <w:tcW w:w="1480" w:type="dxa"/>
            <w:vAlign w:val="bottom"/>
            <w:gridSpan w:val="3"/>
          </w:tcPr>
          <w:p>
            <w:pPr>
              <w:ind w:left="80"/>
              <w:spacing w:after="0"/>
              <w:rPr>
                <w:sz w:val="20"/>
                <w:szCs w:val="20"/>
                <w:color w:val="auto"/>
              </w:rPr>
            </w:pPr>
            <w:r>
              <w:rPr>
                <w:rFonts w:ascii="Arial" w:cs="Arial" w:eastAsia="Arial" w:hAnsi="Arial"/>
                <w:sz w:val="16"/>
                <w:szCs w:val="16"/>
                <w:b w:val="1"/>
                <w:bCs w:val="1"/>
                <w:color w:val="auto"/>
              </w:rPr>
              <w:t>Acquisition Corp.</w:t>
            </w:r>
          </w:p>
        </w:tc>
        <w:tc>
          <w:tcPr>
            <w:tcW w:w="20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Guarantors</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Subsidiaries</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Total Eliminations</w:t>
            </w:r>
          </w:p>
        </w:tc>
        <w:tc>
          <w:tcPr>
            <w:tcW w:w="160" w:type="dxa"/>
            <w:vAlign w:val="bottom"/>
          </w:tcPr>
          <w:p>
            <w:pPr>
              <w:spacing w:after="0"/>
              <w:rPr>
                <w:sz w:val="18"/>
                <w:szCs w:val="18"/>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w w:val="90"/>
              </w:rPr>
              <w:t>Consolidated</w:t>
            </w:r>
          </w:p>
        </w:tc>
      </w:tr>
      <w:tr>
        <w:trPr>
          <w:trHeight w:val="33"/>
        </w:trPr>
        <w:tc>
          <w:tcPr>
            <w:tcW w:w="1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20"/>
                <w:szCs w:val="20"/>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2,128</w:t>
            </w:r>
          </w:p>
        </w:tc>
      </w:tr>
      <w:tr>
        <w:trPr>
          <w:trHeight w:val="270"/>
        </w:trPr>
        <w:tc>
          <w:tcPr>
            <w:tcW w:w="1100" w:type="dxa"/>
            <w:vAlign w:val="bottom"/>
          </w:tcPr>
          <w:p>
            <w:pPr>
              <w:jc w:val="right"/>
              <w:ind w:right="91"/>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(1,894)</w:t>
            </w:r>
          </w:p>
        </w:tc>
      </w:tr>
      <w:tr>
        <w:trPr>
          <w:trHeight w:val="486"/>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0"/>
        </w:trPr>
        <w:tc>
          <w:tcPr>
            <w:tcW w:w="1100" w:type="dxa"/>
            <w:vAlign w:val="bottom"/>
          </w:tcPr>
          <w:p>
            <w:pPr>
              <w:jc w:val="right"/>
              <w:ind w:right="91"/>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86"/>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486"/>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24"/>
                <w:szCs w:val="24"/>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73</w:t>
            </w:r>
          </w:p>
        </w:tc>
      </w:tr>
      <w:tr>
        <w:trPr>
          <w:trHeight w:val="486"/>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426"/>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73</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73</w:t>
            </w:r>
          </w:p>
        </w:tc>
      </w:tr>
      <w:tr>
        <w:trPr>
          <w:trHeight w:val="27"/>
        </w:trPr>
        <w:tc>
          <w:tcPr>
            <w:tcW w:w="1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1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569"/>
        </w:trPr>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5"/>
          </w:tcPr>
          <w:p>
            <w:pPr>
              <w:ind w:left="80"/>
              <w:spacing w:after="0"/>
              <w:rPr>
                <w:sz w:val="20"/>
                <w:szCs w:val="20"/>
                <w:color w:val="auto"/>
              </w:rPr>
            </w:pPr>
            <w:r>
              <w:rPr>
                <w:rFonts w:ascii="Arial" w:cs="Arial" w:eastAsia="Arial" w:hAnsi="Arial"/>
                <w:sz w:val="16"/>
                <w:szCs w:val="16"/>
                <w:b w:val="1"/>
                <w:bCs w:val="1"/>
                <w:color w:val="auto"/>
              </w:rPr>
              <w:t>Six Months Ended June 30, 2018</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2"/>
        </w:trPr>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gridSpan w:val="2"/>
          </w:tcPr>
          <w:p>
            <w:pPr>
              <w:ind w:left="160"/>
              <w:spacing w:after="0"/>
              <w:rPr>
                <w:sz w:val="20"/>
                <w:szCs w:val="20"/>
                <w:color w:val="auto"/>
              </w:rPr>
            </w:pPr>
            <w:r>
              <w:rPr>
                <w:rFonts w:ascii="Arial" w:cs="Arial" w:eastAsia="Arial" w:hAnsi="Arial"/>
                <w:sz w:val="16"/>
                <w:szCs w:val="16"/>
                <w:b w:val="1"/>
                <w:bCs w:val="1"/>
                <w:color w:val="auto"/>
              </w:rPr>
              <w:t>Interval</w:t>
            </w:r>
          </w:p>
        </w:tc>
        <w:tc>
          <w:tcPr>
            <w:tcW w:w="200" w:type="dxa"/>
            <w:vAlign w:val="bottom"/>
          </w:tcPr>
          <w:p>
            <w:pPr>
              <w:spacing w:after="0"/>
              <w:rPr>
                <w:sz w:val="22"/>
                <w:szCs w:val="22"/>
                <w:color w:val="auto"/>
              </w:rPr>
            </w:pPr>
          </w:p>
        </w:tc>
        <w:tc>
          <w:tcPr>
            <w:tcW w:w="1280" w:type="dxa"/>
            <w:vAlign w:val="bottom"/>
            <w:gridSpan w:val="2"/>
          </w:tcPr>
          <w:p>
            <w:pPr>
              <w:ind w:left="120"/>
              <w:spacing w:after="0"/>
              <w:rPr>
                <w:sz w:val="20"/>
                <w:szCs w:val="20"/>
                <w:color w:val="auto"/>
              </w:rPr>
            </w:pPr>
            <w:r>
              <w:rPr>
                <w:rFonts w:ascii="Arial" w:cs="Arial" w:eastAsia="Arial" w:hAnsi="Arial"/>
                <w:sz w:val="16"/>
                <w:szCs w:val="16"/>
                <w:b w:val="1"/>
                <w:bCs w:val="1"/>
                <w:color w:val="auto"/>
              </w:rPr>
              <w:t>IAC Notes</w:t>
            </w:r>
          </w:p>
        </w:tc>
        <w:tc>
          <w:tcPr>
            <w:tcW w:w="120" w:type="dxa"/>
            <w:vAlign w:val="bottom"/>
          </w:tcPr>
          <w:p>
            <w:pPr>
              <w:spacing w:after="0"/>
              <w:rPr>
                <w:sz w:val="22"/>
                <w:szCs w:val="22"/>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Non-Guarantor</w:t>
            </w: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rPr>
              <w:t>MVW</w:t>
            </w:r>
          </w:p>
        </w:tc>
      </w:tr>
      <w:tr>
        <w:trPr>
          <w:trHeight w:val="210"/>
        </w:trPr>
        <w:tc>
          <w:tcPr>
            <w:tcW w:w="1100" w:type="dxa"/>
            <w:vAlign w:val="bottom"/>
          </w:tcPr>
          <w:p>
            <w:pPr>
              <w:jc w:val="right"/>
              <w:ind w:right="451"/>
              <w:spacing w:after="0"/>
              <w:rPr>
                <w:sz w:val="20"/>
                <w:szCs w:val="20"/>
                <w:color w:val="auto"/>
              </w:rPr>
            </w:pPr>
            <w:r>
              <w:rPr>
                <w:rFonts w:ascii="Arial" w:cs="Arial" w:eastAsia="Arial" w:hAnsi="Arial"/>
                <w:sz w:val="16"/>
                <w:szCs w:val="16"/>
                <w:b w:val="1"/>
                <w:bCs w:val="1"/>
                <w:color w:val="auto"/>
              </w:rPr>
              <w:t>MVWC</w:t>
            </w:r>
          </w:p>
        </w:tc>
        <w:tc>
          <w:tcPr>
            <w:tcW w:w="1480" w:type="dxa"/>
            <w:vAlign w:val="bottom"/>
            <w:gridSpan w:val="3"/>
          </w:tcPr>
          <w:p>
            <w:pPr>
              <w:ind w:left="80"/>
              <w:spacing w:after="0"/>
              <w:rPr>
                <w:sz w:val="20"/>
                <w:szCs w:val="20"/>
                <w:color w:val="auto"/>
              </w:rPr>
            </w:pPr>
            <w:r>
              <w:rPr>
                <w:rFonts w:ascii="Arial" w:cs="Arial" w:eastAsia="Arial" w:hAnsi="Arial"/>
                <w:sz w:val="16"/>
                <w:szCs w:val="16"/>
                <w:b w:val="1"/>
                <w:bCs w:val="1"/>
                <w:color w:val="auto"/>
              </w:rPr>
              <w:t>Acquisition Corp.</w:t>
            </w:r>
          </w:p>
        </w:tc>
        <w:tc>
          <w:tcPr>
            <w:tcW w:w="20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Guarantors</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Subsidiaries</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Total Eliminations</w:t>
            </w:r>
          </w:p>
        </w:tc>
        <w:tc>
          <w:tcPr>
            <w:tcW w:w="160" w:type="dxa"/>
            <w:vAlign w:val="bottom"/>
          </w:tcPr>
          <w:p>
            <w:pPr>
              <w:spacing w:after="0"/>
              <w:rPr>
                <w:sz w:val="18"/>
                <w:szCs w:val="18"/>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w w:val="90"/>
              </w:rPr>
              <w:t>Consolidated</w:t>
            </w:r>
          </w:p>
        </w:tc>
      </w:tr>
      <w:tr>
        <w:trPr>
          <w:trHeight w:val="33"/>
        </w:trPr>
        <w:tc>
          <w:tcPr>
            <w:tcW w:w="1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0"/>
                <w:szCs w:val="20"/>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1,166</w:t>
            </w:r>
          </w:p>
        </w:tc>
      </w:tr>
      <w:tr>
        <w:trPr>
          <w:trHeight w:val="270"/>
        </w:trPr>
        <w:tc>
          <w:tcPr>
            <w:tcW w:w="1100" w:type="dxa"/>
            <w:vAlign w:val="bottom"/>
          </w:tcPr>
          <w:p>
            <w:pPr>
              <w:jc w:val="right"/>
              <w:ind w:right="91"/>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(1,064)</w:t>
            </w:r>
          </w:p>
        </w:tc>
      </w:tr>
      <w:tr>
        <w:trPr>
          <w:trHeight w:val="486"/>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1100" w:type="dxa"/>
            <w:vAlign w:val="bottom"/>
          </w:tcPr>
          <w:p>
            <w:pPr>
              <w:jc w:val="right"/>
              <w:ind w:right="91"/>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86"/>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486"/>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47</w:t>
            </w:r>
          </w:p>
        </w:tc>
      </w:tr>
      <w:tr>
        <w:trPr>
          <w:trHeight w:val="486"/>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426"/>
        </w:trPr>
        <w:tc>
          <w:tcPr>
            <w:tcW w:w="1100" w:type="dxa"/>
            <w:vAlign w:val="bottom"/>
          </w:tcPr>
          <w:p>
            <w:pPr>
              <w:jc w:val="right"/>
              <w:ind w:right="151"/>
              <w:spacing w:after="0"/>
              <w:rPr>
                <w:sz w:val="20"/>
                <w:szCs w:val="20"/>
                <w:color w:val="auto"/>
              </w:rPr>
            </w:pPr>
            <w:r>
              <w:rPr>
                <w:rFonts w:ascii="Arial" w:cs="Arial" w:eastAsia="Arial" w:hAnsi="Arial"/>
                <w:sz w:val="18"/>
                <w:szCs w:val="18"/>
                <w:color w:val="auto"/>
              </w:rPr>
              <w:t>47</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4"/>
                <w:szCs w:val="24"/>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47</w:t>
            </w:r>
          </w:p>
        </w:tc>
      </w:tr>
      <w:tr>
        <w:trPr>
          <w:trHeight w:val="27"/>
        </w:trPr>
        <w:tc>
          <w:tcPr>
            <w:tcW w:w="1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1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-5899785</wp:posOffset>
            </wp:positionV>
            <wp:extent cx="7246620" cy="308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-5419090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-5076190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-4596130</wp:posOffset>
            </wp:positionV>
            <wp:extent cx="7246620" cy="11233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123315"/>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-6250940</wp:posOffset>
            </wp:positionV>
            <wp:extent cx="7246620"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-2426335</wp:posOffset>
            </wp:positionV>
            <wp:extent cx="7246620" cy="308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-1946275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-1602740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-1122680</wp:posOffset>
            </wp:positionV>
            <wp:extent cx="7246620" cy="11233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123315"/>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-2778125</wp:posOffset>
            </wp:positionV>
            <wp:extent cx="7246620"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-264795</wp:posOffset>
            </wp:positionH>
            <wp:positionV relativeFrom="paragraph">
              <wp:posOffset>-3077845</wp:posOffset>
            </wp:positionV>
            <wp:extent cx="55740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49</w:t>
      </w:r>
    </w:p>
    <w:p>
      <w:pPr>
        <w:sectPr>
          <w:pgSz w:w="11900" w:h="16838" w:orient="portrait"/>
          <w:cols w:equalWidth="0" w:num="2">
            <w:col w:w="2720" w:space="300"/>
            <w:col w:w="8360"/>
          </w:cols>
          <w:pgMar w:left="280" w:top="652"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Condensed Consolidating Statement of Cash Flows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5"/>
          </w:tcPr>
          <w:p>
            <w:pPr>
              <w:ind w:left="60"/>
              <w:spacing w:after="0"/>
              <w:rPr>
                <w:sz w:val="20"/>
                <w:szCs w:val="20"/>
                <w:color w:val="auto"/>
              </w:rPr>
            </w:pPr>
            <w:r>
              <w:rPr>
                <w:rFonts w:ascii="Arial" w:cs="Arial" w:eastAsia="Arial" w:hAnsi="Arial"/>
                <w:sz w:val="16"/>
                <w:szCs w:val="16"/>
                <w:b w:val="1"/>
                <w:bCs w:val="1"/>
                <w:color w:val="auto"/>
              </w:rPr>
              <w:t>Six Months Ended June 30, 2019</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71"/>
              <w:spacing w:after="0"/>
              <w:rPr>
                <w:sz w:val="20"/>
                <w:szCs w:val="20"/>
                <w:color w:val="auto"/>
              </w:rPr>
            </w:pPr>
            <w:r>
              <w:rPr>
                <w:rFonts w:ascii="Arial" w:cs="Arial" w:eastAsia="Arial" w:hAnsi="Arial"/>
                <w:sz w:val="16"/>
                <w:szCs w:val="16"/>
                <w:b w:val="1"/>
                <w:bCs w:val="1"/>
                <w:color w:val="auto"/>
                <w:w w:val="94"/>
              </w:rPr>
              <w:t>Interval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IAC Notes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Non-Guarantor</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2"/>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MVWC</w:t>
            </w:r>
          </w:p>
        </w:tc>
        <w:tc>
          <w:tcPr>
            <w:tcW w:w="13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Acquisition Corp.</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b w:val="1"/>
                <w:bCs w:val="1"/>
                <w:color w:val="auto"/>
              </w:rPr>
              <w:t>Guarantors</w:t>
            </w:r>
          </w:p>
        </w:tc>
        <w:tc>
          <w:tcPr>
            <w:tcW w:w="1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Subsidiaries</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Total Eliminations</w:t>
            </w:r>
          </w:p>
        </w:tc>
        <w:tc>
          <w:tcPr>
            <w:tcW w:w="160" w:type="dxa"/>
            <w:vAlign w:val="bottom"/>
          </w:tcPr>
          <w:p>
            <w:pPr>
              <w:spacing w:after="0"/>
              <w:rPr>
                <w:sz w:val="20"/>
                <w:szCs w:val="20"/>
                <w:color w:val="auto"/>
              </w:rPr>
            </w:pPr>
          </w:p>
        </w:tc>
        <w:tc>
          <w:tcPr>
            <w:tcW w:w="1200" w:type="dxa"/>
            <w:vAlign w:val="bottom"/>
          </w:tcPr>
          <w:p>
            <w:pPr>
              <w:jc w:val="center"/>
              <w:ind w:right="72"/>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16"/>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cash, cash equivalents and</w:t>
            </w: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shd w:val="clear" w:color="auto" w:fill="CCEEFF"/>
              </w:rPr>
              <w:t>restricted cash provided by (used</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Net cash, cash equivalents and</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40"/>
              <w:spacing w:after="0"/>
              <w:rPr>
                <w:sz w:val="20"/>
                <w:szCs w:val="20"/>
                <w:color w:val="auto"/>
              </w:rPr>
            </w:pPr>
            <w:r>
              <w:rPr>
                <w:rFonts w:ascii="Arial" w:cs="Arial" w:eastAsia="Arial" w:hAnsi="Arial"/>
                <w:sz w:val="18"/>
                <w:szCs w:val="18"/>
                <w:color w:val="auto"/>
                <w:w w:val="96"/>
              </w:rPr>
              <w:t>restricted cash (used in) provided</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by investing activities</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cash, cash equivalents and</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shd w:val="clear" w:color="auto" w:fill="CCEEFF"/>
              </w:rPr>
              <w:t>restricted cash (used in) provided</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by 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w w:val="90"/>
              </w:rPr>
              <w:t>Effect of changes in exchange rates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40"/>
              <w:spacing w:after="0"/>
              <w:rPr>
                <w:sz w:val="20"/>
                <w:szCs w:val="20"/>
                <w:color w:val="auto"/>
              </w:rPr>
            </w:pPr>
            <w:r>
              <w:rPr>
                <w:rFonts w:ascii="Arial" w:cs="Arial" w:eastAsia="Arial" w:hAnsi="Arial"/>
                <w:sz w:val="18"/>
                <w:szCs w:val="18"/>
                <w:color w:val="auto"/>
              </w:rPr>
              <w:t>on cash, cash equivalents and</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cash equivalents and</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restricted cash, beginning of period</w:t>
            </w: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09"/>
        </w:trPr>
        <w:tc>
          <w:tcPr>
            <w:tcW w:w="2640" w:type="dxa"/>
            <w:vAlign w:val="bottom"/>
          </w:tcPr>
          <w:p>
            <w:pPr>
              <w:ind w:left="40"/>
              <w:spacing w:after="0"/>
              <w:rPr>
                <w:sz w:val="20"/>
                <w:szCs w:val="20"/>
                <w:color w:val="auto"/>
              </w:rPr>
            </w:pPr>
            <w:r>
              <w:rPr>
                <w:rFonts w:ascii="Arial" w:cs="Arial" w:eastAsia="Arial" w:hAnsi="Arial"/>
                <w:sz w:val="18"/>
                <w:szCs w:val="18"/>
                <w:color w:val="auto"/>
              </w:rPr>
              <w:t>Cash, cash equivalents and</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26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vMerge w:val="restart"/>
          </w:tcPr>
          <w:p>
            <w:pPr>
              <w:spacing w:after="0"/>
              <w:rPr>
                <w:sz w:val="18"/>
                <w:szCs w:val="18"/>
                <w:color w:val="auto"/>
              </w:rPr>
            </w:pPr>
          </w:p>
        </w:tc>
        <w:tc>
          <w:tcPr>
            <w:tcW w:w="22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8"/>
                <w:szCs w:val="18"/>
                <w:color w:val="auto"/>
              </w:rPr>
            </w:pPr>
          </w:p>
        </w:tc>
        <w:tc>
          <w:tcPr>
            <w:tcW w:w="52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42"/>
        </w:trPr>
        <w:tc>
          <w:tcPr>
            <w:tcW w:w="2640" w:type="dxa"/>
            <w:vAlign w:val="bottom"/>
          </w:tcPr>
          <w:p>
            <w:pPr>
              <w:ind w:left="40"/>
              <w:spacing w:after="0"/>
              <w:rPr>
                <w:sz w:val="20"/>
                <w:szCs w:val="20"/>
                <w:color w:val="auto"/>
              </w:rPr>
            </w:pPr>
            <w:r>
              <w:rPr>
                <w:rFonts w:ascii="Arial" w:cs="Arial" w:eastAsia="Arial" w:hAnsi="Arial"/>
                <w:sz w:val="18"/>
                <w:szCs w:val="18"/>
                <w:color w:val="auto"/>
              </w:rPr>
              <w:t>restricted cash, end of period</w:t>
            </w:r>
          </w:p>
        </w:tc>
        <w:tc>
          <w:tcPr>
            <w:tcW w:w="28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5"/>
          </w:tcPr>
          <w:p>
            <w:pPr>
              <w:ind w:left="60"/>
              <w:spacing w:after="0"/>
              <w:rPr>
                <w:sz w:val="20"/>
                <w:szCs w:val="20"/>
                <w:color w:val="auto"/>
              </w:rPr>
            </w:pPr>
            <w:r>
              <w:rPr>
                <w:rFonts w:ascii="Arial" w:cs="Arial" w:eastAsia="Arial" w:hAnsi="Arial"/>
                <w:sz w:val="16"/>
                <w:szCs w:val="16"/>
                <w:b w:val="1"/>
                <w:bCs w:val="1"/>
                <w:color w:val="auto"/>
              </w:rPr>
              <w:t>Six Months Ended June 30, 2018</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71"/>
              <w:spacing w:after="0"/>
              <w:rPr>
                <w:sz w:val="20"/>
                <w:szCs w:val="20"/>
                <w:color w:val="auto"/>
              </w:rPr>
            </w:pPr>
            <w:r>
              <w:rPr>
                <w:rFonts w:ascii="Arial" w:cs="Arial" w:eastAsia="Arial" w:hAnsi="Arial"/>
                <w:sz w:val="16"/>
                <w:szCs w:val="16"/>
                <w:b w:val="1"/>
                <w:bCs w:val="1"/>
                <w:color w:val="auto"/>
                <w:w w:val="94"/>
              </w:rPr>
              <w:t>Interval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IAC Notes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Non-Guarantor</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2"/>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MVWC</w:t>
            </w:r>
          </w:p>
        </w:tc>
        <w:tc>
          <w:tcPr>
            <w:tcW w:w="13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Acquisition Corp.</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b w:val="1"/>
                <w:bCs w:val="1"/>
                <w:color w:val="auto"/>
              </w:rPr>
              <w:t>Guarantors</w:t>
            </w:r>
          </w:p>
        </w:tc>
        <w:tc>
          <w:tcPr>
            <w:tcW w:w="1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Subsidiaries</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Total Eliminations</w:t>
            </w:r>
          </w:p>
        </w:tc>
        <w:tc>
          <w:tcPr>
            <w:tcW w:w="160" w:type="dxa"/>
            <w:vAlign w:val="bottom"/>
          </w:tcPr>
          <w:p>
            <w:pPr>
              <w:spacing w:after="0"/>
              <w:rPr>
                <w:sz w:val="20"/>
                <w:szCs w:val="20"/>
                <w:color w:val="auto"/>
              </w:rPr>
            </w:pPr>
          </w:p>
        </w:tc>
        <w:tc>
          <w:tcPr>
            <w:tcW w:w="1200" w:type="dxa"/>
            <w:vAlign w:val="bottom"/>
          </w:tcPr>
          <w:p>
            <w:pPr>
              <w:jc w:val="center"/>
              <w:ind w:right="72"/>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16"/>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cash, cash equivalents and</w:t>
            </w: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shd w:val="clear" w:color="auto" w:fill="CCEEFF"/>
              </w:rPr>
              <w:t>restricted cash provided by (used</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5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 operating activities</w:t>
            </w:r>
          </w:p>
        </w:tc>
        <w:tc>
          <w:tcPr>
            <w:tcW w:w="280" w:type="dxa"/>
            <w:vAlign w:val="bottom"/>
            <w:tcBorders>
              <w:bottom w:val="single" w:sz="8" w:color="CCEEFF"/>
            </w:tcBorders>
            <w:vMerge w:val="continue"/>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vMerge w:val="continue"/>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320" w:type="dxa"/>
            <w:vAlign w:val="bottom"/>
            <w:tcBorders>
              <w:bottom w:val="single" w:sz="8" w:color="CCEEFF"/>
            </w:tcBorders>
            <w:gridSpan w:val="2"/>
            <w:vMerge w:val="continue"/>
            <w:shd w:val="clear" w:color="auto" w:fill="CCEEFF"/>
          </w:tcPr>
          <w:p>
            <w:pPr>
              <w:spacing w:after="0"/>
              <w:rPr>
                <w:sz w:val="20"/>
                <w:szCs w:val="20"/>
                <w:color w:val="auto"/>
              </w:rPr>
            </w:pPr>
          </w:p>
        </w:tc>
        <w:tc>
          <w:tcPr>
            <w:tcW w:w="1260" w:type="dxa"/>
            <w:vAlign w:val="bottom"/>
            <w:tcBorders>
              <w:bottom w:val="single" w:sz="8" w:color="CCEEFF"/>
            </w:tcBorders>
            <w:gridSpan w:val="2"/>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12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vMerge w:val="continue"/>
            <w:shd w:val="clear" w:color="auto" w:fill="CCEEFF"/>
          </w:tcPr>
          <w:p>
            <w:pPr>
              <w:spacing w:after="0"/>
              <w:rPr>
                <w:sz w:val="20"/>
                <w:szCs w:val="20"/>
                <w:color w:val="auto"/>
              </w:rPr>
            </w:pPr>
          </w:p>
        </w:tc>
        <w:tc>
          <w:tcPr>
            <w:tcW w:w="84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Net cash, cash equivalents and</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40"/>
              <w:spacing w:after="0"/>
              <w:rPr>
                <w:sz w:val="20"/>
                <w:szCs w:val="20"/>
                <w:color w:val="auto"/>
              </w:rPr>
            </w:pPr>
            <w:r>
              <w:rPr>
                <w:rFonts w:ascii="Arial" w:cs="Arial" w:eastAsia="Arial" w:hAnsi="Arial"/>
                <w:sz w:val="18"/>
                <w:szCs w:val="18"/>
                <w:color w:val="auto"/>
                <w:w w:val="96"/>
              </w:rPr>
              <w:t>restricted cash (used in) provided</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by investing activities</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cash, cash equivalents and</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shd w:val="clear" w:color="auto" w:fill="CCEEFF"/>
              </w:rPr>
              <w:t>restricted cash (used in) provided</w:t>
            </w:r>
          </w:p>
        </w:tc>
        <w:tc>
          <w:tcPr>
            <w:tcW w:w="28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by 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w w:val="90"/>
              </w:rPr>
              <w:t>Effect of changes in exchange rates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40"/>
              <w:spacing w:after="0"/>
              <w:rPr>
                <w:sz w:val="20"/>
                <w:szCs w:val="20"/>
                <w:color w:val="auto"/>
              </w:rPr>
            </w:pPr>
            <w:r>
              <w:rPr>
                <w:rFonts w:ascii="Arial" w:cs="Arial" w:eastAsia="Arial" w:hAnsi="Arial"/>
                <w:sz w:val="18"/>
                <w:szCs w:val="18"/>
                <w:color w:val="auto"/>
              </w:rPr>
              <w:t>on cash, cash equivalents and</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cash equivalents and</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restricted cash, beginning of period</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9"/>
        </w:trPr>
        <w:tc>
          <w:tcPr>
            <w:tcW w:w="2640" w:type="dxa"/>
            <w:vAlign w:val="bottom"/>
          </w:tcPr>
          <w:p>
            <w:pPr>
              <w:ind w:left="40"/>
              <w:spacing w:after="0"/>
              <w:rPr>
                <w:sz w:val="20"/>
                <w:szCs w:val="20"/>
                <w:color w:val="auto"/>
              </w:rPr>
            </w:pPr>
            <w:r>
              <w:rPr>
                <w:rFonts w:ascii="Arial" w:cs="Arial" w:eastAsia="Arial" w:hAnsi="Arial"/>
                <w:sz w:val="18"/>
                <w:szCs w:val="18"/>
                <w:color w:val="auto"/>
              </w:rPr>
              <w:t>Cash, cash equivalents and</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26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22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8"/>
                <w:szCs w:val="18"/>
                <w:color w:val="auto"/>
              </w:rPr>
            </w:pPr>
          </w:p>
        </w:tc>
        <w:tc>
          <w:tcPr>
            <w:tcW w:w="52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42"/>
        </w:trPr>
        <w:tc>
          <w:tcPr>
            <w:tcW w:w="2640" w:type="dxa"/>
            <w:vAlign w:val="bottom"/>
          </w:tcPr>
          <w:p>
            <w:pPr>
              <w:ind w:left="40"/>
              <w:spacing w:after="0"/>
              <w:rPr>
                <w:sz w:val="20"/>
                <w:szCs w:val="20"/>
                <w:color w:val="auto"/>
              </w:rPr>
            </w:pPr>
            <w:r>
              <w:rPr>
                <w:rFonts w:ascii="Arial" w:cs="Arial" w:eastAsia="Arial" w:hAnsi="Arial"/>
                <w:sz w:val="18"/>
                <w:szCs w:val="18"/>
                <w:color w:val="auto"/>
              </w:rPr>
              <w:t>restricted cash, end of period</w:t>
            </w:r>
          </w:p>
        </w:tc>
        <w:tc>
          <w:tcPr>
            <w:tcW w:w="28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89"/>
              </w:rPr>
              <w:t>50</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Senior Unsecured Notes and Exchange Notes</w:t>
      </w:r>
    </w:p>
    <w:p>
      <w:pPr>
        <w:spacing w:after="0" w:line="12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Senior Unsecured Notes and Exchanges Notes (collectively referred to as the “Senior MVW Notes”) are guaranteed by MVWC, Marriott Ownership Resorts, Inc. (“MORI”), ILG and certain other subsidiaries whose voting securities are wholly owned directly or indirectly by MORI or ILG (such subsidiaries collectively, the “Senior Notes Guarantors”). These guarantees are full and unconditional and joint and several. The guarantees of the Senior Notes Guarantors are subject to release in limited circumstances only upon the occurrence of certain customary conditions.</w:t>
      </w:r>
    </w:p>
    <w:p>
      <w:pPr>
        <w:spacing w:after="0" w:line="63"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following tables present consolidating financial information as of June 30, 2019 and December 31, 2018, and for the three and six months ended June 30, 2019 and June 30, 2018 for MVWC on a stand-alone basis, each of MORI and ILG on a stand-alone basis (collectively, the “Issuers” and each individually, an “Issuer”), the Senior Notes Guarantors, the combined non-guarantor subsidiaries of MVW and MVW on a consolidated basis.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Condensed Consolidating Balance Sheet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gridSpan w:val="5"/>
          </w:tcPr>
          <w:p>
            <w:pPr>
              <w:ind w:left="180"/>
              <w:spacing w:after="0"/>
              <w:rPr>
                <w:sz w:val="20"/>
                <w:szCs w:val="20"/>
                <w:color w:val="auto"/>
              </w:rPr>
            </w:pPr>
            <w:r>
              <w:rPr>
                <w:rFonts w:ascii="Arial" w:cs="Arial" w:eastAsia="Arial" w:hAnsi="Arial"/>
                <w:sz w:val="16"/>
                <w:szCs w:val="16"/>
                <w:b w:val="1"/>
                <w:bCs w:val="1"/>
                <w:color w:val="auto"/>
              </w:rPr>
              <w:t>As of June 30, 2019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Issuers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Senior Notes</w:t>
            </w:r>
          </w:p>
        </w:tc>
        <w:tc>
          <w:tcPr>
            <w:tcW w:w="13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Non-Guarantor</w:t>
            </w:r>
          </w:p>
        </w:tc>
        <w:tc>
          <w:tcPr>
            <w:tcW w:w="160" w:type="dxa"/>
            <w:vAlign w:val="bottom"/>
          </w:tcPr>
          <w:p>
            <w:pPr>
              <w:spacing w:after="0"/>
              <w:rPr>
                <w:sz w:val="20"/>
                <w:szCs w:val="20"/>
                <w:color w:val="auto"/>
              </w:rPr>
            </w:pPr>
          </w:p>
        </w:tc>
        <w:tc>
          <w:tcPr>
            <w:tcW w:w="120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20"/>
                <w:szCs w:val="20"/>
                <w:color w:val="auto"/>
              </w:rPr>
            </w:pPr>
          </w:p>
        </w:tc>
        <w:tc>
          <w:tcPr>
            <w:tcW w:w="1120" w:type="dxa"/>
            <w:vAlign w:val="bottom"/>
            <w:vMerge w:val="restart"/>
          </w:tcPr>
          <w:p>
            <w:pPr>
              <w:jc w:val="right"/>
              <w:ind w:right="331"/>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6"/>
                <w:szCs w:val="16"/>
                <w:b w:val="1"/>
                <w:bCs w:val="1"/>
                <w:color w:val="auto"/>
              </w:rPr>
              <w:t>MVWC</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MORI</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ILG</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Guarantors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6"/>
                <w:szCs w:val="16"/>
                <w:b w:val="1"/>
                <w:bCs w:val="1"/>
                <w:color w:val="auto"/>
                <w:w w:val="90"/>
              </w:rPr>
              <w:t>Subsidiaries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2"/>
              </w:rPr>
              <w:t>Eliminations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rPr>
              <w:t>Vacation ownership notes</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40"/>
              <w:spacing w:after="0"/>
              <w:rPr>
                <w:sz w:val="20"/>
                <w:szCs w:val="20"/>
                <w:color w:val="auto"/>
              </w:rPr>
            </w:pPr>
            <w:r>
              <w:rPr>
                <w:rFonts w:ascii="Arial" w:cs="Arial" w:eastAsia="Arial" w:hAnsi="Arial"/>
                <w:sz w:val="18"/>
                <w:szCs w:val="18"/>
                <w:color w:val="auto"/>
              </w:rPr>
              <w:t>receivable, net</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2,824</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from parent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Investments in subsidiaries</w:t>
            </w:r>
          </w:p>
        </w:tc>
        <w:tc>
          <w:tcPr>
            <w:tcW w:w="1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2,520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97"/>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5,446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2,809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1,829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2,564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2,773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9,023</w:t>
            </w:r>
          </w:p>
        </w:tc>
        <w:tc>
          <w:tcPr>
            <w:tcW w:w="0" w:type="dxa"/>
            <w:vAlign w:val="bottom"/>
          </w:tcPr>
          <w:p>
            <w:pPr>
              <w:spacing w:after="0"/>
              <w:rPr>
                <w:sz w:val="1"/>
                <w:szCs w:val="1"/>
                <w:color w:val="auto"/>
              </w:rPr>
            </w:pPr>
          </w:p>
        </w:tc>
      </w:tr>
      <w:tr>
        <w:trPr>
          <w:trHeight w:val="311"/>
        </w:trPr>
        <w:tc>
          <w:tcPr>
            <w:tcW w:w="2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 deposits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Payroll and benefits liability</w:t>
            </w:r>
          </w:p>
        </w:tc>
        <w:tc>
          <w:tcPr>
            <w:tcW w:w="1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Deferred compensation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Securitized debt, net</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net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Due to subsidiary</w:t>
            </w:r>
          </w:p>
        </w:tc>
        <w:tc>
          <w:tcPr>
            <w:tcW w:w="1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MVW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5,446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2,564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9,023</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5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6"/>
          </w:tcPr>
          <w:p>
            <w:pPr>
              <w:ind w:left="120"/>
              <w:spacing w:after="0"/>
              <w:rPr>
                <w:sz w:val="20"/>
                <w:szCs w:val="20"/>
                <w:color w:val="auto"/>
              </w:rPr>
            </w:pPr>
            <w:r>
              <w:rPr>
                <w:rFonts w:ascii="Arial" w:cs="Arial" w:eastAsia="Arial" w:hAnsi="Arial"/>
                <w:sz w:val="16"/>
                <w:szCs w:val="16"/>
                <w:b w:val="1"/>
                <w:bCs w:val="1"/>
                <w:color w:val="auto"/>
              </w:rPr>
              <w:t>As of December 31, 2018</w:t>
            </w:r>
            <w:r>
              <w:rPr>
                <w:rFonts w:ascii="Arial" w:cs="Arial" w:eastAsia="Arial" w:hAnsi="Arial"/>
                <w:sz w:val="17"/>
                <w:szCs w:val="17"/>
                <w:b w:val="1"/>
                <w:bCs w:val="1"/>
                <w:color w:val="auto"/>
                <w:vertAlign w:val="superscript"/>
              </w:rPr>
              <w:t>(1)</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Issuers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Senior Notes</w:t>
            </w:r>
          </w:p>
        </w:tc>
        <w:tc>
          <w:tcPr>
            <w:tcW w:w="13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Non-Guarantor</w:t>
            </w:r>
          </w:p>
        </w:tc>
        <w:tc>
          <w:tcPr>
            <w:tcW w:w="160" w:type="dxa"/>
            <w:vAlign w:val="bottom"/>
          </w:tcPr>
          <w:p>
            <w:pPr>
              <w:spacing w:after="0"/>
              <w:rPr>
                <w:sz w:val="20"/>
                <w:szCs w:val="20"/>
                <w:color w:val="auto"/>
              </w:rPr>
            </w:pPr>
          </w:p>
        </w:tc>
        <w:tc>
          <w:tcPr>
            <w:tcW w:w="120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20"/>
                <w:szCs w:val="20"/>
                <w:color w:val="auto"/>
              </w:rPr>
            </w:pPr>
          </w:p>
        </w:tc>
        <w:tc>
          <w:tcPr>
            <w:tcW w:w="1120" w:type="dxa"/>
            <w:vAlign w:val="bottom"/>
            <w:vMerge w:val="restart"/>
          </w:tcPr>
          <w:p>
            <w:pPr>
              <w:jc w:val="right"/>
              <w:ind w:right="331"/>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6"/>
                <w:szCs w:val="16"/>
                <w:b w:val="1"/>
                <w:bCs w:val="1"/>
                <w:color w:val="auto"/>
              </w:rPr>
              <w:t>MVWC</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MORI</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ILG</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Guarantors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6"/>
                <w:szCs w:val="16"/>
                <w:b w:val="1"/>
                <w:bCs w:val="1"/>
                <w:color w:val="auto"/>
                <w:w w:val="90"/>
              </w:rPr>
              <w:t>Subsidiaries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2"/>
              </w:rPr>
              <w:t>Eliminations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rPr>
              <w:t>Vacation ownership notes</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40"/>
              <w:spacing w:after="0"/>
              <w:rPr>
                <w:sz w:val="20"/>
                <w:szCs w:val="20"/>
                <w:color w:val="auto"/>
              </w:rPr>
            </w:pPr>
            <w:r>
              <w:rPr>
                <w:rFonts w:ascii="Arial" w:cs="Arial" w:eastAsia="Arial" w:hAnsi="Arial"/>
                <w:sz w:val="18"/>
                <w:szCs w:val="18"/>
                <w:color w:val="auto"/>
              </w:rPr>
              <w:t>receivable, net</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from parent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Investments in subsidiaries</w:t>
            </w:r>
          </w:p>
        </w:tc>
        <w:tc>
          <w:tcPr>
            <w:tcW w:w="1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97"/>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5,568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2,853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1,878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2,612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2,665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9,018</w:t>
            </w:r>
          </w:p>
        </w:tc>
        <w:tc>
          <w:tcPr>
            <w:tcW w:w="0" w:type="dxa"/>
            <w:vAlign w:val="bottom"/>
          </w:tcPr>
          <w:p>
            <w:pPr>
              <w:spacing w:after="0"/>
              <w:rPr>
                <w:sz w:val="1"/>
                <w:szCs w:val="1"/>
                <w:color w:val="auto"/>
              </w:rPr>
            </w:pPr>
          </w:p>
        </w:tc>
      </w:tr>
      <w:tr>
        <w:trPr>
          <w:trHeight w:val="311"/>
        </w:trPr>
        <w:tc>
          <w:tcPr>
            <w:tcW w:w="2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 deposits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Payroll and benefits liability</w:t>
            </w:r>
          </w:p>
        </w:tc>
        <w:tc>
          <w:tcPr>
            <w:tcW w:w="1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Deferred compensation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Securitized debt, net</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net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Due to subsidiary</w:t>
            </w:r>
          </w:p>
        </w:tc>
        <w:tc>
          <w:tcPr>
            <w:tcW w:w="1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MVW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5,568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9,018</w:t>
            </w: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Arial" w:cs="Arial" w:eastAsia="Arial" w:hAnsi="Arial"/>
                <w:sz w:val="18"/>
                <w:szCs w:val="18"/>
                <w:color w:val="auto"/>
                <w:w w:val="99"/>
              </w:rPr>
              <w:t>_________________________</w:t>
            </w: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580" w:hanging="652"/>
        <w:spacing w:after="0" w:line="216" w:lineRule="auto"/>
        <w:tabs>
          <w:tab w:leader="none" w:pos="6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Amounts have been revised to correct certain immaterial prior period errors as reported in the 2018 Annual Report and have been reclassified to conform to the current year presentation.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44"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Condensed Consolidating Statement of Income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60" w:type="dxa"/>
            <w:vAlign w:val="bottom"/>
            <w:gridSpan w:val="8"/>
          </w:tcPr>
          <w:p>
            <w:pPr>
              <w:ind w:left="540"/>
              <w:spacing w:after="0"/>
              <w:rPr>
                <w:sz w:val="20"/>
                <w:szCs w:val="20"/>
                <w:color w:val="auto"/>
              </w:rPr>
            </w:pPr>
            <w:r>
              <w:rPr>
                <w:rFonts w:ascii="Arial" w:cs="Arial" w:eastAsia="Arial" w:hAnsi="Arial"/>
                <w:sz w:val="16"/>
                <w:szCs w:val="16"/>
                <w:b w:val="1"/>
                <w:bCs w:val="1"/>
                <w:color w:val="auto"/>
              </w:rPr>
              <w:t>Three Months Ended June 30, 2019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Issuers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89"/>
              </w:rPr>
              <w:t>Senior Notes</w:t>
            </w:r>
          </w:p>
        </w:tc>
        <w:tc>
          <w:tcPr>
            <w:tcW w:w="136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4"/>
              </w:rPr>
              <w:t>Non-Guarantor</w:t>
            </w:r>
          </w:p>
        </w:tc>
        <w:tc>
          <w:tcPr>
            <w:tcW w:w="160" w:type="dxa"/>
            <w:vAlign w:val="bottom"/>
          </w:tcPr>
          <w:p>
            <w:pPr>
              <w:spacing w:after="0"/>
              <w:rPr>
                <w:sz w:val="20"/>
                <w:szCs w:val="20"/>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Total</w:t>
            </w:r>
          </w:p>
        </w:tc>
        <w:tc>
          <w:tcPr>
            <w:tcW w:w="140" w:type="dxa"/>
            <w:vAlign w:val="bottom"/>
          </w:tcPr>
          <w:p>
            <w:pPr>
              <w:spacing w:after="0"/>
              <w:rPr>
                <w:sz w:val="20"/>
                <w:szCs w:val="20"/>
                <w:color w:val="auto"/>
              </w:rPr>
            </w:pPr>
          </w:p>
        </w:tc>
        <w:tc>
          <w:tcPr>
            <w:tcW w:w="1120" w:type="dxa"/>
            <w:vAlign w:val="bottom"/>
            <w:vMerge w:val="restart"/>
          </w:tcPr>
          <w:p>
            <w:pPr>
              <w:jc w:val="center"/>
              <w:ind w:right="51"/>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1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MVWC</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MORI</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ILG</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w w:val="95"/>
              </w:rPr>
              <w:t>Guarantors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w w:val="88"/>
              </w:rPr>
              <w:t>Subsidiaries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w w:val="92"/>
              </w:rPr>
              <w:t>Eliminations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51"/>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Gains (losses) and other</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(expense), net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ILG acquisition-related costs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rPr>
              <w:t>Equity in earnings from</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40"/>
              <w:spacing w:after="0"/>
              <w:rPr>
                <w:sz w:val="20"/>
                <w:szCs w:val="20"/>
                <w:color w:val="auto"/>
              </w:rPr>
            </w:pPr>
            <w:r>
              <w:rPr>
                <w:rFonts w:ascii="Arial" w:cs="Arial" w:eastAsia="Arial" w:hAnsi="Arial"/>
                <w:sz w:val="18"/>
                <w:szCs w:val="18"/>
                <w:color w:val="auto"/>
              </w:rPr>
              <w:t>unconsolidated entities</w:t>
            </w:r>
          </w:p>
        </w:tc>
        <w:tc>
          <w:tcPr>
            <w:tcW w:w="22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in net income of</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subsidiaries</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1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180" w:type="dxa"/>
            <w:vAlign w:val="bottom"/>
          </w:tcPr>
          <w:p>
            <w:pPr>
              <w:ind w:left="40"/>
              <w:spacing w:after="0"/>
              <w:rPr>
                <w:sz w:val="20"/>
                <w:szCs w:val="20"/>
                <w:color w:val="auto"/>
              </w:rPr>
            </w:pPr>
            <w:r>
              <w:rPr>
                <w:rFonts w:ascii="Arial" w:cs="Arial" w:eastAsia="Arial" w:hAnsi="Arial"/>
                <w:sz w:val="18"/>
                <w:szCs w:val="18"/>
                <w:color w:val="auto"/>
              </w:rPr>
              <w:t>Net income attributable to</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ind w:left="5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2180" w:type="dxa"/>
            <w:vAlign w:val="bottom"/>
          </w:tcPr>
          <w:p>
            <w:pPr>
              <w:ind w:left="40"/>
              <w:spacing w:after="0"/>
              <w:rPr>
                <w:sz w:val="20"/>
                <w:szCs w:val="20"/>
                <w:color w:val="auto"/>
              </w:rPr>
            </w:pPr>
            <w:r>
              <w:rPr>
                <w:rFonts w:ascii="Arial" w:cs="Arial" w:eastAsia="Arial" w:hAnsi="Arial"/>
                <w:sz w:val="18"/>
                <w:szCs w:val="18"/>
                <w:color w:val="auto"/>
              </w:rPr>
              <w:t>common shareholders</w:t>
            </w:r>
          </w:p>
        </w:tc>
        <w:tc>
          <w:tcPr>
            <w:tcW w:w="22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gridSpan w:val="8"/>
          </w:tcPr>
          <w:p>
            <w:pPr>
              <w:ind w:left="540"/>
              <w:spacing w:after="0"/>
              <w:rPr>
                <w:sz w:val="20"/>
                <w:szCs w:val="20"/>
                <w:color w:val="auto"/>
              </w:rPr>
            </w:pPr>
            <w:r>
              <w:rPr>
                <w:rFonts w:ascii="Arial" w:cs="Arial" w:eastAsia="Arial" w:hAnsi="Arial"/>
                <w:sz w:val="16"/>
                <w:szCs w:val="16"/>
                <w:b w:val="1"/>
                <w:bCs w:val="1"/>
                <w:color w:val="auto"/>
              </w:rPr>
              <w:t>Three Months Ended June 30, 2018</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Issuers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89"/>
              </w:rPr>
              <w:t>Senior Notes</w:t>
            </w:r>
          </w:p>
        </w:tc>
        <w:tc>
          <w:tcPr>
            <w:tcW w:w="136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4"/>
              </w:rPr>
              <w:t>Non-Guarantor</w:t>
            </w:r>
          </w:p>
        </w:tc>
        <w:tc>
          <w:tcPr>
            <w:tcW w:w="160" w:type="dxa"/>
            <w:vAlign w:val="bottom"/>
          </w:tcPr>
          <w:p>
            <w:pPr>
              <w:spacing w:after="0"/>
              <w:rPr>
                <w:sz w:val="20"/>
                <w:szCs w:val="20"/>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Total</w:t>
            </w:r>
          </w:p>
        </w:tc>
        <w:tc>
          <w:tcPr>
            <w:tcW w:w="140" w:type="dxa"/>
            <w:vAlign w:val="bottom"/>
          </w:tcPr>
          <w:p>
            <w:pPr>
              <w:spacing w:after="0"/>
              <w:rPr>
                <w:sz w:val="20"/>
                <w:szCs w:val="20"/>
                <w:color w:val="auto"/>
              </w:rPr>
            </w:pPr>
          </w:p>
        </w:tc>
        <w:tc>
          <w:tcPr>
            <w:tcW w:w="1120" w:type="dxa"/>
            <w:vAlign w:val="bottom"/>
            <w:vMerge w:val="restart"/>
          </w:tcPr>
          <w:p>
            <w:pPr>
              <w:jc w:val="center"/>
              <w:ind w:right="51"/>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1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MVWC</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MORI</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ILG</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w w:val="95"/>
              </w:rPr>
              <w:t>Guarantors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w w:val="88"/>
              </w:rPr>
              <w:t>Subsidiaries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w w:val="92"/>
              </w:rPr>
              <w:t>Eliminations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51"/>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Gains (losses) and other</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(expense), net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ILG acquisition-related costs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rPr>
              <w:t>Equity in earnings from</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40"/>
              <w:spacing w:after="0"/>
              <w:rPr>
                <w:sz w:val="20"/>
                <w:szCs w:val="20"/>
                <w:color w:val="auto"/>
              </w:rPr>
            </w:pPr>
            <w:r>
              <w:rPr>
                <w:rFonts w:ascii="Arial" w:cs="Arial" w:eastAsia="Arial" w:hAnsi="Arial"/>
                <w:sz w:val="18"/>
                <w:szCs w:val="18"/>
                <w:color w:val="auto"/>
              </w:rPr>
              <w:t>unconsolidated entities</w:t>
            </w:r>
          </w:p>
        </w:tc>
        <w:tc>
          <w:tcPr>
            <w:tcW w:w="22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in net income of</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subsidiaries</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1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180" w:type="dxa"/>
            <w:vAlign w:val="bottom"/>
          </w:tcPr>
          <w:p>
            <w:pPr>
              <w:ind w:left="40"/>
              <w:spacing w:after="0"/>
              <w:rPr>
                <w:sz w:val="20"/>
                <w:szCs w:val="20"/>
                <w:color w:val="auto"/>
              </w:rPr>
            </w:pPr>
            <w:r>
              <w:rPr>
                <w:rFonts w:ascii="Arial" w:cs="Arial" w:eastAsia="Arial" w:hAnsi="Arial"/>
                <w:sz w:val="18"/>
                <w:szCs w:val="18"/>
                <w:color w:val="auto"/>
              </w:rPr>
              <w:t>Net income attributable to</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ind w:left="5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2180" w:type="dxa"/>
            <w:vAlign w:val="bottom"/>
          </w:tcPr>
          <w:p>
            <w:pPr>
              <w:ind w:left="40"/>
              <w:spacing w:after="0"/>
              <w:rPr>
                <w:sz w:val="20"/>
                <w:szCs w:val="20"/>
                <w:color w:val="auto"/>
              </w:rPr>
            </w:pPr>
            <w:r>
              <w:rPr>
                <w:rFonts w:ascii="Arial" w:cs="Arial" w:eastAsia="Arial" w:hAnsi="Arial"/>
                <w:sz w:val="18"/>
                <w:szCs w:val="18"/>
                <w:color w:val="auto"/>
              </w:rPr>
              <w:t>common shareholders</w:t>
            </w:r>
          </w:p>
        </w:tc>
        <w:tc>
          <w:tcPr>
            <w:tcW w:w="22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60" w:type="dxa"/>
            <w:vAlign w:val="bottom"/>
            <w:gridSpan w:val="8"/>
          </w:tcPr>
          <w:p>
            <w:pPr>
              <w:ind w:left="640"/>
              <w:spacing w:after="0"/>
              <w:rPr>
                <w:sz w:val="20"/>
                <w:szCs w:val="20"/>
                <w:color w:val="auto"/>
              </w:rPr>
            </w:pPr>
            <w:r>
              <w:rPr>
                <w:rFonts w:ascii="Arial" w:cs="Arial" w:eastAsia="Arial" w:hAnsi="Arial"/>
                <w:sz w:val="16"/>
                <w:szCs w:val="16"/>
                <w:b w:val="1"/>
                <w:bCs w:val="1"/>
                <w:color w:val="auto"/>
              </w:rPr>
              <w:t>Six Months Ended June 30, 2019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Issuers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89"/>
              </w:rPr>
              <w:t>Senior Notes</w:t>
            </w:r>
          </w:p>
        </w:tc>
        <w:tc>
          <w:tcPr>
            <w:tcW w:w="136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4"/>
              </w:rPr>
              <w:t>Non-Guarantor</w:t>
            </w:r>
          </w:p>
        </w:tc>
        <w:tc>
          <w:tcPr>
            <w:tcW w:w="160" w:type="dxa"/>
            <w:vAlign w:val="bottom"/>
          </w:tcPr>
          <w:p>
            <w:pPr>
              <w:spacing w:after="0"/>
              <w:rPr>
                <w:sz w:val="20"/>
                <w:szCs w:val="20"/>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Total</w:t>
            </w:r>
          </w:p>
        </w:tc>
        <w:tc>
          <w:tcPr>
            <w:tcW w:w="140" w:type="dxa"/>
            <w:vAlign w:val="bottom"/>
          </w:tcPr>
          <w:p>
            <w:pPr>
              <w:spacing w:after="0"/>
              <w:rPr>
                <w:sz w:val="20"/>
                <w:szCs w:val="20"/>
                <w:color w:val="auto"/>
              </w:rPr>
            </w:pPr>
          </w:p>
        </w:tc>
        <w:tc>
          <w:tcPr>
            <w:tcW w:w="1120" w:type="dxa"/>
            <w:vAlign w:val="bottom"/>
            <w:vMerge w:val="restart"/>
          </w:tcPr>
          <w:p>
            <w:pPr>
              <w:jc w:val="center"/>
              <w:ind w:right="51"/>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1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MVWC</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MORI</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ILG</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w w:val="95"/>
              </w:rPr>
              <w:t>Guarantors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w w:val="88"/>
              </w:rPr>
              <w:t>Subsidiaries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w w:val="92"/>
              </w:rPr>
              <w:t>Eliminations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51"/>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Gains (losses) and other</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(expense), net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ILG acquisition-related costs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rPr>
              <w:t>Equity in earnings from</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40"/>
              <w:spacing w:after="0"/>
              <w:rPr>
                <w:sz w:val="20"/>
                <w:szCs w:val="20"/>
                <w:color w:val="auto"/>
              </w:rPr>
            </w:pPr>
            <w:r>
              <w:rPr>
                <w:rFonts w:ascii="Arial" w:cs="Arial" w:eastAsia="Arial" w:hAnsi="Arial"/>
                <w:sz w:val="18"/>
                <w:szCs w:val="18"/>
                <w:color w:val="auto"/>
              </w:rPr>
              <w:t>unconsolidated entities</w:t>
            </w:r>
          </w:p>
        </w:tc>
        <w:tc>
          <w:tcPr>
            <w:tcW w:w="22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in net income of</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subsidiaries</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1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180" w:type="dxa"/>
            <w:vAlign w:val="bottom"/>
          </w:tcPr>
          <w:p>
            <w:pPr>
              <w:ind w:left="40"/>
              <w:spacing w:after="0"/>
              <w:rPr>
                <w:sz w:val="20"/>
                <w:szCs w:val="20"/>
                <w:color w:val="auto"/>
              </w:rPr>
            </w:pPr>
            <w:r>
              <w:rPr>
                <w:rFonts w:ascii="Arial" w:cs="Arial" w:eastAsia="Arial" w:hAnsi="Arial"/>
                <w:sz w:val="18"/>
                <w:szCs w:val="18"/>
                <w:color w:val="auto"/>
              </w:rPr>
              <w:t>Net income attributable to</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ind w:left="52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7"/>
        </w:trPr>
        <w:tc>
          <w:tcPr>
            <w:tcW w:w="2180" w:type="dxa"/>
            <w:vAlign w:val="bottom"/>
          </w:tcPr>
          <w:p>
            <w:pPr>
              <w:ind w:left="40"/>
              <w:spacing w:after="0"/>
              <w:rPr>
                <w:sz w:val="20"/>
                <w:szCs w:val="20"/>
                <w:color w:val="auto"/>
              </w:rPr>
            </w:pPr>
            <w:r>
              <w:rPr>
                <w:rFonts w:ascii="Arial" w:cs="Arial" w:eastAsia="Arial" w:hAnsi="Arial"/>
                <w:sz w:val="18"/>
                <w:szCs w:val="18"/>
                <w:color w:val="auto"/>
              </w:rPr>
              <w:t>common shareholders</w:t>
            </w:r>
          </w:p>
        </w:tc>
        <w:tc>
          <w:tcPr>
            <w:tcW w:w="22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gridSpan w:val="8"/>
          </w:tcPr>
          <w:p>
            <w:pPr>
              <w:ind w:left="640"/>
              <w:spacing w:after="0"/>
              <w:rPr>
                <w:sz w:val="20"/>
                <w:szCs w:val="20"/>
                <w:color w:val="auto"/>
              </w:rPr>
            </w:pPr>
            <w:r>
              <w:rPr>
                <w:rFonts w:ascii="Arial" w:cs="Arial" w:eastAsia="Arial" w:hAnsi="Arial"/>
                <w:sz w:val="16"/>
                <w:szCs w:val="16"/>
                <w:b w:val="1"/>
                <w:bCs w:val="1"/>
                <w:color w:val="auto"/>
              </w:rPr>
              <w:t>Six Months Ended June 30, 2018</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Issuers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89"/>
              </w:rPr>
              <w:t>Senior Notes</w:t>
            </w:r>
          </w:p>
        </w:tc>
        <w:tc>
          <w:tcPr>
            <w:tcW w:w="136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4"/>
              </w:rPr>
              <w:t>Non-Guarantor</w:t>
            </w:r>
          </w:p>
        </w:tc>
        <w:tc>
          <w:tcPr>
            <w:tcW w:w="160" w:type="dxa"/>
            <w:vAlign w:val="bottom"/>
          </w:tcPr>
          <w:p>
            <w:pPr>
              <w:spacing w:after="0"/>
              <w:rPr>
                <w:sz w:val="20"/>
                <w:szCs w:val="20"/>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Total</w:t>
            </w:r>
          </w:p>
        </w:tc>
        <w:tc>
          <w:tcPr>
            <w:tcW w:w="140" w:type="dxa"/>
            <w:vAlign w:val="bottom"/>
          </w:tcPr>
          <w:p>
            <w:pPr>
              <w:spacing w:after="0"/>
              <w:rPr>
                <w:sz w:val="20"/>
                <w:szCs w:val="20"/>
                <w:color w:val="auto"/>
              </w:rPr>
            </w:pPr>
          </w:p>
        </w:tc>
        <w:tc>
          <w:tcPr>
            <w:tcW w:w="1120" w:type="dxa"/>
            <w:vAlign w:val="bottom"/>
            <w:vMerge w:val="restart"/>
          </w:tcPr>
          <w:p>
            <w:pPr>
              <w:jc w:val="center"/>
              <w:ind w:right="51"/>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1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MVWC</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MORI</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ILG</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w w:val="95"/>
              </w:rPr>
              <w:t>Guarantors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w w:val="88"/>
              </w:rPr>
              <w:t>Subsidiaries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w w:val="92"/>
              </w:rPr>
              <w:t>Eliminations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51"/>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Gains (losses) and other</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(expense), net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ILG acquisition-related costs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rPr>
              <w:t>Equity in earnings from</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40"/>
              <w:spacing w:after="0"/>
              <w:rPr>
                <w:sz w:val="20"/>
                <w:szCs w:val="20"/>
                <w:color w:val="auto"/>
              </w:rPr>
            </w:pPr>
            <w:r>
              <w:rPr>
                <w:rFonts w:ascii="Arial" w:cs="Arial" w:eastAsia="Arial" w:hAnsi="Arial"/>
                <w:sz w:val="18"/>
                <w:szCs w:val="18"/>
                <w:color w:val="auto"/>
              </w:rPr>
              <w:t>unconsolidated entities</w:t>
            </w:r>
          </w:p>
        </w:tc>
        <w:tc>
          <w:tcPr>
            <w:tcW w:w="22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in net income of</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subsidiaries</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1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180" w:type="dxa"/>
            <w:vAlign w:val="bottom"/>
          </w:tcPr>
          <w:p>
            <w:pPr>
              <w:ind w:left="40"/>
              <w:spacing w:after="0"/>
              <w:rPr>
                <w:sz w:val="20"/>
                <w:szCs w:val="20"/>
                <w:color w:val="auto"/>
              </w:rPr>
            </w:pPr>
            <w:r>
              <w:rPr>
                <w:rFonts w:ascii="Arial" w:cs="Arial" w:eastAsia="Arial" w:hAnsi="Arial"/>
                <w:sz w:val="18"/>
                <w:szCs w:val="18"/>
                <w:color w:val="auto"/>
              </w:rPr>
              <w:t>Net income attributable to</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ind w:left="5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7"/>
        </w:trPr>
        <w:tc>
          <w:tcPr>
            <w:tcW w:w="2180" w:type="dxa"/>
            <w:vAlign w:val="bottom"/>
          </w:tcPr>
          <w:p>
            <w:pPr>
              <w:ind w:left="40"/>
              <w:spacing w:after="0"/>
              <w:rPr>
                <w:sz w:val="20"/>
                <w:szCs w:val="20"/>
                <w:color w:val="auto"/>
              </w:rPr>
            </w:pPr>
            <w:r>
              <w:rPr>
                <w:rFonts w:ascii="Arial" w:cs="Arial" w:eastAsia="Arial" w:hAnsi="Arial"/>
                <w:sz w:val="18"/>
                <w:szCs w:val="18"/>
                <w:color w:val="auto"/>
              </w:rPr>
              <w:t>common shareholders</w:t>
            </w:r>
          </w:p>
        </w:tc>
        <w:tc>
          <w:tcPr>
            <w:tcW w:w="22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652"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Condensed Consolidating Statement of Cash Flows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60" w:type="dxa"/>
            <w:vAlign w:val="bottom"/>
            <w:gridSpan w:val="8"/>
          </w:tcPr>
          <w:p>
            <w:pPr>
              <w:ind w:left="600"/>
              <w:spacing w:after="0"/>
              <w:rPr>
                <w:sz w:val="20"/>
                <w:szCs w:val="20"/>
                <w:color w:val="auto"/>
              </w:rPr>
            </w:pPr>
            <w:r>
              <w:rPr>
                <w:rFonts w:ascii="Arial" w:cs="Arial" w:eastAsia="Arial" w:hAnsi="Arial"/>
                <w:sz w:val="16"/>
                <w:szCs w:val="16"/>
                <w:b w:val="1"/>
                <w:bCs w:val="1"/>
                <w:color w:val="auto"/>
              </w:rPr>
              <w:t>Six Months Ended June 30, 2019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Issuers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Senior Notes</w:t>
            </w:r>
          </w:p>
        </w:tc>
        <w:tc>
          <w:tcPr>
            <w:tcW w:w="136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4"/>
              </w:rPr>
              <w:t>Non-Guarantor</w:t>
            </w:r>
          </w:p>
        </w:tc>
        <w:tc>
          <w:tcPr>
            <w:tcW w:w="160" w:type="dxa"/>
            <w:vAlign w:val="bottom"/>
          </w:tcPr>
          <w:p>
            <w:pPr>
              <w:spacing w:after="0"/>
              <w:rPr>
                <w:sz w:val="20"/>
                <w:szCs w:val="20"/>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Total</w:t>
            </w:r>
          </w:p>
        </w:tc>
        <w:tc>
          <w:tcPr>
            <w:tcW w:w="140" w:type="dxa"/>
            <w:vAlign w:val="bottom"/>
          </w:tcPr>
          <w:p>
            <w:pPr>
              <w:spacing w:after="0"/>
              <w:rPr>
                <w:sz w:val="20"/>
                <w:szCs w:val="20"/>
                <w:color w:val="auto"/>
              </w:rPr>
            </w:pPr>
          </w:p>
        </w:tc>
        <w:tc>
          <w:tcPr>
            <w:tcW w:w="1120" w:type="dxa"/>
            <w:vAlign w:val="bottom"/>
            <w:vMerge w:val="restart"/>
          </w:tcPr>
          <w:p>
            <w:pPr>
              <w:jc w:val="center"/>
              <w:ind w:right="52"/>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3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22"/>
                <w:szCs w:val="22"/>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MVWC</w:t>
            </w:r>
          </w:p>
        </w:tc>
        <w:tc>
          <w:tcPr>
            <w:tcW w:w="240" w:type="dxa"/>
            <w:vAlign w:val="bottom"/>
          </w:tcPr>
          <w:p>
            <w:pPr>
              <w:spacing w:after="0"/>
              <w:rPr>
                <w:sz w:val="22"/>
                <w:szCs w:val="22"/>
                <w:color w:val="auto"/>
              </w:rPr>
            </w:pPr>
          </w:p>
        </w:tc>
        <w:tc>
          <w:tcPr>
            <w:tcW w:w="1000" w:type="dxa"/>
            <w:vAlign w:val="bottom"/>
            <w:gridSpan w:val="2"/>
          </w:tcPr>
          <w:p>
            <w:pPr>
              <w:ind w:left="100"/>
              <w:spacing w:after="0"/>
              <w:rPr>
                <w:sz w:val="20"/>
                <w:szCs w:val="20"/>
                <w:color w:val="auto"/>
              </w:rPr>
            </w:pPr>
            <w:r>
              <w:rPr>
                <w:rFonts w:ascii="Arial" w:cs="Arial" w:eastAsia="Arial" w:hAnsi="Arial"/>
                <w:sz w:val="16"/>
                <w:szCs w:val="16"/>
                <w:b w:val="1"/>
                <w:bCs w:val="1"/>
                <w:color w:val="auto"/>
              </w:rPr>
              <w:t>MORI</w:t>
            </w:r>
          </w:p>
        </w:tc>
        <w:tc>
          <w:tcPr>
            <w:tcW w:w="32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b w:val="1"/>
                <w:bCs w:val="1"/>
                <w:color w:val="auto"/>
              </w:rPr>
              <w:t>ILG</w:t>
            </w:r>
          </w:p>
        </w:tc>
        <w:tc>
          <w:tcPr>
            <w:tcW w:w="140" w:type="dxa"/>
            <w:vAlign w:val="bottom"/>
          </w:tcPr>
          <w:p>
            <w:pPr>
              <w:spacing w:after="0"/>
              <w:rPr>
                <w:sz w:val="22"/>
                <w:szCs w:val="2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w:t>
            </w:r>
          </w:p>
        </w:tc>
        <w:tc>
          <w:tcPr>
            <w:tcW w:w="160" w:type="dxa"/>
            <w:vAlign w:val="bottom"/>
          </w:tcPr>
          <w:p>
            <w:pPr>
              <w:spacing w:after="0"/>
              <w:rPr>
                <w:sz w:val="22"/>
                <w:szCs w:val="22"/>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60" w:type="dxa"/>
            <w:vAlign w:val="bottom"/>
          </w:tcPr>
          <w:p>
            <w:pPr>
              <w:spacing w:after="0"/>
              <w:rPr>
                <w:sz w:val="22"/>
                <w:szCs w:val="22"/>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Eliminations</w:t>
            </w:r>
          </w:p>
        </w:tc>
        <w:tc>
          <w:tcPr>
            <w:tcW w:w="140" w:type="dxa"/>
            <w:vAlign w:val="bottom"/>
          </w:tcPr>
          <w:p>
            <w:pPr>
              <w:spacing w:after="0"/>
              <w:rPr>
                <w:sz w:val="22"/>
                <w:szCs w:val="22"/>
                <w:color w:val="auto"/>
              </w:rPr>
            </w:pPr>
          </w:p>
        </w:tc>
        <w:tc>
          <w:tcPr>
            <w:tcW w:w="1120" w:type="dxa"/>
            <w:vAlign w:val="bottom"/>
          </w:tcPr>
          <w:p>
            <w:pPr>
              <w:jc w:val="center"/>
              <w:ind w:right="52"/>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215"/>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Net cash, cash equivalents and</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restricted cash provided by</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(used in)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w w:val="89"/>
              </w:rPr>
              <w:t>Net cash, cash equivalents and</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Arial" w:cs="Arial" w:eastAsia="Arial" w:hAnsi="Arial"/>
                <w:sz w:val="18"/>
                <w:szCs w:val="18"/>
                <w:color w:val="auto"/>
              </w:rPr>
              <w:t>restricted cash (used in)</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Arial" w:cs="Arial" w:eastAsia="Arial" w:hAnsi="Arial"/>
                <w:sz w:val="18"/>
                <w:szCs w:val="18"/>
                <w:color w:val="auto"/>
              </w:rPr>
              <w:t>provided by investing</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activities</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Net cash, cash equivalents and</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restricted cash (used in)</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provided by financing</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w w:val="92"/>
              </w:rPr>
              <w:t>Effect of changes in exchange</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Arial" w:cs="Arial" w:eastAsia="Arial" w:hAnsi="Arial"/>
                <w:sz w:val="18"/>
                <w:szCs w:val="18"/>
                <w:color w:val="auto"/>
                <w:w w:val="88"/>
              </w:rPr>
              <w:t>rates on cash, cash equivalents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and restricted cash</w:t>
            </w:r>
          </w:p>
        </w:tc>
        <w:tc>
          <w:tcPr>
            <w:tcW w:w="2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cash equivalents and</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restricted cash, beginning of</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period</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09"/>
        </w:trPr>
        <w:tc>
          <w:tcPr>
            <w:tcW w:w="2300" w:type="dxa"/>
            <w:vAlign w:val="bottom"/>
          </w:tcPr>
          <w:p>
            <w:pPr>
              <w:ind w:left="40"/>
              <w:spacing w:after="0"/>
              <w:rPr>
                <w:sz w:val="20"/>
                <w:szCs w:val="20"/>
                <w:color w:val="auto"/>
              </w:rPr>
            </w:pPr>
            <w:r>
              <w:rPr>
                <w:rFonts w:ascii="Arial" w:cs="Arial" w:eastAsia="Arial" w:hAnsi="Arial"/>
                <w:sz w:val="18"/>
                <w:szCs w:val="18"/>
                <w:color w:val="auto"/>
              </w:rPr>
              <w:t>Cash, cash equivalents and</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42"/>
        </w:trPr>
        <w:tc>
          <w:tcPr>
            <w:tcW w:w="2300" w:type="dxa"/>
            <w:vAlign w:val="bottom"/>
          </w:tcPr>
          <w:p>
            <w:pPr>
              <w:ind w:left="40"/>
              <w:spacing w:after="0"/>
              <w:rPr>
                <w:sz w:val="20"/>
                <w:szCs w:val="20"/>
                <w:color w:val="auto"/>
              </w:rPr>
            </w:pPr>
            <w:r>
              <w:rPr>
                <w:rFonts w:ascii="Arial" w:cs="Arial" w:eastAsia="Arial" w:hAnsi="Arial"/>
                <w:sz w:val="18"/>
                <w:szCs w:val="18"/>
                <w:color w:val="auto"/>
                <w:w w:val="96"/>
              </w:rPr>
              <w:t>restricted cash, end of period</w:t>
            </w:r>
          </w:p>
        </w:tc>
        <w:tc>
          <w:tcPr>
            <w:tcW w:w="22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60" w:type="dxa"/>
            <w:vAlign w:val="bottom"/>
            <w:gridSpan w:val="8"/>
          </w:tcPr>
          <w:p>
            <w:pPr>
              <w:ind w:left="600"/>
              <w:spacing w:after="0"/>
              <w:rPr>
                <w:sz w:val="20"/>
                <w:szCs w:val="20"/>
                <w:color w:val="auto"/>
              </w:rPr>
            </w:pPr>
            <w:r>
              <w:rPr>
                <w:rFonts w:ascii="Arial" w:cs="Arial" w:eastAsia="Arial" w:hAnsi="Arial"/>
                <w:sz w:val="16"/>
                <w:szCs w:val="16"/>
                <w:b w:val="1"/>
                <w:bCs w:val="1"/>
                <w:color w:val="auto"/>
              </w:rPr>
              <w:t>Six Months Ended June 30, 2018</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Issuers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Senior Notes</w:t>
            </w:r>
          </w:p>
        </w:tc>
        <w:tc>
          <w:tcPr>
            <w:tcW w:w="136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4"/>
              </w:rPr>
              <w:t>Non-Guarantor</w:t>
            </w:r>
          </w:p>
        </w:tc>
        <w:tc>
          <w:tcPr>
            <w:tcW w:w="160" w:type="dxa"/>
            <w:vAlign w:val="bottom"/>
          </w:tcPr>
          <w:p>
            <w:pPr>
              <w:spacing w:after="0"/>
              <w:rPr>
                <w:sz w:val="20"/>
                <w:szCs w:val="20"/>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Total</w:t>
            </w:r>
          </w:p>
        </w:tc>
        <w:tc>
          <w:tcPr>
            <w:tcW w:w="140" w:type="dxa"/>
            <w:vAlign w:val="bottom"/>
          </w:tcPr>
          <w:p>
            <w:pPr>
              <w:spacing w:after="0"/>
              <w:rPr>
                <w:sz w:val="20"/>
                <w:szCs w:val="20"/>
                <w:color w:val="auto"/>
              </w:rPr>
            </w:pPr>
          </w:p>
        </w:tc>
        <w:tc>
          <w:tcPr>
            <w:tcW w:w="1120" w:type="dxa"/>
            <w:vAlign w:val="bottom"/>
            <w:vMerge w:val="restart"/>
          </w:tcPr>
          <w:p>
            <w:pPr>
              <w:jc w:val="center"/>
              <w:ind w:right="52"/>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3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22"/>
                <w:szCs w:val="22"/>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MVWC</w:t>
            </w:r>
          </w:p>
        </w:tc>
        <w:tc>
          <w:tcPr>
            <w:tcW w:w="240" w:type="dxa"/>
            <w:vAlign w:val="bottom"/>
          </w:tcPr>
          <w:p>
            <w:pPr>
              <w:spacing w:after="0"/>
              <w:rPr>
                <w:sz w:val="22"/>
                <w:szCs w:val="22"/>
                <w:color w:val="auto"/>
              </w:rPr>
            </w:pPr>
          </w:p>
        </w:tc>
        <w:tc>
          <w:tcPr>
            <w:tcW w:w="1000" w:type="dxa"/>
            <w:vAlign w:val="bottom"/>
            <w:gridSpan w:val="2"/>
          </w:tcPr>
          <w:p>
            <w:pPr>
              <w:ind w:left="100"/>
              <w:spacing w:after="0"/>
              <w:rPr>
                <w:sz w:val="20"/>
                <w:szCs w:val="20"/>
                <w:color w:val="auto"/>
              </w:rPr>
            </w:pPr>
            <w:r>
              <w:rPr>
                <w:rFonts w:ascii="Arial" w:cs="Arial" w:eastAsia="Arial" w:hAnsi="Arial"/>
                <w:sz w:val="16"/>
                <w:szCs w:val="16"/>
                <w:b w:val="1"/>
                <w:bCs w:val="1"/>
                <w:color w:val="auto"/>
              </w:rPr>
              <w:t>MORI</w:t>
            </w:r>
          </w:p>
        </w:tc>
        <w:tc>
          <w:tcPr>
            <w:tcW w:w="32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Arial" w:cs="Arial" w:eastAsia="Arial" w:hAnsi="Arial"/>
                <w:sz w:val="16"/>
                <w:szCs w:val="16"/>
                <w:b w:val="1"/>
                <w:bCs w:val="1"/>
                <w:color w:val="auto"/>
              </w:rPr>
              <w:t>ILG</w:t>
            </w:r>
          </w:p>
        </w:tc>
        <w:tc>
          <w:tcPr>
            <w:tcW w:w="140" w:type="dxa"/>
            <w:vAlign w:val="bottom"/>
          </w:tcPr>
          <w:p>
            <w:pPr>
              <w:spacing w:after="0"/>
              <w:rPr>
                <w:sz w:val="22"/>
                <w:szCs w:val="2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w:t>
            </w:r>
          </w:p>
        </w:tc>
        <w:tc>
          <w:tcPr>
            <w:tcW w:w="160" w:type="dxa"/>
            <w:vAlign w:val="bottom"/>
          </w:tcPr>
          <w:p>
            <w:pPr>
              <w:spacing w:after="0"/>
              <w:rPr>
                <w:sz w:val="22"/>
                <w:szCs w:val="22"/>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60" w:type="dxa"/>
            <w:vAlign w:val="bottom"/>
          </w:tcPr>
          <w:p>
            <w:pPr>
              <w:spacing w:after="0"/>
              <w:rPr>
                <w:sz w:val="22"/>
                <w:szCs w:val="22"/>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Eliminations</w:t>
            </w:r>
          </w:p>
        </w:tc>
        <w:tc>
          <w:tcPr>
            <w:tcW w:w="140" w:type="dxa"/>
            <w:vAlign w:val="bottom"/>
          </w:tcPr>
          <w:p>
            <w:pPr>
              <w:spacing w:after="0"/>
              <w:rPr>
                <w:sz w:val="22"/>
                <w:szCs w:val="22"/>
                <w:color w:val="auto"/>
              </w:rPr>
            </w:pPr>
          </w:p>
        </w:tc>
        <w:tc>
          <w:tcPr>
            <w:tcW w:w="1120" w:type="dxa"/>
            <w:vAlign w:val="bottom"/>
          </w:tcPr>
          <w:p>
            <w:pPr>
              <w:jc w:val="center"/>
              <w:ind w:right="52"/>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215"/>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Net cash, cash equivalents and</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restricted cash provided by</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(used in)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w w:val="89"/>
              </w:rPr>
              <w:t>Net cash, cash equivalents and</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Arial" w:cs="Arial" w:eastAsia="Arial" w:hAnsi="Arial"/>
                <w:sz w:val="18"/>
                <w:szCs w:val="18"/>
                <w:color w:val="auto"/>
              </w:rPr>
              <w:t>restricted cash (used in)</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Arial" w:cs="Arial" w:eastAsia="Arial" w:hAnsi="Arial"/>
                <w:sz w:val="18"/>
                <w:szCs w:val="18"/>
                <w:color w:val="auto"/>
              </w:rPr>
              <w:t>provided by investing</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activities</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Net cash, cash equivalents and</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restricted cash (used in)</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provided by financing</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w w:val="92"/>
              </w:rPr>
              <w:t>Effect of changes in exchange</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Arial" w:cs="Arial" w:eastAsia="Arial" w:hAnsi="Arial"/>
                <w:sz w:val="18"/>
                <w:szCs w:val="18"/>
                <w:color w:val="auto"/>
                <w:w w:val="88"/>
              </w:rPr>
              <w:t>rates on cash, cash equivalents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and restricted cash</w:t>
            </w:r>
          </w:p>
        </w:tc>
        <w:tc>
          <w:tcPr>
            <w:tcW w:w="2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cash equivalents and</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restricted cash, beginning of</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period</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9"/>
        </w:trPr>
        <w:tc>
          <w:tcPr>
            <w:tcW w:w="2300" w:type="dxa"/>
            <w:vAlign w:val="bottom"/>
          </w:tcPr>
          <w:p>
            <w:pPr>
              <w:ind w:left="40"/>
              <w:spacing w:after="0"/>
              <w:rPr>
                <w:sz w:val="20"/>
                <w:szCs w:val="20"/>
                <w:color w:val="auto"/>
              </w:rPr>
            </w:pPr>
            <w:r>
              <w:rPr>
                <w:rFonts w:ascii="Arial" w:cs="Arial" w:eastAsia="Arial" w:hAnsi="Arial"/>
                <w:sz w:val="18"/>
                <w:szCs w:val="18"/>
                <w:color w:val="auto"/>
              </w:rPr>
              <w:t>Cash, cash equivalents and</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42"/>
        </w:trPr>
        <w:tc>
          <w:tcPr>
            <w:tcW w:w="2300" w:type="dxa"/>
            <w:vAlign w:val="bottom"/>
          </w:tcPr>
          <w:p>
            <w:pPr>
              <w:ind w:left="40"/>
              <w:spacing w:after="0"/>
              <w:rPr>
                <w:sz w:val="20"/>
                <w:szCs w:val="20"/>
                <w:color w:val="auto"/>
              </w:rPr>
            </w:pPr>
            <w:r>
              <w:rPr>
                <w:rFonts w:ascii="Arial" w:cs="Arial" w:eastAsia="Arial" w:hAnsi="Arial"/>
                <w:sz w:val="18"/>
                <w:szCs w:val="18"/>
                <w:color w:val="auto"/>
                <w:w w:val="96"/>
              </w:rPr>
              <w:t>restricted cash, end of period</w:t>
            </w:r>
          </w:p>
        </w:tc>
        <w:tc>
          <w:tcPr>
            <w:tcW w:w="22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sectPr>
      </w:pPr>
    </w:p>
    <w:bookmarkStart w:id="57" w:name="page58"/>
    <w:bookmarkEnd w:id="57"/>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make forward-looking statements in Management’s Discussion and Analysis of Financial Condition and Results of Operations and elsewhere in this Quarterly Report on Form 10-Q based on our management’s beliefs and assumptions and on information currently available to our management. Forward-looking statements include, among other things, the information concerning our possible or assumed future results of operations, business strategies, financing plans, competitive position, potential growth opportunities, potential operating performance improvements, and the effects of competition.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8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Forward-looking statements involve risks, uncertainties and assumptions. Actual results may differ materially from those expressed in these forward-looking statements. You should not put undue reliance on any forward-looking statements in this Quarterly Report. We do not have any intention or obligation to update forward-looking statements after the date of this Quarterly Report on Form 10-Q, except as required by law.</w:t>
      </w:r>
    </w:p>
    <w:p>
      <w:pPr>
        <w:spacing w:after="0" w:line="5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risk factors discussed in “Risk Factors” in our most recent Annual Report on Form 10-K, and which may be discussed in subsequent Quarterly Reports on Form 10-Q or other filings with the Securities and Exchange Commission (“SEC”),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8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Financial Statements (as defined below), which we discuss below, reflect our historical financial condition, results of operations and cash flows. The financial information discussed below and included in this Quarterly Report on Form 10-Q may not necessarily reflect what our financial condition, results of operations or cash flows may be in the future. In order to make this report easier to read, we refer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to our Financial Statements that we include in the Financial Statements of this Quarterly Report on Form 10-Q.</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We are a leading global vacation company that offers vacation ownership, exchange, rental, and resort and property management, along with related businesses, products and services. Our business operates in two reportable segments: Vacation Ownership and Exchange &amp; Third-Party Management.</w:t>
      </w:r>
    </w:p>
    <w:p>
      <w:pPr>
        <w:spacing w:after="0" w:line="16"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On September 1, 2018, we completed the ILG Acquisition for approximately $4.2 billion in aggregate consideration. In connection with the ILG Acquisition, we entered into multiple financing arrangements, which include the issuance of senior notes and the replacement of our previously existing corporate credit facility with a new senior secured corporate credit agreement, our Corporate Credit Facility, that provides for a term loan and revolving loans.</w:t>
      </w:r>
    </w:p>
    <w:p>
      <w:pPr>
        <w:spacing w:after="0" w:line="3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refer to our business associated with the brands that existed prior to the ILG Acquisition as “Legacy-MVW” and to ILG’s business and brands that we acquired as “Legacy-ILG.”</w:t>
      </w:r>
    </w:p>
    <w:p>
      <w:pPr>
        <w:spacing w:after="0" w:line="6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Vacation Ownership segment includes seven vacation ownership brands licensed under exclusive, long-term relationships with Marriott International and Hyatt Hotels Corporation. We are the exclusive worldwide developer, marketer, seller and manager of vacation ownership and related products under the Marriott Vacation Club, Grand Residences by Marriott, Sheraton Vacation Club, Westin Vacation Club, and Hyatt Residence Club brands, as well as under Marriott Vacation Club Pulse, an extension to the Marriott Vacation Club brand. We are also the exclusive worldwide developer, marketer and seller of vacation ownership and related products under The Ritz-Carlton Destination Club brand, we have the non-exclusive right to develop, market and sell whole ownership residential products under The Ritz-Carlton Residences brand and have a license to use the St. Regis brand for specified fractional ownership resorts.</w:t>
      </w:r>
    </w:p>
    <w:p>
      <w:pPr>
        <w:spacing w:after="0" w:line="81"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0" w:right="239" w:bottom="1440" w:gutter="0" w:footer="0" w:header="0"/>
        </w:sectPr>
      </w:pPr>
    </w:p>
    <w:bookmarkStart w:id="58" w:name="page59"/>
    <w:bookmarkEnd w:id="58"/>
    <w:p>
      <w:pPr>
        <w:ind w:right="220" w:firstLine="648"/>
        <w:spacing w:after="0" w:line="279" w:lineRule="auto"/>
        <w:rPr>
          <w:sz w:val="20"/>
          <w:szCs w:val="20"/>
          <w:color w:val="auto"/>
        </w:rPr>
      </w:pPr>
      <w:r>
        <w:rPr>
          <w:rFonts w:ascii="Arial" w:cs="Arial" w:eastAsia="Arial" w:hAnsi="Arial"/>
          <w:sz w:val="17"/>
          <w:szCs w:val="17"/>
          <w:color w:val="auto"/>
        </w:rPr>
        <w:t>Our Exchange &amp; Third-Party Management segment includes exchange networks and membership programs, as well as management of resorts and lodging properties. We provide these services through a variety of brands including Interval International, Trading Places International, Vacation Resorts International, Aqua-Aston and Great Destinations. Exchange &amp; Third-Party Management revenue generally is fee-based and derived from membership, exchange and rental transactions, property and association management, and other related products and services.</w:t>
      </w:r>
    </w:p>
    <w:p>
      <w:pPr>
        <w:spacing w:after="0" w:line="63"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Corporate and other represents that portion of our results that are not allocable to our segments, including those relating to property owners’ associations consolidated under the voting interest model (“Consolidated Property Owners’ Associations”).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Hurricane Activity</w:t>
      </w:r>
    </w:p>
    <w:p>
      <w:pPr>
        <w:spacing w:after="0" w:line="117" w:lineRule="exact"/>
        <w:rPr>
          <w:sz w:val="20"/>
          <w:szCs w:val="20"/>
          <w:color w:val="auto"/>
        </w:rPr>
      </w:pPr>
    </w:p>
    <w:p>
      <w:pPr>
        <w:ind w:right="460" w:firstLine="648"/>
        <w:spacing w:after="0" w:line="312" w:lineRule="auto"/>
        <w:rPr>
          <w:sz w:val="20"/>
          <w:szCs w:val="20"/>
          <w:color w:val="auto"/>
        </w:rPr>
      </w:pPr>
      <w:r>
        <w:rPr>
          <w:rFonts w:ascii="Arial" w:cs="Arial" w:eastAsia="Arial" w:hAnsi="Arial"/>
          <w:sz w:val="16"/>
          <w:szCs w:val="16"/>
          <w:color w:val="auto"/>
        </w:rPr>
        <w:t>During the third quarter of 2017, over 20 Legacy-MVW properties and two Legacy-ILG properties were negatively impacted by one or both of Hurricane Irma and Hurricane Maria (collectively, the “2017 Hurricanes”). All of the Legacy-MVW properties reopened prior to the end of 2018. The Legacy-ILG property in St. John partially reopened in the first quarter of 2019 and the Legacy-ILG resort in Puerto Rico is expected to open in 2020.</w:t>
      </w:r>
    </w:p>
    <w:p>
      <w:pPr>
        <w:spacing w:after="0" w:line="3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received $29 million and $9 million of net insurance proceeds in 2018 and 2019, respectively, related to the settlement of Legacy-MVW business interruption insurance claims arising from the 2017 Hurricanes. We have submitted most of the insurance claims for our Legacy-ILG business interruption losses as well as Legacy-MVW and Legacy-ILG property damage experienced by both us and associated property owners’ associations from these 2017 Hurricanes. We received an initial $25 million advance of insurance proceeds related to the business interruption losses at the Legacy-ILG St. John property in 2018, we received $7 million of insurance proceeds related to the business interruption losses at the other Legacy-ILG properties in 2019 and we received advances of $108 million of insurance proceeds related to the Legacy-ILG property damage experienced by the related property owners’ associations as of the second quarter of 2019. Repairs are underway at the Legacy-ILG resort in Puerto Rico and the related insurance claim is expected to be submitted in 2020 upon the completion of construction. However, we cannot quantify the extent of any additional payments under such claims at this time.</w:t>
      </w:r>
    </w:p>
    <w:p>
      <w:pPr>
        <w:spacing w:after="0" w:line="58"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During the third quarter of 2018, our Legacy-MVW properties in South Carolina and Florida were negatively impacted by Hurricane Florence and Hurricane Michael, respectively (collectively, the “2018 Hurricanes”). We expect to submit insurance claims for our business interruption losses as well as property damage experienced by both us and associated property owners’ associations from these 2018 Hurricanes. However, we cannot quantify the extent of any payments under such claims at this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Used in Describing Results of Operations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recognize revenues from the sale of vacation ownership products (“VOIs”) when control of the vacation ownership product is transferred to the customer and the transaction price is deemed collectible. Based upon the different terms of the contracts with the customer and business practices, control of the vacation ownership product is transferred to the customer at closing for Legacy-MVW transactions and upon expiration of the statutory rescission period for Legacy-ILG transactions. Sales of vacation ownership products may be made for cash or we may provide financing. In addition, we recognize settlement fees associated with the transfer of vacation ownership products and commission revenues from sales of vacation ownership products on behalf of third parties, which we refer to as “resales revenue.”</w:t>
      </w:r>
    </w:p>
    <w:p>
      <w:pPr>
        <w:spacing w:after="0" w:line="85"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We also provide sales incentives to certain purchasers. These sales incentives typically include Marriott Bonvoy points, World of Hyatt points or an alternative sales incentive that we refer to as “plus points.” These plus points are redeemable for stays at our resorts or for use in other third-party offerings, generally up to two years from the date of issuance. Typically, sales incentives are only awarded if the sale is closed.</w:t>
      </w:r>
    </w:p>
    <w:p>
      <w:pPr>
        <w:spacing w:after="0" w:line="57" w:lineRule="exact"/>
        <w:rPr>
          <w:sz w:val="20"/>
          <w:szCs w:val="20"/>
          <w:color w:val="auto"/>
        </w:rPr>
      </w:pPr>
    </w:p>
    <w:p>
      <w:pPr>
        <w:jc w:val="both"/>
        <w:ind w:right="280" w:firstLine="648"/>
        <w:spacing w:after="0" w:line="312" w:lineRule="auto"/>
        <w:rPr>
          <w:sz w:val="20"/>
          <w:szCs w:val="20"/>
          <w:color w:val="auto"/>
        </w:rPr>
      </w:pPr>
      <w:r>
        <w:rPr>
          <w:rFonts w:ascii="Arial" w:cs="Arial" w:eastAsia="Arial" w:hAnsi="Arial"/>
          <w:sz w:val="16"/>
          <w:szCs w:val="16"/>
          <w:color w:val="auto"/>
        </w:rPr>
        <w:t>As a result of the revenue recognition requirements included in Accounting Standards Codification (“ASC”) Topic 606,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w:t>
      </w:r>
      <w:r>
        <w:rPr>
          <w:rFonts w:ascii="Arial" w:cs="Arial" w:eastAsia="Arial" w:hAnsi="Arial"/>
          <w:sz w:val="16"/>
          <w:szCs w:val="16"/>
          <w:color w:val="auto"/>
        </w:rPr>
        <w:t>” (“ASC 606”), there may be timing differences between the date of the contract with the customer and when revenue is recognized. When</w:t>
      </w:r>
      <w:r>
        <w:rPr>
          <w:rFonts w:ascii="Arial" w:cs="Arial" w:eastAsia="Arial" w:hAnsi="Arial"/>
          <w:sz w:val="16"/>
          <w:szCs w:val="16"/>
          <w:i w:val="1"/>
          <w:iCs w:val="1"/>
          <w:color w:val="auto"/>
        </w:rPr>
        <w:t xml:space="preserve"> </w:t>
      </w:r>
      <w:r>
        <w:rPr>
          <w:rFonts w:ascii="Arial" w:cs="Arial" w:eastAsia="Arial" w:hAnsi="Arial"/>
          <w:sz w:val="16"/>
          <w:szCs w:val="16"/>
          <w:color w:val="auto"/>
        </w:rPr>
        <w:t>comparing results year-over-year, this timing difference may generate significant variances, which we refer to as the impact of revenue reportability.</w:t>
      </w:r>
    </w:p>
    <w:p>
      <w:pPr>
        <w:spacing w:after="0" w:line="39"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Finally, as more fully described in “</w:t>
      </w:r>
      <w:r>
        <w:rPr>
          <w:rFonts w:ascii="Arial" w:cs="Arial" w:eastAsia="Arial" w:hAnsi="Arial"/>
          <w:sz w:val="18"/>
          <w:szCs w:val="18"/>
          <w:i w:val="1"/>
          <w:iCs w:val="1"/>
          <w:color w:val="auto"/>
        </w:rPr>
        <w:t>Financing</w:t>
      </w:r>
      <w:r>
        <w:rPr>
          <w:rFonts w:ascii="Arial" w:cs="Arial" w:eastAsia="Arial" w:hAnsi="Arial"/>
          <w:sz w:val="18"/>
          <w:szCs w:val="18"/>
          <w:color w:val="auto"/>
        </w:rPr>
        <w:t>” below, we record the difference between the vacation ownership note receivable and the consideration to which we expect to be entitled (also known as a vacation ownership notes receivable reserve or a sales reserve) as a reduction of revenues from the sale of vacation ownership products at the time we recognize revenues from a sale.</w:t>
      </w:r>
    </w:p>
    <w:p>
      <w:pPr>
        <w:spacing w:after="0" w:line="7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report, on a supplemental basis, contract sales for our Vacation Ownership segment. Contract sales consist of the total amount of vacation ownership product sales under contract signed during the period where we have received a down payment of at least ten percent of the contract price, reduced by actual rescissions during the period, inclusive of contracts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76" w:right="239" w:bottom="1440" w:gutter="0" w:footer="0" w:header="0"/>
        </w:sectPr>
      </w:pPr>
    </w:p>
    <w:bookmarkStart w:id="59" w:name="page60"/>
    <w:bookmarkEnd w:id="59"/>
    <w:p>
      <w:pPr>
        <w:ind w:right="120"/>
        <w:spacing w:after="0" w:line="257" w:lineRule="auto"/>
        <w:rPr>
          <w:sz w:val="20"/>
          <w:szCs w:val="20"/>
          <w:color w:val="auto"/>
        </w:rPr>
      </w:pPr>
      <w:r>
        <w:rPr>
          <w:rFonts w:ascii="Arial" w:cs="Arial" w:eastAsia="Arial" w:hAnsi="Arial"/>
          <w:sz w:val="18"/>
          <w:szCs w:val="18"/>
          <w:color w:val="auto"/>
        </w:rPr>
        <w:t>associated with sales of vacation ownership products on behalf of third-parties, which we refer to as “resales contract sales.” In circumstances where a customer applies any or all of their existing ownership interests as part of the purchase price for additional interests, we include only the incremental value purchased as contract sales. Contract sales differ from revenues from the sale of vacation ownership products that we report on our income statements due to the requirements for revenue recognition described above. We consider contract sales to be an important operating measure because it reflects the pace of sales in our business.</w:t>
      </w:r>
    </w:p>
    <w:p>
      <w:pPr>
        <w:spacing w:after="0" w:line="8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Cost of vacation ownership products includes costs to develop and construct our projects (also known as real estate inventory costs), other non-capitalizable costs associated with the overall project development process and settlement expenses associated with the closing process. For each project, we expense real estate inventory costs in the same proportion as the revenue recognized. Consistent with the applicable accounting guidance, to the extent there is a change in the estimated sales revenues or inventory costs for the project in a period, a non-cash adjustment is recorded on our income statements to true-up costs in that period to those that would have been recorded historically if the revised estimates had been used. These true-ups, which we refer to as product cost true-up activity, can have a positive or negative impact on our income statements.</w:t>
      </w:r>
    </w:p>
    <w:p>
      <w:pPr>
        <w:spacing w:after="0" w:line="70"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We refer to revenues from the sale of vacation ownership products less the cost of vacation ownership products and marketing and sales costs as development margin. Development margin percentage is calculated by dividing development margin by revenues from the sale of vacation ownership products.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Management and Exchange</w:t>
      </w:r>
    </w:p>
    <w:p>
      <w:pPr>
        <w:spacing w:after="0" w:line="117"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Our management and exchange revenues include revenues generated from fees we earn for managing each of our vacation ownership resorts, providing property management, property owners’ association management and related services to third-party vacation ownership resorts and fees we earn for providing rental services and related hotel, condominium resort, and property owners’ association management services to vacation property owners.</w:t>
      </w:r>
    </w:p>
    <w:p>
      <w:pPr>
        <w:spacing w:after="0" w:line="3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In addition, we earn revenue from ancillary offerings, including food and beverage outlets, golf courses and other retail and service outlets located at our Vacation Ownership resorts. We also receive annual membership fees, club dues and certain transaction-based fees from members, owners and other third parties.</w:t>
      </w:r>
    </w:p>
    <w:p>
      <w:pPr>
        <w:spacing w:after="0" w:line="73"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Management and exchange expenses include costs to operate the food and beverage outlets and other ancillary operations and to provide overall customer support services, including reservations, and certain transaction-based expenses relating to external exchange service providers.</w:t>
      </w:r>
    </w:p>
    <w:p>
      <w:pPr>
        <w:spacing w:after="0" w:line="1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our Vacation Ownership segment and Consolidated Property Owners’ Associations, we refer to these activities as “Resort Management and Other Services.”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p>
      <w:pPr>
        <w:spacing w:after="0" w:line="130" w:lineRule="exact"/>
        <w:rPr>
          <w:sz w:val="20"/>
          <w:szCs w:val="20"/>
          <w:color w:val="auto"/>
        </w:rPr>
      </w:pPr>
    </w:p>
    <w:tbl>
      <w:tblPr>
        <w:tblLayout w:type="fixed"/>
        <w:tblInd w:w="106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3800" w:type="dxa"/>
            <w:vAlign w:val="bottom"/>
            <w:gridSpan w:val="3"/>
          </w:tcPr>
          <w:p>
            <w:pPr>
              <w:ind w:left="1260"/>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500" w:type="dxa"/>
            <w:vAlign w:val="bottom"/>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1"/>
        </w:trPr>
        <w:tc>
          <w:tcPr>
            <w:tcW w:w="5500" w:type="dxa"/>
            <w:vAlign w:val="bottom"/>
          </w:tcPr>
          <w:p>
            <w:pPr>
              <w:spacing w:after="0"/>
              <w:rPr>
                <w:sz w:val="20"/>
                <w:szCs w:val="20"/>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June 30, 2019</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0"/>
              </w:rPr>
              <w:t>June 30, 2018</w:t>
            </w:r>
          </w:p>
        </w:tc>
      </w:tr>
      <w:tr>
        <w:trPr>
          <w:trHeight w:val="33"/>
        </w:trPr>
        <w:tc>
          <w:tcPr>
            <w:tcW w:w="55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FICO score</w:t>
            </w:r>
          </w:p>
        </w:tc>
        <w:tc>
          <w:tcPr>
            <w:tcW w:w="184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739</w:t>
            </w:r>
          </w:p>
        </w:tc>
        <w:tc>
          <w:tcPr>
            <w:tcW w:w="120" w:type="dxa"/>
            <w:vAlign w:val="bottom"/>
            <w:shd w:val="clear" w:color="auto" w:fill="CCEEFF"/>
          </w:tcPr>
          <w:p>
            <w:pPr>
              <w:spacing w:after="0"/>
              <w:rPr>
                <w:sz w:val="20"/>
                <w:szCs w:val="20"/>
                <w:color w:val="auto"/>
              </w:rPr>
            </w:pPr>
          </w:p>
        </w:tc>
        <w:tc>
          <w:tcPr>
            <w:tcW w:w="184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rPr>
              <w:t>739</w:t>
            </w:r>
          </w:p>
        </w:tc>
      </w:tr>
      <w:tr>
        <w:trPr>
          <w:trHeight w:val="27"/>
        </w:trPr>
        <w:tc>
          <w:tcPr>
            <w:tcW w:w="55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typical financing agreement provides for monthly payments of principal and interest with the principal balance of the loan fully amortizing over the term of the related vacation ownership note receivable, which is generally ten years. Included within our vacation ownership notes receivable are originated vacation ownership notes receivable and vacation ownership notes receivable acquired in connection with the ILG Acquisition.</w:t>
      </w:r>
    </w:p>
    <w:p>
      <w:pPr>
        <w:spacing w:after="0" w:line="5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Acquired vacation ownership notes receivable are accounted for using the expected cash flow method of recognizing discount accretion based on the expected cash flows. At acquisition, we recorded these vacation ownership notes receivable at a preliminary estimate of fair value, including a credit discount which is accreted as an adjustment to yield over the estimated life of the vacation ownership notes receivable. Our acquired vacation ownership notes receivable are remeasured at each reporting date based on expected future cash flows which takes into consideration an estimated measure of anticipated defaults and early repayments. See Footnote 6 “Vacation Ownership Notes Receivable” for further information regarding the accounting for acquired vacation ownership notes receivable.</w:t>
      </w:r>
    </w:p>
    <w:p>
      <w:pPr>
        <w:spacing w:after="0" w:line="85"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The interest income earned from the originated vacation ownership financing arrangements is earned on an accrual basis on the principal balance outstanding over the contractual life of the arrangement and is recorded as Financing revenues on our Income Statements. Financing revenues also include fees earned from servicing the existing vacation ownership notes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76" w:right="239" w:bottom="1440" w:gutter="0" w:footer="0" w:header="0"/>
        </w:sectPr>
      </w:pPr>
    </w:p>
    <w:bookmarkStart w:id="60" w:name="page61"/>
    <w:bookmarkEnd w:id="60"/>
    <w:p>
      <w:pPr>
        <w:ind w:right="40"/>
        <w:spacing w:after="0" w:line="291" w:lineRule="auto"/>
        <w:rPr>
          <w:sz w:val="20"/>
          <w:szCs w:val="20"/>
          <w:color w:val="auto"/>
        </w:rPr>
      </w:pPr>
      <w:r>
        <w:rPr>
          <w:rFonts w:ascii="Arial" w:cs="Arial" w:eastAsia="Arial" w:hAnsi="Arial"/>
          <w:sz w:val="16"/>
          <w:szCs w:val="16"/>
          <w:color w:val="auto"/>
        </w:rPr>
        <w:t>receivable portfolio. Financing expenses include costs in support of the financing, servicing and securitization processes. The amount of interest income earned in a period depends on the amount of outstanding vacation ownership notes receivable, which, for originated vacation ownership notes receivable, is impacted positively by the origination of new vacation ownership notes receivable and negatively by principal collections. We calculate financing propensity as contract sales volume of finance contracts originated in the period divided by contract sales volume of all contracts originated in the period. We do not include resales contract sales in the financing propensity calculation. Financing propensity was 63 percent in the second quarter of 2018 and 62 percent in the second quarter of 2019. We expect to continue to offer financing incentive programs and that interest income will continue to increase as new originations of vacation ownership notes receivable outpace the decline in principal of existing vacation ownership notes receivable.</w:t>
      </w:r>
    </w:p>
    <w:p>
      <w:pPr>
        <w:spacing w:after="0" w:line="59"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In the event of a default, we generally have the right to foreclose on or revoke the underlying VOI. We return VOIs that we reacquire through foreclosure or revocation back to inventory. As discussed above, for originated vacation ownership notes receivable, we record a reserve at the time of sale and classify the reserve as a reduction to revenues from the sale of vacation ownership products on our Income Statements. Historical default rates, which represent defaults as a percentage of each year’s beginning gross vacation ownership notes receivable balance, were as follows:</w:t>
      </w:r>
    </w:p>
    <w:p>
      <w:pPr>
        <w:spacing w:after="0" w:line="114" w:lineRule="exact"/>
        <w:rPr>
          <w:sz w:val="20"/>
          <w:szCs w:val="20"/>
          <w:color w:val="auto"/>
        </w:rPr>
      </w:pPr>
    </w:p>
    <w:tbl>
      <w:tblPr>
        <w:tblLayout w:type="fixed"/>
        <w:tblInd w:w="106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3800" w:type="dxa"/>
            <w:vAlign w:val="bottom"/>
            <w:gridSpan w:val="3"/>
          </w:tcPr>
          <w:p>
            <w:pPr>
              <w:ind w:left="1260"/>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500" w:type="dxa"/>
            <w:vAlign w:val="bottom"/>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1"/>
        </w:trPr>
        <w:tc>
          <w:tcPr>
            <w:tcW w:w="5500" w:type="dxa"/>
            <w:vAlign w:val="bottom"/>
          </w:tcPr>
          <w:p>
            <w:pPr>
              <w:spacing w:after="0"/>
              <w:rPr>
                <w:sz w:val="20"/>
                <w:szCs w:val="20"/>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June 30, 2019</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0"/>
              </w:rPr>
              <w:t>June 30, 2018</w:t>
            </w:r>
          </w:p>
        </w:tc>
      </w:tr>
      <w:tr>
        <w:trPr>
          <w:trHeight w:val="33"/>
        </w:trPr>
        <w:tc>
          <w:tcPr>
            <w:tcW w:w="55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Historical default rates</w:t>
            </w:r>
          </w:p>
        </w:tc>
        <w:tc>
          <w:tcPr>
            <w:tcW w:w="184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0"/>
                <w:szCs w:val="20"/>
                <w:color w:val="auto"/>
              </w:rPr>
            </w:pPr>
          </w:p>
        </w:tc>
        <w:tc>
          <w:tcPr>
            <w:tcW w:w="184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1.7%</w:t>
            </w:r>
          </w:p>
        </w:tc>
      </w:tr>
      <w:tr>
        <w:trPr>
          <w:trHeight w:val="27"/>
        </w:trPr>
        <w:tc>
          <w:tcPr>
            <w:tcW w:w="55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Financing expenses include consumer financing interest expense, which represents interest expense associated with the securitization of our vacation ownership notes receivable. We distinguish consumer financing interest expense from all other interest expense because the debt associated with the consumer financing interest expense is secured by vacation ownership notes receivable that have been sold to bankruptcy remote special purpose entities and is generally non-recourse to us.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Rental</w:t>
      </w:r>
    </w:p>
    <w:p>
      <w:pPr>
        <w:spacing w:after="0" w:line="11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our Vacation Ownership segment, we operate a rental business to provide owner flexibility and to help mitigate carrying costs associated with our inventory. We generate revenue from rentals of inventory that we hold for sale as interests in our vacation ownership programs, inventory that we control because our owners have elected alternative usage options permitted under our vacation ownership programs and rentals of owned-hotel properties. We also recognize rental revenue from the utilization of plus points under the MVCD program when the points are redeemed for rental stays at one of our resorts or in other third-party offerings. We obtain rental inventory from unsold inventory and inventory we control because owners have elected alternative usage options offered through our vacation ownership programs. For rental revenues associated with vacation ownership products which we own and which are registered and held for sale, to the extent that the revenues from rental are less than costs, revenues are reported net in accordance with ASC Topic 978, “</w:t>
      </w:r>
      <w:r>
        <w:rPr>
          <w:rFonts w:ascii="Arial" w:cs="Arial" w:eastAsia="Arial" w:hAnsi="Arial"/>
          <w:sz w:val="17"/>
          <w:szCs w:val="17"/>
          <w:i w:val="1"/>
          <w:iCs w:val="1"/>
          <w:color w:val="auto"/>
        </w:rPr>
        <w:t>Real Estate -</w:t>
      </w:r>
      <w:r>
        <w:rPr>
          <w:rFonts w:ascii="Arial" w:cs="Arial" w:eastAsia="Arial" w:hAnsi="Arial"/>
          <w:sz w:val="17"/>
          <w:szCs w:val="17"/>
          <w:color w:val="auto"/>
        </w:rPr>
        <w:t xml:space="preserve"> </w:t>
      </w:r>
      <w:r>
        <w:rPr>
          <w:rFonts w:ascii="Arial" w:cs="Arial" w:eastAsia="Arial" w:hAnsi="Arial"/>
          <w:sz w:val="17"/>
          <w:szCs w:val="17"/>
          <w:i w:val="1"/>
          <w:iCs w:val="1"/>
          <w:color w:val="auto"/>
        </w:rPr>
        <w:t>Time-Sharing Activities</w:t>
      </w:r>
      <w:r>
        <w:rPr>
          <w:rFonts w:ascii="Arial" w:cs="Arial" w:eastAsia="Arial" w:hAnsi="Arial"/>
          <w:sz w:val="17"/>
          <w:szCs w:val="17"/>
          <w:color w:val="auto"/>
        </w:rPr>
        <w:t>” (“ASC 978”). The rental activity associated with discounted vacation packages requiring a tour (“preview stays”) is not included in</w:t>
      </w:r>
      <w:r>
        <w:rPr>
          <w:rFonts w:ascii="Arial" w:cs="Arial" w:eastAsia="Arial" w:hAnsi="Arial"/>
          <w:sz w:val="17"/>
          <w:szCs w:val="17"/>
          <w:i w:val="1"/>
          <w:iCs w:val="1"/>
          <w:color w:val="auto"/>
        </w:rPr>
        <w:t xml:space="preserve"> </w:t>
      </w:r>
      <w:r>
        <w:rPr>
          <w:rFonts w:ascii="Arial" w:cs="Arial" w:eastAsia="Arial" w:hAnsi="Arial"/>
          <w:sz w:val="17"/>
          <w:szCs w:val="17"/>
          <w:color w:val="auto"/>
        </w:rPr>
        <w:t>transient rental metrics, and because the majority of these preview stays are sourced directly or indirectly from unsold inventory, the associated revenues and expenses are reported net in Marketing and sales expense.</w:t>
      </w:r>
    </w:p>
    <w:p>
      <w:pPr>
        <w:spacing w:after="0" w:line="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our Exchange &amp; Third-Party Management segment, we offer vacation rental opportunities to members of the Interval International Network and certain other membership programs. The offering of Getaways allows us to monetize excess availability of resort accommodations within the applicable exchange network. Resort accommodations available as Getaways typically result from seasonal oversupply or underutilized space, as well as resort accommodations we source specifically for Getaways.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Rental expenses include:</w:t>
      </w:r>
    </w:p>
    <w:p>
      <w:pPr>
        <w:spacing w:after="0" w:line="117"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Maintenance fees on unsold inventory;</w:t>
      </w:r>
    </w:p>
    <w:p>
      <w:pPr>
        <w:spacing w:after="0" w:line="117"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to provide alternative usage options, including Marriott Bonvoy points and offerings available as part of third-party offerings, for owners who elect to exchange their inventory;</w:t>
      </w:r>
    </w:p>
    <w:p>
      <w:pPr>
        <w:spacing w:after="0" w:line="62"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Marketing costs and direct operating and related expenses in connection with the rental business (such as housekeeping, credit card expenses and reservation services);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to secure resort accommodations for use in Getaways.</w:t>
      </w:r>
    </w:p>
    <w:p>
      <w:pPr>
        <w:spacing w:after="0" w:line="11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Rental metrics, including the average daily transient rate or the number of transient keys rented, may not be comparable between periods given fluctuation in available occupancy by location, unit size (such as two bedroom, one bedroom or studio unit), owner use and exchange behavior. In addition, rental metrics may not correlate with rental revenues due to the requirement to report certain rental revenues net of rental expenses in accordance with ASC 978 (as discussed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76" w:right="279" w:bottom="1440" w:gutter="0" w:footer="0" w:header="0"/>
        </w:sectPr>
      </w:pPr>
    </w:p>
    <w:bookmarkStart w:id="61" w:name="page62"/>
    <w:bookmarkEnd w:id="61"/>
    <w:p>
      <w:pPr>
        <w:spacing w:after="0" w:line="255" w:lineRule="auto"/>
        <w:rPr>
          <w:sz w:val="20"/>
          <w:szCs w:val="20"/>
          <w:color w:val="auto"/>
        </w:rPr>
      </w:pPr>
      <w:r>
        <w:rPr>
          <w:rFonts w:ascii="Arial" w:cs="Arial" w:eastAsia="Arial" w:hAnsi="Arial"/>
          <w:sz w:val="18"/>
          <w:szCs w:val="18"/>
          <w:color w:val="auto"/>
        </w:rPr>
        <w:t>above). Further, as our ability to rent certain luxury and other inventory is often limited on a site-by-site basis, rental operations may not generate adequate rental revenues to cover associated costs. Our Vacation Ownership segment units are either “full villas” or “lock-off” villas. Lock-off villas are units that can be separated into a master unit and a guest room. Full villas are “non-lock-off” villas because they cannot be separated. A “key”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Reimbursements</w:t>
      </w:r>
    </w:p>
    <w:p>
      <w:pPr>
        <w:spacing w:after="0" w:line="117"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Cost reimbursements include direct and indirect costs that are reimbursed to us by customers under management contracts. All costs, with the exception of taxes assessed by a governmental authority, reimbursed to us by customers are reported on a gross basis. We recognize cost reimbursements when we incur the related reimbursable costs. Cost reimbursements consist of actual expenses with no added margin.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Interest expense consists of all interest expense other than consumer financing interest expense, which is included with Financing expense.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Items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measure operating performance using the following key metrics:</w:t>
      </w:r>
    </w:p>
    <w:p>
      <w:pPr>
        <w:spacing w:after="0" w:line="117" w:lineRule="exact"/>
        <w:rPr>
          <w:sz w:val="20"/>
          <w:szCs w:val="20"/>
          <w:color w:val="auto"/>
        </w:rPr>
      </w:pP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Contract sales from the sale of vacation ownership products;</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Total contract sales include contract sales from the sale of vacation ownership products including joint ventures</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Consolidated contract sales exclude contract sales from the sale of vacation ownership products for non-consolidated joint ventures</w:t>
      </w:r>
    </w:p>
    <w:p>
      <w:pPr>
        <w:spacing w:after="0" w:line="140" w:lineRule="exact"/>
        <w:rPr>
          <w:rFonts w:ascii="Arial" w:cs="Arial" w:eastAsia="Arial" w:hAnsi="Arial"/>
          <w:sz w:val="16"/>
          <w:szCs w:val="16"/>
          <w:color w:val="auto"/>
        </w:rPr>
      </w:pP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 margin percentage;</w:t>
      </w:r>
    </w:p>
    <w:p>
      <w:pPr>
        <w:spacing w:after="0" w:line="117" w:lineRule="exact"/>
        <w:rPr>
          <w:rFonts w:ascii="Arial" w:cs="Arial" w:eastAsia="Arial" w:hAnsi="Arial"/>
          <w:sz w:val="18"/>
          <w:szCs w:val="18"/>
          <w:color w:val="auto"/>
        </w:rPr>
      </w:pPr>
    </w:p>
    <w:p>
      <w:pPr>
        <w:ind w:left="1300" w:right="440" w:hanging="320"/>
        <w:spacing w:after="0" w:line="25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Volume per guest (“VPG”), which we calculate by dividing consolidated vacation ownership contract sales, excluding fractional sales, telesales, resales, joint venture sales and other sales that are not attributed to a tour at a sales location, by the number of tours at sales locations in a given period (which we refer to as “tour flow”). We believe that this operating metric is valuable in evaluating the effectiveness of the sales process as it combines the impact of average contract price with the number of touring guests who make a purchase;</w:t>
      </w:r>
    </w:p>
    <w:p>
      <w:pPr>
        <w:spacing w:after="0" w:line="80" w:lineRule="exact"/>
        <w:rPr>
          <w:rFonts w:ascii="Arial" w:cs="Arial" w:eastAsia="Arial" w:hAnsi="Arial"/>
          <w:sz w:val="18"/>
          <w:szCs w:val="18"/>
          <w:color w:val="auto"/>
        </w:rPr>
      </w:pPr>
    </w:p>
    <w:p>
      <w:pPr>
        <w:ind w:left="1300" w:right="140" w:hanging="320"/>
        <w:spacing w:after="0" w:line="264"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Average revenue per member, which we calculate by dividing membership fee revenue, transaction revenue and other member revenue for the Interval International network by the monthly weighted average number of Interval International network active members during the applicable period; and</w:t>
      </w:r>
    </w:p>
    <w:p>
      <w:pPr>
        <w:spacing w:after="0" w:line="73" w:lineRule="exact"/>
        <w:rPr>
          <w:rFonts w:ascii="Arial" w:cs="Arial" w:eastAsia="Arial" w:hAnsi="Arial"/>
          <w:sz w:val="18"/>
          <w:szCs w:val="18"/>
          <w:color w:val="auto"/>
        </w:rPr>
      </w:pP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Total active members, which is the number of Interval International network active members at the end of the applicable period.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76"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Consolidated Results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6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680" w:type="dxa"/>
            <w:vAlign w:val="bottom"/>
            <w:gridSpan w:val="4"/>
          </w:tcPr>
          <w:p>
            <w:pPr>
              <w:jc w:val="right"/>
              <w:ind w:right="670"/>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8"/>
        </w:trPr>
        <w:tc>
          <w:tcPr>
            <w:tcW w:w="56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22"/>
                <w:szCs w:val="22"/>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2019</w:t>
            </w:r>
          </w:p>
        </w:tc>
        <w:tc>
          <w:tcPr>
            <w:tcW w:w="160" w:type="dxa"/>
            <w:vAlign w:val="bottom"/>
          </w:tcPr>
          <w:p>
            <w:pPr>
              <w:spacing w:after="0"/>
              <w:rPr>
                <w:sz w:val="22"/>
                <w:szCs w:val="22"/>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 2018</w:t>
            </w:r>
          </w:p>
        </w:tc>
        <w:tc>
          <w:tcPr>
            <w:tcW w:w="16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2019</w:t>
            </w:r>
          </w:p>
        </w:tc>
        <w:tc>
          <w:tcPr>
            <w:tcW w:w="160" w:type="dxa"/>
            <w:vAlign w:val="bottom"/>
          </w:tcPr>
          <w:p>
            <w:pPr>
              <w:spacing w:after="0"/>
              <w:rPr>
                <w:sz w:val="22"/>
                <w:szCs w:val="22"/>
                <w:color w:val="auto"/>
              </w:rPr>
            </w:pPr>
          </w:p>
        </w:tc>
        <w:tc>
          <w:tcPr>
            <w:tcW w:w="1200" w:type="dxa"/>
            <w:vAlign w:val="bottom"/>
          </w:tcPr>
          <w:p>
            <w:pPr>
              <w:jc w:val="right"/>
              <w:ind w:right="130"/>
              <w:spacing w:after="0"/>
              <w:rPr>
                <w:sz w:val="20"/>
                <w:szCs w:val="20"/>
                <w:color w:val="auto"/>
              </w:rPr>
            </w:pPr>
            <w:r>
              <w:rPr>
                <w:rFonts w:ascii="Arial" w:cs="Arial" w:eastAsia="Arial" w:hAnsi="Arial"/>
                <w:sz w:val="16"/>
                <w:szCs w:val="16"/>
                <w:b w:val="1"/>
                <w:bCs w:val="1"/>
                <w:color w:val="auto"/>
                <w:w w:val="92"/>
              </w:rPr>
              <w:t>June 30, 2018</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Sale of vacation ownership products</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380</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Management and exchange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Rental</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149</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418</w:t>
            </w: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REVENUES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vacation ownership products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Marketing and sales</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211</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Management and exchange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Rental</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Litigation charges</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Royalty fee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Impairment</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reimbursements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r>
      <w:tr>
        <w:trPr>
          <w:trHeight w:val="237"/>
        </w:trPr>
        <w:tc>
          <w:tcPr>
            <w:tcW w:w="5620" w:type="dxa"/>
            <w:vAlign w:val="bottom"/>
          </w:tcPr>
          <w:p>
            <w:pPr>
              <w:ind w:left="500"/>
              <w:spacing w:after="0"/>
              <w:rPr>
                <w:sz w:val="20"/>
                <w:szCs w:val="20"/>
                <w:color w:val="auto"/>
              </w:rPr>
            </w:pPr>
            <w:r>
              <w:rPr>
                <w:rFonts w:ascii="Arial" w:cs="Arial" w:eastAsia="Arial" w:hAnsi="Arial"/>
                <w:sz w:val="18"/>
                <w:szCs w:val="18"/>
                <w:b w:val="1"/>
                <w:bCs w:val="1"/>
                <w:color w:val="auto"/>
              </w:rPr>
              <w:t>TOTAL EXPENSES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1,894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1,064</w:t>
            </w: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Gains (losses) and other income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ILG acquisition-related costs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5"/>
        </w:trPr>
        <w:tc>
          <w:tcPr>
            <w:tcW w:w="56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INCOME BEFORE INCOME TAXES AND NONCONTROLLING</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4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COMMON SHAREHOLDERS</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46"/>
        </w:trPr>
        <w:tc>
          <w:tcPr>
            <w:tcW w:w="56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89"/>
              </w:rPr>
              <w:t>61</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Operating Statistics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Second Quarter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6"/>
            <w:vMerge w:val="restart"/>
          </w:tcPr>
          <w:p>
            <w:pPr>
              <w:jc w:val="center"/>
              <w:ind w:right="180"/>
              <w:spacing w:after="0"/>
              <w:rPr>
                <w:sz w:val="20"/>
                <w:szCs w:val="20"/>
                <w:color w:val="auto"/>
              </w:rPr>
            </w:pPr>
            <w:r>
              <w:rPr>
                <w:rFonts w:ascii="Arial" w:cs="Arial" w:eastAsia="Arial" w:hAnsi="Arial"/>
                <w:sz w:val="16"/>
                <w:szCs w:val="16"/>
                <w:b w:val="1"/>
                <w:bCs w:val="1"/>
                <w:color w:val="auto"/>
                <w:w w:val="93"/>
              </w:rPr>
              <w:t>Three Months Ended</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4"/>
                <w:szCs w:val="4"/>
                <w:color w:val="auto"/>
              </w:rPr>
            </w:pPr>
          </w:p>
        </w:tc>
        <w:tc>
          <w:tcPr>
            <w:tcW w:w="1720" w:type="dxa"/>
            <w:vAlign w:val="bottom"/>
            <w:gridSpan w:val="2"/>
            <w:vMerge w:val="restart"/>
          </w:tcPr>
          <w:p>
            <w:pPr>
              <w:jc w:val="center"/>
              <w:ind w:right="70"/>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(Contract sales $ in millions)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w w:val="88"/>
              </w:rPr>
              <w:t>June 30, 2019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ind w:left="100"/>
              <w:spacing w:after="0"/>
              <w:rPr>
                <w:sz w:val="20"/>
                <w:szCs w:val="20"/>
                <w:color w:val="auto"/>
              </w:rPr>
            </w:pPr>
            <w:r>
              <w:rPr>
                <w:rFonts w:ascii="Arial" w:cs="Arial" w:eastAsia="Arial" w:hAnsi="Arial"/>
                <w:sz w:val="16"/>
                <w:szCs w:val="16"/>
                <w:b w:val="1"/>
                <w:bCs w:val="1"/>
                <w:color w:val="auto"/>
              </w:rPr>
              <w:t>June 30, 2018</w:t>
            </w:r>
          </w:p>
        </w:tc>
        <w:tc>
          <w:tcPr>
            <w:tcW w:w="180" w:type="dxa"/>
            <w:vAlign w:val="bottom"/>
          </w:tcPr>
          <w:p>
            <w:pPr>
              <w:spacing w:after="0"/>
              <w:rPr>
                <w:sz w:val="20"/>
                <w:szCs w:val="20"/>
                <w:color w:val="auto"/>
              </w:rPr>
            </w:pPr>
          </w:p>
        </w:tc>
        <w:tc>
          <w:tcPr>
            <w:tcW w:w="860" w:type="dxa"/>
            <w:vAlign w:val="bottom"/>
          </w:tcPr>
          <w:p>
            <w:pPr>
              <w:jc w:val="right"/>
              <w:ind w:right="171"/>
              <w:spacing w:after="0"/>
              <w:rPr>
                <w:sz w:val="20"/>
                <w:szCs w:val="20"/>
                <w:color w:val="auto"/>
              </w:rPr>
            </w:pPr>
            <w:r>
              <w:rPr>
                <w:rFonts w:ascii="Arial" w:cs="Arial" w:eastAsia="Arial" w:hAnsi="Arial"/>
                <w:sz w:val="16"/>
                <w:szCs w:val="16"/>
                <w:b w:val="1"/>
                <w:bCs w:val="1"/>
                <w:color w:val="auto"/>
                <w:w w:val="98"/>
              </w:rPr>
              <w:t>Change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Legacy-ILG</w:t>
            </w:r>
          </w:p>
        </w:tc>
        <w:tc>
          <w:tcPr>
            <w:tcW w:w="200" w:type="dxa"/>
            <w:vAlign w:val="bottom"/>
          </w:tcPr>
          <w:p>
            <w:pPr>
              <w:spacing w:after="0"/>
              <w:rPr>
                <w:sz w:val="20"/>
                <w:szCs w:val="20"/>
                <w:color w:val="auto"/>
              </w:rPr>
            </w:pPr>
          </w:p>
        </w:tc>
        <w:tc>
          <w:tcPr>
            <w:tcW w:w="1720" w:type="dxa"/>
            <w:vAlign w:val="bottom"/>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Vacation Ownership</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Total contract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398</w:t>
            </w:r>
          </w:p>
        </w:tc>
        <w:tc>
          <w:tcPr>
            <w:tcW w:w="500" w:type="dxa"/>
            <w:vAlign w:val="bottom"/>
            <w:gridSpan w:val="3"/>
          </w:tcPr>
          <w:p>
            <w:pPr>
              <w:jc w:val="right"/>
              <w:ind w:right="119"/>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166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3"/>
              <w:spacing w:after="0"/>
              <w:rPr>
                <w:sz w:val="20"/>
                <w:szCs w:val="20"/>
                <w:color w:val="auto"/>
              </w:rPr>
            </w:pPr>
            <w:r>
              <w:rPr>
                <w:rFonts w:ascii="Arial" w:cs="Arial" w:eastAsia="Arial" w:hAnsi="Arial"/>
                <w:sz w:val="18"/>
                <w:szCs w:val="18"/>
                <w:color w:val="auto"/>
              </w:rPr>
              <w:t>14</w:t>
            </w: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Consolidated contract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500" w:type="dxa"/>
            <w:vAlign w:val="bottom"/>
            <w:tcBorders>
              <w:bottom w:val="single" w:sz="8" w:color="CCEEFF"/>
            </w:tcBorders>
            <w:gridSpan w:val="3"/>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14</w:t>
            </w:r>
          </w:p>
        </w:tc>
        <w:tc>
          <w:tcPr>
            <w:tcW w:w="8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b w:val="1"/>
                <w:bCs w:val="1"/>
                <w:color w:val="auto"/>
              </w:rPr>
              <w:t>Legacy-MVW North America</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Consolidated contract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500" w:type="dxa"/>
            <w:vAlign w:val="bottom"/>
            <w:tcBorders>
              <w:bottom w:val="single" w:sz="8" w:color="CCEEFF"/>
            </w:tcBorders>
            <w:gridSpan w:val="3"/>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8</w:t>
            </w:r>
          </w:p>
        </w:tc>
        <w:tc>
          <w:tcPr>
            <w:tcW w:w="8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460" w:type="dxa"/>
            <w:vAlign w:val="bottom"/>
          </w:tcPr>
          <w:p>
            <w:pPr>
              <w:ind w:left="500"/>
              <w:spacing w:after="0"/>
              <w:rPr>
                <w:sz w:val="20"/>
                <w:szCs w:val="20"/>
                <w:color w:val="auto"/>
              </w:rPr>
            </w:pPr>
            <w:r>
              <w:rPr>
                <w:rFonts w:ascii="Arial" w:cs="Arial" w:eastAsia="Arial" w:hAnsi="Arial"/>
                <w:sz w:val="18"/>
                <w:szCs w:val="18"/>
                <w:color w:val="auto"/>
              </w:rPr>
              <w:t>VPG</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3,700</w:t>
            </w:r>
          </w:p>
        </w:tc>
        <w:tc>
          <w:tcPr>
            <w:tcW w:w="500" w:type="dxa"/>
            <w:vAlign w:val="bottom"/>
            <w:gridSpan w:val="3"/>
          </w:tcPr>
          <w:p>
            <w:pPr>
              <w:jc w:val="right"/>
              <w:ind w:right="119"/>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3,672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3"/>
              <w:spacing w:after="0"/>
              <w:rPr>
                <w:sz w:val="20"/>
                <w:szCs w:val="20"/>
                <w:color w:val="auto"/>
              </w:rPr>
            </w:pPr>
            <w:r>
              <w:rPr>
                <w:rFonts w:ascii="Arial" w:cs="Arial" w:eastAsia="Arial" w:hAnsi="Arial"/>
                <w:sz w:val="18"/>
                <w:szCs w:val="18"/>
                <w:color w:val="auto"/>
              </w:rPr>
              <w:t>28</w:t>
            </w: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Tour flow</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54,532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52,787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1,745</w:t>
            </w:r>
          </w:p>
        </w:tc>
        <w:tc>
          <w:tcPr>
            <w:tcW w:w="8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Exchange &amp; Third-Party Management</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active members at end of period (000's)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460" w:type="dxa"/>
            <w:vAlign w:val="bottom"/>
          </w:tcPr>
          <w:p>
            <w:pPr>
              <w:ind w:left="660"/>
              <w:spacing w:after="0"/>
              <w:rPr>
                <w:sz w:val="20"/>
                <w:szCs w:val="20"/>
                <w:color w:val="auto"/>
              </w:rPr>
            </w:pPr>
            <w:r>
              <w:rPr>
                <w:rFonts w:ascii="Arial" w:cs="Arial" w:eastAsia="Arial" w:hAnsi="Arial"/>
                <w:sz w:val="18"/>
                <w:szCs w:val="18"/>
                <w:i w:val="1"/>
                <w:iCs w:val="1"/>
                <w:color w:val="auto"/>
              </w:rPr>
              <w:t>2019 First Half</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6"/>
            <w:vMerge w:val="restart"/>
          </w:tcPr>
          <w:p>
            <w:pPr>
              <w:jc w:val="center"/>
              <w:ind w:right="180"/>
              <w:spacing w:after="0"/>
              <w:rPr>
                <w:sz w:val="20"/>
                <w:szCs w:val="20"/>
                <w:color w:val="auto"/>
              </w:rPr>
            </w:pPr>
            <w:r>
              <w:rPr>
                <w:rFonts w:ascii="Arial" w:cs="Arial" w:eastAsia="Arial" w:hAnsi="Arial"/>
                <w:sz w:val="16"/>
                <w:szCs w:val="16"/>
                <w:b w:val="1"/>
                <w:bCs w:val="1"/>
                <w:color w:val="auto"/>
                <w:w w:val="92"/>
              </w:rPr>
              <w:t>Six Months Ended</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4"/>
                <w:szCs w:val="4"/>
                <w:color w:val="auto"/>
              </w:rPr>
            </w:pPr>
          </w:p>
        </w:tc>
        <w:tc>
          <w:tcPr>
            <w:tcW w:w="1720" w:type="dxa"/>
            <w:vAlign w:val="bottom"/>
            <w:gridSpan w:val="2"/>
            <w:vMerge w:val="restart"/>
          </w:tcPr>
          <w:p>
            <w:pPr>
              <w:jc w:val="center"/>
              <w:ind w:right="70"/>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(Contract sales $ in millions)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w w:val="88"/>
              </w:rPr>
              <w:t>June 30, 2019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ind w:left="100"/>
              <w:spacing w:after="0"/>
              <w:rPr>
                <w:sz w:val="20"/>
                <w:szCs w:val="20"/>
                <w:color w:val="auto"/>
              </w:rPr>
            </w:pPr>
            <w:r>
              <w:rPr>
                <w:rFonts w:ascii="Arial" w:cs="Arial" w:eastAsia="Arial" w:hAnsi="Arial"/>
                <w:sz w:val="16"/>
                <w:szCs w:val="16"/>
                <w:b w:val="1"/>
                <w:bCs w:val="1"/>
                <w:color w:val="auto"/>
              </w:rPr>
              <w:t>June 30, 2018</w:t>
            </w:r>
          </w:p>
        </w:tc>
        <w:tc>
          <w:tcPr>
            <w:tcW w:w="180" w:type="dxa"/>
            <w:vAlign w:val="bottom"/>
          </w:tcPr>
          <w:p>
            <w:pPr>
              <w:spacing w:after="0"/>
              <w:rPr>
                <w:sz w:val="20"/>
                <w:szCs w:val="20"/>
                <w:color w:val="auto"/>
              </w:rPr>
            </w:pPr>
          </w:p>
        </w:tc>
        <w:tc>
          <w:tcPr>
            <w:tcW w:w="860" w:type="dxa"/>
            <w:vAlign w:val="bottom"/>
          </w:tcPr>
          <w:p>
            <w:pPr>
              <w:jc w:val="right"/>
              <w:ind w:right="171"/>
              <w:spacing w:after="0"/>
              <w:rPr>
                <w:sz w:val="20"/>
                <w:szCs w:val="20"/>
                <w:color w:val="auto"/>
              </w:rPr>
            </w:pPr>
            <w:r>
              <w:rPr>
                <w:rFonts w:ascii="Arial" w:cs="Arial" w:eastAsia="Arial" w:hAnsi="Arial"/>
                <w:sz w:val="16"/>
                <w:szCs w:val="16"/>
                <w:b w:val="1"/>
                <w:bCs w:val="1"/>
                <w:color w:val="auto"/>
                <w:w w:val="98"/>
              </w:rPr>
              <w:t>Change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Legacy-ILG</w:t>
            </w:r>
          </w:p>
        </w:tc>
        <w:tc>
          <w:tcPr>
            <w:tcW w:w="200" w:type="dxa"/>
            <w:vAlign w:val="bottom"/>
          </w:tcPr>
          <w:p>
            <w:pPr>
              <w:spacing w:after="0"/>
              <w:rPr>
                <w:sz w:val="20"/>
                <w:szCs w:val="20"/>
                <w:color w:val="auto"/>
              </w:rPr>
            </w:pPr>
          </w:p>
        </w:tc>
        <w:tc>
          <w:tcPr>
            <w:tcW w:w="1720" w:type="dxa"/>
            <w:vAlign w:val="bottom"/>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Vacation Ownership</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Total contract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763</w:t>
            </w:r>
          </w:p>
        </w:tc>
        <w:tc>
          <w:tcPr>
            <w:tcW w:w="500" w:type="dxa"/>
            <w:vAlign w:val="bottom"/>
            <w:gridSpan w:val="3"/>
          </w:tcPr>
          <w:p>
            <w:pPr>
              <w:jc w:val="right"/>
              <w:ind w:right="119"/>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327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3"/>
              <w:spacing w:after="0"/>
              <w:rPr>
                <w:sz w:val="20"/>
                <w:szCs w:val="20"/>
                <w:color w:val="auto"/>
              </w:rPr>
            </w:pPr>
            <w:r>
              <w:rPr>
                <w:rFonts w:ascii="Arial" w:cs="Arial" w:eastAsia="Arial" w:hAnsi="Arial"/>
                <w:sz w:val="18"/>
                <w:szCs w:val="18"/>
                <w:color w:val="auto"/>
              </w:rPr>
              <w:t>33</w:t>
            </w: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Consolidated contract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500" w:type="dxa"/>
            <w:vAlign w:val="bottom"/>
            <w:tcBorders>
              <w:bottom w:val="single" w:sz="8" w:color="CCEEFF"/>
            </w:tcBorders>
            <w:gridSpan w:val="3"/>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33</w:t>
            </w:r>
          </w:p>
        </w:tc>
        <w:tc>
          <w:tcPr>
            <w:tcW w:w="8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b w:val="1"/>
                <w:bCs w:val="1"/>
                <w:color w:val="auto"/>
              </w:rPr>
              <w:t>Legacy-MVW North America</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Consolidated contract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500" w:type="dxa"/>
            <w:vAlign w:val="bottom"/>
            <w:tcBorders>
              <w:bottom w:val="single" w:sz="8" w:color="CCEEFF"/>
            </w:tcBorders>
            <w:gridSpan w:val="3"/>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21</w:t>
            </w:r>
          </w:p>
        </w:tc>
        <w:tc>
          <w:tcPr>
            <w:tcW w:w="8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460" w:type="dxa"/>
            <w:vAlign w:val="bottom"/>
          </w:tcPr>
          <w:p>
            <w:pPr>
              <w:ind w:left="500"/>
              <w:spacing w:after="0"/>
              <w:rPr>
                <w:sz w:val="20"/>
                <w:szCs w:val="20"/>
                <w:color w:val="auto"/>
              </w:rPr>
            </w:pPr>
            <w:r>
              <w:rPr>
                <w:rFonts w:ascii="Arial" w:cs="Arial" w:eastAsia="Arial" w:hAnsi="Arial"/>
                <w:sz w:val="18"/>
                <w:szCs w:val="18"/>
                <w:color w:val="auto"/>
              </w:rPr>
              <w:t>VPG</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3,736</w:t>
            </w:r>
          </w:p>
        </w:tc>
        <w:tc>
          <w:tcPr>
            <w:tcW w:w="500" w:type="dxa"/>
            <w:vAlign w:val="bottom"/>
            <w:gridSpan w:val="3"/>
          </w:tcPr>
          <w:p>
            <w:pPr>
              <w:jc w:val="right"/>
              <w:ind w:right="119"/>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3,698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3"/>
              <w:spacing w:after="0"/>
              <w:rPr>
                <w:sz w:val="20"/>
                <w:szCs w:val="20"/>
                <w:color w:val="auto"/>
              </w:rPr>
            </w:pPr>
            <w:r>
              <w:rPr>
                <w:rFonts w:ascii="Arial" w:cs="Arial" w:eastAsia="Arial" w:hAnsi="Arial"/>
                <w:sz w:val="18"/>
                <w:szCs w:val="18"/>
                <w:color w:val="auto"/>
              </w:rPr>
              <w:t>38</w:t>
            </w: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Tour flow</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103,510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98,842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4,668</w:t>
            </w:r>
          </w:p>
        </w:tc>
        <w:tc>
          <w:tcPr>
            <w:tcW w:w="8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Exchange &amp; Third-Party Management</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active members at end of period (000's)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gridSpan w:val="3"/>
          </w:tcPr>
          <w:p>
            <w:pPr>
              <w:jc w:val="center"/>
              <w:ind w:right="159"/>
              <w:spacing w:after="0"/>
              <w:rPr>
                <w:sz w:val="20"/>
                <w:szCs w:val="20"/>
                <w:color w:val="auto"/>
              </w:rPr>
            </w:pPr>
            <w:r>
              <w:rPr>
                <w:rFonts w:ascii="Arial" w:cs="Arial" w:eastAsia="Arial" w:hAnsi="Arial"/>
                <w:sz w:val="18"/>
                <w:szCs w:val="18"/>
                <w:color w:val="auto"/>
                <w:w w:val="89"/>
              </w:rPr>
              <w:t>62</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Second Quarter</w:t>
      </w:r>
    </w:p>
    <w:p>
      <w:pPr>
        <w:spacing w:after="0" w:line="117"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following table presents our revenues for the second quarter of 2019 compared to the second quarter of 2018 and, as a result of the ILG Acquisition on September 1, 2018, includes results for Legacy-ILG for the second quarter of 2019.</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4"/>
                <w:szCs w:val="4"/>
                <w:color w:val="auto"/>
              </w:rPr>
            </w:pPr>
          </w:p>
        </w:tc>
        <w:tc>
          <w:tcPr>
            <w:tcW w:w="1720" w:type="dxa"/>
            <w:vAlign w:val="bottom"/>
            <w:gridSpan w:val="2"/>
            <w:vMerge w:val="restart"/>
          </w:tcPr>
          <w:p>
            <w:pPr>
              <w:jc w:val="center"/>
              <w:ind w:right="70"/>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6"/>
                <w:szCs w:val="16"/>
                <w:b w:val="1"/>
                <w:bCs w:val="1"/>
                <w:color w:val="auto"/>
              </w:rPr>
              <w:t>June 30, 2019</w:t>
            </w:r>
          </w:p>
        </w:tc>
        <w:tc>
          <w:tcPr>
            <w:tcW w:w="1240" w:type="dxa"/>
            <w:vAlign w:val="bottom"/>
            <w:gridSpan w:val="3"/>
          </w:tcPr>
          <w:p>
            <w:pPr>
              <w:ind w:left="100"/>
              <w:spacing w:after="0"/>
              <w:rPr>
                <w:sz w:val="20"/>
                <w:szCs w:val="20"/>
                <w:color w:val="auto"/>
              </w:rPr>
            </w:pPr>
            <w:r>
              <w:rPr>
                <w:rFonts w:ascii="Arial" w:cs="Arial" w:eastAsia="Arial" w:hAnsi="Arial"/>
                <w:sz w:val="16"/>
                <w:szCs w:val="16"/>
                <w:b w:val="1"/>
                <w:bCs w:val="1"/>
                <w:color w:val="auto"/>
              </w:rPr>
              <w:t>June 30, 2018</w:t>
            </w: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Legacy-ILG</w:t>
            </w:r>
          </w:p>
        </w:tc>
        <w:tc>
          <w:tcPr>
            <w:tcW w:w="200" w:type="dxa"/>
            <w:vAlign w:val="bottom"/>
          </w:tcPr>
          <w:p>
            <w:pPr>
              <w:spacing w:after="0"/>
              <w:rPr>
                <w:sz w:val="20"/>
                <w:szCs w:val="20"/>
                <w:color w:val="auto"/>
              </w:rPr>
            </w:pPr>
          </w:p>
        </w:tc>
        <w:tc>
          <w:tcPr>
            <w:tcW w:w="1720" w:type="dxa"/>
            <w:vAlign w:val="bottom"/>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595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020" w:type="dxa"/>
            <w:vAlign w:val="bottom"/>
            <w:tcBorders>
              <w:top w:val="single" w:sz="8" w:color="auto"/>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Exchange &amp; Third-Party Management</w:t>
            </w:r>
          </w:p>
        </w:tc>
        <w:tc>
          <w:tcPr>
            <w:tcW w:w="1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Segment Revenues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1,066</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Consolidated Property Owners’ Associations</w:t>
            </w:r>
          </w:p>
        </w:tc>
        <w:tc>
          <w:tcPr>
            <w:tcW w:w="1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1,068</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595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0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First Half</w:t>
      </w:r>
    </w:p>
    <w:p>
      <w:pPr>
        <w:spacing w:after="0" w:line="11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presents our revenues for the first half of 2019 compared to the first half of 2018 and, as a result of the ILG Acquisition on September 1, 2018, includes results for Legacy-ILG for the first half of 2019.</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rPr>
              <w:t>Six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80" w:type="dxa"/>
            <w:vAlign w:val="bottom"/>
            <w:gridSpan w:val="4"/>
            <w:vMerge w:val="continue"/>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4"/>
                <w:szCs w:val="4"/>
                <w:color w:val="auto"/>
              </w:rPr>
            </w:pPr>
          </w:p>
        </w:tc>
        <w:tc>
          <w:tcPr>
            <w:tcW w:w="1720" w:type="dxa"/>
            <w:vAlign w:val="bottom"/>
            <w:gridSpan w:val="2"/>
            <w:vMerge w:val="restart"/>
          </w:tcPr>
          <w:p>
            <w:pPr>
              <w:jc w:val="center"/>
              <w:ind w:right="70"/>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8"/>
              </w:rPr>
              <w:t>June 30, 2019</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7"/>
              </w:rPr>
              <w:t>June 30, 2018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w w:val="98"/>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96"/>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780" w:type="dxa"/>
            <w:vAlign w:val="bottom"/>
            <w:tcBorders>
              <w:bottom w:val="single" w:sz="8" w:color="CCEEFF"/>
            </w:tcBorders>
            <w:gridSpan w:val="3"/>
            <w:shd w:val="clear" w:color="auto" w:fill="CCEEFF"/>
          </w:tcPr>
          <w:p>
            <w:pPr>
              <w:jc w:val="right"/>
              <w:ind w:right="39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1,166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c>
          <w:tcPr>
            <w:tcW w:w="10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Exchange &amp; Third-Party Management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Segment Revenues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1,166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Consolidated Property Owners’ Associations</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780" w:type="dxa"/>
            <w:vAlign w:val="bottom"/>
            <w:gridSpan w:val="3"/>
            <w:shd w:val="clear" w:color="auto" w:fill="CCEEFF"/>
          </w:tcPr>
          <w:p>
            <w:pPr>
              <w:jc w:val="right"/>
              <w:ind w:right="39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1,166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c>
          <w:tcPr>
            <w:tcW w:w="10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gridSpan w:val="3"/>
          </w:tcPr>
          <w:p>
            <w:pPr>
              <w:jc w:val="right"/>
              <w:ind w:right="479"/>
              <w:spacing w:after="0"/>
              <w:rPr>
                <w:sz w:val="20"/>
                <w:szCs w:val="20"/>
                <w:color w:val="auto"/>
              </w:rPr>
            </w:pPr>
            <w:r>
              <w:rPr>
                <w:rFonts w:ascii="Arial" w:cs="Arial" w:eastAsia="Arial" w:hAnsi="Arial"/>
                <w:sz w:val="18"/>
                <w:szCs w:val="18"/>
                <w:color w:val="auto"/>
                <w:w w:val="99"/>
              </w:rPr>
              <w:t>63</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Earnings Before Interest Expense, Taxes, Depreciation and Amortization (“EBITDA”) and Adjusted EBITDA</w:t>
      </w:r>
    </w:p>
    <w:p>
      <w:pPr>
        <w:spacing w:after="0" w:line="121"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EBITDA, a financial measure that is not prescribed by GAAP, is defined as earnings, or net income attributable to common shareholders, before interest expense (excluding consumer financing interest expense), income taxes, depreciation and amortization. For purposes of our EBITDA and Adjusted EBITDA calculations, we do not adjust for consumer financing interest expense because we consider it to be an operating expense of our business. We consider EBITDA and Adjusted EBITDA to be indicators of operating performance, which we use to measure our ability to service debt, fund capital expenditures and expand our business. We also use EBITDA and Adjusted EBITDA, as do analysts, lenders, investors and others, because these measures exclude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and Adjusted EBITDA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 Adjusted EBITDA reflects additional adjustments for certain items described below, and excludes share-based compensation expense to address considerable variability among companies in recording compensation expense because companies use share-based payment awards differently, both in the type and quantity of awards granted. We evaluate Adjusted EBITDA as an indicator of operating performance because it allows for period-over-period comparisons of our on-going core operations before the impact of the excluded items. Together, EBITDA and Adjusted EBITDA facilitate our comparison of results from our on-going core operations before the impact of these items with results from other vacation ownership companies.</w:t>
      </w:r>
    </w:p>
    <w:p>
      <w:pPr>
        <w:spacing w:after="0" w:line="286"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EBITDA and Adjusted EBITDA have limitations and should not be considered in isolation or as a substitute for performance measures calculated in accordance with GAAP. In addition, other companies in our industry may calculate EBITDA and Adjusted EBITDA differently than we do or may not calculate them at all, limiting their usefulness as comparative measures. The table below shows our EBITDA and Adjusted EBITDA calculation and reconciles these measures with Net income attributable to common shareholders, which is the most directly comparable GAAP financial measure.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Second Quarter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gridSpan w:val="5"/>
            <w:vMerge w:val="restart"/>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gridSpan w:val="5"/>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160" w:type="dxa"/>
            <w:vAlign w:val="bottom"/>
          </w:tcPr>
          <w:p>
            <w:pPr>
              <w:spacing w:after="0"/>
              <w:rPr>
                <w:sz w:val="17"/>
                <w:szCs w:val="17"/>
                <w:color w:val="auto"/>
              </w:rPr>
            </w:pPr>
          </w:p>
        </w:tc>
        <w:tc>
          <w:tcPr>
            <w:tcW w:w="110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Excluding</w:t>
            </w:r>
          </w:p>
        </w:tc>
        <w:tc>
          <w:tcPr>
            <w:tcW w:w="0" w:type="dxa"/>
            <w:vAlign w:val="bottom"/>
          </w:tcPr>
          <w:p>
            <w:pPr>
              <w:spacing w:after="0"/>
              <w:rPr>
                <w:sz w:val="1"/>
                <w:szCs w:val="1"/>
                <w:color w:val="auto"/>
              </w:rPr>
            </w:pPr>
          </w:p>
        </w:tc>
      </w:tr>
      <w:tr>
        <w:trPr>
          <w:trHeight w:val="182"/>
        </w:trPr>
        <w:tc>
          <w:tcPr>
            <w:tcW w:w="47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60"/>
              <w:spacing w:after="0" w:line="182" w:lineRule="exact"/>
              <w:rPr>
                <w:sz w:val="20"/>
                <w:szCs w:val="20"/>
                <w:color w:val="auto"/>
              </w:rPr>
            </w:pPr>
            <w:r>
              <w:rPr>
                <w:rFonts w:ascii="Arial" w:cs="Arial" w:eastAsia="Arial" w:hAnsi="Arial"/>
                <w:sz w:val="16"/>
                <w:szCs w:val="16"/>
                <w:b w:val="1"/>
                <w:bCs w:val="1"/>
                <w:color w:val="auto"/>
                <w:w w:val="87"/>
              </w:rPr>
              <w:t>due to</w:t>
            </w:r>
          </w:p>
        </w:tc>
        <w:tc>
          <w:tcPr>
            <w:tcW w:w="160" w:type="dxa"/>
            <w:vAlign w:val="bottom"/>
          </w:tcPr>
          <w:p>
            <w:pPr>
              <w:spacing w:after="0"/>
              <w:rPr>
                <w:sz w:val="15"/>
                <w:szCs w:val="15"/>
                <w:color w:val="auto"/>
              </w:rPr>
            </w:pPr>
          </w:p>
        </w:tc>
        <w:tc>
          <w:tcPr>
            <w:tcW w:w="1100" w:type="dxa"/>
            <w:vAlign w:val="bottom"/>
          </w:tcPr>
          <w:p>
            <w:pPr>
              <w:jc w:val="center"/>
              <w:ind w:right="73"/>
              <w:spacing w:after="0" w:line="182" w:lineRule="exact"/>
              <w:rPr>
                <w:sz w:val="20"/>
                <w:szCs w:val="20"/>
                <w:color w:val="auto"/>
              </w:rPr>
            </w:pPr>
            <w:r>
              <w:rPr>
                <w:rFonts w:ascii="Arial" w:cs="Arial" w:eastAsia="Arial" w:hAnsi="Arial"/>
                <w:sz w:val="16"/>
                <w:szCs w:val="16"/>
                <w:b w:val="1"/>
                <w:bCs w:val="1"/>
                <w:color w:val="auto"/>
                <w:w w:val="98"/>
              </w:rPr>
              <w:t>Legacy-ILG</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2019</w:t>
            </w:r>
          </w:p>
        </w:tc>
        <w:tc>
          <w:tcPr>
            <w:tcW w:w="12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2018</w:t>
            </w: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Legacy-ILG</w:t>
            </w:r>
          </w:p>
        </w:tc>
        <w:tc>
          <w:tcPr>
            <w:tcW w:w="160" w:type="dxa"/>
            <w:vAlign w:val="bottom"/>
          </w:tcPr>
          <w:p>
            <w:pPr>
              <w:spacing w:after="0"/>
              <w:rPr>
                <w:sz w:val="20"/>
                <w:szCs w:val="20"/>
                <w:color w:val="auto"/>
              </w:rPr>
            </w:pPr>
          </w:p>
        </w:tc>
        <w:tc>
          <w:tcPr>
            <w:tcW w:w="1100" w:type="dxa"/>
            <w:vAlign w:val="bottom"/>
          </w:tcPr>
          <w:p>
            <w:pPr>
              <w:jc w:val="center"/>
              <w:ind w:right="73"/>
              <w:spacing w:after="0"/>
              <w:rPr>
                <w:sz w:val="20"/>
                <w:szCs w:val="20"/>
                <w:color w:val="auto"/>
              </w:rPr>
            </w:pPr>
            <w:r>
              <w:rPr>
                <w:rFonts w:ascii="Arial" w:cs="Arial" w:eastAsia="Arial" w:hAnsi="Arial"/>
                <w:sz w:val="16"/>
                <w:szCs w:val="16"/>
                <w:b w:val="1"/>
                <w:bCs w:val="1"/>
                <w:color w:val="auto"/>
                <w:w w:val="96"/>
              </w:rPr>
              <w:t>Impact</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EBITDA</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Certain items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items for the second quarter of 2019 consisted of $36 million of ILG acquisition-related costs, $4 million of purchase accounting adjustments and $1 million of litigation charges, partially offset by $2 million of gains and other income.</w:t>
      </w:r>
    </w:p>
    <w:p>
      <w:pPr>
        <w:spacing w:after="0" w:line="62"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Certain items for the second quarter of 2018 consisted of $20 million of acquisition costs (including $19 million of ILG acquisition-related costs and $1 million of acquisition costs associated with the then anticipated capital efficient acquisition of the operating property in San Francisco), $16 million of litigation charges (including $11 million related to a project in San Francisco and $5 million related to a project in Lake Tahoe), and $7 million of losses and other expenses primarily resulting from fraudulently induced electronic payment disbursements made to third parties.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0" w:right="239" w:bottom="1440" w:gutter="0" w:footer="0" w:header="0"/>
        </w:sectPr>
      </w:pPr>
    </w:p>
    <w:bookmarkStart w:id="66" w:name="page67"/>
    <w:bookmarkEnd w:id="66"/>
    <w:p>
      <w:pPr>
        <w:ind w:left="660"/>
        <w:spacing w:after="0"/>
        <w:rPr>
          <w:sz w:val="20"/>
          <w:szCs w:val="20"/>
          <w:color w:val="auto"/>
        </w:rPr>
      </w:pPr>
      <w:r>
        <w:rPr>
          <w:rFonts w:ascii="Arial" w:cs="Arial" w:eastAsia="Arial" w:hAnsi="Arial"/>
          <w:sz w:val="18"/>
          <w:szCs w:val="18"/>
          <w:i w:val="1"/>
          <w:iCs w:val="1"/>
          <w:color w:val="auto"/>
        </w:rPr>
        <w:t>2019 First Half</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gridSpan w:val="5"/>
            <w:vMerge w:val="restart"/>
          </w:tcPr>
          <w:p>
            <w:pPr>
              <w:ind w:left="540"/>
              <w:spacing w:after="0"/>
              <w:rPr>
                <w:sz w:val="20"/>
                <w:szCs w:val="20"/>
                <w:color w:val="auto"/>
              </w:rPr>
            </w:pPr>
            <w:r>
              <w:rPr>
                <w:rFonts w:ascii="Arial" w:cs="Arial" w:eastAsia="Arial" w:hAnsi="Arial"/>
                <w:sz w:val="16"/>
                <w:szCs w:val="16"/>
                <w:b w:val="1"/>
                <w:bCs w:val="1"/>
                <w:color w:val="auto"/>
              </w:rPr>
              <w:t>Six Months Ended</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gridSpan w:val="5"/>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160" w:type="dxa"/>
            <w:vAlign w:val="bottom"/>
          </w:tcPr>
          <w:p>
            <w:pPr>
              <w:spacing w:after="0"/>
              <w:rPr>
                <w:sz w:val="17"/>
                <w:szCs w:val="17"/>
                <w:color w:val="auto"/>
              </w:rPr>
            </w:pPr>
          </w:p>
        </w:tc>
        <w:tc>
          <w:tcPr>
            <w:tcW w:w="110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Excluding</w:t>
            </w:r>
          </w:p>
        </w:tc>
        <w:tc>
          <w:tcPr>
            <w:tcW w:w="0" w:type="dxa"/>
            <w:vAlign w:val="bottom"/>
          </w:tcPr>
          <w:p>
            <w:pPr>
              <w:spacing w:after="0"/>
              <w:rPr>
                <w:sz w:val="1"/>
                <w:szCs w:val="1"/>
                <w:color w:val="auto"/>
              </w:rPr>
            </w:pPr>
          </w:p>
        </w:tc>
      </w:tr>
      <w:tr>
        <w:trPr>
          <w:trHeight w:val="182"/>
        </w:trPr>
        <w:tc>
          <w:tcPr>
            <w:tcW w:w="47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60"/>
              <w:spacing w:after="0" w:line="182" w:lineRule="exact"/>
              <w:rPr>
                <w:sz w:val="20"/>
                <w:szCs w:val="20"/>
                <w:color w:val="auto"/>
              </w:rPr>
            </w:pPr>
            <w:r>
              <w:rPr>
                <w:rFonts w:ascii="Arial" w:cs="Arial" w:eastAsia="Arial" w:hAnsi="Arial"/>
                <w:sz w:val="16"/>
                <w:szCs w:val="16"/>
                <w:b w:val="1"/>
                <w:bCs w:val="1"/>
                <w:color w:val="auto"/>
                <w:w w:val="87"/>
              </w:rPr>
              <w:t>due to</w:t>
            </w:r>
          </w:p>
        </w:tc>
        <w:tc>
          <w:tcPr>
            <w:tcW w:w="160" w:type="dxa"/>
            <w:vAlign w:val="bottom"/>
          </w:tcPr>
          <w:p>
            <w:pPr>
              <w:spacing w:after="0"/>
              <w:rPr>
                <w:sz w:val="15"/>
                <w:szCs w:val="15"/>
                <w:color w:val="auto"/>
              </w:rPr>
            </w:pPr>
          </w:p>
        </w:tc>
        <w:tc>
          <w:tcPr>
            <w:tcW w:w="1100" w:type="dxa"/>
            <w:vAlign w:val="bottom"/>
          </w:tcPr>
          <w:p>
            <w:pPr>
              <w:jc w:val="center"/>
              <w:ind w:right="73"/>
              <w:spacing w:after="0" w:line="182" w:lineRule="exact"/>
              <w:rPr>
                <w:sz w:val="20"/>
                <w:szCs w:val="20"/>
                <w:color w:val="auto"/>
              </w:rPr>
            </w:pPr>
            <w:r>
              <w:rPr>
                <w:rFonts w:ascii="Arial" w:cs="Arial" w:eastAsia="Arial" w:hAnsi="Arial"/>
                <w:sz w:val="16"/>
                <w:szCs w:val="16"/>
                <w:b w:val="1"/>
                <w:bCs w:val="1"/>
                <w:color w:val="auto"/>
                <w:w w:val="98"/>
              </w:rPr>
              <w:t>Legacy-ILG</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2019</w:t>
            </w:r>
          </w:p>
        </w:tc>
        <w:tc>
          <w:tcPr>
            <w:tcW w:w="12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2018</w:t>
            </w: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Legacy-ILG</w:t>
            </w:r>
          </w:p>
        </w:tc>
        <w:tc>
          <w:tcPr>
            <w:tcW w:w="160" w:type="dxa"/>
            <w:vAlign w:val="bottom"/>
          </w:tcPr>
          <w:p>
            <w:pPr>
              <w:spacing w:after="0"/>
              <w:rPr>
                <w:sz w:val="20"/>
                <w:szCs w:val="20"/>
                <w:color w:val="auto"/>
              </w:rPr>
            </w:pPr>
          </w:p>
        </w:tc>
        <w:tc>
          <w:tcPr>
            <w:tcW w:w="1100" w:type="dxa"/>
            <w:vAlign w:val="bottom"/>
          </w:tcPr>
          <w:p>
            <w:pPr>
              <w:jc w:val="center"/>
              <w:ind w:right="73"/>
              <w:spacing w:after="0"/>
              <w:rPr>
                <w:sz w:val="20"/>
                <w:szCs w:val="20"/>
                <w:color w:val="auto"/>
              </w:rPr>
            </w:pPr>
            <w:r>
              <w:rPr>
                <w:rFonts w:ascii="Arial" w:cs="Arial" w:eastAsia="Arial" w:hAnsi="Arial"/>
                <w:sz w:val="16"/>
                <w:szCs w:val="16"/>
                <w:b w:val="1"/>
                <w:bCs w:val="1"/>
                <w:color w:val="auto"/>
                <w:w w:val="96"/>
              </w:rPr>
              <w:t>Impact</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EBITDA</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Certain items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Certain items for the first half of 2019 consisted of $62 million of ILG acquisition-related costs, $26 million of asset impairments, $5 million of purchase accounting adjustments, $2 million of litigation charges and $1 million of other severance costs, partially offset by $10 million of gains and other income.</w:t>
      </w:r>
    </w:p>
    <w:p>
      <w:pPr>
        <w:spacing w:after="0" w:line="73"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Certain items for the first half of 2018 consisted of $23 million of acquisition costs (including $20 million of ILG acquisition-related costs and $3 million of acquisition costs associated with the then anticipated capital efficient acquisition of the operating property in San Francisco), $16 million of litigation charges (including $11 million related to a project in San Francisco and $5 million related to a project in Lake Tahoe), and $7 million of losses and other expenses primarily resulting from fraudulently induced electronic payment disbursements made to third parties, partially offset by a $1 million favorable true up of previously recorded costs associated with the 2017 Hurricanes (recorded in Gains and other income).</w:t>
      </w:r>
    </w:p>
    <w:p>
      <w:pPr>
        <w:spacing w:after="0" w:line="169" w:lineRule="exact"/>
        <w:rPr>
          <w:sz w:val="20"/>
          <w:szCs w:val="20"/>
          <w:color w:val="auto"/>
        </w:rPr>
      </w:pPr>
    </w:p>
    <w:p>
      <w:pPr>
        <w:jc w:val="right"/>
        <w:ind w:right="9280"/>
        <w:spacing w:after="0"/>
        <w:rPr>
          <w:sz w:val="20"/>
          <w:szCs w:val="20"/>
          <w:color w:val="auto"/>
        </w:rPr>
      </w:pPr>
      <w:r>
        <w:rPr>
          <w:rFonts w:ascii="Arial" w:cs="Arial" w:eastAsia="Arial" w:hAnsi="Arial"/>
          <w:sz w:val="16"/>
          <w:szCs w:val="16"/>
          <w:b w:val="1"/>
          <w:bCs w:val="1"/>
          <w:color w:val="auto"/>
        </w:rPr>
        <w:t>Segment Adjusted EBITDA</w:t>
      </w:r>
    </w:p>
    <w:p>
      <w:pPr>
        <w:spacing w:after="0" w:line="144" w:lineRule="exact"/>
        <w:rPr>
          <w:sz w:val="20"/>
          <w:szCs w:val="20"/>
          <w:color w:val="auto"/>
        </w:rPr>
      </w:pPr>
    </w:p>
    <w:p>
      <w:pPr>
        <w:jc w:val="right"/>
        <w:ind w:right="9220"/>
        <w:spacing w:after="0"/>
        <w:rPr>
          <w:sz w:val="20"/>
          <w:szCs w:val="20"/>
          <w:color w:val="auto"/>
        </w:rPr>
      </w:pPr>
      <w:r>
        <w:rPr>
          <w:rFonts w:ascii="Arial" w:cs="Arial" w:eastAsia="Arial" w:hAnsi="Arial"/>
          <w:sz w:val="18"/>
          <w:szCs w:val="18"/>
          <w:i w:val="1"/>
          <w:iCs w:val="1"/>
          <w:color w:val="auto"/>
        </w:rPr>
        <w:t>2019 Second Quarter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gridSpan w:val="5"/>
            <w:vMerge w:val="restart"/>
          </w:tcPr>
          <w:p>
            <w:pPr>
              <w:jc w:val="center"/>
              <w:ind w:right="240"/>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gridSpan w:val="5"/>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160" w:type="dxa"/>
            <w:vAlign w:val="bottom"/>
          </w:tcPr>
          <w:p>
            <w:pPr>
              <w:spacing w:after="0"/>
              <w:rPr>
                <w:sz w:val="17"/>
                <w:szCs w:val="17"/>
                <w:color w:val="auto"/>
              </w:rPr>
            </w:pPr>
          </w:p>
        </w:tc>
        <w:tc>
          <w:tcPr>
            <w:tcW w:w="110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Excluding</w:t>
            </w:r>
          </w:p>
        </w:tc>
        <w:tc>
          <w:tcPr>
            <w:tcW w:w="0" w:type="dxa"/>
            <w:vAlign w:val="bottom"/>
          </w:tcPr>
          <w:p>
            <w:pPr>
              <w:spacing w:after="0"/>
              <w:rPr>
                <w:sz w:val="1"/>
                <w:szCs w:val="1"/>
                <w:color w:val="auto"/>
              </w:rPr>
            </w:pPr>
          </w:p>
        </w:tc>
      </w:tr>
      <w:tr>
        <w:trPr>
          <w:trHeight w:val="182"/>
        </w:trPr>
        <w:tc>
          <w:tcPr>
            <w:tcW w:w="47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60"/>
              <w:spacing w:after="0" w:line="182" w:lineRule="exact"/>
              <w:rPr>
                <w:sz w:val="20"/>
                <w:szCs w:val="20"/>
                <w:color w:val="auto"/>
              </w:rPr>
            </w:pPr>
            <w:r>
              <w:rPr>
                <w:rFonts w:ascii="Arial" w:cs="Arial" w:eastAsia="Arial" w:hAnsi="Arial"/>
                <w:sz w:val="16"/>
                <w:szCs w:val="16"/>
                <w:b w:val="1"/>
                <w:bCs w:val="1"/>
                <w:color w:val="auto"/>
                <w:w w:val="87"/>
              </w:rPr>
              <w:t>due to</w:t>
            </w:r>
          </w:p>
        </w:tc>
        <w:tc>
          <w:tcPr>
            <w:tcW w:w="160" w:type="dxa"/>
            <w:vAlign w:val="bottom"/>
          </w:tcPr>
          <w:p>
            <w:pPr>
              <w:spacing w:after="0"/>
              <w:rPr>
                <w:sz w:val="15"/>
                <w:szCs w:val="15"/>
                <w:color w:val="auto"/>
              </w:rPr>
            </w:pPr>
          </w:p>
        </w:tc>
        <w:tc>
          <w:tcPr>
            <w:tcW w:w="1100" w:type="dxa"/>
            <w:vAlign w:val="bottom"/>
          </w:tcPr>
          <w:p>
            <w:pPr>
              <w:jc w:val="center"/>
              <w:ind w:right="73"/>
              <w:spacing w:after="0" w:line="182" w:lineRule="exact"/>
              <w:rPr>
                <w:sz w:val="20"/>
                <w:szCs w:val="20"/>
                <w:color w:val="auto"/>
              </w:rPr>
            </w:pPr>
            <w:r>
              <w:rPr>
                <w:rFonts w:ascii="Arial" w:cs="Arial" w:eastAsia="Arial" w:hAnsi="Arial"/>
                <w:sz w:val="16"/>
                <w:szCs w:val="16"/>
                <w:b w:val="1"/>
                <w:bCs w:val="1"/>
                <w:color w:val="auto"/>
                <w:w w:val="98"/>
              </w:rPr>
              <w:t>Legacy-ILG</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2019</w:t>
            </w:r>
          </w:p>
        </w:tc>
        <w:tc>
          <w:tcPr>
            <w:tcW w:w="12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2018</w:t>
            </w: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Legacy-ILG</w:t>
            </w:r>
          </w:p>
        </w:tc>
        <w:tc>
          <w:tcPr>
            <w:tcW w:w="160" w:type="dxa"/>
            <w:vAlign w:val="bottom"/>
          </w:tcPr>
          <w:p>
            <w:pPr>
              <w:spacing w:after="0"/>
              <w:rPr>
                <w:sz w:val="20"/>
                <w:szCs w:val="20"/>
                <w:color w:val="auto"/>
              </w:rPr>
            </w:pPr>
          </w:p>
        </w:tc>
        <w:tc>
          <w:tcPr>
            <w:tcW w:w="1100" w:type="dxa"/>
            <w:vAlign w:val="bottom"/>
          </w:tcPr>
          <w:p>
            <w:pPr>
              <w:jc w:val="center"/>
              <w:ind w:right="73"/>
              <w:spacing w:after="0"/>
              <w:rPr>
                <w:sz w:val="20"/>
                <w:szCs w:val="20"/>
                <w:color w:val="auto"/>
              </w:rPr>
            </w:pPr>
            <w:r>
              <w:rPr>
                <w:rFonts w:ascii="Arial" w:cs="Arial" w:eastAsia="Arial" w:hAnsi="Arial"/>
                <w:sz w:val="16"/>
                <w:szCs w:val="16"/>
                <w:b w:val="1"/>
                <w:bCs w:val="1"/>
                <w:color w:val="auto"/>
                <w:w w:val="96"/>
              </w:rPr>
              <w:t>Impact</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Exchange &amp; Third-Party Management</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property owners’ associations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660"/>
              <w:spacing w:after="0"/>
              <w:rPr>
                <w:sz w:val="20"/>
                <w:szCs w:val="20"/>
                <w:color w:val="auto"/>
              </w:rPr>
            </w:pPr>
            <w:r>
              <w:rPr>
                <w:rFonts w:ascii="Arial" w:cs="Arial" w:eastAsia="Arial" w:hAnsi="Arial"/>
                <w:sz w:val="18"/>
                <w:szCs w:val="18"/>
                <w:i w:val="1"/>
                <w:iCs w:val="1"/>
                <w:color w:val="auto"/>
              </w:rPr>
              <w:t>2019 First Half</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5"/>
            <w:vMerge w:val="restart"/>
          </w:tcPr>
          <w:p>
            <w:pPr>
              <w:jc w:val="center"/>
              <w:ind w:right="240"/>
              <w:spacing w:after="0"/>
              <w:rPr>
                <w:sz w:val="20"/>
                <w:szCs w:val="20"/>
                <w:color w:val="auto"/>
              </w:rPr>
            </w:pPr>
            <w:r>
              <w:rPr>
                <w:rFonts w:ascii="Arial" w:cs="Arial" w:eastAsia="Arial" w:hAnsi="Arial"/>
                <w:sz w:val="16"/>
                <w:szCs w:val="16"/>
                <w:b w:val="1"/>
                <w:bCs w:val="1"/>
                <w:color w:val="auto"/>
                <w:w w:val="92"/>
              </w:rPr>
              <w:t>Six Months Ended</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160" w:type="dxa"/>
            <w:vAlign w:val="bottom"/>
          </w:tcPr>
          <w:p>
            <w:pPr>
              <w:spacing w:after="0"/>
              <w:rPr>
                <w:sz w:val="24"/>
                <w:szCs w:val="24"/>
                <w:color w:val="auto"/>
              </w:rPr>
            </w:pPr>
          </w:p>
        </w:tc>
        <w:tc>
          <w:tcPr>
            <w:tcW w:w="110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0" w:type="dxa"/>
            <w:vAlign w:val="bottom"/>
            <w:gridSpan w:val="5"/>
            <w:vMerge w:val="continue"/>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12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6"/>
              </w:rPr>
              <w:t>Excluding ILG</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2019</w:t>
            </w:r>
          </w:p>
        </w:tc>
        <w:tc>
          <w:tcPr>
            <w:tcW w:w="12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2018</w:t>
            </w: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Legacy-ILG</w:t>
            </w:r>
          </w:p>
        </w:tc>
        <w:tc>
          <w:tcPr>
            <w:tcW w:w="160" w:type="dxa"/>
            <w:vAlign w:val="bottom"/>
          </w:tcPr>
          <w:p>
            <w:pPr>
              <w:spacing w:after="0"/>
              <w:rPr>
                <w:sz w:val="20"/>
                <w:szCs w:val="20"/>
                <w:color w:val="auto"/>
              </w:rPr>
            </w:pPr>
          </w:p>
        </w:tc>
        <w:tc>
          <w:tcPr>
            <w:tcW w:w="1100" w:type="dxa"/>
            <w:vAlign w:val="bottom"/>
          </w:tcPr>
          <w:p>
            <w:pPr>
              <w:jc w:val="center"/>
              <w:ind w:right="73"/>
              <w:spacing w:after="0"/>
              <w:rPr>
                <w:sz w:val="20"/>
                <w:szCs w:val="20"/>
                <w:color w:val="auto"/>
              </w:rPr>
            </w:pPr>
            <w:r>
              <w:rPr>
                <w:rFonts w:ascii="Arial" w:cs="Arial" w:eastAsia="Arial" w:hAnsi="Arial"/>
                <w:sz w:val="16"/>
                <w:szCs w:val="16"/>
                <w:b w:val="1"/>
                <w:bCs w:val="1"/>
                <w:color w:val="auto"/>
                <w:w w:val="96"/>
              </w:rPr>
              <w:t>Impact</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Exchange &amp; Third-Party Management</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property owners’ associations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tables present Adjusted EBITDA for our reportable segments reconciled to segment financial results.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4"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Vacation Ownership</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Second Quarter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gridSpan w:val="5"/>
            <w:vMerge w:val="restart"/>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74"/>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gridSpan w:val="5"/>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160" w:type="dxa"/>
            <w:vAlign w:val="bottom"/>
          </w:tcPr>
          <w:p>
            <w:pPr>
              <w:spacing w:after="0"/>
              <w:rPr>
                <w:sz w:val="17"/>
                <w:szCs w:val="17"/>
                <w:color w:val="auto"/>
              </w:rPr>
            </w:pPr>
          </w:p>
        </w:tc>
        <w:tc>
          <w:tcPr>
            <w:tcW w:w="1100" w:type="dxa"/>
            <w:vAlign w:val="bottom"/>
          </w:tcPr>
          <w:p>
            <w:pPr>
              <w:jc w:val="center"/>
              <w:ind w:right="74"/>
              <w:spacing w:after="0"/>
              <w:rPr>
                <w:sz w:val="20"/>
                <w:szCs w:val="20"/>
                <w:color w:val="auto"/>
              </w:rPr>
            </w:pPr>
            <w:r>
              <w:rPr>
                <w:rFonts w:ascii="Arial" w:cs="Arial" w:eastAsia="Arial" w:hAnsi="Arial"/>
                <w:sz w:val="16"/>
                <w:szCs w:val="16"/>
                <w:b w:val="1"/>
                <w:bCs w:val="1"/>
                <w:color w:val="auto"/>
                <w:w w:val="91"/>
              </w:rPr>
              <w:t>Excluding</w:t>
            </w:r>
          </w:p>
        </w:tc>
        <w:tc>
          <w:tcPr>
            <w:tcW w:w="0" w:type="dxa"/>
            <w:vAlign w:val="bottom"/>
          </w:tcPr>
          <w:p>
            <w:pPr>
              <w:spacing w:after="0"/>
              <w:rPr>
                <w:sz w:val="1"/>
                <w:szCs w:val="1"/>
                <w:color w:val="auto"/>
              </w:rPr>
            </w:pPr>
          </w:p>
        </w:tc>
      </w:tr>
      <w:tr>
        <w:trPr>
          <w:trHeight w:val="182"/>
        </w:trPr>
        <w:tc>
          <w:tcPr>
            <w:tcW w:w="47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60"/>
              <w:spacing w:after="0" w:line="182" w:lineRule="exact"/>
              <w:rPr>
                <w:sz w:val="20"/>
                <w:szCs w:val="20"/>
                <w:color w:val="auto"/>
              </w:rPr>
            </w:pPr>
            <w:r>
              <w:rPr>
                <w:rFonts w:ascii="Arial" w:cs="Arial" w:eastAsia="Arial" w:hAnsi="Arial"/>
                <w:sz w:val="16"/>
                <w:szCs w:val="16"/>
                <w:b w:val="1"/>
                <w:bCs w:val="1"/>
                <w:color w:val="auto"/>
                <w:w w:val="87"/>
              </w:rPr>
              <w:t>due to</w:t>
            </w:r>
          </w:p>
        </w:tc>
        <w:tc>
          <w:tcPr>
            <w:tcW w:w="160" w:type="dxa"/>
            <w:vAlign w:val="bottom"/>
          </w:tcPr>
          <w:p>
            <w:pPr>
              <w:spacing w:after="0"/>
              <w:rPr>
                <w:sz w:val="15"/>
                <w:szCs w:val="15"/>
                <w:color w:val="auto"/>
              </w:rPr>
            </w:pPr>
          </w:p>
        </w:tc>
        <w:tc>
          <w:tcPr>
            <w:tcW w:w="1100" w:type="dxa"/>
            <w:vAlign w:val="bottom"/>
          </w:tcPr>
          <w:p>
            <w:pPr>
              <w:jc w:val="center"/>
              <w:ind w:right="74"/>
              <w:spacing w:after="0" w:line="182" w:lineRule="exact"/>
              <w:rPr>
                <w:sz w:val="20"/>
                <w:szCs w:val="20"/>
                <w:color w:val="auto"/>
              </w:rPr>
            </w:pPr>
            <w:r>
              <w:rPr>
                <w:rFonts w:ascii="Arial" w:cs="Arial" w:eastAsia="Arial" w:hAnsi="Arial"/>
                <w:sz w:val="16"/>
                <w:szCs w:val="16"/>
                <w:b w:val="1"/>
                <w:bCs w:val="1"/>
                <w:color w:val="auto"/>
                <w:w w:val="98"/>
              </w:rPr>
              <w:t>Legacy-ILG</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2019</w:t>
            </w:r>
          </w:p>
        </w:tc>
        <w:tc>
          <w:tcPr>
            <w:tcW w:w="12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2018</w:t>
            </w: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Legacy-ILG</w:t>
            </w:r>
          </w:p>
        </w:tc>
        <w:tc>
          <w:tcPr>
            <w:tcW w:w="160" w:type="dxa"/>
            <w:vAlign w:val="bottom"/>
          </w:tcPr>
          <w:p>
            <w:pPr>
              <w:spacing w:after="0"/>
              <w:rPr>
                <w:sz w:val="20"/>
                <w:szCs w:val="20"/>
                <w:color w:val="auto"/>
              </w:rPr>
            </w:pPr>
          </w:p>
        </w:tc>
        <w:tc>
          <w:tcPr>
            <w:tcW w:w="1100" w:type="dxa"/>
            <w:vAlign w:val="bottom"/>
          </w:tcPr>
          <w:p>
            <w:pPr>
              <w:jc w:val="center"/>
              <w:ind w:right="74"/>
              <w:spacing w:after="0"/>
              <w:rPr>
                <w:sz w:val="20"/>
                <w:szCs w:val="20"/>
                <w:color w:val="auto"/>
              </w:rPr>
            </w:pPr>
            <w:r>
              <w:rPr>
                <w:rFonts w:ascii="Arial" w:cs="Arial" w:eastAsia="Arial" w:hAnsi="Arial"/>
                <w:sz w:val="16"/>
                <w:szCs w:val="16"/>
                <w:b w:val="1"/>
                <w:bCs w:val="1"/>
                <w:color w:val="auto"/>
                <w:w w:val="96"/>
              </w:rPr>
              <w:t>Impact</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Certain items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financial results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Certain items in the Vacation Ownership segment for the second quarter of 2019 consisted of $4 million of purchase accounting adjustments, $1 million of litigation charges and $1 million of gains and other income.</w:t>
      </w:r>
    </w:p>
    <w:p>
      <w:pPr>
        <w:spacing w:after="0" w:line="62"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Certain items in the Vacation Ownership segment for the second quarter of 2018 consisted of $16 million of litigation charges (including $11 million related to a project in San Francisco and $5 million related to a project in Lake Tahoe) and $1 million of acquisition costs associated with the then anticipated capital efficient acquisition of the operating property in San Francisco.</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First Half</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gridSpan w:val="5"/>
            <w:vMerge w:val="restart"/>
          </w:tcPr>
          <w:p>
            <w:pPr>
              <w:ind w:left="540"/>
              <w:spacing w:after="0"/>
              <w:rPr>
                <w:sz w:val="20"/>
                <w:szCs w:val="20"/>
                <w:color w:val="auto"/>
              </w:rPr>
            </w:pPr>
            <w:r>
              <w:rPr>
                <w:rFonts w:ascii="Arial" w:cs="Arial" w:eastAsia="Arial" w:hAnsi="Arial"/>
                <w:sz w:val="16"/>
                <w:szCs w:val="16"/>
                <w:b w:val="1"/>
                <w:bCs w:val="1"/>
                <w:color w:val="auto"/>
              </w:rPr>
              <w:t>Six Months Ended</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74"/>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gridSpan w:val="5"/>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160" w:type="dxa"/>
            <w:vAlign w:val="bottom"/>
          </w:tcPr>
          <w:p>
            <w:pPr>
              <w:spacing w:after="0"/>
              <w:rPr>
                <w:sz w:val="17"/>
                <w:szCs w:val="17"/>
                <w:color w:val="auto"/>
              </w:rPr>
            </w:pPr>
          </w:p>
        </w:tc>
        <w:tc>
          <w:tcPr>
            <w:tcW w:w="1100" w:type="dxa"/>
            <w:vAlign w:val="bottom"/>
          </w:tcPr>
          <w:p>
            <w:pPr>
              <w:jc w:val="center"/>
              <w:ind w:right="74"/>
              <w:spacing w:after="0"/>
              <w:rPr>
                <w:sz w:val="20"/>
                <w:szCs w:val="20"/>
                <w:color w:val="auto"/>
              </w:rPr>
            </w:pPr>
            <w:r>
              <w:rPr>
                <w:rFonts w:ascii="Arial" w:cs="Arial" w:eastAsia="Arial" w:hAnsi="Arial"/>
                <w:sz w:val="16"/>
                <w:szCs w:val="16"/>
                <w:b w:val="1"/>
                <w:bCs w:val="1"/>
                <w:color w:val="auto"/>
                <w:w w:val="91"/>
              </w:rPr>
              <w:t>Excluding</w:t>
            </w:r>
          </w:p>
        </w:tc>
        <w:tc>
          <w:tcPr>
            <w:tcW w:w="0" w:type="dxa"/>
            <w:vAlign w:val="bottom"/>
          </w:tcPr>
          <w:p>
            <w:pPr>
              <w:spacing w:after="0"/>
              <w:rPr>
                <w:sz w:val="1"/>
                <w:szCs w:val="1"/>
                <w:color w:val="auto"/>
              </w:rPr>
            </w:pPr>
          </w:p>
        </w:tc>
      </w:tr>
      <w:tr>
        <w:trPr>
          <w:trHeight w:val="182"/>
        </w:trPr>
        <w:tc>
          <w:tcPr>
            <w:tcW w:w="47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60"/>
              <w:spacing w:after="0" w:line="182" w:lineRule="exact"/>
              <w:rPr>
                <w:sz w:val="20"/>
                <w:szCs w:val="20"/>
                <w:color w:val="auto"/>
              </w:rPr>
            </w:pPr>
            <w:r>
              <w:rPr>
                <w:rFonts w:ascii="Arial" w:cs="Arial" w:eastAsia="Arial" w:hAnsi="Arial"/>
                <w:sz w:val="16"/>
                <w:szCs w:val="16"/>
                <w:b w:val="1"/>
                <w:bCs w:val="1"/>
                <w:color w:val="auto"/>
                <w:w w:val="87"/>
              </w:rPr>
              <w:t>due to</w:t>
            </w:r>
          </w:p>
        </w:tc>
        <w:tc>
          <w:tcPr>
            <w:tcW w:w="160" w:type="dxa"/>
            <w:vAlign w:val="bottom"/>
          </w:tcPr>
          <w:p>
            <w:pPr>
              <w:spacing w:after="0"/>
              <w:rPr>
                <w:sz w:val="15"/>
                <w:szCs w:val="15"/>
                <w:color w:val="auto"/>
              </w:rPr>
            </w:pPr>
          </w:p>
        </w:tc>
        <w:tc>
          <w:tcPr>
            <w:tcW w:w="1100" w:type="dxa"/>
            <w:vAlign w:val="bottom"/>
          </w:tcPr>
          <w:p>
            <w:pPr>
              <w:jc w:val="center"/>
              <w:ind w:right="74"/>
              <w:spacing w:after="0" w:line="182" w:lineRule="exact"/>
              <w:rPr>
                <w:sz w:val="20"/>
                <w:szCs w:val="20"/>
                <w:color w:val="auto"/>
              </w:rPr>
            </w:pPr>
            <w:r>
              <w:rPr>
                <w:rFonts w:ascii="Arial" w:cs="Arial" w:eastAsia="Arial" w:hAnsi="Arial"/>
                <w:sz w:val="16"/>
                <w:szCs w:val="16"/>
                <w:b w:val="1"/>
                <w:bCs w:val="1"/>
                <w:color w:val="auto"/>
                <w:w w:val="98"/>
              </w:rPr>
              <w:t>Legacy-ILG</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2019</w:t>
            </w:r>
          </w:p>
        </w:tc>
        <w:tc>
          <w:tcPr>
            <w:tcW w:w="12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2018</w:t>
            </w: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Legacy-ILG</w:t>
            </w:r>
          </w:p>
        </w:tc>
        <w:tc>
          <w:tcPr>
            <w:tcW w:w="160" w:type="dxa"/>
            <w:vAlign w:val="bottom"/>
          </w:tcPr>
          <w:p>
            <w:pPr>
              <w:spacing w:after="0"/>
              <w:rPr>
                <w:sz w:val="20"/>
                <w:szCs w:val="20"/>
                <w:color w:val="auto"/>
              </w:rPr>
            </w:pPr>
          </w:p>
        </w:tc>
        <w:tc>
          <w:tcPr>
            <w:tcW w:w="1100" w:type="dxa"/>
            <w:vAlign w:val="bottom"/>
          </w:tcPr>
          <w:p>
            <w:pPr>
              <w:jc w:val="center"/>
              <w:ind w:right="74"/>
              <w:spacing w:after="0"/>
              <w:rPr>
                <w:sz w:val="20"/>
                <w:szCs w:val="20"/>
                <w:color w:val="auto"/>
              </w:rPr>
            </w:pPr>
            <w:r>
              <w:rPr>
                <w:rFonts w:ascii="Arial" w:cs="Arial" w:eastAsia="Arial" w:hAnsi="Arial"/>
                <w:sz w:val="16"/>
                <w:szCs w:val="16"/>
                <w:b w:val="1"/>
                <w:bCs w:val="1"/>
                <w:color w:val="auto"/>
                <w:w w:val="96"/>
              </w:rPr>
              <w:t>Impact</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Certain items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financial results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Certain items in the Vacation Ownership segment for the first half of 2019 consisted of $26 million of asset impairments, $5 million of purchase accounting adjustments and $2 million of litigation charges, partially offset by $8 million of gains and other income.</w:t>
      </w:r>
    </w:p>
    <w:p>
      <w:pPr>
        <w:spacing w:after="0" w:line="6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Certain items in the Vacation Ownership segment for the first half of 2018 consisted of $16 million of litigation charges (including $11 million related to a project in San Francisco and $5 million related to a project in Lake Tahoe) and $3 million of acquisition costs associated with the then anticipated capital efficient acquisition of the operating property in San Francisco, partially offset by a $1 million favorable true up of previously recorded costs associated with Hurricane Irma and Hurricane Maria (recorded in Gains and other income).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0"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Exchange &amp; Third-Party Management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Second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2"/>
              </w:rPr>
              <w:t>Three Months Ended</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w w:val="97"/>
              </w:rPr>
              <w:t>June 30, 2019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June 30, 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Certain items</w:t>
            </w:r>
          </w:p>
        </w:tc>
        <w:tc>
          <w:tcPr>
            <w:tcW w:w="20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financial results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i w:val="1"/>
                <w:iCs w:val="1"/>
                <w:color w:val="auto"/>
              </w:rPr>
              <w:t>2019 First Half</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Six Months Ended</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w w:val="97"/>
              </w:rPr>
              <w:t>June 30, 2019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June 30, 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share-based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Certain items</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financial results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Certain items in the Exchange &amp; Third-Party Management segment for the first half of 2019 consisted of $1 million of purchase accounting adjustments.</w:t>
      </w:r>
    </w:p>
    <w:p>
      <w:pPr>
        <w:spacing w:after="0" w:line="1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240" w:top="580" w:right="4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Our business is grouped into two reportable business segments: Vacation Ownership and Exchange &amp; Third-Party Management. See Footnote 18 “Business Segments” to our Financial Statements for further information on our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Vacation Ownership</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6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680" w:type="dxa"/>
            <w:vAlign w:val="bottom"/>
            <w:gridSpan w:val="4"/>
          </w:tcPr>
          <w:p>
            <w:pPr>
              <w:jc w:val="right"/>
              <w:ind w:right="67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6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22"/>
                <w:szCs w:val="22"/>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2019</w:t>
            </w:r>
          </w:p>
        </w:tc>
        <w:tc>
          <w:tcPr>
            <w:tcW w:w="160" w:type="dxa"/>
            <w:vAlign w:val="bottom"/>
          </w:tcPr>
          <w:p>
            <w:pPr>
              <w:spacing w:after="0"/>
              <w:rPr>
                <w:sz w:val="22"/>
                <w:szCs w:val="22"/>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 2018</w:t>
            </w:r>
          </w:p>
        </w:tc>
        <w:tc>
          <w:tcPr>
            <w:tcW w:w="16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2019</w:t>
            </w:r>
          </w:p>
        </w:tc>
        <w:tc>
          <w:tcPr>
            <w:tcW w:w="160" w:type="dxa"/>
            <w:vAlign w:val="bottom"/>
          </w:tcPr>
          <w:p>
            <w:pPr>
              <w:spacing w:after="0"/>
              <w:rPr>
                <w:sz w:val="22"/>
                <w:szCs w:val="22"/>
                <w:color w:val="auto"/>
              </w:rPr>
            </w:pPr>
          </w:p>
        </w:tc>
        <w:tc>
          <w:tcPr>
            <w:tcW w:w="1200" w:type="dxa"/>
            <w:vAlign w:val="bottom"/>
          </w:tcPr>
          <w:p>
            <w:pPr>
              <w:jc w:val="right"/>
              <w:ind w:right="130"/>
              <w:spacing w:after="0"/>
              <w:rPr>
                <w:sz w:val="20"/>
                <w:szCs w:val="20"/>
                <w:color w:val="auto"/>
              </w:rPr>
            </w:pPr>
            <w:r>
              <w:rPr>
                <w:rFonts w:ascii="Arial" w:cs="Arial" w:eastAsia="Arial" w:hAnsi="Arial"/>
                <w:sz w:val="16"/>
                <w:szCs w:val="16"/>
                <w:b w:val="1"/>
                <w:bCs w:val="1"/>
                <w:color w:val="auto"/>
                <w:w w:val="92"/>
              </w:rPr>
              <w:t>June 30, 2018</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Sale of vacation ownership products</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Rental</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REVENUES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vacation ownership products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Marketing and sales</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Rental</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charges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Royalty fee</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EXPENSES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(Losses) gains and other (expense) income, net</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5"/>
        </w:trPr>
        <w:tc>
          <w:tcPr>
            <w:tcW w:w="562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SEGMENT FINANCIAL RESULTS BEFORE NONCONTROLLING</w:t>
            </w: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INTERESTS</w:t>
            </w:r>
          </w:p>
        </w:tc>
        <w:tc>
          <w:tcPr>
            <w:tcW w:w="20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562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SEGMENT FINANCIAL RESULTS ATTRIBUTABLE TO COMMON</w:t>
            </w:r>
          </w:p>
        </w:tc>
        <w:tc>
          <w:tcPr>
            <w:tcW w:w="20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6"/>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SHAREHOLDERS</w:t>
            </w:r>
          </w:p>
        </w:tc>
        <w:tc>
          <w:tcPr>
            <w:tcW w:w="20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6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89"/>
              </w:rPr>
              <w:t>68</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Second Quarter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4"/>
                <w:szCs w:val="4"/>
                <w:color w:val="auto"/>
              </w:rPr>
            </w:pPr>
          </w:p>
        </w:tc>
        <w:tc>
          <w:tcPr>
            <w:tcW w:w="1720" w:type="dxa"/>
            <w:vAlign w:val="bottom"/>
            <w:gridSpan w:val="2"/>
            <w:vMerge w:val="restart"/>
          </w:tcPr>
          <w:p>
            <w:pPr>
              <w:jc w:val="right"/>
              <w:ind w:right="210"/>
              <w:spacing w:after="0"/>
              <w:rPr>
                <w:sz w:val="20"/>
                <w:szCs w:val="20"/>
                <w:color w:val="auto"/>
              </w:rPr>
            </w:pPr>
            <w:r>
              <w:rPr>
                <w:rFonts w:ascii="Arial" w:cs="Arial" w:eastAsia="Arial" w:hAnsi="Arial"/>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w w:val="88"/>
              </w:rPr>
              <w:t>June 30, 2019</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7"/>
              </w:rPr>
              <w:t>June 30, 2018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w w:val="98"/>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96"/>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6"/>
                <w:szCs w:val="16"/>
                <w:b w:val="1"/>
                <w:bCs w:val="1"/>
                <w:color w:val="auto"/>
              </w:rPr>
              <w:t>Legacy-ILG Impact</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Legacy-MVW North America consolidated contract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0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Other consolidated contract sales</w:t>
            </w:r>
          </w:p>
        </w:tc>
        <w:tc>
          <w:tcPr>
            <w:tcW w:w="1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020" w:type="dxa"/>
            <w:vAlign w:val="bottom"/>
          </w:tcPr>
          <w:p>
            <w:pPr>
              <w:jc w:val="center"/>
              <w:ind w:left="30"/>
              <w:spacing w:after="0"/>
              <w:rPr>
                <w:sz w:val="20"/>
                <w:szCs w:val="20"/>
                <w:color w:val="auto"/>
              </w:rPr>
            </w:pPr>
            <w:r>
              <w:rPr>
                <w:rFonts w:ascii="Arial" w:cs="Arial" w:eastAsia="Arial" w:hAnsi="Arial"/>
                <w:sz w:val="18"/>
                <w:szCs w:val="18"/>
                <w:color w:val="auto"/>
                <w:w w:val="94"/>
              </w:rPr>
              <w:t>28%</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consolidated contract sales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0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Joint venture contract sales</w:t>
            </w:r>
          </w:p>
        </w:tc>
        <w:tc>
          <w:tcPr>
            <w:tcW w:w="1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contract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0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The increase in Legacy-MVW North America consolidated contract sales reflected a 3 percent increase in the number of North America tours and a 1 percent increase in North America VPG to $3,700 in the second quarter of 2019 from $3,672 in the second quarter of 2018. The 3 percent increase in the number of North America tours was due to increases in both owner tours and first time buyer tours. In addition, the increase in the number of total tours reflected the continued ramp up of new sales locations as well as an increase in tours from existing sales locations. The increase in Legacy-MVW other consolidated contract sales reflected an increase in the Asia Pacific region due to increases in tours at existing and new sales locations.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First Half</w:t>
      </w:r>
    </w:p>
    <w:p>
      <w:pPr>
        <w:spacing w:after="0" w:line="185" w:lineRule="exact"/>
        <w:rPr>
          <w:sz w:val="20"/>
          <w:szCs w:val="20"/>
          <w:color w:val="auto"/>
        </w:rPr>
      </w:pPr>
    </w:p>
    <w:tbl>
      <w:tblPr>
        <w:tblLayout w:type="fixed"/>
        <w:tblInd w:w="116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5"/>
          </w:tcPr>
          <w:p>
            <w:pPr>
              <w:jc w:val="right"/>
              <w:ind w:right="40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Change</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due to</w:t>
            </w:r>
          </w:p>
        </w:tc>
        <w:tc>
          <w:tcPr>
            <w:tcW w:w="120" w:type="dxa"/>
            <w:vAlign w:val="bottom"/>
          </w:tcPr>
          <w:p>
            <w:pPr>
              <w:spacing w:after="0"/>
              <w:rPr>
                <w:sz w:val="18"/>
                <w:szCs w:val="18"/>
                <w:color w:val="auto"/>
              </w:rPr>
            </w:pPr>
          </w:p>
        </w:tc>
        <w:tc>
          <w:tcPr>
            <w:tcW w:w="1400" w:type="dxa"/>
            <w:vAlign w:val="bottom"/>
            <w:gridSpan w:val="2"/>
          </w:tcPr>
          <w:p>
            <w:pPr>
              <w:jc w:val="center"/>
              <w:ind w:right="1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36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20"/>
                <w:szCs w:val="20"/>
                <w:color w:val="auto"/>
              </w:rPr>
            </w:pPr>
          </w:p>
        </w:tc>
        <w:tc>
          <w:tcPr>
            <w:tcW w:w="760" w:type="dxa"/>
            <w:vAlign w:val="bottom"/>
          </w:tcPr>
          <w:p>
            <w:pPr>
              <w:jc w:val="right"/>
              <w:ind w:right="19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9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0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6"/>
              </w:rPr>
              <w:t>Legacy-ILG</w:t>
            </w:r>
          </w:p>
        </w:tc>
        <w:tc>
          <w:tcPr>
            <w:tcW w:w="15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15"/>
        </w:trPr>
        <w:tc>
          <w:tcPr>
            <w:tcW w:w="36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9"/>
              </w:rPr>
              <w:t>Legacy-MVW North America consolidated</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contract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43"/>
        </w:trPr>
        <w:tc>
          <w:tcPr>
            <w:tcW w:w="3600" w:type="dxa"/>
            <w:vAlign w:val="bottom"/>
          </w:tcPr>
          <w:p>
            <w:pPr>
              <w:ind w:left="260"/>
              <w:spacing w:after="0"/>
              <w:rPr>
                <w:sz w:val="20"/>
                <w:szCs w:val="20"/>
                <w:color w:val="auto"/>
              </w:rPr>
            </w:pPr>
            <w:r>
              <w:rPr>
                <w:rFonts w:ascii="Arial" w:cs="Arial" w:eastAsia="Arial" w:hAnsi="Arial"/>
                <w:sz w:val="18"/>
                <w:szCs w:val="18"/>
                <w:color w:val="auto"/>
              </w:rPr>
              <w:t>Other consolidated contract sales</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820" w:type="dxa"/>
            <w:vAlign w:val="bottom"/>
          </w:tcPr>
          <w:p>
            <w:pPr>
              <w:jc w:val="center"/>
              <w:ind w:left="10"/>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consolidated contract sales</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43"/>
        </w:trPr>
        <w:tc>
          <w:tcPr>
            <w:tcW w:w="3600" w:type="dxa"/>
            <w:vAlign w:val="bottom"/>
          </w:tcPr>
          <w:p>
            <w:pPr>
              <w:ind w:left="260"/>
              <w:spacing w:after="0"/>
              <w:rPr>
                <w:sz w:val="20"/>
                <w:szCs w:val="20"/>
                <w:color w:val="auto"/>
              </w:rPr>
            </w:pPr>
            <w:r>
              <w:rPr>
                <w:rFonts w:ascii="Arial" w:cs="Arial" w:eastAsia="Arial" w:hAnsi="Arial"/>
                <w:sz w:val="18"/>
                <w:szCs w:val="18"/>
                <w:color w:val="auto"/>
              </w:rPr>
              <w:t>Joint venture contract sales</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center"/>
              <w:ind w:left="1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contract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increase in Legacy-MVW North America consolidated contract sales reflected a 5 percent increase in the number of North America tours and a 1 percent increase in North America VPG to $3,736 in the first half of 2019 from $3,698 in the first half of 2018. The 5 percent increase in the number of North America tours was due to increases in both owner tours and first time buyer tours. In addition, the increase in the number of total tours reflected the continued ramp up of new sales locations as well as an increase in tours from existing sales locations. The increase in Legacy-MVW other consolidated contract sales reflected an increase in the Asia Pacific region due to increases in tours at existing and new sales locations.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80" w:right="239" w:bottom="1440" w:gutter="0" w:footer="0" w:header="0"/>
        </w:sectPr>
      </w:pPr>
    </w:p>
    <w:bookmarkStart w:id="71" w:name="page72"/>
    <w:bookmarkEnd w:id="71"/>
    <w:p>
      <w:pPr>
        <w:jc w:val="center"/>
        <w:ind w:right="8540"/>
        <w:spacing w:after="0"/>
        <w:rPr>
          <w:sz w:val="20"/>
          <w:szCs w:val="20"/>
          <w:color w:val="auto"/>
        </w:rPr>
      </w:pPr>
      <w:r>
        <w:rPr>
          <w:rFonts w:ascii="Arial" w:cs="Arial" w:eastAsia="Arial" w:hAnsi="Arial"/>
          <w:sz w:val="16"/>
          <w:szCs w:val="16"/>
          <w:b w:val="1"/>
          <w:bCs w:val="1"/>
          <w:color w:val="auto"/>
        </w:rPr>
        <w:t>Sale of Vacation Ownership Products</w:t>
      </w:r>
    </w:p>
    <w:p>
      <w:pPr>
        <w:spacing w:after="0" w:line="144" w:lineRule="exact"/>
        <w:rPr>
          <w:sz w:val="20"/>
          <w:szCs w:val="20"/>
          <w:color w:val="auto"/>
        </w:rPr>
      </w:pPr>
    </w:p>
    <w:p>
      <w:pPr>
        <w:jc w:val="center"/>
        <w:ind w:right="8560"/>
        <w:spacing w:after="0"/>
        <w:rPr>
          <w:sz w:val="20"/>
          <w:szCs w:val="20"/>
          <w:color w:val="auto"/>
        </w:rPr>
      </w:pPr>
      <w:r>
        <w:rPr>
          <w:rFonts w:ascii="Arial" w:cs="Arial" w:eastAsia="Arial" w:hAnsi="Arial"/>
          <w:sz w:val="18"/>
          <w:szCs w:val="18"/>
          <w:i w:val="1"/>
          <w:iCs w:val="1"/>
          <w:color w:val="auto"/>
        </w:rPr>
        <w:t>2019 Second Quarter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4"/>
                <w:szCs w:val="4"/>
                <w:color w:val="auto"/>
              </w:rPr>
            </w:pPr>
          </w:p>
        </w:tc>
        <w:tc>
          <w:tcPr>
            <w:tcW w:w="1720" w:type="dxa"/>
            <w:vAlign w:val="bottom"/>
            <w:gridSpan w:val="2"/>
            <w:vMerge w:val="restart"/>
          </w:tcPr>
          <w:p>
            <w:pPr>
              <w:jc w:val="right"/>
              <w:ind w:right="210"/>
              <w:spacing w:after="0"/>
              <w:rPr>
                <w:sz w:val="20"/>
                <w:szCs w:val="20"/>
                <w:color w:val="auto"/>
              </w:rPr>
            </w:pPr>
            <w:r>
              <w:rPr>
                <w:rFonts w:ascii="Arial" w:cs="Arial" w:eastAsia="Arial" w:hAnsi="Arial"/>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6"/>
                <w:szCs w:val="16"/>
                <w:b w:val="1"/>
                <w:bCs w:val="1"/>
                <w:color w:val="auto"/>
              </w:rPr>
              <w:t>June 30, 2019</w:t>
            </w:r>
          </w:p>
        </w:tc>
        <w:tc>
          <w:tcPr>
            <w:tcW w:w="1240" w:type="dxa"/>
            <w:vAlign w:val="bottom"/>
            <w:gridSpan w:val="3"/>
          </w:tcPr>
          <w:p>
            <w:pPr>
              <w:ind w:left="100"/>
              <w:spacing w:after="0"/>
              <w:rPr>
                <w:sz w:val="20"/>
                <w:szCs w:val="20"/>
                <w:color w:val="auto"/>
              </w:rPr>
            </w:pPr>
            <w:r>
              <w:rPr>
                <w:rFonts w:ascii="Arial" w:cs="Arial" w:eastAsia="Arial" w:hAnsi="Arial"/>
                <w:sz w:val="16"/>
                <w:szCs w:val="16"/>
                <w:b w:val="1"/>
                <w:bCs w:val="1"/>
                <w:color w:val="auto"/>
              </w:rPr>
              <w:t>June 30, 2018</w:t>
            </w: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Legacy-ILG</w:t>
            </w:r>
          </w:p>
        </w:tc>
        <w:tc>
          <w:tcPr>
            <w:tcW w:w="200" w:type="dxa"/>
            <w:vAlign w:val="bottom"/>
          </w:tcPr>
          <w:p>
            <w:pPr>
              <w:spacing w:after="0"/>
              <w:rPr>
                <w:sz w:val="20"/>
                <w:szCs w:val="20"/>
                <w:color w:val="auto"/>
              </w:rPr>
            </w:pPr>
          </w:p>
        </w:tc>
        <w:tc>
          <w:tcPr>
            <w:tcW w:w="1720" w:type="dxa"/>
            <w:vAlign w:val="bottom"/>
            <w:gridSpan w:val="2"/>
          </w:tcPr>
          <w:p>
            <w:pPr>
              <w:jc w:val="right"/>
              <w:ind w:right="170"/>
              <w:spacing w:after="0"/>
              <w:rPr>
                <w:sz w:val="20"/>
                <w:szCs w:val="20"/>
                <w:color w:val="auto"/>
              </w:rPr>
            </w:pPr>
            <w:r>
              <w:rPr>
                <w:rFonts w:ascii="Arial" w:cs="Arial" w:eastAsia="Arial" w:hAnsi="Arial"/>
                <w:sz w:val="16"/>
                <w:szCs w:val="16"/>
                <w:b w:val="1"/>
                <w:bCs w:val="1"/>
                <w:color w:val="auto"/>
              </w:rPr>
              <w:t>Legacy-ILG Impact</w:t>
            </w:r>
          </w:p>
        </w:tc>
        <w:tc>
          <w:tcPr>
            <w:tcW w:w="0" w:type="dxa"/>
            <w:vAlign w:val="bottom"/>
          </w:tcPr>
          <w:p>
            <w:pPr>
              <w:spacing w:after="0"/>
              <w:rPr>
                <w:sz w:val="1"/>
                <w:szCs w:val="1"/>
                <w:color w:val="auto"/>
              </w:rPr>
            </w:pPr>
          </w:p>
        </w:tc>
      </w:tr>
      <w:tr>
        <w:trPr>
          <w:trHeight w:val="250"/>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 sales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2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Less resales contract sales</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joint venture contract sales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Consolidated contract sales, net of resales</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225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60" w:type="dxa"/>
            <w:vAlign w:val="bottom"/>
          </w:tcPr>
          <w:p>
            <w:pPr>
              <w:ind w:left="280"/>
              <w:spacing w:after="0" w:line="270" w:lineRule="exact"/>
              <w:rPr>
                <w:sz w:val="20"/>
                <w:szCs w:val="20"/>
                <w:color w:val="auto"/>
              </w:rPr>
            </w:pPr>
            <w:r>
              <w:rPr>
                <w:rFonts w:ascii="Arial" w:cs="Arial" w:eastAsia="Arial" w:hAnsi="Arial"/>
                <w:sz w:val="18"/>
                <w:szCs w:val="18"/>
                <w:color w:val="auto"/>
              </w:rPr>
              <w:t>Settlement revenue</w:t>
            </w:r>
            <w:r>
              <w:rPr>
                <w:rFonts w:ascii="Arial" w:cs="Arial" w:eastAsia="Arial" w:hAnsi="Arial"/>
                <w:sz w:val="25"/>
                <w:szCs w:val="25"/>
                <w:color w:val="auto"/>
                <w:vertAlign w:val="superscript"/>
              </w:rPr>
              <w:t>(1)</w:t>
            </w:r>
          </w:p>
        </w:tc>
        <w:tc>
          <w:tcPr>
            <w:tcW w:w="12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Resales revenue</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Reportability</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Sales reserve</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205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Previously included in Resort management and other services revenue prior to the adoption of ASC 606.</w:t>
      </w:r>
    </w:p>
    <w:p>
      <w:pPr>
        <w:spacing w:after="0" w:line="56" w:lineRule="exact"/>
        <w:rPr>
          <w:rFonts w:ascii="Arial" w:cs="Arial" w:eastAsia="Arial" w:hAnsi="Arial"/>
          <w:sz w:val="25"/>
          <w:szCs w:val="25"/>
          <w:color w:val="auto"/>
          <w:vertAlign w:val="superscript"/>
        </w:rPr>
      </w:pPr>
    </w:p>
    <w:p>
      <w:pPr>
        <w:ind w:left="660" w:right="40" w:hanging="652"/>
        <w:spacing w:after="0" w:line="208" w:lineRule="auto"/>
        <w:tabs>
          <w:tab w:leader="none" w:pos="66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 and other adjustments to Sale of vacation ownership products revenue.</w:t>
      </w:r>
    </w:p>
    <w:p>
      <w:pPr>
        <w:spacing w:after="0" w:line="204"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Excluding the impact of the ILG Acquisition, sale of vacation ownership products increased $10 million, driven by the increase in contract sales. Revenue reportability had a negative impact in the second quarter of 2019 and the second quarter of 2018 due to a net increase in unclosed contracts during the respective quarters.</w:t>
      </w:r>
    </w:p>
    <w:p>
      <w:pPr>
        <w:spacing w:after="0" w:line="7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higher Legacy-MVW sales reserve reflected a higher required reserve in the second quarter of 2019 due to the increase in financing propensity and slightly higher default activity as compared to the second quarter of 2018.</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First Half</w:t>
      </w:r>
    </w:p>
    <w:p>
      <w:pPr>
        <w:spacing w:after="0" w:line="293" w:lineRule="exact"/>
        <w:rPr>
          <w:sz w:val="20"/>
          <w:szCs w:val="20"/>
          <w:color w:val="auto"/>
        </w:rPr>
      </w:pPr>
    </w:p>
    <w:tbl>
      <w:tblPr>
        <w:tblLayout w:type="fixed"/>
        <w:tblInd w:w="116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1"/>
              </w:rPr>
              <w:t>Change</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due to</w:t>
            </w:r>
          </w:p>
        </w:tc>
        <w:tc>
          <w:tcPr>
            <w:tcW w:w="120" w:type="dxa"/>
            <w:vAlign w:val="bottom"/>
          </w:tcPr>
          <w:p>
            <w:pPr>
              <w:spacing w:after="0"/>
              <w:rPr>
                <w:sz w:val="18"/>
                <w:szCs w:val="18"/>
                <w:color w:val="auto"/>
              </w:rPr>
            </w:pPr>
          </w:p>
        </w:tc>
        <w:tc>
          <w:tcPr>
            <w:tcW w:w="1400" w:type="dxa"/>
            <w:vAlign w:val="bottom"/>
            <w:gridSpan w:val="2"/>
          </w:tcPr>
          <w:p>
            <w:pPr>
              <w:jc w:val="right"/>
              <w:ind w:right="3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35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20"/>
                <w:szCs w:val="20"/>
                <w:color w:val="auto"/>
              </w:rPr>
            </w:pPr>
          </w:p>
        </w:tc>
        <w:tc>
          <w:tcPr>
            <w:tcW w:w="760" w:type="dxa"/>
            <w:vAlign w:val="bottom"/>
          </w:tcPr>
          <w:p>
            <w:pPr>
              <w:jc w:val="right"/>
              <w:ind w:right="2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1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8"/>
              </w:rPr>
              <w:t>Legacy-ILG</w:t>
            </w: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Legacy-ILG Impact</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contract sales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80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Less resales contract sales</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joint venture contract sales</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Consolidated contract sales, net of resales</w:t>
            </w: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Plus: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260"/>
              <w:spacing w:after="0" w:line="270" w:lineRule="exact"/>
              <w:rPr>
                <w:sz w:val="20"/>
                <w:szCs w:val="20"/>
                <w:color w:val="auto"/>
              </w:rPr>
            </w:pPr>
            <w:r>
              <w:rPr>
                <w:rFonts w:ascii="Arial" w:cs="Arial" w:eastAsia="Arial" w:hAnsi="Arial"/>
                <w:sz w:val="18"/>
                <w:szCs w:val="18"/>
                <w:color w:val="auto"/>
              </w:rPr>
              <w:t>Settlement revenue</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Resales revenue</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Revenue recognition adjustments:</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Reportability</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60"/>
              <w:spacing w:after="0"/>
              <w:rPr>
                <w:sz w:val="20"/>
                <w:szCs w:val="20"/>
                <w:color w:val="auto"/>
              </w:rPr>
            </w:pPr>
            <w:r>
              <w:rPr>
                <w:rFonts w:ascii="Arial" w:cs="Arial" w:eastAsia="Arial" w:hAnsi="Arial"/>
                <w:sz w:val="18"/>
                <w:szCs w:val="18"/>
                <w:color w:val="auto"/>
              </w:rPr>
              <w:t>Sales reserve</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540" w:type="dxa"/>
            <w:vAlign w:val="bottom"/>
          </w:tcPr>
          <w:p>
            <w:pPr>
              <w:ind w:left="20"/>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8890</wp:posOffset>
            </wp:positionV>
            <wp:extent cx="30359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-130175</wp:posOffset>
            </wp:positionV>
            <wp:extent cx="30359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ind w:left="660" w:hanging="652"/>
        <w:spacing w:after="0"/>
        <w:tabs>
          <w:tab w:leader="none" w:pos="66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Previously included in Resort management and other services revenue prior to the adoption of ASC 606.</w:t>
      </w:r>
    </w:p>
    <w:p>
      <w:pPr>
        <w:spacing w:after="0" w:line="55" w:lineRule="exact"/>
        <w:rPr>
          <w:rFonts w:ascii="Arial" w:cs="Arial" w:eastAsia="Arial" w:hAnsi="Arial"/>
          <w:sz w:val="25"/>
          <w:szCs w:val="25"/>
          <w:color w:val="auto"/>
          <w:vertAlign w:val="superscript"/>
        </w:rPr>
      </w:pPr>
    </w:p>
    <w:p>
      <w:pPr>
        <w:ind w:left="660" w:right="40" w:hanging="652"/>
        <w:spacing w:after="0" w:line="208" w:lineRule="auto"/>
        <w:tabs>
          <w:tab w:leader="none" w:pos="66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 and other adjustments to Sale of vacation ownership products revenue.</w:t>
      </w:r>
    </w:p>
    <w:p>
      <w:pPr>
        <w:sectPr>
          <w:pgSz w:w="11900" w:h="16838" w:orient="portrait"/>
          <w:cols w:equalWidth="0" w:num="1">
            <w:col w:w="11420"/>
          </w:cols>
          <w:pgMar w:left="240" w:top="580" w:right="2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580" w:right="239" w:bottom="1440" w:gutter="0" w:footer="0" w:header="0"/>
          <w:type w:val="continuous"/>
        </w:sectPr>
      </w:pPr>
    </w:p>
    <w:bookmarkStart w:id="72" w:name="page73"/>
    <w:bookmarkEnd w:id="72"/>
    <w:p>
      <w:pPr>
        <w:ind w:right="240" w:firstLine="648"/>
        <w:spacing w:after="0" w:line="264" w:lineRule="auto"/>
        <w:rPr>
          <w:sz w:val="20"/>
          <w:szCs w:val="20"/>
          <w:color w:val="auto"/>
        </w:rPr>
      </w:pPr>
      <w:r>
        <w:rPr>
          <w:rFonts w:ascii="Arial" w:cs="Arial" w:eastAsia="Arial" w:hAnsi="Arial"/>
          <w:sz w:val="18"/>
          <w:szCs w:val="18"/>
          <w:color w:val="auto"/>
        </w:rPr>
        <w:t>Excluding the impact of the ILG Acquisition, sale of vacation ownership products increased $11 million, driven by the increase in contract sales. Revenue reportability had a negative impact in the first half of 2019 and the first half of 2018 due to an increase in unclosed contracts during the respective quarters.</w:t>
      </w:r>
    </w:p>
    <w:p>
      <w:pPr>
        <w:spacing w:after="0" w:line="7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higher Legacy-MVW sales reserve reflected a higher required reserve in the first half of 2019 due to the increase in financing propensity and slightly higher default activity as compared to the first half of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Second Quarter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5"/>
            <w:vMerge w:val="restart"/>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4"/>
                <w:szCs w:val="4"/>
                <w:color w:val="auto"/>
              </w:rPr>
            </w:pPr>
          </w:p>
        </w:tc>
        <w:tc>
          <w:tcPr>
            <w:tcW w:w="1720" w:type="dxa"/>
            <w:vAlign w:val="bottom"/>
            <w:gridSpan w:val="2"/>
            <w:vMerge w:val="restart"/>
          </w:tcPr>
          <w:p>
            <w:pPr>
              <w:jc w:val="center"/>
              <w:ind w:right="70"/>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6"/>
                <w:szCs w:val="16"/>
                <w:b w:val="1"/>
                <w:bCs w:val="1"/>
                <w:color w:val="auto"/>
              </w:rPr>
              <w:t>June 30, 2019</w:t>
            </w:r>
          </w:p>
        </w:tc>
        <w:tc>
          <w:tcPr>
            <w:tcW w:w="1240" w:type="dxa"/>
            <w:vAlign w:val="bottom"/>
            <w:gridSpan w:val="3"/>
          </w:tcPr>
          <w:p>
            <w:pPr>
              <w:ind w:left="100"/>
              <w:spacing w:after="0"/>
              <w:rPr>
                <w:sz w:val="20"/>
                <w:szCs w:val="20"/>
                <w:color w:val="auto"/>
              </w:rPr>
            </w:pPr>
            <w:r>
              <w:rPr>
                <w:rFonts w:ascii="Arial" w:cs="Arial" w:eastAsia="Arial" w:hAnsi="Arial"/>
                <w:sz w:val="16"/>
                <w:szCs w:val="16"/>
                <w:b w:val="1"/>
                <w:bCs w:val="1"/>
                <w:color w:val="auto"/>
              </w:rPr>
              <w:t>June 30, 2018</w:t>
            </w:r>
          </w:p>
        </w:tc>
        <w:tc>
          <w:tcPr>
            <w:tcW w:w="18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Change</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Legacy-ILG</w:t>
            </w:r>
          </w:p>
        </w:tc>
        <w:tc>
          <w:tcPr>
            <w:tcW w:w="200" w:type="dxa"/>
            <w:vAlign w:val="bottom"/>
          </w:tcPr>
          <w:p>
            <w:pPr>
              <w:spacing w:after="0"/>
              <w:rPr>
                <w:sz w:val="20"/>
                <w:szCs w:val="20"/>
                <w:color w:val="auto"/>
              </w:rPr>
            </w:pPr>
          </w:p>
        </w:tc>
        <w:tc>
          <w:tcPr>
            <w:tcW w:w="1720" w:type="dxa"/>
            <w:vAlign w:val="bottom"/>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020" w:type="dxa"/>
            <w:vAlign w:val="bottom"/>
            <w:tcBorders>
              <w:top w:val="single" w:sz="8" w:color="auto"/>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Marketing and sales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97"/>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1020" w:type="dxa"/>
            <w:vAlign w:val="bottom"/>
            <w:tcBorders>
              <w:bottom w:val="single" w:sz="8" w:color="CCEEFF"/>
            </w:tcBorders>
          </w:tcPr>
          <w:p>
            <w:pPr>
              <w:jc w:val="center"/>
              <w:ind w:left="30"/>
              <w:spacing w:after="0"/>
              <w:rPr>
                <w:sz w:val="20"/>
                <w:szCs w:val="20"/>
                <w:color w:val="auto"/>
              </w:rPr>
            </w:pPr>
            <w:r>
              <w:rPr>
                <w:rFonts w:ascii="Arial" w:cs="Arial" w:eastAsia="Arial" w:hAnsi="Arial"/>
                <w:sz w:val="18"/>
                <w:szCs w:val="18"/>
                <w:color w:val="auto"/>
                <w:w w:val="94"/>
              </w:rPr>
              <w:t>26%</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Development margin percentage</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2.3 pts</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Excluding the impact of the ILG Acquisition, development margin increased $10 million year-over-year. The change in Legacy-MVW development margin reflected $7 million from a favorable mix of inventory being sold, $4 million related to more efficient marketing and sales spending, and $2 million from higher vacation ownership contract sales volume net of the sales reserve and direct variable expenses (i.e., cost of vacation ownership products and marketing and sales), partially offset by a $3 million decline due to unfavorable revenue reportability compared to the second quarter of 2018.</w:t>
      </w:r>
    </w:p>
    <w:p>
      <w:pPr>
        <w:spacing w:after="0" w:line="4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increase in the development margin percentage reflected a 4.1 percentage point improvement from Legacy-MVW results, partially offset by a negative 1.8 percentage point impact from the inclusion of Legacy-ILG results for the second quarter of 2019. The Legacy-MVW results included a 3.2 percentage point increase due to a favorable mix of lower cost vacation ownership real estate inventory being sold and a 2.1 percentage point improvement in marketing and sales costs due to leveraging fixed costs on the increase in contract sales, partially offset by a 0.8 percentage point decline due to the unfavorable revenue reportability and a 0.4 percentage point decline related to sales reserve and other activity year-over-year. Legacy-MVW development margin percentage was 24.0 percent in the second quarter of 2019.</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First Half</w:t>
      </w:r>
    </w:p>
    <w:p>
      <w:pPr>
        <w:spacing w:after="0" w:line="185" w:lineRule="exact"/>
        <w:rPr>
          <w:sz w:val="20"/>
          <w:szCs w:val="20"/>
          <w:color w:val="auto"/>
        </w:rPr>
      </w:pPr>
    </w:p>
    <w:tbl>
      <w:tblPr>
        <w:tblLayout w:type="fixed"/>
        <w:tblInd w:w="116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Change</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due to</w:t>
            </w:r>
          </w:p>
        </w:tc>
        <w:tc>
          <w:tcPr>
            <w:tcW w:w="140" w:type="dxa"/>
            <w:vAlign w:val="bottom"/>
          </w:tcPr>
          <w:p>
            <w:pPr>
              <w:spacing w:after="0"/>
              <w:rPr>
                <w:sz w:val="18"/>
                <w:szCs w:val="18"/>
                <w:color w:val="auto"/>
              </w:rPr>
            </w:pPr>
          </w:p>
        </w:tc>
        <w:tc>
          <w:tcPr>
            <w:tcW w:w="1400" w:type="dxa"/>
            <w:vAlign w:val="bottom"/>
            <w:gridSpan w:val="2"/>
          </w:tcPr>
          <w:p>
            <w:pPr>
              <w:jc w:val="center"/>
              <w:ind w:right="30"/>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237"/>
        </w:trPr>
        <w:tc>
          <w:tcPr>
            <w:tcW w:w="35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20"/>
                <w:szCs w:val="20"/>
                <w:color w:val="auto"/>
              </w:rPr>
            </w:pPr>
          </w:p>
        </w:tc>
        <w:tc>
          <w:tcPr>
            <w:tcW w:w="760" w:type="dxa"/>
            <w:vAlign w:val="bottom"/>
          </w:tcPr>
          <w:p>
            <w:pPr>
              <w:jc w:val="right"/>
              <w:ind w:right="19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10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6"/>
              </w:rPr>
              <w:t>Legacy-ILG</w:t>
            </w:r>
          </w:p>
        </w:tc>
        <w:tc>
          <w:tcPr>
            <w:tcW w:w="15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 of vacation ownership products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651</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8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Cost of vacation ownership products</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Marketing and sales</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97"/>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Development margin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c>
          <w:tcPr>
            <w:tcW w:w="80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w w:val="94"/>
              </w:rPr>
              <w:t>15%</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 margin percentage</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8"/>
              </w:rPr>
              <w:t>1.5 pts</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Excluding the impact of the ILG Acquisition, development margin increased $10 million year-over-year. The change in Legacy-MVW development margin reflected $11 million related to more efficient marketing and sales spending, $9 million from a favorable mix of inventory being sold, $6 million from higher vacation ownership contract sales volume net of the sales reserve and direct variable expenses (i.e., cost of vacation ownership products and marketing and sales), and $3 million from favorable product cost true-up activity year-over-year, partially offset by a $16 million decline due to unfavorable revenue reportability and $3 million related to sales reserve and other activity compared to the first half of 2018.</w:t>
      </w:r>
    </w:p>
    <w:p>
      <w:pPr>
        <w:spacing w:after="0" w:line="64"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The increase in the development margin percentage reflected a 2.0 percentage point improvement from Legacy-MVW results, partially offset by a negative 0.5 percentage point impact from the inclusion of Legacy-ILG results for the first half of 2019. The Legacy-MVW results included a 2.9 percentage point improvement in marketing and sales costs due to leveraging fixed costs on the increase in contract sales, a 2.2 percentage point increase due to a favorable mix of higher cost vacation ownership real estate inventory being sold, and a 0.7 percentage point increase from favorable product cost true-up activity. These increases were partially offset by a 2.7 percentage point decline due to the unfavorable revenue reportability and a 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84" w:right="239" w:bottom="1440" w:gutter="0" w:footer="0" w:header="0"/>
        </w:sectPr>
      </w:pPr>
    </w:p>
    <w:bookmarkStart w:id="73" w:name="page74"/>
    <w:bookmarkEnd w:id="73"/>
    <w:p>
      <w:pPr>
        <w:ind w:right="40"/>
        <w:spacing w:after="0" w:line="277" w:lineRule="auto"/>
        <w:rPr>
          <w:sz w:val="20"/>
          <w:szCs w:val="20"/>
          <w:color w:val="auto"/>
        </w:rPr>
      </w:pPr>
      <w:r>
        <w:rPr>
          <w:rFonts w:ascii="Arial" w:cs="Arial" w:eastAsia="Arial" w:hAnsi="Arial"/>
          <w:sz w:val="18"/>
          <w:szCs w:val="18"/>
          <w:color w:val="auto"/>
        </w:rPr>
        <w:t>percentage point decline related to sales reserve and other activity year-over-year. Legacy-MVW development margin percentage was 19.2 percent in the first half of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Second Quarter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4"/>
            <w:vMerge w:val="restart"/>
          </w:tcPr>
          <w:p>
            <w:pPr>
              <w:jc w:val="center"/>
              <w:ind w:left="12"/>
              <w:spacing w:after="0"/>
              <w:rPr>
                <w:sz w:val="20"/>
                <w:szCs w:val="20"/>
                <w:color w:val="auto"/>
              </w:rPr>
            </w:pPr>
            <w:r>
              <w:rPr>
                <w:rFonts w:ascii="Arial" w:cs="Arial" w:eastAsia="Arial" w:hAnsi="Arial"/>
                <w:sz w:val="16"/>
                <w:szCs w:val="16"/>
                <w:b w:val="1"/>
                <w:bCs w:val="1"/>
                <w:color w:val="auto"/>
                <w:w w:val="93"/>
              </w:rPr>
              <w:t>Three Months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center"/>
              <w:ind w:left="272"/>
              <w:spacing w:after="0"/>
              <w:rPr>
                <w:sz w:val="20"/>
                <w:szCs w:val="20"/>
                <w:color w:val="auto"/>
              </w:rPr>
            </w:pPr>
            <w:r>
              <w:rPr>
                <w:rFonts w:ascii="Arial" w:cs="Arial" w:eastAsia="Arial" w:hAnsi="Arial"/>
                <w:sz w:val="16"/>
                <w:szCs w:val="16"/>
                <w:b w:val="1"/>
                <w:bCs w:val="1"/>
                <w:color w:val="auto"/>
                <w:w w:val="91"/>
              </w:rPr>
              <w:t>Change</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140" w:type="dxa"/>
            <w:vAlign w:val="bottom"/>
          </w:tcPr>
          <w:p>
            <w:pPr>
              <w:spacing w:after="0"/>
              <w:rPr>
                <w:sz w:val="4"/>
                <w:szCs w:val="4"/>
                <w:color w:val="auto"/>
              </w:rPr>
            </w:pPr>
          </w:p>
        </w:tc>
        <w:tc>
          <w:tcPr>
            <w:tcW w:w="3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8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87"/>
              </w:rPr>
              <w:t>due to</w:t>
            </w: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40" w:type="dxa"/>
            <w:vAlign w:val="bottom"/>
            <w:gridSpan w:val="3"/>
            <w:vMerge w:val="restart"/>
          </w:tcPr>
          <w:p>
            <w:pPr>
              <w:jc w:val="right"/>
              <w:ind w:right="210"/>
              <w:spacing w:after="0"/>
              <w:rPr>
                <w:sz w:val="20"/>
                <w:szCs w:val="20"/>
                <w:color w:val="auto"/>
              </w:rPr>
            </w:pPr>
            <w:r>
              <w:rPr>
                <w:rFonts w:ascii="Arial" w:cs="Arial" w:eastAsia="Arial" w:hAnsi="Arial"/>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gridSpan w:val="3"/>
            <w:vMerge w:val="continue"/>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140" w:type="dxa"/>
            <w:vAlign w:val="bottom"/>
          </w:tcPr>
          <w:p>
            <w:pPr>
              <w:spacing w:after="0"/>
              <w:rPr>
                <w:sz w:val="7"/>
                <w:szCs w:val="7"/>
                <w:color w:val="auto"/>
              </w:rPr>
            </w:pPr>
          </w:p>
        </w:tc>
        <w:tc>
          <w:tcPr>
            <w:tcW w:w="3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6"/>
                <w:szCs w:val="16"/>
                <w:b w:val="1"/>
                <w:bCs w:val="1"/>
                <w:color w:val="auto"/>
                <w:w w:val="90"/>
              </w:rPr>
              <w:t>June 30, 2019</w:t>
            </w: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gridSpan w:val="4"/>
          </w:tcPr>
          <w:p>
            <w:pPr>
              <w:jc w:val="center"/>
              <w:ind w:left="12"/>
              <w:spacing w:after="0"/>
              <w:rPr>
                <w:sz w:val="20"/>
                <w:szCs w:val="20"/>
                <w:color w:val="auto"/>
              </w:rPr>
            </w:pPr>
            <w:r>
              <w:rPr>
                <w:rFonts w:ascii="Arial" w:cs="Arial" w:eastAsia="Arial" w:hAnsi="Arial"/>
                <w:sz w:val="16"/>
                <w:szCs w:val="16"/>
                <w:b w:val="1"/>
                <w:bCs w:val="1"/>
                <w:color w:val="auto"/>
                <w:w w:val="90"/>
              </w:rPr>
              <w:t>June 30, 2018</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8"/>
              </w:rPr>
              <w:t>Change</w:t>
            </w: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6"/>
              </w:rPr>
              <w:t>Legacy-ILG</w:t>
            </w:r>
          </w:p>
        </w:tc>
        <w:tc>
          <w:tcPr>
            <w:tcW w:w="100" w:type="dxa"/>
            <w:vAlign w:val="bottom"/>
            <w:tcBorders>
              <w:bottom w:val="single" w:sz="8" w:color="CCEEFF"/>
            </w:tcBorders>
            <w:gridSpan w:val="2"/>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6"/>
                <w:szCs w:val="16"/>
                <w:b w:val="1"/>
                <w:bCs w:val="1"/>
                <w:color w:val="auto"/>
              </w:rPr>
              <w:t>Legacy-ILG Impact</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Management fee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2"/>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740" w:type="dxa"/>
            <w:vAlign w:val="bottom"/>
            <w:tcBorders>
              <w:bottom w:val="single" w:sz="8" w:color="CCEEFF"/>
            </w:tcBorders>
            <w:gridSpan w:val="3"/>
            <w:shd w:val="clear" w:color="auto" w:fill="CCEEFF"/>
          </w:tcPr>
          <w:p>
            <w:pPr>
              <w:jc w:val="center"/>
              <w:ind w:right="93"/>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0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Ancillary revenues</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management and exchange revenues</w:t>
            </w: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1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expenses</w:t>
            </w: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(39)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(29)</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0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7"/>
        </w:trPr>
        <w:tc>
          <w:tcPr>
            <w:tcW w:w="44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center"/>
              <w:ind w:right="293"/>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w:t>
            </w:r>
          </w:p>
        </w:tc>
        <w:tc>
          <w:tcPr>
            <w:tcW w:w="1020" w:type="dxa"/>
            <w:vAlign w:val="bottom"/>
            <w:tcBorders>
              <w:bottom w:val="single" w:sz="8" w:color="CCEEFF"/>
            </w:tcBorders>
          </w:tcPr>
          <w:p>
            <w:pPr>
              <w:jc w:val="right"/>
              <w:ind w:right="25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w w:val="93"/>
              </w:rPr>
              <w:t>Resort management and other services margin percentage</w:t>
            </w: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center"/>
              <w:ind w:right="112"/>
              <w:spacing w:after="0"/>
              <w:rPr>
                <w:sz w:val="20"/>
                <w:szCs w:val="20"/>
                <w:color w:val="auto"/>
              </w:rPr>
            </w:pPr>
            <w:r>
              <w:rPr>
                <w:rFonts w:ascii="Arial" w:cs="Arial" w:eastAsia="Arial" w:hAnsi="Arial"/>
                <w:sz w:val="18"/>
                <w:szCs w:val="18"/>
                <w:color w:val="auto"/>
                <w:w w:val="90"/>
              </w:rPr>
              <w:t>47.3%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49.1%</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0"/>
              </w:rPr>
              <w:t>(1.8 pts)</w:t>
            </w:r>
          </w:p>
        </w:tc>
        <w:tc>
          <w:tcPr>
            <w:tcW w:w="4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460" w:type="dxa"/>
            <w:vAlign w:val="bottom"/>
            <w:gridSpan w:val="2"/>
          </w:tcPr>
          <w:p>
            <w:pPr>
              <w:ind w:left="660"/>
              <w:spacing w:after="0"/>
              <w:rPr>
                <w:sz w:val="20"/>
                <w:szCs w:val="20"/>
                <w:color w:val="auto"/>
              </w:rPr>
            </w:pPr>
            <w:r>
              <w:rPr>
                <w:rFonts w:ascii="Arial" w:cs="Arial" w:eastAsia="Arial" w:hAnsi="Arial"/>
                <w:sz w:val="18"/>
                <w:szCs w:val="18"/>
                <w:i w:val="1"/>
                <w:iCs w:val="1"/>
                <w:color w:val="auto"/>
              </w:rPr>
              <w:t>2019 First Half</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4"/>
          </w:tcPr>
          <w:p>
            <w:pPr>
              <w:jc w:val="right"/>
              <w:ind w:right="212"/>
              <w:spacing w:after="0"/>
              <w:rPr>
                <w:sz w:val="20"/>
                <w:szCs w:val="20"/>
                <w:color w:val="auto"/>
              </w:rPr>
            </w:pPr>
            <w:r>
              <w:rPr>
                <w:rFonts w:ascii="Arial" w:cs="Arial" w:eastAsia="Arial" w:hAnsi="Arial"/>
                <w:sz w:val="16"/>
                <w:szCs w:val="16"/>
                <w:b w:val="1"/>
                <w:bCs w:val="1"/>
                <w:color w:val="auto"/>
              </w:rPr>
              <w:t>Six Months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1"/>
              </w:rPr>
              <w:t>Change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June 30,</w:t>
            </w:r>
          </w:p>
        </w:tc>
        <w:tc>
          <w:tcPr>
            <w:tcW w:w="120" w:type="dxa"/>
            <w:vAlign w:val="bottom"/>
          </w:tcPr>
          <w:p>
            <w:pPr>
              <w:spacing w:after="0"/>
              <w:rPr>
                <w:sz w:val="18"/>
                <w:szCs w:val="18"/>
                <w:color w:val="auto"/>
              </w:rPr>
            </w:pPr>
          </w:p>
        </w:tc>
        <w:tc>
          <w:tcPr>
            <w:tcW w:w="780" w:type="dxa"/>
            <w:vAlign w:val="bottom"/>
          </w:tcPr>
          <w:p>
            <w:pPr>
              <w:jc w:val="right"/>
              <w:ind w:right="72"/>
              <w:spacing w:after="0"/>
              <w:rPr>
                <w:sz w:val="20"/>
                <w:szCs w:val="20"/>
                <w:color w:val="auto"/>
              </w:rPr>
            </w:pPr>
            <w:r>
              <w:rPr>
                <w:rFonts w:ascii="Arial" w:cs="Arial" w:eastAsia="Arial" w:hAnsi="Arial"/>
                <w:sz w:val="16"/>
                <w:szCs w:val="16"/>
                <w:b w:val="1"/>
                <w:bCs w:val="1"/>
                <w:color w:val="auto"/>
                <w:w w:val="93"/>
              </w:rPr>
              <w:t>June 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7"/>
              </w:rPr>
              <w:t>due to</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7"/>
          </w:tcPr>
          <w:p>
            <w:pPr>
              <w:jc w:val="center"/>
              <w:ind w:right="80"/>
              <w:spacing w:after="0"/>
              <w:rPr>
                <w:sz w:val="20"/>
                <w:szCs w:val="20"/>
                <w:color w:val="auto"/>
              </w:rPr>
            </w:pPr>
            <w:r>
              <w:rPr>
                <w:rFonts w:ascii="Arial" w:cs="Arial" w:eastAsia="Arial" w:hAnsi="Arial"/>
                <w:sz w:val="16"/>
                <w:szCs w:val="16"/>
                <w:b w:val="1"/>
                <w:bCs w:val="1"/>
                <w:color w:val="auto"/>
                <w:w w:val="91"/>
              </w:rPr>
              <w:t>Change Excluding</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2018</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3"/>
          </w:tcPr>
          <w:p>
            <w:pPr>
              <w:jc w:val="center"/>
              <w:ind w:right="53"/>
              <w:spacing w:after="0"/>
              <w:rPr>
                <w:sz w:val="20"/>
                <w:szCs w:val="20"/>
                <w:color w:val="auto"/>
              </w:rPr>
            </w:pPr>
            <w:r>
              <w:rPr>
                <w:rFonts w:ascii="Arial" w:cs="Arial" w:eastAsia="Arial" w:hAnsi="Arial"/>
                <w:sz w:val="16"/>
                <w:szCs w:val="16"/>
                <w:b w:val="1"/>
                <w:bCs w:val="1"/>
                <w:color w:val="auto"/>
                <w:w w:val="88"/>
              </w:rPr>
              <w:t>Change</w:t>
            </w: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6"/>
              </w:rPr>
              <w:t>Legacy-ILG</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6"/>
              </w:rPr>
              <w:t>Legacy-ILG Impact</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fee revenues</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48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center"/>
              <w:ind w:right="31"/>
              <w:spacing w:after="0"/>
              <w:rPr>
                <w:sz w:val="20"/>
                <w:szCs w:val="20"/>
                <w:color w:val="auto"/>
              </w:rPr>
            </w:pPr>
            <w:r>
              <w:rPr>
                <w:rFonts w:ascii="Arial" w:cs="Arial" w:eastAsia="Arial" w:hAnsi="Arial"/>
                <w:sz w:val="18"/>
                <w:szCs w:val="18"/>
                <w:color w:val="auto"/>
                <w:w w:val="92"/>
              </w:rPr>
              <w:t>2%</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Ancillary revenues</w:t>
            </w:r>
          </w:p>
        </w:tc>
        <w:tc>
          <w:tcPr>
            <w:tcW w:w="12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3"/>
          </w:tcPr>
          <w:p>
            <w:pPr>
              <w:jc w:val="right"/>
              <w:ind w:right="13"/>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center"/>
              <w:ind w:right="31"/>
              <w:spacing w:after="0"/>
              <w:rPr>
                <w:sz w:val="20"/>
                <w:szCs w:val="20"/>
                <w:color w:val="auto"/>
              </w:rPr>
            </w:pPr>
            <w:r>
              <w:rPr>
                <w:rFonts w:ascii="Arial" w:cs="Arial" w:eastAsia="Arial" w:hAnsi="Arial"/>
                <w:sz w:val="18"/>
                <w:szCs w:val="18"/>
                <w:color w:val="auto"/>
                <w:w w:val="92"/>
              </w:rPr>
              <w:t>7%</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Pr>
          <w:p>
            <w:pPr>
              <w:spacing w:after="0"/>
              <w:rPr>
                <w:sz w:val="23"/>
                <w:szCs w:val="23"/>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Other management and exchange revenues</w:t>
            </w: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center"/>
              <w:ind w:right="11"/>
              <w:spacing w:after="0"/>
              <w:rPr>
                <w:sz w:val="20"/>
                <w:szCs w:val="20"/>
                <w:color w:val="auto"/>
              </w:rPr>
            </w:pPr>
            <w:r>
              <w:rPr>
                <w:rFonts w:ascii="Arial" w:cs="Arial" w:eastAsia="Arial" w:hAnsi="Arial"/>
                <w:sz w:val="18"/>
                <w:szCs w:val="18"/>
                <w:color w:val="auto"/>
                <w:w w:val="94"/>
              </w:rPr>
              <w:t>18%</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Resort management and other services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3"/>
          </w:tcPr>
          <w:p>
            <w:pPr>
              <w:jc w:val="right"/>
              <w:ind w:right="13"/>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w w:val="99"/>
              </w:rPr>
              <w:t>100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center"/>
              <w:ind w:right="31"/>
              <w:spacing w:after="0"/>
              <w:rPr>
                <w:sz w:val="20"/>
                <w:szCs w:val="20"/>
                <w:color w:val="auto"/>
              </w:rPr>
            </w:pPr>
            <w:r>
              <w:rPr>
                <w:rFonts w:ascii="Arial" w:cs="Arial" w:eastAsia="Arial" w:hAnsi="Arial"/>
                <w:sz w:val="18"/>
                <w:szCs w:val="18"/>
                <w:color w:val="auto"/>
                <w:w w:val="92"/>
              </w:rPr>
              <w:t>8%</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140" w:type="dxa"/>
            <w:vAlign w:val="bottom"/>
          </w:tcPr>
          <w:p>
            <w:pPr>
              <w:spacing w:after="0"/>
              <w:rPr>
                <w:sz w:val="19"/>
                <w:szCs w:val="19"/>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Resort management and other services</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center"/>
              <w:ind w:right="31"/>
              <w:spacing w:after="0"/>
              <w:rPr>
                <w:sz w:val="20"/>
                <w:szCs w:val="20"/>
                <w:color w:val="auto"/>
              </w:rPr>
            </w:pPr>
            <w:r>
              <w:rPr>
                <w:rFonts w:ascii="Arial" w:cs="Arial" w:eastAsia="Arial" w:hAnsi="Arial"/>
                <w:sz w:val="18"/>
                <w:szCs w:val="18"/>
                <w:color w:val="auto"/>
                <w:w w:val="94"/>
              </w:rPr>
              <w:t>(5)%</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4"/>
                <w:szCs w:val="24"/>
                <w:color w:val="auto"/>
              </w:rPr>
            </w:pPr>
          </w:p>
        </w:tc>
        <w:tc>
          <w:tcPr>
            <w:tcW w:w="3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0"/>
              </w:rPr>
              <w:t>Resort management and other services margin</w:t>
            </w:r>
          </w:p>
        </w:tc>
        <w:tc>
          <w:tcPr>
            <w:tcW w:w="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gridSpan w:val="3"/>
          </w:tcPr>
          <w:p>
            <w:pPr>
              <w:jc w:val="right"/>
              <w:ind w:right="13"/>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43</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jc w:val="center"/>
              <w:ind w:right="31"/>
              <w:spacing w:after="0"/>
              <w:rPr>
                <w:sz w:val="20"/>
                <w:szCs w:val="20"/>
                <w:color w:val="auto"/>
              </w:rPr>
            </w:pPr>
            <w:r>
              <w:rPr>
                <w:rFonts w:ascii="Arial" w:cs="Arial" w:eastAsia="Arial" w:hAnsi="Arial"/>
                <w:sz w:val="18"/>
                <w:szCs w:val="18"/>
                <w:color w:val="auto"/>
                <w:w w:val="88"/>
              </w:rPr>
              <w:t>11%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34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w w:val="90"/>
              </w:rPr>
              <w:t>Resort management and other services margin</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48.8%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4"/>
            <w:vMerge w:val="restart"/>
            <w:shd w:val="clear" w:color="auto" w:fill="CCEEFF"/>
          </w:tcPr>
          <w:p>
            <w:pPr>
              <w:jc w:val="center"/>
              <w:ind w:right="240"/>
              <w:spacing w:after="0"/>
              <w:rPr>
                <w:sz w:val="20"/>
                <w:szCs w:val="20"/>
                <w:color w:val="auto"/>
              </w:rPr>
            </w:pPr>
            <w:r>
              <w:rPr>
                <w:rFonts w:ascii="Arial" w:cs="Arial" w:eastAsia="Arial" w:hAnsi="Arial"/>
                <w:sz w:val="18"/>
                <w:szCs w:val="18"/>
                <w:color w:val="auto"/>
                <w:w w:val="90"/>
              </w:rPr>
              <w:t>(1.4 pts)</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3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percentage</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4"/>
            <w:vMerge w:val="continue"/>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140" w:type="dxa"/>
            <w:vAlign w:val="bottom"/>
          </w:tcPr>
          <w:p>
            <w:pPr>
              <w:spacing w:after="0"/>
              <w:rPr>
                <w:sz w:val="8"/>
                <w:szCs w:val="8"/>
                <w:color w:val="auto"/>
              </w:rPr>
            </w:pPr>
          </w:p>
        </w:tc>
        <w:tc>
          <w:tcPr>
            <w:tcW w:w="33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476" w:right="239" w:bottom="1440" w:gutter="0" w:footer="0" w:header="0"/>
        </w:sectPr>
      </w:pPr>
    </w:p>
    <w:p>
      <w:pPr>
        <w:spacing w:after="0"/>
        <w:rPr>
          <w:sz w:val="20"/>
          <w:szCs w:val="20"/>
          <w:color w:val="auto"/>
        </w:rPr>
      </w:pPr>
      <w:r>
        <w:rPr>
          <w:rFonts w:ascii="Arial" w:cs="Arial" w:eastAsia="Arial" w:hAnsi="Arial"/>
          <w:sz w:val="16"/>
          <w:szCs w:val="16"/>
          <w:b w:val="1"/>
          <w:bCs w:val="1"/>
          <w:color w:val="auto"/>
        </w:rPr>
        <w:t>Rental Revenues, Expenses and Margin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Second Quarter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millions)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Rental revenues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Rental expenses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Rental margin</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Rental margin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Transient keys rented</w:t>
      </w:r>
      <w:r>
        <w:rPr>
          <w:rFonts w:ascii="Arial" w:cs="Arial" w:eastAsia="Arial" w:hAnsi="Arial"/>
          <w:sz w:val="21"/>
          <w:szCs w:val="21"/>
          <w:color w:val="auto"/>
          <w:vertAlign w:val="superscript"/>
        </w:rPr>
        <w:t>(1)</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Average transient key rate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Resort occupancy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0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0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due to</w:t>
            </w:r>
          </w:p>
        </w:tc>
        <w:tc>
          <w:tcPr>
            <w:tcW w:w="1680" w:type="dxa"/>
            <w:vAlign w:val="bottom"/>
            <w:vMerge w:val="restart"/>
          </w:tcPr>
          <w:p>
            <w:pPr>
              <w:jc w:val="center"/>
              <w:ind w:left="239"/>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33"/>
        </w:trPr>
        <w:tc>
          <w:tcPr>
            <w:tcW w:w="1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120"/>
              <w:spacing w:after="0"/>
              <w:rPr>
                <w:sz w:val="20"/>
                <w:szCs w:val="20"/>
                <w:color w:val="auto"/>
              </w:rPr>
            </w:pPr>
            <w:r>
              <w:rPr>
                <w:rFonts w:ascii="Arial" w:cs="Arial" w:eastAsia="Arial" w:hAnsi="Arial"/>
                <w:sz w:val="16"/>
                <w:szCs w:val="16"/>
                <w:b w:val="1"/>
                <w:bCs w:val="1"/>
                <w:color w:val="auto"/>
              </w:rPr>
              <w:t>June 30, 2019</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4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2018</w:t>
            </w:r>
          </w:p>
        </w:tc>
        <w:tc>
          <w:tcPr>
            <w:tcW w:w="1160" w:type="dxa"/>
            <w:vAlign w:val="bottom"/>
          </w:tcPr>
          <w:p>
            <w:pPr>
              <w:ind w:left="360"/>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6"/>
              </w:rPr>
              <w:t>Legacy-ILG</w:t>
            </w:r>
          </w:p>
        </w:tc>
        <w:tc>
          <w:tcPr>
            <w:tcW w:w="1680" w:type="dxa"/>
            <w:vAlign w:val="bottom"/>
          </w:tcPr>
          <w:p>
            <w:pPr>
              <w:jc w:val="center"/>
              <w:ind w:left="219"/>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20955</wp:posOffset>
            </wp:positionV>
            <wp:extent cx="7246620" cy="180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720" w:type="dxa"/>
            <w:vAlign w:val="bottom"/>
          </w:tcPr>
          <w:p>
            <w:pPr>
              <w:jc w:val="center"/>
              <w:ind w:left="339"/>
              <w:spacing w:after="0"/>
              <w:rPr>
                <w:sz w:val="20"/>
                <w:szCs w:val="20"/>
                <w:color w:val="auto"/>
              </w:rPr>
            </w:pPr>
            <w:r>
              <w:rPr>
                <w:rFonts w:ascii="Arial" w:cs="Arial" w:eastAsia="Arial" w:hAnsi="Arial"/>
                <w:sz w:val="16"/>
                <w:szCs w:val="16"/>
                <w:color w:val="auto"/>
                <w:w w:val="94"/>
              </w:rPr>
              <w:t>8%</w:t>
            </w:r>
          </w:p>
        </w:tc>
      </w:tr>
      <w:tr>
        <w:trPr>
          <w:trHeight w:val="270"/>
        </w:trPr>
        <w:tc>
          <w:tcPr>
            <w:tcW w:w="4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720" w:type="dxa"/>
            <w:vAlign w:val="bottom"/>
          </w:tcPr>
          <w:p>
            <w:pPr>
              <w:jc w:val="center"/>
              <w:ind w:left="339"/>
              <w:spacing w:after="0"/>
              <w:rPr>
                <w:sz w:val="20"/>
                <w:szCs w:val="20"/>
                <w:color w:val="auto"/>
              </w:rPr>
            </w:pPr>
            <w:r>
              <w:rPr>
                <w:rFonts w:ascii="Arial" w:cs="Arial" w:eastAsia="Arial" w:hAnsi="Arial"/>
                <w:sz w:val="16"/>
                <w:szCs w:val="16"/>
                <w:color w:val="auto"/>
                <w:w w:val="94"/>
              </w:rPr>
              <w:t>8%</w:t>
            </w:r>
          </w:p>
        </w:tc>
      </w:tr>
      <w:tr>
        <w:trPr>
          <w:trHeight w:val="27"/>
        </w:trPr>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r>
      <w:tr>
        <w:trPr>
          <w:trHeight w:val="257"/>
        </w:trPr>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720" w:type="dxa"/>
            <w:vAlign w:val="bottom"/>
          </w:tcPr>
          <w:p>
            <w:pPr>
              <w:jc w:val="center"/>
              <w:ind w:left="339"/>
              <w:spacing w:after="0"/>
              <w:rPr>
                <w:sz w:val="20"/>
                <w:szCs w:val="20"/>
                <w:color w:val="auto"/>
              </w:rPr>
            </w:pPr>
            <w:r>
              <w:rPr>
                <w:rFonts w:ascii="Arial" w:cs="Arial" w:eastAsia="Arial" w:hAnsi="Arial"/>
                <w:sz w:val="16"/>
                <w:szCs w:val="16"/>
                <w:color w:val="auto"/>
                <w:w w:val="93"/>
              </w:rPr>
              <w:t>85%</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-205105</wp:posOffset>
            </wp:positionV>
            <wp:extent cx="7246620"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20" w:type="dxa"/>
            <w:vAlign w:val="bottom"/>
          </w:tcPr>
          <w:p>
            <w:pPr>
              <w:spacing w:after="0"/>
              <w:rPr>
                <w:sz w:val="20"/>
                <w:szCs w:val="20"/>
                <w:color w:val="auto"/>
              </w:rPr>
            </w:pPr>
          </w:p>
        </w:tc>
        <w:tc>
          <w:tcPr>
            <w:tcW w:w="1060" w:type="dxa"/>
            <w:vAlign w:val="bottom"/>
          </w:tcPr>
          <w:p>
            <w:pPr>
              <w:jc w:val="right"/>
              <w:ind w:right="273"/>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12.3 pts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6"/>
        </w:trPr>
        <w:tc>
          <w:tcPr>
            <w:tcW w:w="120" w:type="dxa"/>
            <w:vAlign w:val="bottom"/>
          </w:tcPr>
          <w:p>
            <w:pPr>
              <w:spacing w:after="0"/>
              <w:rPr>
                <w:sz w:val="24"/>
                <w:szCs w:val="24"/>
                <w:color w:val="auto"/>
              </w:rPr>
            </w:pPr>
          </w:p>
        </w:tc>
        <w:tc>
          <w:tcPr>
            <w:tcW w:w="2320" w:type="dxa"/>
            <w:vAlign w:val="bottom"/>
            <w:gridSpan w:val="4"/>
            <w:vMerge w:val="restart"/>
          </w:tcPr>
          <w:p>
            <w:pPr>
              <w:jc w:val="right"/>
              <w:ind w:right="37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20" w:type="dxa"/>
            <w:vAlign w:val="bottom"/>
          </w:tcPr>
          <w:p>
            <w:pPr>
              <w:spacing w:after="0"/>
              <w:rPr>
                <w:sz w:val="4"/>
                <w:szCs w:val="4"/>
                <w:color w:val="auto"/>
              </w:rPr>
            </w:pPr>
          </w:p>
        </w:tc>
        <w:tc>
          <w:tcPr>
            <w:tcW w:w="232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160" w:type="dxa"/>
            <w:vAlign w:val="bottom"/>
          </w:tcPr>
          <w:p>
            <w:pPr>
              <w:spacing w:after="0"/>
              <w:rPr>
                <w:sz w:val="4"/>
                <w:szCs w:val="4"/>
                <w:color w:val="auto"/>
              </w:rPr>
            </w:pPr>
          </w:p>
        </w:tc>
        <w:tc>
          <w:tcPr>
            <w:tcW w:w="1760" w:type="dxa"/>
            <w:vAlign w:val="bottom"/>
            <w:gridSpan w:val="2"/>
            <w:vMerge w:val="restart"/>
          </w:tcPr>
          <w:p>
            <w:pPr>
              <w:jc w:val="right"/>
              <w:ind w:right="219"/>
              <w:spacing w:after="0"/>
              <w:rPr>
                <w:sz w:val="20"/>
                <w:szCs w:val="20"/>
                <w:color w:val="auto"/>
              </w:rPr>
            </w:pPr>
            <w:r>
              <w:rPr>
                <w:rFonts w:ascii="Arial" w:cs="Arial" w:eastAsia="Arial" w:hAnsi="Arial"/>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6"/>
                <w:szCs w:val="16"/>
                <w:b w:val="1"/>
                <w:bCs w:val="1"/>
                <w:color w:val="auto"/>
              </w:rPr>
              <w:t>June 30, 2019</w:t>
            </w:r>
          </w:p>
        </w:tc>
        <w:tc>
          <w:tcPr>
            <w:tcW w:w="114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7"/>
              </w:rPr>
              <w:t>June 30, 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Legacy-ILG</w:t>
            </w:r>
          </w:p>
        </w:tc>
        <w:tc>
          <w:tcPr>
            <w:tcW w:w="160" w:type="dxa"/>
            <w:vAlign w:val="bottom"/>
          </w:tcPr>
          <w:p>
            <w:pPr>
              <w:spacing w:after="0"/>
              <w:rPr>
                <w:sz w:val="18"/>
                <w:szCs w:val="18"/>
                <w:color w:val="auto"/>
              </w:rPr>
            </w:pPr>
          </w:p>
        </w:tc>
        <w:tc>
          <w:tcPr>
            <w:tcW w:w="176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Legacy-ILG Impact</w:t>
            </w:r>
          </w:p>
        </w:tc>
        <w:tc>
          <w:tcPr>
            <w:tcW w:w="0" w:type="dxa"/>
            <w:vAlign w:val="bottom"/>
          </w:tcPr>
          <w:p>
            <w:pPr>
              <w:spacing w:after="0"/>
              <w:rPr>
                <w:sz w:val="1"/>
                <w:szCs w:val="1"/>
                <w:color w:val="auto"/>
              </w:rPr>
            </w:pPr>
          </w:p>
        </w:tc>
      </w:tr>
      <w:tr>
        <w:trPr>
          <w:trHeight w:val="33"/>
        </w:trPr>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619,212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336,892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282,320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265,179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94"/>
              <w:spacing w:after="0"/>
              <w:rPr>
                <w:sz w:val="20"/>
                <w:szCs w:val="20"/>
                <w:color w:val="auto"/>
              </w:rPr>
            </w:pPr>
            <w:r>
              <w:rPr>
                <w:rFonts w:ascii="Arial" w:cs="Arial" w:eastAsia="Arial" w:hAnsi="Arial"/>
                <w:sz w:val="18"/>
                <w:szCs w:val="18"/>
                <w:color w:val="auto"/>
              </w:rPr>
              <w:t>17,141</w:t>
            </w:r>
          </w:p>
        </w:tc>
        <w:tc>
          <w:tcPr>
            <w:tcW w:w="840" w:type="dxa"/>
            <w:vAlign w:val="bottom"/>
          </w:tcPr>
          <w:p>
            <w:pPr>
              <w:jc w:val="right"/>
              <w:ind w:right="25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224.76</w:t>
            </w:r>
          </w:p>
        </w:tc>
        <w:tc>
          <w:tcPr>
            <w:tcW w:w="120" w:type="dxa"/>
            <w:vAlign w:val="bottom"/>
          </w:tcPr>
          <w:p>
            <w:pPr>
              <w:spacing w:after="0"/>
              <w:rPr>
                <w:sz w:val="23"/>
                <w:szCs w:val="23"/>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216.53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94"/>
              <w:spacing w:after="0"/>
              <w:rPr>
                <w:sz w:val="20"/>
                <w:szCs w:val="20"/>
                <w:color w:val="auto"/>
              </w:rPr>
            </w:pPr>
            <w:r>
              <w:rPr>
                <w:rFonts w:ascii="Arial" w:cs="Arial" w:eastAsia="Arial" w:hAnsi="Arial"/>
                <w:sz w:val="18"/>
                <w:szCs w:val="18"/>
                <w:color w:val="auto"/>
              </w:rPr>
              <w:t>5.90</w:t>
            </w:r>
          </w:p>
        </w:tc>
        <w:tc>
          <w:tcPr>
            <w:tcW w:w="840" w:type="dxa"/>
            <w:vAlign w:val="bottom"/>
          </w:tcPr>
          <w:p>
            <w:pPr>
              <w:jc w:val="right"/>
              <w:ind w:right="25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060" w:type="dxa"/>
            <w:vAlign w:val="bottom"/>
          </w:tcPr>
          <w:p>
            <w:pPr>
              <w:jc w:val="right"/>
              <w:ind w:right="273"/>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(3.4 pts)</w:t>
            </w:r>
          </w:p>
        </w:tc>
        <w:tc>
          <w:tcPr>
            <w:tcW w:w="160" w:type="dxa"/>
            <w:vAlign w:val="bottom"/>
          </w:tcPr>
          <w:p>
            <w:pPr>
              <w:spacing w:after="0"/>
              <w:rPr>
                <w:sz w:val="23"/>
                <w:szCs w:val="23"/>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(3.5 pts)</w:t>
            </w:r>
          </w:p>
        </w:tc>
        <w:tc>
          <w:tcPr>
            <w:tcW w:w="160" w:type="dxa"/>
            <w:vAlign w:val="bottom"/>
          </w:tcPr>
          <w:p>
            <w:pPr>
              <w:spacing w:after="0"/>
              <w:rPr>
                <w:sz w:val="23"/>
                <w:szCs w:val="23"/>
                <w:color w:val="auto"/>
              </w:rPr>
            </w:pPr>
          </w:p>
        </w:tc>
        <w:tc>
          <w:tcPr>
            <w:tcW w:w="920" w:type="dxa"/>
            <w:vAlign w:val="bottom"/>
          </w:tcPr>
          <w:p>
            <w:pPr>
              <w:jc w:val="right"/>
              <w:ind w:right="294"/>
              <w:spacing w:after="0"/>
              <w:rPr>
                <w:sz w:val="20"/>
                <w:szCs w:val="20"/>
                <w:color w:val="auto"/>
              </w:rPr>
            </w:pPr>
            <w:r>
              <w:rPr>
                <w:rFonts w:ascii="Arial" w:cs="Arial" w:eastAsia="Arial" w:hAnsi="Arial"/>
                <w:sz w:val="18"/>
                <w:szCs w:val="18"/>
                <w:color w:val="auto"/>
                <w:w w:val="96"/>
              </w:rPr>
              <w:t>0.1 pts</w:t>
            </w: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-505460</wp:posOffset>
            </wp:positionV>
            <wp:extent cx="7246620"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-153670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2">
            <w:col w:w="3740" w:space="720"/>
            <w:col w:w="6960"/>
          </w:cols>
          <w:pgMar w:left="240" w:top="476" w:right="239" w:bottom="1440" w:gutter="0" w:footer="0" w:header="0"/>
          <w:type w:val="continuous"/>
        </w:sectPr>
      </w:pPr>
    </w:p>
    <w:p>
      <w:pPr>
        <w:ind w:left="5620" w:right="3940" w:hanging="5612"/>
        <w:spacing w:after="0" w:line="466" w:lineRule="auto"/>
        <w:tabs>
          <w:tab w:leader="none" w:pos="652"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Transient keys rented exclude those occupied through the use of plus points and preview stays. 72</w:t>
      </w:r>
    </w:p>
    <w:p>
      <w:pPr>
        <w:sectPr>
          <w:pgSz w:w="11900" w:h="16838" w:orient="portrait"/>
          <w:cols w:equalWidth="0" w:num="1">
            <w:col w:w="11420"/>
          </w:cols>
          <w:pgMar w:left="240" w:top="476" w:right="239" w:bottom="1440" w:gutter="0" w:footer="0" w:header="0"/>
          <w:type w:val="continuous"/>
        </w:sectPr>
      </w:pPr>
    </w:p>
    <w:bookmarkStart w:id="74" w:name="page75"/>
    <w:bookmarkEnd w:id="74"/>
    <w:p>
      <w:pPr>
        <w:ind w:left="660"/>
        <w:spacing w:after="0"/>
        <w:rPr>
          <w:sz w:val="20"/>
          <w:szCs w:val="20"/>
          <w:color w:val="auto"/>
        </w:rPr>
      </w:pPr>
      <w:r>
        <w:rPr>
          <w:rFonts w:ascii="Arial" w:cs="Arial" w:eastAsia="Arial" w:hAnsi="Arial"/>
          <w:sz w:val="18"/>
          <w:szCs w:val="18"/>
          <w:i w:val="1"/>
          <w:iCs w:val="1"/>
          <w:color w:val="auto"/>
        </w:rPr>
        <w:t>2019 First Half</w:t>
      </w:r>
    </w:p>
    <w:p>
      <w:pPr>
        <w:spacing w:after="0" w:line="239" w:lineRule="exact"/>
        <w:rPr>
          <w:sz w:val="20"/>
          <w:szCs w:val="20"/>
          <w:color w:val="auto"/>
        </w:rPr>
      </w:pPr>
    </w:p>
    <w:tbl>
      <w:tblPr>
        <w:tblLayout w:type="fixed"/>
        <w:tblInd w:w="11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7"/>
          </w:tcPr>
          <w:p>
            <w:pPr>
              <w:ind w:left="18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vMerge w:val="restart"/>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6"/>
                <w:szCs w:val="16"/>
                <w:b w:val="1"/>
                <w:bCs w:val="1"/>
                <w:color w:val="auto"/>
              </w:rPr>
              <w:t>June 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June 30,</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7"/>
              </w:rPr>
              <w:t>due to</w:t>
            </w:r>
          </w:p>
        </w:tc>
        <w:tc>
          <w:tcPr>
            <w:tcW w:w="120" w:type="dxa"/>
            <w:vAlign w:val="bottom"/>
          </w:tcPr>
          <w:p>
            <w:pPr>
              <w:spacing w:after="0"/>
              <w:rPr>
                <w:sz w:val="18"/>
                <w:szCs w:val="18"/>
                <w:color w:val="auto"/>
              </w:rPr>
            </w:pPr>
          </w:p>
        </w:tc>
        <w:tc>
          <w:tcPr>
            <w:tcW w:w="1380" w:type="dxa"/>
            <w:vAlign w:val="bottom"/>
            <w:gridSpan w:val="2"/>
          </w:tcPr>
          <w:p>
            <w:pPr>
              <w:jc w:val="center"/>
              <w:ind w:right="12"/>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1"/>
              </w:rPr>
              <w:t>Change</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6"/>
              </w:rPr>
              <w:t>Legacy-ILG</w:t>
            </w:r>
          </w:p>
        </w:tc>
        <w:tc>
          <w:tcPr>
            <w:tcW w:w="120" w:type="dxa"/>
            <w:vAlign w:val="bottom"/>
            <w:tcBorders>
              <w:bottom w:val="single" w:sz="8" w:color="CCEEFF"/>
            </w:tcBorders>
            <w:gridSpan w:val="2"/>
          </w:tcPr>
          <w:p>
            <w:pPr>
              <w:spacing w:after="0"/>
              <w:rPr>
                <w:sz w:val="20"/>
                <w:szCs w:val="20"/>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revenues</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80" w:type="dxa"/>
            <w:vAlign w:val="bottom"/>
          </w:tcPr>
          <w:p>
            <w:pPr>
              <w:ind w:left="20"/>
              <w:spacing w:after="0"/>
              <w:rPr>
                <w:sz w:val="20"/>
                <w:szCs w:val="20"/>
                <w:color w:val="auto"/>
              </w:rPr>
            </w:pPr>
            <w:r>
              <w:rPr>
                <w:rFonts w:ascii="Arial" w:cs="Arial" w:eastAsia="Arial" w:hAnsi="Arial"/>
                <w:sz w:val="18"/>
                <w:szCs w:val="18"/>
                <w:color w:val="auto"/>
              </w:rPr>
              <w:t>Rental expenses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820" w:type="dxa"/>
            <w:vAlign w:val="bottom"/>
          </w:tcPr>
          <w:p>
            <w:pPr>
              <w:jc w:val="right"/>
              <w:ind w:right="172"/>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margin</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Rental margin percentage</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35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34"/>
              <w:spacing w:after="0"/>
              <w:rPr>
                <w:sz w:val="20"/>
                <w:szCs w:val="20"/>
                <w:color w:val="auto"/>
              </w:rPr>
            </w:pPr>
            <w:r>
              <w:rPr>
                <w:rFonts w:ascii="Arial" w:cs="Arial" w:eastAsia="Arial" w:hAnsi="Arial"/>
                <w:sz w:val="18"/>
                <w:szCs w:val="18"/>
                <w:color w:val="auto"/>
                <w:w w:val="97"/>
              </w:rPr>
              <w:t>29.9%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center"/>
              <w:ind w:right="53"/>
              <w:spacing w:after="0"/>
              <w:rPr>
                <w:sz w:val="20"/>
                <w:szCs w:val="20"/>
                <w:color w:val="auto"/>
              </w:rPr>
            </w:pPr>
            <w:r>
              <w:rPr>
                <w:rFonts w:ascii="Arial" w:cs="Arial" w:eastAsia="Arial" w:hAnsi="Arial"/>
                <w:sz w:val="18"/>
                <w:szCs w:val="18"/>
                <w:color w:val="auto"/>
                <w:w w:val="90"/>
              </w:rPr>
              <w:t>21.0%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8.9 pts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7"/>
          </w:tcPr>
          <w:p>
            <w:pPr>
              <w:ind w:left="20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3"/>
            <w:vMerge w:val="restart"/>
          </w:tcPr>
          <w:p>
            <w:pPr>
              <w:jc w:val="center"/>
              <w:ind w:right="300"/>
              <w:spacing w:after="0"/>
              <w:rPr>
                <w:sz w:val="20"/>
                <w:szCs w:val="20"/>
                <w:color w:val="auto"/>
              </w:rPr>
            </w:pPr>
            <w:r>
              <w:rPr>
                <w:rFonts w:ascii="Arial" w:cs="Arial" w:eastAsia="Arial" w:hAnsi="Arial"/>
                <w:sz w:val="16"/>
                <w:szCs w:val="16"/>
                <w:b w:val="1"/>
                <w:bCs w:val="1"/>
                <w:color w:val="auto"/>
                <w:w w:val="88"/>
              </w:rPr>
              <w:t>Change</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ind w:left="40"/>
              <w:spacing w:after="0"/>
              <w:rPr>
                <w:sz w:val="20"/>
                <w:szCs w:val="20"/>
                <w:color w:val="auto"/>
              </w:rPr>
            </w:pPr>
            <w:r>
              <w:rPr>
                <w:rFonts w:ascii="Arial" w:cs="Arial" w:eastAsia="Arial" w:hAnsi="Arial"/>
                <w:sz w:val="16"/>
                <w:szCs w:val="16"/>
                <w:b w:val="1"/>
                <w:bCs w:val="1"/>
                <w:color w:val="auto"/>
              </w:rPr>
              <w:t>June 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June 30,</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1"/>
              </w:rPr>
              <w:t>due to</w:t>
            </w:r>
          </w:p>
        </w:tc>
        <w:tc>
          <w:tcPr>
            <w:tcW w:w="15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33"/>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Change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96"/>
              </w:rPr>
              <w:t>Legacy-ILG</w:t>
            </w:r>
          </w:p>
        </w:tc>
        <w:tc>
          <w:tcPr>
            <w:tcW w:w="15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Transient keys rented</w:t>
            </w:r>
            <w:r>
              <w:rPr>
                <w:rFonts w:ascii="Arial" w:cs="Arial" w:eastAsia="Arial" w:hAnsi="Arial"/>
                <w:sz w:val="21"/>
                <w:szCs w:val="21"/>
                <w:color w:val="auto"/>
                <w:vertAlign w:val="superscript"/>
              </w:rPr>
              <w:t>(1)</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1,230,966</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561,166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540,500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20,666</w:t>
            </w:r>
          </w:p>
        </w:tc>
        <w:tc>
          <w:tcPr>
            <w:tcW w:w="8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80" w:type="dxa"/>
            <w:vAlign w:val="bottom"/>
          </w:tcPr>
          <w:p>
            <w:pPr>
              <w:ind w:left="20"/>
              <w:spacing w:after="0"/>
              <w:rPr>
                <w:sz w:val="20"/>
                <w:szCs w:val="20"/>
                <w:color w:val="auto"/>
              </w:rPr>
            </w:pPr>
            <w:r>
              <w:rPr>
                <w:rFonts w:ascii="Arial" w:cs="Arial" w:eastAsia="Arial" w:hAnsi="Arial"/>
                <w:sz w:val="18"/>
                <w:szCs w:val="18"/>
                <w:color w:val="auto"/>
              </w:rPr>
              <w:t>Average transient key rate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234.71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225.78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8.93</w:t>
            </w:r>
          </w:p>
        </w:tc>
        <w:tc>
          <w:tcPr>
            <w:tcW w:w="2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5.42</w:t>
            </w: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Resort occupancy</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88.6%</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center"/>
              <w:ind w:right="53"/>
              <w:spacing w:after="0"/>
              <w:rPr>
                <w:sz w:val="20"/>
                <w:szCs w:val="20"/>
                <w:color w:val="auto"/>
              </w:rPr>
            </w:pPr>
            <w:r>
              <w:rPr>
                <w:rFonts w:ascii="Arial" w:cs="Arial" w:eastAsia="Arial" w:hAnsi="Arial"/>
                <w:sz w:val="18"/>
                <w:szCs w:val="18"/>
                <w:color w:val="auto"/>
                <w:w w:val="90"/>
              </w:rPr>
              <w:t>90.0%</w:t>
            </w:r>
          </w:p>
        </w:tc>
        <w:tc>
          <w:tcPr>
            <w:tcW w:w="10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(1.4 pts)</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90"/>
              </w:rPr>
              <w:t>(3.0 pts)</w:t>
            </w:r>
          </w:p>
        </w:tc>
        <w:tc>
          <w:tcPr>
            <w:tcW w:w="68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w w:val="99"/>
              </w:rPr>
              <w:t>1.6 pts</w:t>
            </w: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w:t>
      </w:r>
    </w:p>
    <w:p>
      <w:pPr>
        <w:ind w:left="660" w:hanging="652"/>
        <w:spacing w:after="0" w:line="233" w:lineRule="auto"/>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Transient keys rented exclude those occupied through the use of plus points and preview stays.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Second Quarter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3"/>
            <w:vMerge w:val="restart"/>
          </w:tcPr>
          <w:p>
            <w:pPr>
              <w:jc w:val="right"/>
              <w:ind w:right="52"/>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gridSpan w:val="3"/>
            <w:vMerge w:val="continue"/>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4"/>
                <w:szCs w:val="4"/>
                <w:color w:val="auto"/>
              </w:rPr>
            </w:pPr>
          </w:p>
        </w:tc>
        <w:tc>
          <w:tcPr>
            <w:tcW w:w="1720" w:type="dxa"/>
            <w:vAlign w:val="bottom"/>
            <w:gridSpan w:val="2"/>
            <w:vMerge w:val="restart"/>
          </w:tcPr>
          <w:p>
            <w:pPr>
              <w:jc w:val="center"/>
              <w:ind w:right="70"/>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6"/>
                <w:szCs w:val="16"/>
                <w:b w:val="1"/>
                <w:bCs w:val="1"/>
                <w:color w:val="auto"/>
              </w:rPr>
              <w:t>June 30, 2019</w:t>
            </w:r>
          </w:p>
        </w:tc>
        <w:tc>
          <w:tcPr>
            <w:tcW w:w="1240" w:type="dxa"/>
            <w:vAlign w:val="bottom"/>
            <w:gridSpan w:val="3"/>
          </w:tcPr>
          <w:p>
            <w:pPr>
              <w:ind w:left="100"/>
              <w:spacing w:after="0"/>
              <w:rPr>
                <w:sz w:val="20"/>
                <w:szCs w:val="20"/>
                <w:color w:val="auto"/>
              </w:rPr>
            </w:pPr>
            <w:r>
              <w:rPr>
                <w:rFonts w:ascii="Arial" w:cs="Arial" w:eastAsia="Arial" w:hAnsi="Arial"/>
                <w:sz w:val="16"/>
                <w:szCs w:val="16"/>
                <w:b w:val="1"/>
                <w:bCs w:val="1"/>
                <w:color w:val="auto"/>
              </w:rPr>
              <w:t>June 30, 2018</w:t>
            </w: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Legacy-ILG</w:t>
            </w:r>
          </w:p>
        </w:tc>
        <w:tc>
          <w:tcPr>
            <w:tcW w:w="200" w:type="dxa"/>
            <w:vAlign w:val="bottom"/>
          </w:tcPr>
          <w:p>
            <w:pPr>
              <w:spacing w:after="0"/>
              <w:rPr>
                <w:sz w:val="20"/>
                <w:szCs w:val="20"/>
                <w:color w:val="auto"/>
              </w:rPr>
            </w:pPr>
          </w:p>
        </w:tc>
        <w:tc>
          <w:tcPr>
            <w:tcW w:w="1720" w:type="dxa"/>
            <w:vAlign w:val="bottom"/>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612"/>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20" w:type="dxa"/>
            <w:vAlign w:val="bottom"/>
            <w:tcBorders>
              <w:top w:val="single" w:sz="8" w:color="auto"/>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4"/>
              </w:rPr>
              <w:t>19%</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Other financing revenues</w:t>
            </w:r>
          </w:p>
        </w:tc>
        <w:tc>
          <w:tcPr>
            <w:tcW w:w="1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02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revenues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02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4"/>
              </w:rPr>
              <w:t>18%</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Financing expenses</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020" w:type="dxa"/>
            <w:vAlign w:val="bottom"/>
          </w:tcPr>
          <w:p>
            <w:pPr>
              <w:jc w:val="center"/>
              <w:ind w:left="30"/>
              <w:spacing w:after="0"/>
              <w:rPr>
                <w:sz w:val="20"/>
                <w:szCs w:val="20"/>
                <w:color w:val="auto"/>
              </w:rPr>
            </w:pPr>
            <w:r>
              <w:rPr>
                <w:rFonts w:ascii="Arial" w:cs="Arial" w:eastAsia="Arial" w:hAnsi="Arial"/>
                <w:sz w:val="18"/>
                <w:szCs w:val="18"/>
                <w:color w:val="auto"/>
                <w:w w:val="95"/>
              </w:rPr>
              <w:t>(14%)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financing 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2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5"/>
              </w:rPr>
              <w:t>(43%)</w:t>
            </w:r>
          </w:p>
        </w:tc>
        <w:tc>
          <w:tcPr>
            <w:tcW w:w="0" w:type="dxa"/>
            <w:vAlign w:val="bottom"/>
          </w:tcPr>
          <w:p>
            <w:pPr>
              <w:spacing w:after="0"/>
              <w:rPr>
                <w:sz w:val="1"/>
                <w:szCs w:val="1"/>
                <w:color w:val="auto"/>
              </w:rPr>
            </w:pPr>
          </w:p>
        </w:tc>
      </w:tr>
      <w:tr>
        <w:trPr>
          <w:trHeight w:val="297"/>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Financing margin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26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c>
          <w:tcPr>
            <w:tcW w:w="1020" w:type="dxa"/>
            <w:vAlign w:val="bottom"/>
            <w:tcBorders>
              <w:bottom w:val="single" w:sz="8" w:color="CCEEFF"/>
            </w:tcBorders>
          </w:tcPr>
          <w:p>
            <w:pPr>
              <w:jc w:val="center"/>
              <w:ind w:left="30"/>
              <w:spacing w:after="0"/>
              <w:rPr>
                <w:sz w:val="20"/>
                <w:szCs w:val="20"/>
                <w:color w:val="auto"/>
              </w:rPr>
            </w:pPr>
            <w:r>
              <w:rPr>
                <w:rFonts w:ascii="Arial" w:cs="Arial" w:eastAsia="Arial" w:hAnsi="Arial"/>
                <w:sz w:val="18"/>
                <w:szCs w:val="18"/>
                <w:color w:val="auto"/>
                <w:w w:val="94"/>
              </w:rPr>
              <w:t>12%</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propensity</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Legacy-MVW financing revenues increased due to a $169 million increase in the average gross vacation ownership notes receivable balance ($5 million), slightly lower financing program incentive costs, and favorable late and service fees. The higher consumer financing interest expense was due to a higher average outstanding debt balance and slightly higher average debt interest rate.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First Half</w:t>
      </w:r>
    </w:p>
    <w:p>
      <w:pPr>
        <w:spacing w:after="0" w:line="185" w:lineRule="exact"/>
        <w:rPr>
          <w:sz w:val="20"/>
          <w:szCs w:val="20"/>
          <w:color w:val="auto"/>
        </w:rPr>
      </w:pPr>
    </w:p>
    <w:tbl>
      <w:tblPr>
        <w:tblLayout w:type="fixed"/>
        <w:tblInd w:w="116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Change</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due to</w:t>
            </w:r>
          </w:p>
        </w:tc>
        <w:tc>
          <w:tcPr>
            <w:tcW w:w="140" w:type="dxa"/>
            <w:vAlign w:val="bottom"/>
          </w:tcPr>
          <w:p>
            <w:pPr>
              <w:spacing w:after="0"/>
              <w:rPr>
                <w:sz w:val="18"/>
                <w:szCs w:val="18"/>
                <w:color w:val="auto"/>
              </w:rPr>
            </w:pPr>
          </w:p>
        </w:tc>
        <w:tc>
          <w:tcPr>
            <w:tcW w:w="1400" w:type="dxa"/>
            <w:vAlign w:val="bottom"/>
            <w:gridSpan w:val="2"/>
          </w:tcPr>
          <w:p>
            <w:pPr>
              <w:jc w:val="center"/>
              <w:ind w:right="30"/>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237"/>
        </w:trPr>
        <w:tc>
          <w:tcPr>
            <w:tcW w:w="35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20"/>
                <w:szCs w:val="20"/>
                <w:color w:val="auto"/>
              </w:rPr>
            </w:pPr>
          </w:p>
        </w:tc>
        <w:tc>
          <w:tcPr>
            <w:tcW w:w="760" w:type="dxa"/>
            <w:vAlign w:val="bottom"/>
          </w:tcPr>
          <w:p>
            <w:pPr>
              <w:jc w:val="right"/>
              <w:ind w:right="19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0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6"/>
              </w:rPr>
              <w:t>Legacy-ILG</w:t>
            </w:r>
          </w:p>
        </w:tc>
        <w:tc>
          <w:tcPr>
            <w:tcW w:w="15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800" w:type="dxa"/>
            <w:vAlign w:val="bottom"/>
            <w:tcBorders>
              <w:top w:val="single" w:sz="8" w:color="auto"/>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4"/>
              </w:rPr>
              <w:t>18%</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Other financing revenues</w:t>
            </w:r>
          </w:p>
        </w:tc>
        <w:tc>
          <w:tcPr>
            <w:tcW w:w="12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0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revenues</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8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4"/>
              </w:rPr>
              <w:t>17%</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Financing expenses</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Consumer financing 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5"/>
              </w:rPr>
              <w:t>(30%)</w:t>
            </w:r>
          </w:p>
        </w:tc>
        <w:tc>
          <w:tcPr>
            <w:tcW w:w="0" w:type="dxa"/>
            <w:vAlign w:val="bottom"/>
          </w:tcPr>
          <w:p>
            <w:pPr>
              <w:spacing w:after="0"/>
              <w:rPr>
                <w:sz w:val="1"/>
                <w:szCs w:val="1"/>
                <w:color w:val="auto"/>
              </w:rPr>
            </w:pPr>
          </w:p>
        </w:tc>
      </w:tr>
      <w:tr>
        <w:trPr>
          <w:trHeight w:val="297"/>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margin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w:t>
            </w:r>
          </w:p>
        </w:tc>
        <w:tc>
          <w:tcPr>
            <w:tcW w:w="80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w w:val="94"/>
              </w:rPr>
              <w:t>15%</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Financing propensity</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Legacy-MVW financing revenues increased due to a $169 million increase in the average gross vacation ownership notes receivable balance ($10 million). The higher consumer financing interest expense was due to a higher average outstanding debt balance and slightly higher average debt interest rate.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76"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Litigation Charges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Second Quarter</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1"/>
              </w:rPr>
              <w:t>Change</w:t>
            </w: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40" w:type="dxa"/>
            <w:vAlign w:val="bottom"/>
            <w:gridSpan w:val="3"/>
            <w:vMerge w:val="continue"/>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gridSpan w:val="3"/>
            <w:vMerge w:val="restart"/>
          </w:tcPr>
          <w:p>
            <w:pPr>
              <w:jc w:val="center"/>
              <w:ind w:right="460"/>
              <w:spacing w:after="0"/>
              <w:rPr>
                <w:sz w:val="20"/>
                <w:szCs w:val="20"/>
                <w:color w:val="auto"/>
              </w:rPr>
            </w:pPr>
            <w:r>
              <w:rPr>
                <w:rFonts w:ascii="Arial" w:cs="Arial" w:eastAsia="Arial" w:hAnsi="Arial"/>
                <w:sz w:val="16"/>
                <w:szCs w:val="16"/>
                <w:b w:val="1"/>
                <w:bCs w:val="1"/>
                <w:color w:val="auto"/>
                <w:w w:val="87"/>
              </w:rPr>
              <w:t>due to</w:t>
            </w:r>
          </w:p>
        </w:tc>
        <w:tc>
          <w:tcPr>
            <w:tcW w:w="1720" w:type="dxa"/>
            <w:vAlign w:val="bottom"/>
            <w:gridSpan w:val="2"/>
            <w:vMerge w:val="restart"/>
          </w:tcPr>
          <w:p>
            <w:pPr>
              <w:jc w:val="center"/>
              <w:ind w:right="9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gridSpan w:val="3"/>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w w:val="88"/>
              </w:rPr>
              <w:t>June 30, 2019</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7"/>
              </w:rPr>
              <w:t>June 30, 2018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6"/>
                <w:szCs w:val="16"/>
                <w:b w:val="1"/>
                <w:bCs w:val="1"/>
                <w:color w:val="auto"/>
                <w:w w:val="98"/>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7"/>
              <w:spacing w:after="0"/>
              <w:rPr>
                <w:sz w:val="20"/>
                <w:szCs w:val="20"/>
                <w:color w:val="auto"/>
              </w:rPr>
            </w:pPr>
            <w:r>
              <w:rPr>
                <w:rFonts w:ascii="Arial" w:cs="Arial" w:eastAsia="Arial" w:hAnsi="Arial"/>
                <w:sz w:val="16"/>
                <w:szCs w:val="16"/>
                <w:b w:val="1"/>
                <w:bCs w:val="1"/>
                <w:color w:val="auto"/>
                <w:w w:val="96"/>
              </w:rPr>
              <w:t>Legacy-ILG</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4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(15)</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4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In the second quarter of 2019, we incurred $1 million of litigation charges. In the second quarter of 2018, we incurred $16 million of litigation charges, including $11 million related to a project in San Francisco and $5 million related to a project in Lake Tahoe.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First Half</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vMerge w:val="restart"/>
          </w:tcPr>
          <w:p>
            <w:pPr>
              <w:jc w:val="right"/>
              <w:ind w:right="54"/>
              <w:spacing w:after="0"/>
              <w:rPr>
                <w:sz w:val="20"/>
                <w:szCs w:val="20"/>
                <w:color w:val="auto"/>
              </w:rPr>
            </w:pPr>
            <w:r>
              <w:rPr>
                <w:rFonts w:ascii="Arial" w:cs="Arial" w:eastAsia="Arial" w:hAnsi="Arial"/>
                <w:sz w:val="16"/>
                <w:szCs w:val="16"/>
                <w:b w:val="1"/>
                <w:bCs w:val="1"/>
                <w:color w:val="auto"/>
              </w:rPr>
              <w:t>Six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1"/>
              </w:rPr>
              <w:t>Change</w:t>
            </w: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gridSpan w:val="3"/>
            <w:vMerge w:val="restart"/>
          </w:tcPr>
          <w:p>
            <w:pPr>
              <w:jc w:val="center"/>
              <w:ind w:right="460"/>
              <w:spacing w:after="0"/>
              <w:rPr>
                <w:sz w:val="20"/>
                <w:szCs w:val="20"/>
                <w:color w:val="auto"/>
              </w:rPr>
            </w:pPr>
            <w:r>
              <w:rPr>
                <w:rFonts w:ascii="Arial" w:cs="Arial" w:eastAsia="Arial" w:hAnsi="Arial"/>
                <w:sz w:val="16"/>
                <w:szCs w:val="16"/>
                <w:b w:val="1"/>
                <w:bCs w:val="1"/>
                <w:color w:val="auto"/>
                <w:w w:val="87"/>
              </w:rPr>
              <w:t>due to</w:t>
            </w:r>
          </w:p>
        </w:tc>
        <w:tc>
          <w:tcPr>
            <w:tcW w:w="1720" w:type="dxa"/>
            <w:vAlign w:val="bottom"/>
            <w:gridSpan w:val="2"/>
            <w:vMerge w:val="restart"/>
          </w:tcPr>
          <w:p>
            <w:pPr>
              <w:jc w:val="center"/>
              <w:ind w:right="9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gridSpan w:val="3"/>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w w:val="88"/>
              </w:rPr>
              <w:t>June 30, 2019</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7"/>
              </w:rPr>
              <w:t>June 30, 2018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6"/>
                <w:szCs w:val="16"/>
                <w:b w:val="1"/>
                <w:bCs w:val="1"/>
                <w:color w:val="auto"/>
                <w:w w:val="98"/>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7"/>
              <w:spacing w:after="0"/>
              <w:rPr>
                <w:sz w:val="20"/>
                <w:szCs w:val="20"/>
                <w:color w:val="auto"/>
              </w:rPr>
            </w:pPr>
            <w:r>
              <w:rPr>
                <w:rFonts w:ascii="Arial" w:cs="Arial" w:eastAsia="Arial" w:hAnsi="Arial"/>
                <w:sz w:val="16"/>
                <w:szCs w:val="16"/>
                <w:b w:val="1"/>
                <w:bCs w:val="1"/>
                <w:color w:val="auto"/>
                <w:w w:val="96"/>
              </w:rPr>
              <w:t>Legacy-ILG</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4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(14)</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4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In the first half of 2019, we incurred $2 million of litigation charges. In the first half of 2018, we incurred $16 million of litigation charges, including $11 million related to a project in San Francisco and $5 million related to a project in Lake Tahoe.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Fee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Second Quarter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40" w:type="dxa"/>
            <w:vAlign w:val="bottom"/>
            <w:gridSpan w:val="3"/>
            <w:vMerge w:val="continue"/>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4"/>
                <w:szCs w:val="4"/>
                <w:color w:val="auto"/>
              </w:rPr>
            </w:pPr>
          </w:p>
        </w:tc>
        <w:tc>
          <w:tcPr>
            <w:tcW w:w="1720" w:type="dxa"/>
            <w:vAlign w:val="bottom"/>
            <w:gridSpan w:val="2"/>
            <w:vMerge w:val="restart"/>
          </w:tcPr>
          <w:p>
            <w:pPr>
              <w:jc w:val="center"/>
              <w:ind w:right="70"/>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w w:val="88"/>
              </w:rPr>
              <w:t>June 30, 2019</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7"/>
              </w:rPr>
              <w:t>June 30, 2018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w w:val="98"/>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6"/>
                <w:szCs w:val="16"/>
                <w:b w:val="1"/>
                <w:bCs w:val="1"/>
                <w:color w:val="auto"/>
                <w:w w:val="96"/>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43"/>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Royalty fee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Excluding the impact of the ILG Acquisition, Legacy-MVW royalty fee expense decreased $1 million in the second quarter of 2019 due to an increase in the mix of sales of pre-owned inventory, which carry a lower royalty fee as compared to initial sales of our inventory (one percent versus two percent), partially offset by an increase in the dollar volume of closings and an increase in the fixed portion of the royalty fee. The prior year period benefited from a contractual decrease in the fixed portion of the royalty fee owed to Marriott International as a result of amendments to our licensing agreements with Marriott International entered into during the first quarter of 2018. This decrease in the fixed portion of the royalty fee was terminated upon completion of the ILG Acquisition on September 1, 2018.</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First Half</w:t>
      </w:r>
    </w:p>
    <w:p>
      <w:pPr>
        <w:spacing w:after="0" w:line="185" w:lineRule="exact"/>
        <w:rPr>
          <w:sz w:val="20"/>
          <w:szCs w:val="20"/>
          <w:color w:val="auto"/>
        </w:rPr>
      </w:pPr>
    </w:p>
    <w:tbl>
      <w:tblPr>
        <w:tblLayout w:type="fixed"/>
        <w:tblInd w:w="116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5"/>
          </w:tcPr>
          <w:p>
            <w:pPr>
              <w:ind w:left="160"/>
              <w:spacing w:after="0"/>
              <w:rPr>
                <w:sz w:val="20"/>
                <w:szCs w:val="20"/>
                <w:color w:val="auto"/>
              </w:rPr>
            </w:pPr>
            <w:r>
              <w:rPr>
                <w:rFonts w:ascii="Arial" w:cs="Arial" w:eastAsia="Arial" w:hAnsi="Arial"/>
                <w:sz w:val="16"/>
                <w:szCs w:val="16"/>
                <w:b w:val="1"/>
                <w:bCs w:val="1"/>
                <w:color w:val="auto"/>
              </w:rPr>
              <w:t>Six Months Ended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1"/>
              </w:rPr>
              <w:t>Change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June 30,</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due to</w:t>
            </w:r>
          </w:p>
        </w:tc>
        <w:tc>
          <w:tcPr>
            <w:tcW w:w="120" w:type="dxa"/>
            <w:vAlign w:val="bottom"/>
          </w:tcPr>
          <w:p>
            <w:pPr>
              <w:spacing w:after="0"/>
              <w:rPr>
                <w:sz w:val="18"/>
                <w:szCs w:val="18"/>
                <w:color w:val="auto"/>
              </w:rPr>
            </w:pPr>
          </w:p>
        </w:tc>
        <w:tc>
          <w:tcPr>
            <w:tcW w:w="1380" w:type="dxa"/>
            <w:vAlign w:val="bottom"/>
            <w:gridSpan w:val="2"/>
          </w:tcPr>
          <w:p>
            <w:pPr>
              <w:jc w:val="center"/>
              <w:ind w:right="10"/>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4"/>
              <w:spacing w:after="0"/>
              <w:rPr>
                <w:sz w:val="20"/>
                <w:szCs w:val="20"/>
                <w:color w:val="auto"/>
              </w:rPr>
            </w:pPr>
            <w:r>
              <w:rPr>
                <w:rFonts w:ascii="Arial" w:cs="Arial" w:eastAsia="Arial" w:hAnsi="Arial"/>
                <w:sz w:val="16"/>
                <w:szCs w:val="16"/>
                <w:b w:val="1"/>
                <w:bCs w:val="1"/>
                <w:color w:val="auto"/>
                <w:w w:val="95"/>
              </w:rPr>
              <w:t>Change</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6"/>
              </w:rPr>
              <w:t>Legacy-ILG</w:t>
            </w:r>
          </w:p>
        </w:tc>
        <w:tc>
          <w:tcPr>
            <w:tcW w:w="1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Royalty fee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Excluding the impact of the ILG Acquisition, Legacy-MVW royalty fee expense remained flat year-over-year due to an increase in the mix of sales of pre-owned inventory, which carry a lower royalty fee as compared to initial sales of our inventory (one percent versus two percent), partially offset by an increase in the dollar volume of closings and an increase in the fixed portion of the royalty fee. The prior year period benefited from a contractual decrease in the fixed portion of the royalty fee owed to Marriott International as a result of amendments to our licensing agreements with Marriott International entered into during the first quarter of 2018. This decrease in the fixed portion of the royalty fee was terminated upon completion of the ILG Acquisition on September 1, 2018.</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580"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Depreciation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Second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7"/>
          </w:tcPr>
          <w:p>
            <w:pPr>
              <w:ind w:left="80"/>
              <w:spacing w:after="0"/>
              <w:rPr>
                <w:sz w:val="20"/>
                <w:szCs w:val="20"/>
                <w:color w:val="auto"/>
              </w:rPr>
            </w:pPr>
            <w:r>
              <w:rPr>
                <w:rFonts w:ascii="Arial" w:cs="Arial" w:eastAsia="Arial" w:hAnsi="Arial"/>
                <w:sz w:val="16"/>
                <w:szCs w:val="16"/>
                <w:b w:val="1"/>
                <w:bCs w:val="1"/>
                <w:color w:val="auto"/>
              </w:rPr>
              <w:t>Three Months Ended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1"/>
              </w:rPr>
              <w:t>Change</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June 30,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7"/>
              </w:rPr>
              <w:t>due to</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6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16"/>
              <w:spacing w:after="0"/>
              <w:rPr>
                <w:sz w:val="20"/>
                <w:szCs w:val="20"/>
                <w:color w:val="auto"/>
              </w:rPr>
            </w:pPr>
            <w:r>
              <w:rPr>
                <w:rFonts w:ascii="Arial" w:cs="Arial" w:eastAsia="Arial" w:hAnsi="Arial"/>
                <w:sz w:val="16"/>
                <w:szCs w:val="16"/>
                <w:b w:val="1"/>
                <w:bCs w:val="1"/>
                <w:color w:val="auto"/>
                <w:w w:val="89"/>
              </w:rPr>
              <w:t>2018</w:t>
            </w: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b w:val="1"/>
                <w:bCs w:val="1"/>
                <w:color w:val="auto"/>
                <w:w w:val="98"/>
              </w:rPr>
              <w:t>Legacy-ILG</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w w:val="89"/>
              </w:rPr>
              <w:t>17</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w:t>
            </w: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820" w:type="dxa"/>
            <w:vAlign w:val="bottom"/>
            <w:gridSpan w:val="3"/>
          </w:tcPr>
          <w:p>
            <w:pPr>
              <w:ind w:left="660"/>
              <w:spacing w:after="0"/>
              <w:rPr>
                <w:sz w:val="20"/>
                <w:szCs w:val="20"/>
                <w:color w:val="auto"/>
              </w:rPr>
            </w:pPr>
            <w:r>
              <w:rPr>
                <w:rFonts w:ascii="Arial" w:cs="Arial" w:eastAsia="Arial" w:hAnsi="Arial"/>
                <w:sz w:val="18"/>
                <w:szCs w:val="18"/>
                <w:i w:val="1"/>
                <w:iCs w:val="1"/>
                <w:color w:val="auto"/>
              </w:rPr>
              <w:t>2019 First Half</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7"/>
          </w:tcPr>
          <w:p>
            <w:pPr>
              <w:ind w:left="180"/>
              <w:spacing w:after="0"/>
              <w:rPr>
                <w:sz w:val="20"/>
                <w:szCs w:val="20"/>
                <w:color w:val="auto"/>
              </w:rPr>
            </w:pPr>
            <w:r>
              <w:rPr>
                <w:rFonts w:ascii="Arial" w:cs="Arial" w:eastAsia="Arial" w:hAnsi="Arial"/>
                <w:sz w:val="16"/>
                <w:szCs w:val="16"/>
                <w:b w:val="1"/>
                <w:bCs w:val="1"/>
                <w:color w:val="auto"/>
              </w:rPr>
              <w:t>Six Months Ended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1"/>
              </w:rPr>
              <w:t>Change</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June 30,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7"/>
              </w:rPr>
              <w:t>due to</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6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16"/>
              <w:spacing w:after="0"/>
              <w:rPr>
                <w:sz w:val="20"/>
                <w:szCs w:val="20"/>
                <w:color w:val="auto"/>
              </w:rPr>
            </w:pPr>
            <w:r>
              <w:rPr>
                <w:rFonts w:ascii="Arial" w:cs="Arial" w:eastAsia="Arial" w:hAnsi="Arial"/>
                <w:sz w:val="16"/>
                <w:szCs w:val="16"/>
                <w:b w:val="1"/>
                <w:bCs w:val="1"/>
                <w:color w:val="auto"/>
                <w:w w:val="89"/>
              </w:rPr>
              <w:t>2018</w:t>
            </w: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b w:val="1"/>
                <w:bCs w:val="1"/>
                <w:color w:val="auto"/>
                <w:w w:val="98"/>
              </w:rPr>
              <w:t>Legacy-ILG</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w w:val="89"/>
              </w:rPr>
              <w:t>34</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w:t>
            </w:r>
          </w:p>
        </w:tc>
        <w:tc>
          <w:tcPr>
            <w:tcW w:w="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Impairment</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20" w:type="dxa"/>
            <w:vAlign w:val="bottom"/>
            <w:gridSpan w:val="3"/>
          </w:tcPr>
          <w:p>
            <w:pPr>
              <w:ind w:left="660"/>
              <w:spacing w:after="0"/>
              <w:rPr>
                <w:sz w:val="20"/>
                <w:szCs w:val="20"/>
                <w:color w:val="auto"/>
              </w:rPr>
            </w:pPr>
            <w:r>
              <w:rPr>
                <w:rFonts w:ascii="Arial" w:cs="Arial" w:eastAsia="Arial" w:hAnsi="Arial"/>
                <w:sz w:val="18"/>
                <w:szCs w:val="18"/>
                <w:i w:val="1"/>
                <w:iCs w:val="1"/>
                <w:color w:val="auto"/>
              </w:rPr>
              <w:t>2019 First Half</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7"/>
          </w:tcPr>
          <w:p>
            <w:pPr>
              <w:ind w:left="160"/>
              <w:spacing w:after="0"/>
              <w:rPr>
                <w:sz w:val="20"/>
                <w:szCs w:val="20"/>
                <w:color w:val="auto"/>
              </w:rPr>
            </w:pPr>
            <w:r>
              <w:rPr>
                <w:rFonts w:ascii="Arial" w:cs="Arial" w:eastAsia="Arial" w:hAnsi="Arial"/>
                <w:sz w:val="16"/>
                <w:szCs w:val="16"/>
                <w:b w:val="1"/>
                <w:bCs w:val="1"/>
                <w:color w:val="auto"/>
              </w:rPr>
              <w:t>Six Months Ended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8"/>
              </w:rPr>
              <w:t>Change</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6"/>
                <w:szCs w:val="16"/>
                <w:b w:val="1"/>
                <w:bCs w:val="1"/>
                <w:color w:val="auto"/>
              </w:rPr>
              <w:t>June 30,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3"/>
          </w:tcPr>
          <w:p>
            <w:pPr>
              <w:ind w:left="120"/>
              <w:spacing w:after="0"/>
              <w:rPr>
                <w:sz w:val="20"/>
                <w:szCs w:val="20"/>
                <w:color w:val="auto"/>
              </w:rPr>
            </w:pPr>
            <w:r>
              <w:rPr>
                <w:rFonts w:ascii="Arial" w:cs="Arial" w:eastAsia="Arial" w:hAnsi="Arial"/>
                <w:sz w:val="16"/>
                <w:szCs w:val="16"/>
                <w:b w:val="1"/>
                <w:bCs w:val="1"/>
                <w:color w:val="auto"/>
              </w:rPr>
              <w:t>June 30,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due to</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6"/>
                <w:szCs w:val="16"/>
                <w:b w:val="1"/>
                <w:bCs w:val="1"/>
                <w:color w:val="auto"/>
              </w:rPr>
              <w:t>2018</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6"/>
                <w:szCs w:val="16"/>
                <w:b w:val="1"/>
                <w:bCs w:val="1"/>
                <w:color w:val="auto"/>
              </w:rPr>
              <w:t>Change</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Legacy-ILG</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6"/>
              </w:rPr>
              <w:t>Legacy-ILG Impact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Impairment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26</w:t>
            </w:r>
          </w:p>
        </w:tc>
        <w:tc>
          <w:tcPr>
            <w:tcW w:w="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During the second quarter of 2019, we entered into a contract to sell land and land improvements associated with a future phase of an existing resort located in Orlando, Florida for $10 million, which was less than the carrying value of the land and land improvements. As a result, we recorded a non-cash impairment of $26 million in the first half of 2019. The impairment is primarily attributable to the fact that the book value of the assets to be sold exceeds the sales price because the book value includes allocations of common costs incurred when we built the infrastructure for the resort, including future phases.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Reimbursements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Second Quarter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4"/>
                <w:szCs w:val="4"/>
                <w:color w:val="auto"/>
              </w:rPr>
            </w:pPr>
          </w:p>
        </w:tc>
        <w:tc>
          <w:tcPr>
            <w:tcW w:w="1720" w:type="dxa"/>
            <w:vAlign w:val="bottom"/>
            <w:gridSpan w:val="2"/>
            <w:vMerge w:val="restart"/>
          </w:tcPr>
          <w:p>
            <w:pPr>
              <w:jc w:val="center"/>
              <w:ind w:right="70"/>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w w:val="88"/>
              </w:rPr>
              <w:t>June 30, 2019</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7"/>
              </w:rPr>
              <w:t>June 30, 2018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w w:val="98"/>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6"/>
                <w:szCs w:val="16"/>
                <w:b w:val="1"/>
                <w:bCs w:val="1"/>
                <w:color w:val="auto"/>
                <w:w w:val="96"/>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reimbursements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(8)</w:t>
            </w:r>
          </w:p>
        </w:tc>
        <w:tc>
          <w:tcPr>
            <w:tcW w:w="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32"/>
        </w:trPr>
        <w:tc>
          <w:tcPr>
            <w:tcW w:w="4460" w:type="dxa"/>
            <w:vAlign w:val="bottom"/>
          </w:tcPr>
          <w:p>
            <w:pPr>
              <w:ind w:left="660"/>
              <w:spacing w:after="0"/>
              <w:rPr>
                <w:sz w:val="20"/>
                <w:szCs w:val="20"/>
                <w:color w:val="auto"/>
              </w:rPr>
            </w:pPr>
            <w:r>
              <w:rPr>
                <w:rFonts w:ascii="Arial" w:cs="Arial" w:eastAsia="Arial" w:hAnsi="Arial"/>
                <w:sz w:val="18"/>
                <w:szCs w:val="18"/>
                <w:i w:val="1"/>
                <w:iCs w:val="1"/>
                <w:color w:val="auto"/>
              </w:rPr>
              <w:t>2019 First Half</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3"/>
            <w:vMerge w:val="restart"/>
          </w:tcPr>
          <w:p>
            <w:pPr>
              <w:jc w:val="right"/>
              <w:ind w:right="54"/>
              <w:spacing w:after="0"/>
              <w:rPr>
                <w:sz w:val="20"/>
                <w:szCs w:val="20"/>
                <w:color w:val="auto"/>
              </w:rPr>
            </w:pPr>
            <w:r>
              <w:rPr>
                <w:rFonts w:ascii="Arial" w:cs="Arial" w:eastAsia="Arial" w:hAnsi="Arial"/>
                <w:sz w:val="16"/>
                <w:szCs w:val="16"/>
                <w:b w:val="1"/>
                <w:bCs w:val="1"/>
                <w:color w:val="auto"/>
              </w:rPr>
              <w:t>Six Months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4"/>
                <w:szCs w:val="4"/>
                <w:color w:val="auto"/>
              </w:rPr>
            </w:pPr>
          </w:p>
        </w:tc>
        <w:tc>
          <w:tcPr>
            <w:tcW w:w="1720" w:type="dxa"/>
            <w:vAlign w:val="bottom"/>
            <w:gridSpan w:val="2"/>
            <w:vMerge w:val="restart"/>
          </w:tcPr>
          <w:p>
            <w:pPr>
              <w:jc w:val="center"/>
              <w:ind w:right="70"/>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w w:val="88"/>
              </w:rPr>
              <w:t>June 30, 2019</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7"/>
              </w:rPr>
              <w:t>June 30, 2018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w w:val="98"/>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6"/>
                <w:szCs w:val="16"/>
                <w:b w:val="1"/>
                <w:bCs w:val="1"/>
                <w:color w:val="auto"/>
                <w:w w:val="96"/>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43"/>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reimbursements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549</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418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4</w:t>
            </w:r>
          </w:p>
        </w:tc>
        <w:tc>
          <w:tcPr>
            <w:tcW w:w="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80"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Second Quarter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vMerge w:val="restart"/>
          </w:tcPr>
          <w:p>
            <w:pPr>
              <w:jc w:val="right"/>
              <w:ind w:right="54"/>
              <w:spacing w:after="0"/>
              <w:rPr>
                <w:sz w:val="20"/>
                <w:szCs w:val="20"/>
                <w:color w:val="auto"/>
              </w:rPr>
            </w:pPr>
            <w:r>
              <w:rPr>
                <w:rFonts w:ascii="Arial" w:cs="Arial" w:eastAsia="Arial" w:hAnsi="Arial"/>
                <w:sz w:val="16"/>
                <w:szCs w:val="16"/>
                <w:b w:val="1"/>
                <w:bCs w:val="1"/>
                <w:color w:val="auto"/>
              </w:rPr>
              <w:t>Six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4"/>
                <w:szCs w:val="4"/>
                <w:color w:val="auto"/>
              </w:rPr>
            </w:pPr>
          </w:p>
        </w:tc>
        <w:tc>
          <w:tcPr>
            <w:tcW w:w="1720" w:type="dxa"/>
            <w:vAlign w:val="bottom"/>
            <w:gridSpan w:val="2"/>
            <w:vMerge w:val="restart"/>
          </w:tcPr>
          <w:p>
            <w:pPr>
              <w:jc w:val="center"/>
              <w:ind w:right="70"/>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w w:val="88"/>
              </w:rPr>
              <w:t>June 30, 2019</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7"/>
              </w:rPr>
              <w:t>June 30, 2018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w w:val="98"/>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6"/>
                <w:szCs w:val="16"/>
                <w:b w:val="1"/>
                <w:bCs w:val="1"/>
                <w:color w:val="auto"/>
                <w:w w:val="96"/>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w:t>
            </w: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4460" w:type="dxa"/>
            <w:vAlign w:val="bottom"/>
          </w:tcPr>
          <w:p>
            <w:pPr>
              <w:ind w:left="660"/>
              <w:spacing w:after="0"/>
              <w:rPr>
                <w:sz w:val="20"/>
                <w:szCs w:val="20"/>
                <w:color w:val="auto"/>
              </w:rPr>
            </w:pPr>
            <w:r>
              <w:rPr>
                <w:rFonts w:ascii="Arial" w:cs="Arial" w:eastAsia="Arial" w:hAnsi="Arial"/>
                <w:sz w:val="18"/>
                <w:szCs w:val="18"/>
                <w:i w:val="1"/>
                <w:iCs w:val="1"/>
                <w:color w:val="auto"/>
              </w:rPr>
              <w:t>2019 First Half</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3"/>
            <w:vMerge w:val="restart"/>
          </w:tcPr>
          <w:p>
            <w:pPr>
              <w:jc w:val="right"/>
              <w:ind w:right="54"/>
              <w:spacing w:after="0"/>
              <w:rPr>
                <w:sz w:val="20"/>
                <w:szCs w:val="20"/>
                <w:color w:val="auto"/>
              </w:rPr>
            </w:pPr>
            <w:r>
              <w:rPr>
                <w:rFonts w:ascii="Arial" w:cs="Arial" w:eastAsia="Arial" w:hAnsi="Arial"/>
                <w:sz w:val="16"/>
                <w:szCs w:val="16"/>
                <w:b w:val="1"/>
                <w:bCs w:val="1"/>
                <w:color w:val="auto"/>
              </w:rPr>
              <w:t>Six Months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4"/>
                <w:szCs w:val="4"/>
                <w:color w:val="auto"/>
              </w:rPr>
            </w:pPr>
          </w:p>
        </w:tc>
        <w:tc>
          <w:tcPr>
            <w:tcW w:w="1720" w:type="dxa"/>
            <w:vAlign w:val="bottom"/>
            <w:gridSpan w:val="2"/>
            <w:vMerge w:val="restart"/>
          </w:tcPr>
          <w:p>
            <w:pPr>
              <w:jc w:val="center"/>
              <w:ind w:right="70"/>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w w:val="88"/>
              </w:rPr>
              <w:t>June 30, 2019</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7"/>
              </w:rPr>
              <w:t>June 30, 2018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w w:val="98"/>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6"/>
                <w:szCs w:val="16"/>
                <w:b w:val="1"/>
                <w:bCs w:val="1"/>
                <w:color w:val="auto"/>
                <w:w w:val="96"/>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43"/>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the first half of 2018, we incurred $3 million of other expenses associated with the then anticipated capital efficient acquisition of an operating property in San Francisco.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(Losses) Gains and Other (Expense) Income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Second Quarter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40" w:type="dxa"/>
            <w:vAlign w:val="bottom"/>
            <w:gridSpan w:val="3"/>
            <w:vMerge w:val="continue"/>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4"/>
                <w:szCs w:val="4"/>
                <w:color w:val="auto"/>
              </w:rPr>
            </w:pPr>
          </w:p>
        </w:tc>
        <w:tc>
          <w:tcPr>
            <w:tcW w:w="1720" w:type="dxa"/>
            <w:vAlign w:val="bottom"/>
            <w:gridSpan w:val="2"/>
            <w:vMerge w:val="restart"/>
          </w:tcPr>
          <w:p>
            <w:pPr>
              <w:jc w:val="right"/>
              <w:ind w:right="210"/>
              <w:spacing w:after="0"/>
              <w:rPr>
                <w:sz w:val="20"/>
                <w:szCs w:val="20"/>
                <w:color w:val="auto"/>
              </w:rPr>
            </w:pPr>
            <w:r>
              <w:rPr>
                <w:rFonts w:ascii="Arial" w:cs="Arial" w:eastAsia="Arial" w:hAnsi="Arial"/>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w w:val="88"/>
              </w:rPr>
              <w:t>June 30, 2019</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7"/>
              </w:rPr>
              <w:t>June 30, 2018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w w:val="98"/>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6"/>
                <w:szCs w:val="16"/>
                <w:b w:val="1"/>
                <w:bCs w:val="1"/>
                <w:color w:val="auto"/>
                <w:w w:val="96"/>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6"/>
                <w:szCs w:val="16"/>
                <w:b w:val="1"/>
                <w:bCs w:val="1"/>
                <w:color w:val="auto"/>
              </w:rPr>
              <w:t>Legacy-ILG Impact</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and other expense,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w:t>
            </w:r>
          </w:p>
        </w:tc>
        <w:tc>
          <w:tcPr>
            <w:tcW w:w="8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432"/>
        </w:trPr>
        <w:tc>
          <w:tcPr>
            <w:tcW w:w="4460" w:type="dxa"/>
            <w:vAlign w:val="bottom"/>
          </w:tcPr>
          <w:p>
            <w:pPr>
              <w:ind w:left="660"/>
              <w:spacing w:after="0"/>
              <w:rPr>
                <w:sz w:val="20"/>
                <w:szCs w:val="20"/>
                <w:color w:val="auto"/>
              </w:rPr>
            </w:pPr>
            <w:r>
              <w:rPr>
                <w:rFonts w:ascii="Arial" w:cs="Arial" w:eastAsia="Arial" w:hAnsi="Arial"/>
                <w:sz w:val="18"/>
                <w:szCs w:val="18"/>
                <w:i w:val="1"/>
                <w:iCs w:val="1"/>
                <w:color w:val="auto"/>
              </w:rPr>
              <w:t>2019 First Half</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3"/>
          </w:tcPr>
          <w:p>
            <w:pPr>
              <w:jc w:val="right"/>
              <w:ind w:right="94"/>
              <w:spacing w:after="0"/>
              <w:rPr>
                <w:sz w:val="20"/>
                <w:szCs w:val="20"/>
                <w:color w:val="auto"/>
              </w:rPr>
            </w:pPr>
            <w:r>
              <w:rPr>
                <w:rFonts w:ascii="Arial" w:cs="Arial" w:eastAsia="Arial" w:hAnsi="Arial"/>
                <w:sz w:val="16"/>
                <w:szCs w:val="16"/>
                <w:b w:val="1"/>
                <w:bCs w:val="1"/>
                <w:color w:val="auto"/>
              </w:rPr>
              <w:t>Six Months Ended</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17"/>
                <w:szCs w:val="17"/>
                <w:color w:val="auto"/>
              </w:rPr>
            </w:pPr>
          </w:p>
        </w:tc>
        <w:tc>
          <w:tcPr>
            <w:tcW w:w="1720" w:type="dxa"/>
            <w:vAlign w:val="bottom"/>
            <w:gridSpan w:val="2"/>
          </w:tcPr>
          <w:p>
            <w:pPr>
              <w:jc w:val="right"/>
              <w:ind w:right="210"/>
              <w:spacing w:after="0"/>
              <w:rPr>
                <w:sz w:val="20"/>
                <w:szCs w:val="20"/>
                <w:color w:val="auto"/>
              </w:rPr>
            </w:pPr>
            <w:r>
              <w:rPr>
                <w:rFonts w:ascii="Arial" w:cs="Arial" w:eastAsia="Arial" w:hAnsi="Arial"/>
                <w:sz w:val="16"/>
                <w:szCs w:val="16"/>
                <w:b w:val="1"/>
                <w:bCs w:val="1"/>
                <w:color w:val="auto"/>
              </w:rPr>
              <w:t>Change Excluding</w:t>
            </w: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w w:val="88"/>
              </w:rPr>
              <w:t>June 30, 2019</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7"/>
              </w:rPr>
              <w:t>June 30, 2018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w w:val="98"/>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6"/>
                <w:szCs w:val="16"/>
                <w:b w:val="1"/>
                <w:bCs w:val="1"/>
                <w:color w:val="auto"/>
                <w:w w:val="96"/>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6"/>
                <w:szCs w:val="16"/>
                <w:b w:val="1"/>
                <w:bCs w:val="1"/>
                <w:color w:val="auto"/>
              </w:rPr>
              <w:t>Legacy-ILG Impact</w:t>
            </w:r>
          </w:p>
        </w:tc>
        <w:tc>
          <w:tcPr>
            <w:tcW w:w="0" w:type="dxa"/>
            <w:vAlign w:val="bottom"/>
          </w:tcPr>
          <w:p>
            <w:pPr>
              <w:spacing w:after="0"/>
              <w:rPr>
                <w:sz w:val="1"/>
                <w:szCs w:val="1"/>
                <w:color w:val="auto"/>
              </w:rPr>
            </w:pPr>
          </w:p>
        </w:tc>
      </w:tr>
      <w:tr>
        <w:trPr>
          <w:trHeight w:val="243"/>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Gains and other income,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7</w:t>
            </w:r>
          </w:p>
        </w:tc>
        <w:tc>
          <w:tcPr>
            <w:tcW w:w="8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80" w:firstLine="648"/>
        <w:spacing w:after="0" w:line="342" w:lineRule="auto"/>
        <w:rPr>
          <w:sz w:val="20"/>
          <w:szCs w:val="20"/>
          <w:color w:val="auto"/>
        </w:rPr>
      </w:pPr>
      <w:r>
        <w:rPr>
          <w:rFonts w:ascii="Arial" w:cs="Arial" w:eastAsia="Arial" w:hAnsi="Arial"/>
          <w:sz w:val="16"/>
          <w:szCs w:val="16"/>
          <w:color w:val="auto"/>
        </w:rPr>
        <w:t>In the first half of 2019, we recorded $9 million of gains and other income related to net insurance proceeds from the settlement of Legacy-MVW business interruption insurance claims arising from the 2017 Hurricanes, partially offset by $1 million of miscellaneous losses and other expense.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580"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Exchange &amp; Third-Party Management</w:t>
      </w:r>
    </w:p>
    <w:p>
      <w:pPr>
        <w:spacing w:after="0" w:line="12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Exchange &amp; Third-Party Management segment offers access to vacation accommodations and other travel-related transactions and services to leisure travelers by providing vacation exchange and management services, including vacation rentals and other services. We provide these services through a variety of brands including Interval International, Trading Places International, Vacation Resorts International, Aqua-Aston and Great Destinations. These brands were acquired as part of our acquisition of ILG on September 1, 2018 and, consequently, are only included in our results for the periods subsequent to that date.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6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680" w:type="dxa"/>
            <w:vAlign w:val="bottom"/>
            <w:gridSpan w:val="4"/>
          </w:tcPr>
          <w:p>
            <w:pPr>
              <w:ind w:left="64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6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22"/>
                <w:szCs w:val="22"/>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2019</w:t>
            </w:r>
          </w:p>
        </w:tc>
        <w:tc>
          <w:tcPr>
            <w:tcW w:w="160" w:type="dxa"/>
            <w:vAlign w:val="bottom"/>
          </w:tcPr>
          <w:p>
            <w:pPr>
              <w:spacing w:after="0"/>
              <w:rPr>
                <w:sz w:val="22"/>
                <w:szCs w:val="22"/>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 2018</w:t>
            </w:r>
          </w:p>
        </w:tc>
        <w:tc>
          <w:tcPr>
            <w:tcW w:w="16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2019</w:t>
            </w:r>
          </w:p>
        </w:tc>
        <w:tc>
          <w:tcPr>
            <w:tcW w:w="160" w:type="dxa"/>
            <w:vAlign w:val="bottom"/>
          </w:tcPr>
          <w:p>
            <w:pPr>
              <w:spacing w:after="0"/>
              <w:rPr>
                <w:sz w:val="22"/>
                <w:szCs w:val="22"/>
                <w:color w:val="auto"/>
              </w:rPr>
            </w:pPr>
          </w:p>
        </w:tc>
        <w:tc>
          <w:tcPr>
            <w:tcW w:w="1200" w:type="dxa"/>
            <w:vAlign w:val="bottom"/>
          </w:tcPr>
          <w:p>
            <w:pPr>
              <w:ind w:left="40"/>
              <w:spacing w:after="0"/>
              <w:rPr>
                <w:sz w:val="20"/>
                <w:szCs w:val="20"/>
                <w:color w:val="auto"/>
              </w:rPr>
            </w:pPr>
            <w:r>
              <w:rPr>
                <w:rFonts w:ascii="Arial" w:cs="Arial" w:eastAsia="Arial" w:hAnsi="Arial"/>
                <w:sz w:val="16"/>
                <w:szCs w:val="16"/>
                <w:b w:val="1"/>
                <w:bCs w:val="1"/>
                <w:color w:val="auto"/>
              </w:rPr>
              <w:t>June 30, 2018</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Management and exchange</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Financing</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reimbursements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500"/>
              <w:spacing w:after="0"/>
              <w:rPr>
                <w:sz w:val="20"/>
                <w:szCs w:val="20"/>
                <w:color w:val="auto"/>
              </w:rPr>
            </w:pPr>
            <w:r>
              <w:rPr>
                <w:rFonts w:ascii="Arial" w:cs="Arial" w:eastAsia="Arial" w:hAnsi="Arial"/>
                <w:sz w:val="18"/>
                <w:szCs w:val="18"/>
                <w:b w:val="1"/>
                <w:bCs w:val="1"/>
                <w:color w:val="auto"/>
              </w:rPr>
              <w:t>TOTAL REVENUES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Marketing and sales</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Management and exchange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Rental</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reimbursements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500"/>
              <w:spacing w:after="0"/>
              <w:rPr>
                <w:sz w:val="20"/>
                <w:szCs w:val="20"/>
                <w:color w:val="auto"/>
              </w:rPr>
            </w:pPr>
            <w:r>
              <w:rPr>
                <w:rFonts w:ascii="Arial" w:cs="Arial" w:eastAsia="Arial" w:hAnsi="Arial"/>
                <w:sz w:val="18"/>
                <w:szCs w:val="18"/>
                <w:b w:val="1"/>
                <w:bCs w:val="1"/>
                <w:color w:val="auto"/>
              </w:rPr>
              <w:t>TOTAL EXPENSES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SEGMENT FINANCIAL RESULTS ATTRIBUTABLE TO COMMON</w:t>
            </w: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w:t>
            </w:r>
          </w:p>
        </w:tc>
        <w:tc>
          <w:tcPr>
            <w:tcW w:w="20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6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89"/>
              </w:rPr>
              <w:t>77</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Corporate and Other</w:t>
      </w:r>
    </w:p>
    <w:p>
      <w:pPr>
        <w:spacing w:after="0" w:line="12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Corporate and Other consists of results that are not allocable to our segments, including company-wide general and administrative costs, corporate interest expense, ILG acquisition-related costs and provision for income taxes. In addition, Corporate and Other includes the revenues and expenses from the Consolidated Property Owners’ Associations.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6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680" w:type="dxa"/>
            <w:vAlign w:val="bottom"/>
            <w:gridSpan w:val="4"/>
          </w:tcPr>
          <w:p>
            <w:pPr>
              <w:jc w:val="right"/>
              <w:ind w:right="67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6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22"/>
                <w:szCs w:val="22"/>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2019</w:t>
            </w:r>
          </w:p>
        </w:tc>
        <w:tc>
          <w:tcPr>
            <w:tcW w:w="160" w:type="dxa"/>
            <w:vAlign w:val="bottom"/>
          </w:tcPr>
          <w:p>
            <w:pPr>
              <w:spacing w:after="0"/>
              <w:rPr>
                <w:sz w:val="22"/>
                <w:szCs w:val="22"/>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 2018</w:t>
            </w:r>
          </w:p>
        </w:tc>
        <w:tc>
          <w:tcPr>
            <w:tcW w:w="16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2019</w:t>
            </w:r>
          </w:p>
        </w:tc>
        <w:tc>
          <w:tcPr>
            <w:tcW w:w="160" w:type="dxa"/>
            <w:vAlign w:val="bottom"/>
          </w:tcPr>
          <w:p>
            <w:pPr>
              <w:spacing w:after="0"/>
              <w:rPr>
                <w:sz w:val="22"/>
                <w:szCs w:val="22"/>
                <w:color w:val="auto"/>
              </w:rPr>
            </w:pPr>
          </w:p>
        </w:tc>
        <w:tc>
          <w:tcPr>
            <w:tcW w:w="1200" w:type="dxa"/>
            <w:vAlign w:val="bottom"/>
          </w:tcPr>
          <w:p>
            <w:pPr>
              <w:jc w:val="right"/>
              <w:ind w:right="130"/>
              <w:spacing w:after="0"/>
              <w:rPr>
                <w:sz w:val="20"/>
                <w:szCs w:val="20"/>
                <w:color w:val="auto"/>
              </w:rPr>
            </w:pPr>
            <w:r>
              <w:rPr>
                <w:rFonts w:ascii="Arial" w:cs="Arial" w:eastAsia="Arial" w:hAnsi="Arial"/>
                <w:sz w:val="16"/>
                <w:szCs w:val="16"/>
                <w:b w:val="1"/>
                <w:bCs w:val="1"/>
                <w:color w:val="auto"/>
                <w:w w:val="92"/>
              </w:rPr>
              <w:t>June 30, 2018</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Resort management and other services</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REVENUES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Rental</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reimbursements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500"/>
              <w:spacing w:after="0"/>
              <w:rPr>
                <w:sz w:val="20"/>
                <w:szCs w:val="20"/>
                <w:color w:val="auto"/>
              </w:rPr>
            </w:pPr>
            <w:r>
              <w:rPr>
                <w:rFonts w:ascii="Arial" w:cs="Arial" w:eastAsia="Arial" w:hAnsi="Arial"/>
                <w:sz w:val="18"/>
                <w:szCs w:val="18"/>
                <w:b w:val="1"/>
                <w:bCs w:val="1"/>
                <w:color w:val="auto"/>
              </w:rPr>
              <w:t>TOTAL EXPENSES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Gains (losses) and other income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ILG acquisition-related costs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5"/>
        </w:trPr>
        <w:tc>
          <w:tcPr>
            <w:tcW w:w="562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FINANCIAL RESULTS BEFORE INCOME TAXES AND</w:t>
            </w: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NONCONTROLLING INTERESTS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FINANCIAL RESULTS BEFORE NONCONTROLLING INTERESTS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562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FINANCIAL RESULTS ATTRIBUTABLE TO COMMON</w:t>
            </w:r>
          </w:p>
        </w:tc>
        <w:tc>
          <w:tcPr>
            <w:tcW w:w="20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6"/>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SHAREHOLDERS</w:t>
            </w:r>
          </w:p>
        </w:tc>
        <w:tc>
          <w:tcPr>
            <w:tcW w:w="20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6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89"/>
              </w:rPr>
              <w:t>78</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Consolidated Property Owners’ Associations</w:t>
      </w:r>
    </w:p>
    <w:p>
      <w:pPr>
        <w:spacing w:after="0" w:line="121"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The following table illustrates the impact of the Consolidated Property Owners’ Associations of the acquired Legacy-ILG vacation ownership properties under the voting interest model, which represents the portion related to individual or third-party VOI owners.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5"/>
          </w:tcPr>
          <w:p>
            <w:pPr>
              <w:jc w:val="right"/>
              <w:ind w:right="156"/>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80" w:type="dxa"/>
            <w:vAlign w:val="bottom"/>
            <w:gridSpan w:val="6"/>
          </w:tcPr>
          <w:p>
            <w:pPr>
              <w:jc w:val="right"/>
              <w:spacing w:after="0"/>
              <w:rPr>
                <w:sz w:val="20"/>
                <w:szCs w:val="20"/>
                <w:color w:val="auto"/>
              </w:rPr>
            </w:pPr>
            <w:r>
              <w:rPr>
                <w:rFonts w:ascii="Arial" w:cs="Arial" w:eastAsia="Arial" w:hAnsi="Arial"/>
                <w:sz w:val="16"/>
                <w:szCs w:val="16"/>
                <w:b w:val="1"/>
                <w:bCs w:val="1"/>
                <w:color w:val="auto"/>
                <w:w w:val="93"/>
              </w:rPr>
              <w:t>Six Months Ended</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4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6"/>
              </w:rPr>
              <w:t>June 30, 2019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3"/>
          </w:tcPr>
          <w:p>
            <w:pPr>
              <w:ind w:left="80"/>
              <w:spacing w:after="0"/>
              <w:rPr>
                <w:sz w:val="20"/>
                <w:szCs w:val="20"/>
                <w:color w:val="auto"/>
              </w:rPr>
            </w:pPr>
            <w:r>
              <w:rPr>
                <w:rFonts w:ascii="Arial" w:cs="Arial" w:eastAsia="Arial" w:hAnsi="Arial"/>
                <w:sz w:val="16"/>
                <w:szCs w:val="16"/>
                <w:b w:val="1"/>
                <w:bCs w:val="1"/>
                <w:color w:val="auto"/>
              </w:rPr>
              <w:t>June 30, 2018</w:t>
            </w:r>
          </w:p>
        </w:tc>
        <w:tc>
          <w:tcPr>
            <w:tcW w:w="100" w:type="dxa"/>
            <w:vAlign w:val="bottom"/>
          </w:tcPr>
          <w:p>
            <w:pPr>
              <w:spacing w:after="0"/>
              <w:rPr>
                <w:sz w:val="22"/>
                <w:szCs w:val="22"/>
                <w:color w:val="auto"/>
              </w:rPr>
            </w:pPr>
          </w:p>
        </w:tc>
        <w:tc>
          <w:tcPr>
            <w:tcW w:w="1480" w:type="dxa"/>
            <w:vAlign w:val="bottom"/>
            <w:gridSpan w:val="5"/>
          </w:tcPr>
          <w:p>
            <w:pPr>
              <w:ind w:left="220"/>
              <w:spacing w:after="0"/>
              <w:rPr>
                <w:sz w:val="20"/>
                <w:szCs w:val="20"/>
                <w:color w:val="auto"/>
              </w:rPr>
            </w:pPr>
            <w:r>
              <w:rPr>
                <w:rFonts w:ascii="Arial" w:cs="Arial" w:eastAsia="Arial" w:hAnsi="Arial"/>
                <w:sz w:val="16"/>
                <w:szCs w:val="16"/>
                <w:b w:val="1"/>
                <w:bCs w:val="1"/>
                <w:color w:val="auto"/>
              </w:rPr>
              <w:t>June 30, 2019</w:t>
            </w:r>
          </w:p>
        </w:tc>
        <w:tc>
          <w:tcPr>
            <w:tcW w:w="14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2018</w:t>
            </w:r>
          </w:p>
        </w:tc>
        <w:tc>
          <w:tcPr>
            <w:tcW w:w="0" w:type="dxa"/>
            <w:vAlign w:val="bottom"/>
          </w:tcPr>
          <w:p>
            <w:pPr>
              <w:spacing w:after="0"/>
              <w:rPr>
                <w:sz w:val="1"/>
                <w:szCs w:val="1"/>
                <w:color w:val="auto"/>
              </w:rPr>
            </w:pPr>
          </w:p>
        </w:tc>
      </w:tr>
      <w:tr>
        <w:trPr>
          <w:trHeight w:val="250"/>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Resort management and other services</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gridSpan w:val="2"/>
          </w:tcPr>
          <w:p>
            <w:pPr>
              <w:jc w:val="center"/>
              <w:ind w:right="20"/>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559"/>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19"/>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21"/>
                <w:szCs w:val="21"/>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REVENUES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Rental</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reimbursements</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460" w:type="dxa"/>
            <w:vAlign w:val="bottom"/>
          </w:tcPr>
          <w:p>
            <w:pPr>
              <w:ind w:left="500"/>
              <w:spacing w:after="0"/>
              <w:rPr>
                <w:sz w:val="20"/>
                <w:szCs w:val="20"/>
                <w:color w:val="auto"/>
              </w:rPr>
            </w:pPr>
            <w:r>
              <w:rPr>
                <w:rFonts w:ascii="Arial" w:cs="Arial" w:eastAsia="Arial" w:hAnsi="Arial"/>
                <w:sz w:val="18"/>
                <w:szCs w:val="18"/>
                <w:b w:val="1"/>
                <w:bCs w:val="1"/>
                <w:color w:val="auto"/>
              </w:rPr>
              <w:t>TOTAL EXPENSES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gridSpan w:val="3"/>
          </w:tcPr>
          <w:p>
            <w:pPr>
              <w:jc w:val="right"/>
              <w:ind w:right="19"/>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FINANCIAL RESULTS BEFORE NONCONTROLLING INTERESTS</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gridSpan w:val="2"/>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580" w:type="dxa"/>
            <w:vAlign w:val="bottom"/>
            <w:gridSpan w:val="2"/>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FINANCIAL RESULTS ATTRIBUTABLE TO COMMON</w:t>
            </w:r>
          </w:p>
        </w:tc>
        <w:tc>
          <w:tcPr>
            <w:tcW w:w="1040" w:type="dxa"/>
            <w:vAlign w:val="bottom"/>
            <w:shd w:val="clear" w:color="auto" w:fill="CCEEFF"/>
          </w:tcPr>
          <w:p>
            <w:pPr>
              <w:spacing w:after="0"/>
              <w:rPr>
                <w:sz w:val="17"/>
                <w:szCs w:val="17"/>
                <w:color w:val="auto"/>
              </w:rPr>
            </w:pPr>
          </w:p>
        </w:tc>
        <w:tc>
          <w:tcPr>
            <w:tcW w:w="140" w:type="dxa"/>
            <w:vAlign w:val="bottom"/>
            <w:gridSpan w:val="2"/>
            <w:vMerge w:val="restart"/>
            <w:shd w:val="clear" w:color="auto" w:fill="CCEEFF"/>
          </w:tcPr>
          <w:p>
            <w:pPr>
              <w:jc w:val="center"/>
              <w:ind w:right="2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559"/>
              <w:spacing w:after="0"/>
              <w:rPr>
                <w:sz w:val="20"/>
                <w:szCs w:val="20"/>
                <w:color w:val="auto"/>
              </w:rPr>
            </w:pPr>
            <w:r>
              <w:rPr>
                <w:rFonts w:ascii="Arial" w:cs="Arial" w:eastAsia="Arial" w:hAnsi="Arial"/>
                <w:sz w:val="18"/>
                <w:szCs w:val="18"/>
                <w:color w:val="auto"/>
              </w:rPr>
              <w:t>$</w:t>
            </w:r>
          </w:p>
        </w:tc>
        <w:tc>
          <w:tcPr>
            <w:tcW w:w="600" w:type="dxa"/>
            <w:vAlign w:val="bottom"/>
            <w:gridSpan w:val="3"/>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gridSpan w:val="2"/>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240" w:type="dxa"/>
            <w:vAlign w:val="bottom"/>
            <w:gridSpan w:val="2"/>
            <w:vMerge w:val="continue"/>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600" w:type="dxa"/>
            <w:vAlign w:val="bottom"/>
            <w:gridSpan w:val="3"/>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General and Administrative</w:t>
            </w: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60" w:type="dxa"/>
            <w:vAlign w:val="bottom"/>
          </w:tcPr>
          <w:p>
            <w:pPr>
              <w:ind w:left="660"/>
              <w:spacing w:after="0"/>
              <w:rPr>
                <w:sz w:val="20"/>
                <w:szCs w:val="20"/>
                <w:color w:val="auto"/>
              </w:rPr>
            </w:pPr>
            <w:r>
              <w:rPr>
                <w:rFonts w:ascii="Arial" w:cs="Arial" w:eastAsia="Arial" w:hAnsi="Arial"/>
                <w:sz w:val="18"/>
                <w:szCs w:val="18"/>
                <w:i w:val="1"/>
                <w:iCs w:val="1"/>
                <w:color w:val="auto"/>
              </w:rPr>
              <w:t>2019 Second Quarter</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6"/>
            <w:vMerge w:val="restart"/>
          </w:tcPr>
          <w:p>
            <w:pPr>
              <w:jc w:val="center"/>
              <w:ind w:right="180"/>
              <w:spacing w:after="0"/>
              <w:rPr>
                <w:sz w:val="20"/>
                <w:szCs w:val="20"/>
                <w:color w:val="auto"/>
              </w:rPr>
            </w:pPr>
            <w:r>
              <w:rPr>
                <w:rFonts w:ascii="Arial" w:cs="Arial" w:eastAsia="Arial" w:hAnsi="Arial"/>
                <w:sz w:val="16"/>
                <w:szCs w:val="16"/>
                <w:b w:val="1"/>
                <w:bCs w:val="1"/>
                <w:color w:val="auto"/>
                <w:w w:val="93"/>
              </w:rPr>
              <w:t>Three Months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gridSpan w:val="2"/>
          </w:tcPr>
          <w:p>
            <w:pPr>
              <w:jc w:val="center"/>
              <w:ind w:right="199"/>
              <w:spacing w:after="0"/>
              <w:rPr>
                <w:sz w:val="20"/>
                <w:szCs w:val="20"/>
                <w:color w:val="auto"/>
              </w:rPr>
            </w:pPr>
            <w:r>
              <w:rPr>
                <w:rFonts w:ascii="Arial" w:cs="Arial" w:eastAsia="Arial" w:hAnsi="Arial"/>
                <w:sz w:val="16"/>
                <w:szCs w:val="16"/>
                <w:b w:val="1"/>
                <w:bCs w:val="1"/>
                <w:color w:val="auto"/>
                <w:w w:val="91"/>
              </w:rPr>
              <w:t>Change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gridSpan w:val="2"/>
            <w:vMerge w:val="restart"/>
          </w:tcPr>
          <w:p>
            <w:pPr>
              <w:jc w:val="center"/>
              <w:ind w:right="199"/>
              <w:spacing w:after="0"/>
              <w:rPr>
                <w:sz w:val="20"/>
                <w:szCs w:val="20"/>
                <w:color w:val="auto"/>
              </w:rPr>
            </w:pPr>
            <w:r>
              <w:rPr>
                <w:rFonts w:ascii="Arial" w:cs="Arial" w:eastAsia="Arial" w:hAnsi="Arial"/>
                <w:sz w:val="16"/>
                <w:szCs w:val="16"/>
                <w:b w:val="1"/>
                <w:bCs w:val="1"/>
                <w:color w:val="auto"/>
                <w:w w:val="87"/>
              </w:rPr>
              <w:t>due to</w:t>
            </w: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gridSpan w:val="5"/>
            <w:vMerge w:val="restart"/>
          </w:tcPr>
          <w:p>
            <w:pPr>
              <w:jc w:val="center"/>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2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6"/>
                <w:szCs w:val="16"/>
                <w:b w:val="1"/>
                <w:bCs w:val="1"/>
                <w:color w:val="auto"/>
                <w:w w:val="88"/>
              </w:rPr>
              <w:t>June 30, 2019</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6"/>
                <w:szCs w:val="16"/>
                <w:b w:val="1"/>
                <w:bCs w:val="1"/>
                <w:color w:val="auto"/>
                <w:w w:val="97"/>
              </w:rPr>
              <w:t>June 30, 2018</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6"/>
                <w:szCs w:val="16"/>
                <w:b w:val="1"/>
                <w:bCs w:val="1"/>
                <w:color w:val="auto"/>
                <w:w w:val="88"/>
              </w:rPr>
              <w:t>Change</w:t>
            </w: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6"/>
              </w:rPr>
              <w:t>Legacy-ILG</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43"/>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79</w:t>
            </w:r>
          </w:p>
        </w:tc>
        <w:tc>
          <w:tcPr>
            <w:tcW w:w="48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46</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0" w:type="dxa"/>
            <w:vAlign w:val="bottom"/>
            <w:gridSpan w:val="3"/>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w w:val="79"/>
              </w:rPr>
              <w:t>2</w:t>
            </w:r>
          </w:p>
        </w:tc>
        <w:tc>
          <w:tcPr>
            <w:tcW w:w="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Excluding the impact of the ILG Acquisition, general and administrative expenses increased $2 million due to higher personnel related and other expenses, partially offset by savings from synergy initiatives. The personnel related and other expenses included annual merit, bonus and inflationary cost increases.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First Half</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vMerge w:val="restart"/>
          </w:tcPr>
          <w:p>
            <w:pPr>
              <w:jc w:val="right"/>
              <w:ind w:right="54"/>
              <w:spacing w:after="0"/>
              <w:rPr>
                <w:sz w:val="20"/>
                <w:szCs w:val="20"/>
                <w:color w:val="auto"/>
              </w:rPr>
            </w:pPr>
            <w:r>
              <w:rPr>
                <w:rFonts w:ascii="Arial" w:cs="Arial" w:eastAsia="Arial" w:hAnsi="Arial"/>
                <w:sz w:val="16"/>
                <w:szCs w:val="16"/>
                <w:b w:val="1"/>
                <w:bCs w:val="1"/>
                <w:color w:val="auto"/>
              </w:rPr>
              <w:t>Six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4"/>
                <w:szCs w:val="4"/>
                <w:color w:val="auto"/>
              </w:rPr>
            </w:pPr>
          </w:p>
        </w:tc>
        <w:tc>
          <w:tcPr>
            <w:tcW w:w="1720" w:type="dxa"/>
            <w:vAlign w:val="bottom"/>
            <w:gridSpan w:val="2"/>
            <w:vMerge w:val="restart"/>
          </w:tcPr>
          <w:p>
            <w:pPr>
              <w:jc w:val="center"/>
              <w:ind w:right="70"/>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w w:val="88"/>
              </w:rPr>
              <w:t>June 30, 2019</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7"/>
              </w:rPr>
              <w:t>June 30, 2018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w w:val="98"/>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6"/>
                <w:szCs w:val="16"/>
                <w:b w:val="1"/>
                <w:bCs w:val="1"/>
                <w:color w:val="auto"/>
                <w:w w:val="96"/>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43"/>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6</w:t>
            </w:r>
          </w:p>
        </w:tc>
        <w:tc>
          <w:tcPr>
            <w:tcW w:w="8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Excluding the impact of the ILG Acquisition, general and administrative expenses increased $6 million due to higher personnel related and other expenses, partially offset by savings from synergy initiatives. The personnel related and other expenses included annual merit, bonus and inflationary cost increases.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580"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Depreciation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Second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8"/>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Change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June 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center"/>
              <w:ind w:left="59"/>
              <w:spacing w:after="0"/>
              <w:rPr>
                <w:sz w:val="20"/>
                <w:szCs w:val="20"/>
                <w:color w:val="auto"/>
              </w:rPr>
            </w:pPr>
            <w:r>
              <w:rPr>
                <w:rFonts w:ascii="Arial" w:cs="Arial" w:eastAsia="Arial" w:hAnsi="Arial"/>
                <w:sz w:val="16"/>
                <w:szCs w:val="16"/>
                <w:b w:val="1"/>
                <w:bCs w:val="1"/>
                <w:color w:val="auto"/>
                <w:w w:val="90"/>
              </w:rPr>
              <w:t>June 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87"/>
              </w:rPr>
              <w:t>due to</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w w:val="91"/>
              </w:rPr>
              <w:t>Change</w:t>
            </w: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8"/>
              </w:rPr>
              <w:t>Legacy-ILG</w:t>
            </w:r>
          </w:p>
        </w:tc>
        <w:tc>
          <w:tcPr>
            <w:tcW w:w="1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7</w:t>
            </w:r>
          </w:p>
        </w:tc>
        <w:tc>
          <w:tcPr>
            <w:tcW w:w="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41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1</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32"/>
        </w:trPr>
        <w:tc>
          <w:tcPr>
            <w:tcW w:w="3620" w:type="dxa"/>
            <w:vAlign w:val="bottom"/>
            <w:gridSpan w:val="2"/>
          </w:tcPr>
          <w:p>
            <w:pPr>
              <w:ind w:left="660"/>
              <w:spacing w:after="0"/>
              <w:rPr>
                <w:sz w:val="20"/>
                <w:szCs w:val="20"/>
                <w:color w:val="auto"/>
              </w:rPr>
            </w:pPr>
            <w:r>
              <w:rPr>
                <w:rFonts w:ascii="Arial" w:cs="Arial" w:eastAsia="Arial" w:hAnsi="Arial"/>
                <w:sz w:val="18"/>
                <w:szCs w:val="18"/>
                <w:i w:val="1"/>
                <w:iCs w:val="1"/>
                <w:color w:val="auto"/>
              </w:rPr>
              <w:t>2019 First Half</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8"/>
          </w:tcPr>
          <w:p>
            <w:pPr>
              <w:jc w:val="center"/>
              <w:spacing w:after="0"/>
              <w:rPr>
                <w:sz w:val="20"/>
                <w:szCs w:val="20"/>
                <w:color w:val="auto"/>
              </w:rPr>
            </w:pPr>
            <w:r>
              <w:rPr>
                <w:rFonts w:ascii="Arial" w:cs="Arial" w:eastAsia="Arial" w:hAnsi="Arial"/>
                <w:sz w:val="16"/>
                <w:szCs w:val="16"/>
                <w:b w:val="1"/>
                <w:bCs w:val="1"/>
                <w:color w:val="auto"/>
                <w:w w:val="92"/>
              </w:rPr>
              <w:t>Six Months Ended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Change</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June 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center"/>
              <w:ind w:left="59"/>
              <w:spacing w:after="0"/>
              <w:rPr>
                <w:sz w:val="20"/>
                <w:szCs w:val="20"/>
                <w:color w:val="auto"/>
              </w:rPr>
            </w:pPr>
            <w:r>
              <w:rPr>
                <w:rFonts w:ascii="Arial" w:cs="Arial" w:eastAsia="Arial" w:hAnsi="Arial"/>
                <w:sz w:val="16"/>
                <w:szCs w:val="16"/>
                <w:b w:val="1"/>
                <w:bCs w:val="1"/>
                <w:color w:val="auto"/>
                <w:w w:val="90"/>
              </w:rPr>
              <w:t>June 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87"/>
              </w:rPr>
              <w:t>due to</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w w:val="91"/>
              </w:rPr>
              <w:t>Change</w:t>
            </w: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8"/>
              </w:rPr>
              <w:t>Legacy-ILG</w:t>
            </w:r>
          </w:p>
        </w:tc>
        <w:tc>
          <w:tcPr>
            <w:tcW w:w="1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41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2</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32"/>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w w:val="95"/>
              </w:rPr>
              <w:t>Gains (Losses) and Other Income (Expense)</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20" w:type="dxa"/>
            <w:vAlign w:val="bottom"/>
            <w:gridSpan w:val="2"/>
          </w:tcPr>
          <w:p>
            <w:pPr>
              <w:ind w:left="660"/>
              <w:spacing w:after="0"/>
              <w:rPr>
                <w:sz w:val="20"/>
                <w:szCs w:val="20"/>
                <w:color w:val="auto"/>
              </w:rPr>
            </w:pPr>
            <w:r>
              <w:rPr>
                <w:rFonts w:ascii="Arial" w:cs="Arial" w:eastAsia="Arial" w:hAnsi="Arial"/>
                <w:sz w:val="18"/>
                <w:szCs w:val="18"/>
                <w:i w:val="1"/>
                <w:iCs w:val="1"/>
                <w:color w:val="auto"/>
              </w:rPr>
              <w:t>2019 Second Quarter</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4"/>
            <w:vMerge w:val="restart"/>
          </w:tcPr>
          <w:p>
            <w:pPr>
              <w:jc w:val="right"/>
              <w:ind w:right="320"/>
              <w:spacing w:after="0"/>
              <w:rPr>
                <w:sz w:val="20"/>
                <w:szCs w:val="20"/>
                <w:color w:val="auto"/>
              </w:rPr>
            </w:pPr>
            <w:r>
              <w:rPr>
                <w:rFonts w:ascii="Arial" w:cs="Arial" w:eastAsia="Arial" w:hAnsi="Arial"/>
                <w:sz w:val="16"/>
                <w:szCs w:val="16"/>
                <w:b w:val="1"/>
                <w:bCs w:val="1"/>
                <w:color w:val="auto"/>
                <w:w w:val="98"/>
              </w:rPr>
              <w:t>Change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4"/>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June 30,</w:t>
            </w:r>
          </w:p>
        </w:tc>
        <w:tc>
          <w:tcPr>
            <w:tcW w:w="94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w w:val="90"/>
              </w:rPr>
              <w:t>June 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ind w:left="20"/>
              <w:spacing w:after="0"/>
              <w:rPr>
                <w:sz w:val="20"/>
                <w:szCs w:val="20"/>
                <w:color w:val="auto"/>
              </w:rPr>
            </w:pPr>
            <w:r>
              <w:rPr>
                <w:rFonts w:ascii="Arial" w:cs="Arial" w:eastAsia="Arial" w:hAnsi="Arial"/>
                <w:sz w:val="16"/>
                <w:szCs w:val="16"/>
                <w:b w:val="1"/>
                <w:bCs w:val="1"/>
                <w:color w:val="auto"/>
              </w:rPr>
              <w:t>due to</w:t>
            </w:r>
          </w:p>
        </w:tc>
        <w:tc>
          <w:tcPr>
            <w:tcW w:w="120" w:type="dxa"/>
            <w:vAlign w:val="bottom"/>
          </w:tcPr>
          <w:p>
            <w:pPr>
              <w:spacing w:after="0"/>
              <w:rPr>
                <w:sz w:val="18"/>
                <w:szCs w:val="18"/>
                <w:color w:val="auto"/>
              </w:rPr>
            </w:pPr>
          </w:p>
        </w:tc>
        <w:tc>
          <w:tcPr>
            <w:tcW w:w="1400" w:type="dxa"/>
            <w:vAlign w:val="bottom"/>
            <w:gridSpan w:val="5"/>
          </w:tcPr>
          <w:p>
            <w:pPr>
              <w:ind w:left="20"/>
              <w:spacing w:after="0"/>
              <w:rPr>
                <w:sz w:val="20"/>
                <w:szCs w:val="20"/>
                <w:color w:val="auto"/>
              </w:rPr>
            </w:pPr>
            <w:r>
              <w:rPr>
                <w:rFonts w:ascii="Arial" w:cs="Arial" w:eastAsia="Arial" w:hAnsi="Arial"/>
                <w:sz w:val="16"/>
                <w:szCs w:val="16"/>
                <w:b w:val="1"/>
                <w:bCs w:val="1"/>
                <w:color w:val="auto"/>
                <w:w w:val="97"/>
              </w:rPr>
              <w:t>Change Excluding</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7"/>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6"/>
                <w:szCs w:val="16"/>
                <w:b w:val="1"/>
                <w:bCs w:val="1"/>
                <w:color w:val="auto"/>
              </w:rPr>
              <w:t>2018</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w w:val="88"/>
              </w:rPr>
              <w:t>Change</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Legacy-ILG</w:t>
            </w:r>
          </w:p>
        </w:tc>
        <w:tc>
          <w:tcPr>
            <w:tcW w:w="10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Legacy-ILG Impact</w:t>
            </w: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Gains (losses) and other income (expense),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620" w:type="dxa"/>
            <w:vAlign w:val="bottom"/>
            <w:gridSpan w:val="3"/>
            <w:shd w:val="clear" w:color="auto" w:fill="CCEEFF"/>
          </w:tcPr>
          <w:p>
            <w:pPr>
              <w:jc w:val="right"/>
              <w:ind w:right="76"/>
              <w:spacing w:after="0"/>
              <w:rPr>
                <w:sz w:val="20"/>
                <w:szCs w:val="20"/>
                <w:color w:val="auto"/>
              </w:rPr>
            </w:pPr>
            <w:r>
              <w:rPr>
                <w:rFonts w:ascii="Arial" w:cs="Arial" w:eastAsia="Arial" w:hAnsi="Arial"/>
                <w:sz w:val="18"/>
                <w:szCs w:val="18"/>
                <w:color w:val="auto"/>
                <w:w w:val="95"/>
              </w:rPr>
              <w:t>121%</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6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the second quarter of 2019, we recorded $3 million of gains and other income resulting from the recovery of a portion of the fraudulently induced electronic payment disbursements made in the second quarter of 2018. In the second quarter of 2018, we recorded $7 million of losses and other expenses primarily resulting from fraudulently induced electronic payment disbursements made to third parties.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First Half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1980" w:type="dxa"/>
            <w:vAlign w:val="bottom"/>
            <w:gridSpan w:val="6"/>
          </w:tcPr>
          <w:p>
            <w:pPr>
              <w:jc w:val="right"/>
              <w:ind w:right="38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Change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40" w:type="dxa"/>
            <w:vAlign w:val="bottom"/>
          </w:tcPr>
          <w:p>
            <w:pPr>
              <w:spacing w:after="0"/>
              <w:rPr>
                <w:sz w:val="18"/>
                <w:szCs w:val="18"/>
                <w:color w:val="auto"/>
              </w:rPr>
            </w:pPr>
          </w:p>
        </w:tc>
        <w:tc>
          <w:tcPr>
            <w:tcW w:w="720" w:type="dxa"/>
            <w:vAlign w:val="bottom"/>
          </w:tcPr>
          <w:p>
            <w:pPr>
              <w:jc w:val="center"/>
              <w:ind w:left="57"/>
              <w:spacing w:after="0"/>
              <w:rPr>
                <w:sz w:val="20"/>
                <w:szCs w:val="20"/>
                <w:color w:val="auto"/>
              </w:rPr>
            </w:pPr>
            <w:r>
              <w:rPr>
                <w:rFonts w:ascii="Arial" w:cs="Arial" w:eastAsia="Arial" w:hAnsi="Arial"/>
                <w:sz w:val="16"/>
                <w:szCs w:val="16"/>
                <w:b w:val="1"/>
                <w:bCs w:val="1"/>
                <w:color w:val="auto"/>
                <w:w w:val="90"/>
              </w:rPr>
              <w:t>June 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due to</w:t>
            </w:r>
          </w:p>
        </w:tc>
        <w:tc>
          <w:tcPr>
            <w:tcW w:w="12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237"/>
        </w:trPr>
        <w:tc>
          <w:tcPr>
            <w:tcW w:w="36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74"/>
              <w:spacing w:after="0"/>
              <w:rPr>
                <w:sz w:val="20"/>
                <w:szCs w:val="20"/>
                <w:color w:val="auto"/>
              </w:rPr>
            </w:pPr>
            <w:r>
              <w:rPr>
                <w:rFonts w:ascii="Arial" w:cs="Arial" w:eastAsia="Arial" w:hAnsi="Arial"/>
                <w:sz w:val="16"/>
                <w:szCs w:val="16"/>
                <w:b w:val="1"/>
                <w:bCs w:val="1"/>
                <w:color w:val="auto"/>
                <w:w w:val="88"/>
              </w:rPr>
              <w:t>Change</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6"/>
              </w:rPr>
              <w:t>Legacy-ILG</w:t>
            </w:r>
          </w:p>
        </w:tc>
        <w:tc>
          <w:tcPr>
            <w:tcW w:w="10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Gains (losses) and other income (expense), net</w:t>
            </w:r>
          </w:p>
        </w:tc>
        <w:tc>
          <w:tcPr>
            <w:tcW w:w="72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w:t>
            </w: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3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In the first half of 2019, we recorded $3 million of gains and other income resulting from the recovery of a portion of the fraudulently induced electronic payment disbursements made in the second quarter of 2018, partially offset by $1 million of losses and other expenses. In the first half of 2018, we recorded $7 million of losses and other expenses primarily resulting from fraudulently induced electronic payment disbursements made to third parties.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Second Quarter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3"/>
            <w:vMerge w:val="restart"/>
          </w:tcPr>
          <w:p>
            <w:pPr>
              <w:jc w:val="right"/>
              <w:ind w:right="14"/>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60" w:type="dxa"/>
            <w:vAlign w:val="bottom"/>
            <w:gridSpan w:val="3"/>
            <w:vMerge w:val="continue"/>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4"/>
                <w:szCs w:val="4"/>
                <w:color w:val="auto"/>
              </w:rPr>
            </w:pPr>
          </w:p>
        </w:tc>
        <w:tc>
          <w:tcPr>
            <w:tcW w:w="1720" w:type="dxa"/>
            <w:vAlign w:val="bottom"/>
            <w:gridSpan w:val="2"/>
            <w:vMerge w:val="restart"/>
          </w:tcPr>
          <w:p>
            <w:pPr>
              <w:jc w:val="right"/>
              <w:ind w:right="210"/>
              <w:spacing w:after="0"/>
              <w:rPr>
                <w:sz w:val="20"/>
                <w:szCs w:val="20"/>
                <w:color w:val="auto"/>
              </w:rPr>
            </w:pPr>
            <w:r>
              <w:rPr>
                <w:rFonts w:ascii="Arial" w:cs="Arial" w:eastAsia="Arial" w:hAnsi="Arial"/>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w w:val="88"/>
              </w:rPr>
              <w:t>June 30, 2019</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7"/>
              </w:rPr>
              <w:t>June 30, 2018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w w:val="98"/>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6"/>
                <w:szCs w:val="16"/>
                <w:b w:val="1"/>
                <w:bCs w:val="1"/>
                <w:color w:val="auto"/>
                <w:w w:val="96"/>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6"/>
                <w:szCs w:val="16"/>
                <w:b w:val="1"/>
                <w:bCs w:val="1"/>
                <w:color w:val="auto"/>
              </w:rPr>
              <w:t>Legacy-ILG Impact</w:t>
            </w:r>
          </w:p>
        </w:tc>
        <w:tc>
          <w:tcPr>
            <w:tcW w:w="0" w:type="dxa"/>
            <w:vAlign w:val="bottom"/>
          </w:tcPr>
          <w:p>
            <w:pPr>
              <w:spacing w:after="0"/>
              <w:rPr>
                <w:sz w:val="1"/>
                <w:szCs w:val="1"/>
                <w:color w:val="auto"/>
              </w:rPr>
            </w:pPr>
          </w:p>
        </w:tc>
      </w:tr>
      <w:tr>
        <w:trPr>
          <w:trHeight w:val="243"/>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(28)</w:t>
            </w:r>
          </w:p>
        </w:tc>
        <w:tc>
          <w:tcPr>
            <w:tcW w:w="8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Interest expense increased $30 million due to $27 million of interest expense associated with the new debt issued in the third quarter of 2018 in connection with the ILG Acquisition, $2 million of interest expense associated with assumed Legacy-ILG debt in the second quarter of 2019 and $1 million of higher interest expense associated with the Warehouse Credit Facility due to higher usage in the second quarter of 2019.</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580" w:right="239" w:bottom="1440" w:gutter="0" w:footer="0" w:header="0"/>
        </w:sectPr>
      </w:pPr>
    </w:p>
    <w:bookmarkStart w:id="82" w:name="page83"/>
    <w:bookmarkEnd w:id="82"/>
    <w:p>
      <w:pPr>
        <w:ind w:left="660"/>
        <w:spacing w:after="0"/>
        <w:rPr>
          <w:sz w:val="20"/>
          <w:szCs w:val="20"/>
          <w:color w:val="auto"/>
        </w:rPr>
      </w:pPr>
      <w:r>
        <w:rPr>
          <w:rFonts w:ascii="Arial" w:cs="Arial" w:eastAsia="Arial" w:hAnsi="Arial"/>
          <w:sz w:val="18"/>
          <w:szCs w:val="18"/>
          <w:i w:val="1"/>
          <w:iCs w:val="1"/>
          <w:color w:val="auto"/>
        </w:rPr>
        <w:t>2019 First Half</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vMerge w:val="restart"/>
          </w:tcPr>
          <w:p>
            <w:pPr>
              <w:jc w:val="right"/>
              <w:ind w:right="54"/>
              <w:spacing w:after="0"/>
              <w:rPr>
                <w:sz w:val="20"/>
                <w:szCs w:val="20"/>
                <w:color w:val="auto"/>
              </w:rPr>
            </w:pPr>
            <w:r>
              <w:rPr>
                <w:rFonts w:ascii="Arial" w:cs="Arial" w:eastAsia="Arial" w:hAnsi="Arial"/>
                <w:sz w:val="16"/>
                <w:szCs w:val="16"/>
                <w:b w:val="1"/>
                <w:bCs w:val="1"/>
                <w:color w:val="auto"/>
              </w:rPr>
              <w:t>Six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4"/>
                <w:szCs w:val="4"/>
                <w:color w:val="auto"/>
              </w:rPr>
            </w:pPr>
          </w:p>
        </w:tc>
        <w:tc>
          <w:tcPr>
            <w:tcW w:w="1720" w:type="dxa"/>
            <w:vAlign w:val="bottom"/>
            <w:gridSpan w:val="2"/>
            <w:vMerge w:val="restart"/>
          </w:tcPr>
          <w:p>
            <w:pPr>
              <w:jc w:val="right"/>
              <w:ind w:right="210"/>
              <w:spacing w:after="0"/>
              <w:rPr>
                <w:sz w:val="20"/>
                <w:szCs w:val="20"/>
                <w:color w:val="auto"/>
              </w:rPr>
            </w:pPr>
            <w:r>
              <w:rPr>
                <w:rFonts w:ascii="Arial" w:cs="Arial" w:eastAsia="Arial" w:hAnsi="Arial"/>
                <w:sz w:val="16"/>
                <w:szCs w:val="16"/>
                <w:b w:val="1"/>
                <w:bCs w:val="1"/>
                <w:color w:val="auto"/>
              </w:rPr>
              <w:t>Change Excluding</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w w:val="88"/>
              </w:rPr>
              <w:t>June 30, 2019</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7"/>
              </w:rPr>
              <w:t>June 30, 2018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w w:val="98"/>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6"/>
                <w:szCs w:val="16"/>
                <w:b w:val="1"/>
                <w:bCs w:val="1"/>
                <w:color w:val="auto"/>
                <w:w w:val="96"/>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6"/>
                <w:szCs w:val="16"/>
                <w:b w:val="1"/>
                <w:bCs w:val="1"/>
                <w:color w:val="auto"/>
              </w:rPr>
              <w:t>Legacy-ILG Impact</w:t>
            </w:r>
          </w:p>
        </w:tc>
        <w:tc>
          <w:tcPr>
            <w:tcW w:w="0" w:type="dxa"/>
            <w:vAlign w:val="bottom"/>
          </w:tcPr>
          <w:p>
            <w:pPr>
              <w:spacing w:after="0"/>
              <w:rPr>
                <w:sz w:val="1"/>
                <w:szCs w:val="1"/>
                <w:color w:val="auto"/>
              </w:rPr>
            </w:pPr>
          </w:p>
        </w:tc>
      </w:tr>
      <w:tr>
        <w:trPr>
          <w:trHeight w:val="243"/>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(56)</w:t>
            </w:r>
          </w:p>
        </w:tc>
        <w:tc>
          <w:tcPr>
            <w:tcW w:w="8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420" w:firstLine="648"/>
        <w:spacing w:after="0" w:line="286" w:lineRule="auto"/>
        <w:rPr>
          <w:sz w:val="20"/>
          <w:szCs w:val="20"/>
          <w:color w:val="auto"/>
        </w:rPr>
      </w:pPr>
      <w:r>
        <w:rPr>
          <w:rFonts w:ascii="Arial" w:cs="Arial" w:eastAsia="Arial" w:hAnsi="Arial"/>
          <w:sz w:val="17"/>
          <w:szCs w:val="17"/>
          <w:color w:val="auto"/>
        </w:rPr>
        <w:t>Interest expense increased $60 million due to $53 million of interest expense associated with the new debt issued in the third quarter of 2018 in connection with the ILG Acquisition, $4 million of interest expense associated with assumed Legacy-ILG debt in the first half of 2019 and $3 million of higher interest expense associated with the Warehouse Credit Facility due to higher usage in the first half of 2019.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ILG Acquisition-Related Costs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Second Quarter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4"/>
                <w:szCs w:val="4"/>
                <w:color w:val="auto"/>
              </w:rPr>
            </w:pPr>
          </w:p>
        </w:tc>
        <w:tc>
          <w:tcPr>
            <w:tcW w:w="1720" w:type="dxa"/>
            <w:vAlign w:val="bottom"/>
            <w:gridSpan w:val="2"/>
            <w:vMerge w:val="restart"/>
          </w:tcPr>
          <w:p>
            <w:pPr>
              <w:jc w:val="center"/>
              <w:ind w:right="70"/>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w w:val="88"/>
              </w:rPr>
              <w:t>June 30, 2019</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7"/>
              </w:rPr>
              <w:t>June 30, 2018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w w:val="98"/>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6"/>
                <w:szCs w:val="16"/>
                <w:b w:val="1"/>
                <w:bCs w:val="1"/>
                <w:color w:val="auto"/>
                <w:w w:val="96"/>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ILG acquisition-related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(10)</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32"/>
        </w:trPr>
        <w:tc>
          <w:tcPr>
            <w:tcW w:w="4460" w:type="dxa"/>
            <w:vAlign w:val="bottom"/>
          </w:tcPr>
          <w:p>
            <w:pPr>
              <w:ind w:left="660"/>
              <w:spacing w:after="0"/>
              <w:rPr>
                <w:sz w:val="20"/>
                <w:szCs w:val="20"/>
                <w:color w:val="auto"/>
              </w:rPr>
            </w:pPr>
            <w:r>
              <w:rPr>
                <w:rFonts w:ascii="Arial" w:cs="Arial" w:eastAsia="Arial" w:hAnsi="Arial"/>
                <w:sz w:val="18"/>
                <w:szCs w:val="18"/>
                <w:i w:val="1"/>
                <w:iCs w:val="1"/>
                <w:color w:val="auto"/>
              </w:rPr>
              <w:t>2019 First Half</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3"/>
            <w:vMerge w:val="restart"/>
          </w:tcPr>
          <w:p>
            <w:pPr>
              <w:jc w:val="right"/>
              <w:ind w:right="54"/>
              <w:spacing w:after="0"/>
              <w:rPr>
                <w:sz w:val="20"/>
                <w:szCs w:val="20"/>
                <w:color w:val="auto"/>
              </w:rPr>
            </w:pPr>
            <w:r>
              <w:rPr>
                <w:rFonts w:ascii="Arial" w:cs="Arial" w:eastAsia="Arial" w:hAnsi="Arial"/>
                <w:sz w:val="16"/>
                <w:szCs w:val="16"/>
                <w:b w:val="1"/>
                <w:bCs w:val="1"/>
                <w:color w:val="auto"/>
              </w:rPr>
              <w:t>Six Months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4"/>
                <w:szCs w:val="4"/>
                <w:color w:val="auto"/>
              </w:rPr>
            </w:pPr>
          </w:p>
        </w:tc>
        <w:tc>
          <w:tcPr>
            <w:tcW w:w="1720" w:type="dxa"/>
            <w:vAlign w:val="bottom"/>
            <w:gridSpan w:val="2"/>
            <w:vMerge w:val="restart"/>
          </w:tcPr>
          <w:p>
            <w:pPr>
              <w:jc w:val="center"/>
              <w:ind w:right="70"/>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w w:val="88"/>
              </w:rPr>
              <w:t>June 30, 2019</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7"/>
              </w:rPr>
              <w:t>June 30, 2018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w w:val="98"/>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6"/>
                <w:szCs w:val="16"/>
                <w:b w:val="1"/>
                <w:bCs w:val="1"/>
                <w:color w:val="auto"/>
                <w:w w:val="96"/>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43"/>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ILG acquisition-related costs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(27)</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ILG acquisition-related costs include transaction costs, employee termination costs and integration costs. Transaction costs represent costs related to the planning and execution of the ILG Acquisition, primarily for financial advisory, legal, and other professional service fees. Employee termination costs represent charges for employee severance, retention and other termination related benefits. Acquisition and integration costs primarily represent integration employee salaries and share-based compensation, fees paid to change management consultants and technology-related costs.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Second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4500" w:type="dxa"/>
            <w:vAlign w:val="bottom"/>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8"/>
        </w:trPr>
        <w:tc>
          <w:tcPr>
            <w:tcW w:w="45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60" w:type="dxa"/>
            <w:vAlign w:val="bottom"/>
            <w:gridSpan w:val="3"/>
          </w:tcPr>
          <w:p>
            <w:pPr>
              <w:ind w:left="100"/>
              <w:spacing w:after="0"/>
              <w:rPr>
                <w:sz w:val="20"/>
                <w:szCs w:val="20"/>
                <w:color w:val="auto"/>
              </w:rPr>
            </w:pPr>
            <w:r>
              <w:rPr>
                <w:rFonts w:ascii="Arial" w:cs="Arial" w:eastAsia="Arial" w:hAnsi="Arial"/>
                <w:sz w:val="16"/>
                <w:szCs w:val="16"/>
                <w:b w:val="1"/>
                <w:bCs w:val="1"/>
                <w:color w:val="auto"/>
              </w:rPr>
              <w:t>June 30, 2019</w:t>
            </w:r>
          </w:p>
        </w:tc>
        <w:tc>
          <w:tcPr>
            <w:tcW w:w="120" w:type="dxa"/>
            <w:vAlign w:val="bottom"/>
          </w:tcPr>
          <w:p>
            <w:pPr>
              <w:spacing w:after="0"/>
              <w:rPr>
                <w:sz w:val="22"/>
                <w:szCs w:val="22"/>
                <w:color w:val="auto"/>
              </w:rPr>
            </w:pPr>
          </w:p>
        </w:tc>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June 30, 2018</w:t>
            </w:r>
          </w:p>
        </w:tc>
        <w:tc>
          <w:tcPr>
            <w:tcW w:w="200" w:type="dxa"/>
            <w:vAlign w:val="bottom"/>
          </w:tcPr>
          <w:p>
            <w:pPr>
              <w:spacing w:after="0"/>
              <w:rPr>
                <w:sz w:val="22"/>
                <w:szCs w:val="22"/>
                <w:color w:val="auto"/>
              </w:rPr>
            </w:pPr>
          </w:p>
        </w:tc>
        <w:tc>
          <w:tcPr>
            <w:tcW w:w="900" w:type="dxa"/>
            <w:vAlign w:val="bottom"/>
          </w:tcPr>
          <w:p>
            <w:pPr>
              <w:jc w:val="right"/>
              <w:ind w:right="194"/>
              <w:spacing w:after="0"/>
              <w:rPr>
                <w:sz w:val="20"/>
                <w:szCs w:val="20"/>
                <w:color w:val="auto"/>
              </w:rPr>
            </w:pPr>
            <w:r>
              <w:rPr>
                <w:rFonts w:ascii="Arial" w:cs="Arial" w:eastAsia="Arial" w:hAnsi="Arial"/>
                <w:sz w:val="16"/>
                <w:szCs w:val="16"/>
                <w:b w:val="1"/>
                <w:bCs w:val="1"/>
                <w:color w:val="auto"/>
              </w:rPr>
              <w:t>Change</w:t>
            </w:r>
          </w:p>
        </w:tc>
      </w:tr>
      <w:tr>
        <w:trPr>
          <w:trHeight w:val="243"/>
        </w:trPr>
        <w:tc>
          <w:tcPr>
            <w:tcW w:w="4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45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increase in the provision for income taxes was primarily due to increases in U.S. and foreign earnings as a result of the ILG Acquisition during the third quarter of 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First Half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5"/>
          </w:tcPr>
          <w:p>
            <w:pPr>
              <w:ind w:left="24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4500" w:type="dxa"/>
            <w:vAlign w:val="bottom"/>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8"/>
        </w:trPr>
        <w:tc>
          <w:tcPr>
            <w:tcW w:w="45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60" w:type="dxa"/>
            <w:vAlign w:val="bottom"/>
            <w:gridSpan w:val="3"/>
          </w:tcPr>
          <w:p>
            <w:pPr>
              <w:ind w:left="100"/>
              <w:spacing w:after="0"/>
              <w:rPr>
                <w:sz w:val="20"/>
                <w:szCs w:val="20"/>
                <w:color w:val="auto"/>
              </w:rPr>
            </w:pPr>
            <w:r>
              <w:rPr>
                <w:rFonts w:ascii="Arial" w:cs="Arial" w:eastAsia="Arial" w:hAnsi="Arial"/>
                <w:sz w:val="16"/>
                <w:szCs w:val="16"/>
                <w:b w:val="1"/>
                <w:bCs w:val="1"/>
                <w:color w:val="auto"/>
              </w:rPr>
              <w:t>June 30, 2019</w:t>
            </w:r>
          </w:p>
        </w:tc>
        <w:tc>
          <w:tcPr>
            <w:tcW w:w="120" w:type="dxa"/>
            <w:vAlign w:val="bottom"/>
          </w:tcPr>
          <w:p>
            <w:pPr>
              <w:spacing w:after="0"/>
              <w:rPr>
                <w:sz w:val="22"/>
                <w:szCs w:val="22"/>
                <w:color w:val="auto"/>
              </w:rPr>
            </w:pPr>
          </w:p>
        </w:tc>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June 30, 2018</w:t>
            </w:r>
          </w:p>
        </w:tc>
        <w:tc>
          <w:tcPr>
            <w:tcW w:w="200" w:type="dxa"/>
            <w:vAlign w:val="bottom"/>
          </w:tcPr>
          <w:p>
            <w:pPr>
              <w:spacing w:after="0"/>
              <w:rPr>
                <w:sz w:val="22"/>
                <w:szCs w:val="22"/>
                <w:color w:val="auto"/>
              </w:rPr>
            </w:pPr>
          </w:p>
        </w:tc>
        <w:tc>
          <w:tcPr>
            <w:tcW w:w="900" w:type="dxa"/>
            <w:vAlign w:val="bottom"/>
          </w:tcPr>
          <w:p>
            <w:pPr>
              <w:jc w:val="right"/>
              <w:ind w:right="194"/>
              <w:spacing w:after="0"/>
              <w:rPr>
                <w:sz w:val="20"/>
                <w:szCs w:val="20"/>
                <w:color w:val="auto"/>
              </w:rPr>
            </w:pPr>
            <w:r>
              <w:rPr>
                <w:rFonts w:ascii="Arial" w:cs="Arial" w:eastAsia="Arial" w:hAnsi="Arial"/>
                <w:sz w:val="16"/>
                <w:szCs w:val="16"/>
                <w:b w:val="1"/>
                <w:bCs w:val="1"/>
                <w:color w:val="auto"/>
              </w:rPr>
              <w:t>Change</w:t>
            </w:r>
          </w:p>
        </w:tc>
      </w:tr>
      <w:tr>
        <w:trPr>
          <w:trHeight w:val="243"/>
        </w:trPr>
        <w:tc>
          <w:tcPr>
            <w:tcW w:w="4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45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increase in the provision for income taxes was primarily due to increases in U.S. and foreign earnings as a result of the ILG Acquisition during the third quarter of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See Footnote 2 “Significant Accounting Policies and Recent Accounting Standards” to our Financial Statements for a discussion of recently issued accounting pronouncements, including information on new accounting standards and the future adoption of such standards.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584"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Our capital needs are supported by cash on hand ($179 million at the end of the second quarter of 2019), cash generated from operations, our ability to raise capital through securitizations in the ABS market and, to the extent necessary, funds available under the Warehouse Credit Facility and the Revolving Corporate Credit Facility. We believe these sources of capital will be adequate to meet our short-term and long-term liquidity requirements, finance our long-term growth plans, satisfy debt service requirements, fulfill other cash requirements and return capital to shareholders. At June 30, 2019, we had $4.0 billion of total gross debt outstanding, which included $1.8 billion of non-recourse debt associated with vacation ownership notes receivable securitizations, $1.0 billion of Senior Notes, $1.0 billion on our Corporate Credit Facility, $230 million of Convertible Notes and $23 million related to financed lease obligations.</w:t>
      </w:r>
    </w:p>
    <w:p>
      <w:pPr>
        <w:spacing w:after="0" w:line="5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At the end of the second quarter of 2019, we had $876 million of real estate inventory on hand, comprised of $828 million of finished goods and $48 million of work in progress. In addition, we had $48 million of completed vacation ownership units that have been classified as a component of Property and equipment until the time at which they are legally registered and held for sale as vacation ownership products.</w:t>
      </w:r>
    </w:p>
    <w:p>
      <w:pPr>
        <w:spacing w:after="0" w:line="73"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Our Vacation Ownership segment product offerings allow us to utilize our inventory efficiently. The majority of our sales are of points-based products, which permits us to sell vacation ownership products at most of our sales locations, including those where little or no weeks-based inventory remains available for sale. Because we no longer need specific resort-based inventory at each sales location, we need to have only a few resorts under construction at any given time and can leverage successful sales locations at completed resorts. This allows us to maintain long-term sales locations and reduces the need to develop and staff on-site sales locations at smaller projects in the future. We believe our points-based programs enable us to align our inventory acquisitions with the pace of sales of vacation ownership products. We are continuing to standardize our sales inventory acquisition policies across our portfolio of vacation ownership brands acquired as part of the ILG Acquisition.</w:t>
      </w:r>
    </w:p>
    <w:p>
      <w:pPr>
        <w:spacing w:after="0" w:line="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are selectively pursuing growth opportunities in our Vacation Ownership segment by targeting high-quality inventory that allows us to add desirable new destinations to our systems with new on-site sales locations through transactions that limit our up-front capital investment and allow us to purchase finished inventory closer to the time it is needed for sale. These capital efficient deal structures may consist of the development of new inventory, or the conversion of previously built units by third parties, just prior to sale.</w:t>
      </w:r>
    </w:p>
    <w:p>
      <w:pPr>
        <w:spacing w:after="0" w:line="79"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Our Exchange &amp; Third-Party Management segment includes exchange networks, membership programs and third-party property management services that were acquired as part of the ILG Acquisition. These networks, programs and services generate revenue that is generally fee-based and derived from membership, exchange and rental transactions, property and association management and other related products and services.</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cash, cash equivalents and restricted cash:</w:t>
      </w:r>
    </w:p>
    <w:p>
      <w:pPr>
        <w:spacing w:after="0" w:line="185" w:lineRule="exact"/>
        <w:rPr>
          <w:sz w:val="20"/>
          <w:szCs w:val="20"/>
          <w:color w:val="auto"/>
        </w:rPr>
      </w:pPr>
    </w:p>
    <w:p>
      <w:pPr>
        <w:ind w:left="892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37465</wp:posOffset>
            </wp:positionV>
            <wp:extent cx="23837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0"/>
                <w:szCs w:val="20"/>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2019</w:t>
            </w:r>
          </w:p>
        </w:tc>
        <w:tc>
          <w:tcPr>
            <w:tcW w:w="280" w:type="dxa"/>
            <w:vAlign w:val="bottom"/>
          </w:tcPr>
          <w:p>
            <w:pPr>
              <w:spacing w:after="0"/>
              <w:rPr>
                <w:sz w:val="20"/>
                <w:szCs w:val="20"/>
                <w:color w:val="auto"/>
              </w:rPr>
            </w:pPr>
          </w:p>
        </w:tc>
        <w:tc>
          <w:tcPr>
            <w:tcW w:w="1540" w:type="dxa"/>
            <w:vAlign w:val="bottom"/>
          </w:tcPr>
          <w:p>
            <w:pPr>
              <w:jc w:val="right"/>
              <w:ind w:right="351"/>
              <w:spacing w:after="0"/>
              <w:rPr>
                <w:sz w:val="20"/>
                <w:szCs w:val="20"/>
                <w:color w:val="auto"/>
              </w:rPr>
            </w:pPr>
            <w:r>
              <w:rPr>
                <w:rFonts w:ascii="Arial" w:cs="Arial" w:eastAsia="Arial" w:hAnsi="Arial"/>
                <w:sz w:val="16"/>
                <w:szCs w:val="16"/>
                <w:b w:val="1"/>
                <w:bCs w:val="1"/>
                <w:color w:val="auto"/>
              </w:rPr>
              <w:t>June 30, 2018</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provided by (used in):</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58</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187</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change in exchange rates on cash, cash equivalents and restricted cash</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37"/>
        </w:trPr>
        <w:tc>
          <w:tcPr>
            <w:tcW w:w="7660" w:type="dxa"/>
            <w:vAlign w:val="bottom"/>
          </w:tcPr>
          <w:p>
            <w:pPr>
              <w:ind w:left="500"/>
              <w:spacing w:after="0"/>
              <w:rPr>
                <w:sz w:val="20"/>
                <w:szCs w:val="20"/>
                <w:color w:val="auto"/>
              </w:rPr>
            </w:pPr>
            <w:r>
              <w:rPr>
                <w:rFonts w:ascii="Arial" w:cs="Arial" w:eastAsia="Arial" w:hAnsi="Arial"/>
                <w:sz w:val="18"/>
                <w:szCs w:val="18"/>
                <w:color w:val="auto"/>
              </w:rPr>
              <w:t>Net change in cash, cash equivalents and restricted cash</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227</w:t>
            </w:r>
          </w:p>
        </w:tc>
      </w:tr>
      <w:tr>
        <w:trPr>
          <w:trHeight w:val="27"/>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Operating Activities</w:t>
      </w:r>
    </w:p>
    <w:p>
      <w:pPr>
        <w:spacing w:after="0" w:line="11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primary sources of funds from operations are (1) cash sales and down payments on financed sales, (2) cash from our financing operations, including principal and interest payments received on outstanding vacation ownership notes receivable, (3) cash from fee-based membership, exchange and rental transactions and (4) net cash generated from our rental and resort management and other services operations. Outflows include spending for the development of new phases of existing resorts, the acquisition of additional inventory, enhancement of our inventory exchange network of resorts and related technology infrastructure and funding our working capital needs.</w:t>
      </w:r>
    </w:p>
    <w:p>
      <w:pPr>
        <w:spacing w:after="0" w:line="8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property owners’ associations and certain annual compensation-related outflows. In addition, our cash from operations varies due to the timing of our owners’ repayment of vacation ownership notes receivable, the closing or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580"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recording of sales contracts for vacation ownership products, financing propensity and cash outlays for inventory acquisition and development.</w:t>
      </w:r>
    </w:p>
    <w:p>
      <w:pPr>
        <w:spacing w:after="0" w:line="11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the first half of 2019, we generated $56 million of cash flows from operating activities, compared to $58 million in the first half of 2018. Excluding the impact of changes in net income and adjustments for non-cash items, the change in cash flows from operations reflected higher originations of vacation ownership notes receivable driven by higher contract sales, timing of maintenance fee payments on unsold inventory, higher inventory spending and payments related to employee benefits programs, partially offset by higher collections due to an increasing portfolio of outstanding vacation ownership notes receivable, and timing of collections of maintenance fees, management fees and exchange club dues.</w:t>
      </w:r>
    </w:p>
    <w:p>
      <w:pPr>
        <w:spacing w:after="0" w:line="6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In addition to net income and adjustments for non-cash items, the following operating activities are key drivers of our cash flow from operating activities: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Inventory Spending Less Than Cost of Sales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4"/>
          </w:tcPr>
          <w:p>
            <w:pPr>
              <w:jc w:val="right"/>
              <w:ind w:right="113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8"/>
        </w:trPr>
        <w:tc>
          <w:tcPr>
            <w:tcW w:w="76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2"/>
                <w:szCs w:val="22"/>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2019</w:t>
            </w:r>
          </w:p>
        </w:tc>
        <w:tc>
          <w:tcPr>
            <w:tcW w:w="280" w:type="dxa"/>
            <w:vAlign w:val="bottom"/>
          </w:tcPr>
          <w:p>
            <w:pPr>
              <w:spacing w:after="0"/>
              <w:rPr>
                <w:sz w:val="22"/>
                <w:szCs w:val="22"/>
                <w:color w:val="auto"/>
              </w:rPr>
            </w:pPr>
          </w:p>
        </w:tc>
        <w:tc>
          <w:tcPr>
            <w:tcW w:w="1540" w:type="dxa"/>
            <w:vAlign w:val="bottom"/>
          </w:tcPr>
          <w:p>
            <w:pPr>
              <w:jc w:val="right"/>
              <w:ind w:right="352"/>
              <w:spacing w:after="0"/>
              <w:rPr>
                <w:sz w:val="20"/>
                <w:szCs w:val="20"/>
                <w:color w:val="auto"/>
              </w:rPr>
            </w:pPr>
            <w:r>
              <w:rPr>
                <w:rFonts w:ascii="Arial" w:cs="Arial" w:eastAsia="Arial" w:hAnsi="Arial"/>
                <w:sz w:val="16"/>
                <w:szCs w:val="16"/>
                <w:b w:val="1"/>
                <w:bCs w:val="1"/>
                <w:color w:val="auto"/>
              </w:rPr>
              <w:t>June 30, 2018</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spending</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Inventory costs</w:t>
            </w:r>
          </w:p>
        </w:tc>
        <w:tc>
          <w:tcPr>
            <w:tcW w:w="28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89</w:t>
            </w: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spending less than cost of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We measure our real estate inventory capital efficiency by comparing the cash outflow for real estate inventory spending (a cash item) to the amount of real estate inventory costs charged to expense on our Income Statements related to sale of vacation ownership products (a non-cash item).</w:t>
      </w:r>
    </w:p>
    <w:p>
      <w:pPr>
        <w:spacing w:after="0" w:line="38" w:lineRule="exact"/>
        <w:rPr>
          <w:sz w:val="20"/>
          <w:szCs w:val="20"/>
          <w:color w:val="auto"/>
        </w:rPr>
      </w:pPr>
    </w:p>
    <w:p>
      <w:pPr>
        <w:ind w:right="40" w:firstLine="662"/>
        <w:spacing w:after="0" w:line="273" w:lineRule="auto"/>
        <w:rPr>
          <w:sz w:val="20"/>
          <w:szCs w:val="20"/>
          <w:color w:val="auto"/>
        </w:rPr>
      </w:pPr>
      <w:r>
        <w:rPr>
          <w:rFonts w:ascii="Arial" w:cs="Arial" w:eastAsia="Arial" w:hAnsi="Arial"/>
          <w:sz w:val="17"/>
          <w:szCs w:val="17"/>
          <w:color w:val="auto"/>
        </w:rPr>
        <w:t>Given the significant level of completed real estate inventory on hand, as well as the capital efficiency resulting from our points programs and capital efficient transactions, our spending for real estate inventory remained below the amount of real estate inventory costs in both the first half of 2019 and the first half of 2018. We expect our 2019 full year inventory spending to be lower than our inventory costs, even including payments to satisfy our remaining commitments to purchase vacation ownership units. We entered into these commitments in prior periods as part of our capital efficiency strategy to limit our up-front capital investment and purchase finished inventory closer to the time it is needed for sale. See Footnote 11 “Contingencies and Commitments” to our Financial Statements for additional information regarding our remaining commitments.</w:t>
      </w:r>
    </w:p>
    <w:p>
      <w:pPr>
        <w:spacing w:after="0" w:line="7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Our inventory spending was less than inventory costs in the first half of 2018, even including payments to satisfy a portion of our then remaining commitment to purchase vacation ownership units located at our resort in Marco Island, Florida. During the first half of 2018, inventory spending included $24 million for the acquisition of 20 completed vacation ownership units at our resort in Marco Island, Florida, as well as a deposit of $2 million for the purchase of completed vacation ownership units located in Bali, Indonesia.</w:t>
      </w:r>
    </w:p>
    <w:p>
      <w:pPr>
        <w:spacing w:after="0" w:line="7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Through our existing vacation ownership interest repurchase program, we proactively buy back previously sold vacation ownership interests at lower costs than would be required to develop new inventory. By repurchasing inventory in desirable locations, we expect to be able to stabilize the future cost of vacation ownership products.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Vacation Ownership Notes Receivable Collections Less Than Originations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4"/>
          </w:tcPr>
          <w:p>
            <w:pPr>
              <w:jc w:val="right"/>
              <w:ind w:right="113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8"/>
        </w:trPr>
        <w:tc>
          <w:tcPr>
            <w:tcW w:w="76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2"/>
                <w:szCs w:val="22"/>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2019</w:t>
            </w:r>
          </w:p>
        </w:tc>
        <w:tc>
          <w:tcPr>
            <w:tcW w:w="280" w:type="dxa"/>
            <w:vAlign w:val="bottom"/>
          </w:tcPr>
          <w:p>
            <w:pPr>
              <w:spacing w:after="0"/>
              <w:rPr>
                <w:sz w:val="22"/>
                <w:szCs w:val="22"/>
                <w:color w:val="auto"/>
              </w:rPr>
            </w:pPr>
          </w:p>
        </w:tc>
        <w:tc>
          <w:tcPr>
            <w:tcW w:w="1540" w:type="dxa"/>
            <w:vAlign w:val="bottom"/>
          </w:tcPr>
          <w:p>
            <w:pPr>
              <w:jc w:val="right"/>
              <w:ind w:right="352"/>
              <w:spacing w:after="0"/>
              <w:rPr>
                <w:sz w:val="20"/>
                <w:szCs w:val="20"/>
                <w:color w:val="auto"/>
              </w:rPr>
            </w:pPr>
            <w:r>
              <w:rPr>
                <w:rFonts w:ascii="Arial" w:cs="Arial" w:eastAsia="Arial" w:hAnsi="Arial"/>
                <w:sz w:val="16"/>
                <w:szCs w:val="16"/>
                <w:b w:val="1"/>
                <w:bCs w:val="1"/>
                <w:color w:val="auto"/>
              </w:rPr>
              <w:t>June 30, 2018</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collections — non-securitized</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Vacation ownership notes receivable collections — securitized</w:t>
            </w:r>
          </w:p>
        </w:tc>
        <w:tc>
          <w:tcPr>
            <w:tcW w:w="28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105</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originations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37"/>
        </w:trPr>
        <w:tc>
          <w:tcPr>
            <w:tcW w:w="7660" w:type="dxa"/>
            <w:vAlign w:val="bottom"/>
          </w:tcPr>
          <w:p>
            <w:pPr>
              <w:ind w:left="280"/>
              <w:spacing w:after="0"/>
              <w:rPr>
                <w:sz w:val="20"/>
                <w:szCs w:val="20"/>
                <w:color w:val="auto"/>
              </w:rPr>
            </w:pPr>
            <w:r>
              <w:rPr>
                <w:rFonts w:ascii="Arial" w:cs="Arial" w:eastAsia="Arial" w:hAnsi="Arial"/>
                <w:sz w:val="18"/>
                <w:szCs w:val="18"/>
                <w:color w:val="auto"/>
              </w:rPr>
              <w:t>Vacation ownership notes receivable collections less than originations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Vacation ownership notes receivable collections include principal from non-securitized and securitized vacation ownership notes receivable. Vacation ownership notes receivable collections increased during the first half of 2019, as compared to the first half of 2018, due to an increase in the portfolio of outstanding vacation ownership notes receivable, including vacation ownership notes receivable acquired as part of the ILG acquisition. Vacation ownership notes receivable originations in the first half of 2019 increased due to higher Legacy-MVW contract sales and the inclusion of Legacy-ILG contract sales in 2019. Financing propensity was stable at 62 percent for the first half of 2019 and for the first half of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76"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i w:val="1"/>
          <w:iCs w:val="1"/>
          <w:color w:val="auto"/>
        </w:rPr>
        <w:t>Cash from Investing Activities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4"/>
          </w:tcPr>
          <w:p>
            <w:pPr>
              <w:jc w:val="right"/>
              <w:ind w:right="113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8"/>
        </w:trPr>
        <w:tc>
          <w:tcPr>
            <w:tcW w:w="76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2"/>
                <w:szCs w:val="22"/>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2019</w:t>
            </w:r>
          </w:p>
        </w:tc>
        <w:tc>
          <w:tcPr>
            <w:tcW w:w="280" w:type="dxa"/>
            <w:vAlign w:val="bottom"/>
          </w:tcPr>
          <w:p>
            <w:pPr>
              <w:spacing w:after="0"/>
              <w:rPr>
                <w:sz w:val="22"/>
                <w:szCs w:val="22"/>
                <w:color w:val="auto"/>
              </w:rPr>
            </w:pPr>
          </w:p>
        </w:tc>
        <w:tc>
          <w:tcPr>
            <w:tcW w:w="1540" w:type="dxa"/>
            <w:vAlign w:val="bottom"/>
          </w:tcPr>
          <w:p>
            <w:pPr>
              <w:jc w:val="right"/>
              <w:ind w:right="352"/>
              <w:spacing w:after="0"/>
              <w:rPr>
                <w:sz w:val="20"/>
                <w:szCs w:val="20"/>
                <w:color w:val="auto"/>
              </w:rPr>
            </w:pPr>
            <w:r>
              <w:rPr>
                <w:rFonts w:ascii="Arial" w:cs="Arial" w:eastAsia="Arial" w:hAnsi="Arial"/>
                <w:sz w:val="16"/>
                <w:szCs w:val="16"/>
                <w:b w:val="1"/>
                <w:bCs w:val="1"/>
                <w:color w:val="auto"/>
              </w:rPr>
              <w:t>June 30, 2018</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Proceeds from collection of notes receivable</w:t>
            </w:r>
          </w:p>
        </w:tc>
        <w:tc>
          <w:tcPr>
            <w:tcW w:w="28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company owned life insurance</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7660" w:type="dxa"/>
            <w:vAlign w:val="bottom"/>
          </w:tcPr>
          <w:p>
            <w:pPr>
              <w:ind w:left="280"/>
              <w:spacing w:after="0"/>
              <w:rPr>
                <w:sz w:val="20"/>
                <w:szCs w:val="20"/>
                <w:color w:val="auto"/>
              </w:rPr>
            </w:pPr>
            <w:r>
              <w:rPr>
                <w:rFonts w:ascii="Arial" w:cs="Arial" w:eastAsia="Arial" w:hAnsi="Arial"/>
                <w:sz w:val="18"/>
                <w:szCs w:val="18"/>
                <w:color w:val="auto"/>
              </w:rPr>
              <w:t>Net cash, cash equivalents and restricted cash provided by (used in) investing activities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Expenditures for Property and Equipment</w:t>
      </w:r>
    </w:p>
    <w:p>
      <w:pPr>
        <w:spacing w:after="0" w:line="11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Capital expenditures for property and equipment relate to spending for technology development, buildings and equipment used at sales locations and ancillary offerings, such as food and beverage offerings, at locations where such offerings are provided. Additionally, it includes spending related to maintenance of buildings and equipment used in common areas at some of our resorts.</w:t>
      </w:r>
    </w:p>
    <w:p>
      <w:pPr>
        <w:spacing w:after="0" w:line="73"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 the first half of 2019, capital expenditures for property and equipment of $19 million included $7 million to support business operations (including $4 million for ancillary and other operations assets and $3 million for sales locations) and $12 million for technology spending.</w:t>
      </w:r>
    </w:p>
    <w:p>
      <w:pPr>
        <w:spacing w:after="0" w:line="38"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In the first half of 2018, capital expenditures for property and equipment of $7 million included $5 million to support business operations (including $2 million for ancillary and other operations assets and $3 million for sales locations) and $2 million for technology spending.</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Proceeds from Collection of Notes Receivable</w:t>
      </w:r>
    </w:p>
    <w:p>
      <w:pPr>
        <w:spacing w:after="0" w:line="11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During the first half of 2019, we collected $23 million of notes receivable related to the disposition of our interest in VRI Europe in the fourth quarter of 2018. In addition, we collected a $15 million note receivable acquired in the ILG Acquisition.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of Company Owned Life Insurance</w:t>
      </w:r>
    </w:p>
    <w:p>
      <w:pPr>
        <w:spacing w:after="0" w:line="11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To support our ability to meet a portion of our obligations under the Marriott Vacations Worldwide Corporation Deferred Compensation Plan (the “Deferred Compensation Plan”), we acquired company owned insurance policies on the lives of certain participants in the Deferred Compensation Plan, the proceeds of which are intended to be aligned with the investment alternatives elected by plan participants. During the first half of 2019, we paid $4 million to acquire these policies as compared to $12 million during the first half of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Financing Activities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4"/>
          </w:tcPr>
          <w:p>
            <w:pPr>
              <w:jc w:val="right"/>
              <w:ind w:right="1131"/>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8"/>
        </w:trPr>
        <w:tc>
          <w:tcPr>
            <w:tcW w:w="76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2"/>
                <w:szCs w:val="22"/>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2019</w:t>
            </w:r>
          </w:p>
        </w:tc>
        <w:tc>
          <w:tcPr>
            <w:tcW w:w="280" w:type="dxa"/>
            <w:vAlign w:val="bottom"/>
          </w:tcPr>
          <w:p>
            <w:pPr>
              <w:spacing w:after="0"/>
              <w:rPr>
                <w:sz w:val="22"/>
                <w:szCs w:val="22"/>
                <w:color w:val="auto"/>
              </w:rPr>
            </w:pPr>
          </w:p>
        </w:tc>
        <w:tc>
          <w:tcPr>
            <w:tcW w:w="1540" w:type="dxa"/>
            <w:vAlign w:val="bottom"/>
          </w:tcPr>
          <w:p>
            <w:pPr>
              <w:jc w:val="right"/>
              <w:ind w:right="351"/>
              <w:spacing w:after="0"/>
              <w:rPr>
                <w:sz w:val="20"/>
                <w:szCs w:val="20"/>
                <w:color w:val="auto"/>
              </w:rPr>
            </w:pPr>
            <w:r>
              <w:rPr>
                <w:rFonts w:ascii="Arial" w:cs="Arial" w:eastAsia="Arial" w:hAnsi="Arial"/>
                <w:sz w:val="16"/>
                <w:szCs w:val="16"/>
                <w:b w:val="1"/>
                <w:bCs w:val="1"/>
                <w:color w:val="auto"/>
              </w:rPr>
              <w:t>June 30, 2018</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from securitization transactions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Repayment of debt related to securitization transactions</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debt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Repayments of debt</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Repurchase of common stock</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of dividends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cash equivalents and restricted cash (used in) provided by financing activities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Borrowings from / Repayment of Debt Related to Securitization Transactions</w:t>
      </w:r>
    </w:p>
    <w:p>
      <w:pPr>
        <w:spacing w:after="0" w:line="117"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We reflect proceeds from securitizations of vacation ownership notes receivable, including draw downs on the Warehouse Credit Facility, as “Borrowings from securitization transactions.” We reflect repayments of bonds associated with vacation ownership notes receivable securitizations and repayments on the Warehouse Credit Facility (including vacation ownership notes receivable repurchases) as “Repayment of debt related to securitization transactions.”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584" w:right="239" w:bottom="1440" w:gutter="0" w:footer="0" w:header="0"/>
        </w:sectPr>
      </w:pPr>
    </w:p>
    <w:bookmarkStart w:id="86" w:name="page87"/>
    <w:bookmarkEnd w:id="86"/>
    <w:p>
      <w:pPr>
        <w:ind w:left="660"/>
        <w:spacing w:after="0"/>
        <w:rPr>
          <w:sz w:val="20"/>
          <w:szCs w:val="20"/>
          <w:color w:val="auto"/>
        </w:rPr>
      </w:pPr>
      <w:r>
        <w:rPr>
          <w:rFonts w:ascii="Arial" w:cs="Arial" w:eastAsia="Arial" w:hAnsi="Arial"/>
          <w:sz w:val="18"/>
          <w:szCs w:val="18"/>
          <w:color w:val="auto"/>
        </w:rPr>
        <w:t>As of June 30, 2019, $104 million of gross vacation ownership notes receivable were eligible for securitization.</w:t>
      </w:r>
    </w:p>
    <w:p>
      <w:pPr>
        <w:spacing w:after="0" w:line="11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During the second quarter of 2019, we completed the securitization of a pool of $459 million of vacation ownership notes receivable. In connection with the securitization, investors purchased in a private placement $450 million in vacation ownership loan backed notes from the 2019-1 LLC. Three classes of vacation ownership loan backed notes were issued by the 2019-1 LLC: $350 million of Class A Notes, $67 million of Class B Notes and $33 million of Class C Notes. The Class A Notes have an interest rate of 2.89 percent, the Class B Notes have an interest rate of 3.00 percent and the Class C Notes have an interest rate of 3.33 percent, for an overall weighted average interest rate of 2.94 percent.</w:t>
      </w:r>
    </w:p>
    <w:p>
      <w:pPr>
        <w:spacing w:after="0" w:line="64"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During the first quarter of 2019, we securitized vacation ownership notes receivable under our Warehouse Credit Facility. The carrying amount of the vacation ownership notes receivable securitized was $146 million. The advance rate was 85 percent, which resulted in gross proceeds of $124 million. Net proceeds were $123 million due to the funding of reserve accounts of $1 million. There were no amounts outstanding under our Warehouse Credit Facility as of June 30, 2019. See Footnote 13 “Securitized Debt” to our Financial Statements for additional information regarding our Warehouse Credit Facility.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Proceeds from / Repayments of Debt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Borrowings from / Repayment of Corporate Credit Facility</w:t>
      </w:r>
    </w:p>
    <w:p>
      <w:pPr>
        <w:spacing w:after="0" w:line="117" w:lineRule="exact"/>
        <w:rPr>
          <w:sz w:val="20"/>
          <w:szCs w:val="20"/>
          <w:color w:val="auto"/>
        </w:rPr>
      </w:pPr>
    </w:p>
    <w:p>
      <w:pPr>
        <w:jc w:val="both"/>
        <w:ind w:right="340" w:firstLine="648"/>
        <w:spacing w:after="0" w:line="302" w:lineRule="auto"/>
        <w:rPr>
          <w:sz w:val="20"/>
          <w:szCs w:val="20"/>
          <w:color w:val="auto"/>
        </w:rPr>
      </w:pPr>
      <w:r>
        <w:rPr>
          <w:rFonts w:ascii="Arial" w:cs="Arial" w:eastAsia="Arial" w:hAnsi="Arial"/>
          <w:sz w:val="16"/>
          <w:szCs w:val="16"/>
          <w:color w:val="auto"/>
        </w:rPr>
        <w:t>During the first half of 2019, we borrowed $310 million under our Revolving Corporate Credit Facility to facilitate the funding of our short-term working capital needs, $230 million of which has been repaid, and had $80 million outstanding as of June 30, 2019. During the first half of 2019, we also repaid $5 million of the amount outstanding under the Term Loan, which is part of our Corporate Credit Facility. See Footnote 14 “Debt” to our Financial Statements for additional information regarding our Corporate Credit Facility that includes our Revolving Corporate Credit Facility and the Term Loan.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1040" w:firstLine="648"/>
        <w:spacing w:after="0" w:line="277" w:lineRule="auto"/>
        <w:rPr>
          <w:sz w:val="20"/>
          <w:szCs w:val="20"/>
          <w:color w:val="auto"/>
        </w:rPr>
      </w:pPr>
      <w:r>
        <w:rPr>
          <w:rFonts w:ascii="Arial" w:cs="Arial" w:eastAsia="Arial" w:hAnsi="Arial"/>
          <w:sz w:val="18"/>
          <w:szCs w:val="18"/>
          <w:color w:val="auto"/>
        </w:rPr>
        <w:t>During the first half of 2019, we paid $6 million of debt issuance costs associated with the 2019-1 vacation ownership notes receivable securitization.</w:t>
      </w:r>
    </w:p>
    <w:p>
      <w:pPr>
        <w:spacing w:after="0" w:line="62"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During the first half of 2018, we paid $7 million of debt issuance costs, which included $6 million associated with the 2018 vacation ownership notes receivable securitization and $1 million associated with the amendment and extension of our Warehouse Credit Facility.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Repayment of Other Debt</w:t>
      </w:r>
    </w:p>
    <w:p>
      <w:pPr>
        <w:spacing w:after="0" w:line="11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During the second quarter of 2019, we paid the remaining balance of $31 million on the non-interest bearing note payable related to the acquisition of 112 completed vacation ownership units located on the Big Island of Hawaii in 2017.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share repurchase activity under our current share repurchase program: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Number of Shares</w:t>
            </w:r>
          </w:p>
        </w:tc>
        <w:tc>
          <w:tcPr>
            <w:tcW w:w="22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Cost of Shares</w:t>
            </w:r>
          </w:p>
        </w:tc>
        <w:tc>
          <w:tcPr>
            <w:tcW w:w="140" w:type="dxa"/>
            <w:vAlign w:val="bottom"/>
          </w:tcPr>
          <w:p>
            <w:pPr>
              <w:spacing w:after="0"/>
              <w:rPr>
                <w:sz w:val="17"/>
                <w:szCs w:val="17"/>
                <w:color w:val="auto"/>
              </w:rPr>
            </w:pPr>
          </w:p>
        </w:tc>
        <w:tc>
          <w:tcPr>
            <w:tcW w:w="1460" w:type="dxa"/>
            <w:vAlign w:val="bottom"/>
          </w:tcPr>
          <w:p>
            <w:pPr>
              <w:jc w:val="right"/>
              <w:ind w:right="54"/>
              <w:spacing w:after="0"/>
              <w:rPr>
                <w:sz w:val="20"/>
                <w:szCs w:val="20"/>
                <w:color w:val="auto"/>
              </w:rPr>
            </w:pPr>
            <w:r>
              <w:rPr>
                <w:rFonts w:ascii="Arial" w:cs="Arial" w:eastAsia="Arial" w:hAnsi="Arial"/>
                <w:sz w:val="16"/>
                <w:szCs w:val="16"/>
                <w:b w:val="1"/>
                <w:bCs w:val="1"/>
                <w:color w:val="auto"/>
                <w:w w:val="89"/>
              </w:rPr>
              <w:t>Average Price Paid</w:t>
            </w:r>
          </w:p>
        </w:tc>
      </w:tr>
      <w:tr>
        <w:trPr>
          <w:trHeight w:val="237"/>
        </w:trPr>
        <w:tc>
          <w:tcPr>
            <w:tcW w:w="64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 except per share amounts)</w:t>
            </w: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Repurchased</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Repurchased</w:t>
            </w:r>
          </w:p>
        </w:tc>
        <w:tc>
          <w:tcPr>
            <w:tcW w:w="140" w:type="dxa"/>
            <w:vAlign w:val="bottom"/>
          </w:tcPr>
          <w:p>
            <w:pPr>
              <w:spacing w:after="0"/>
              <w:rPr>
                <w:sz w:val="20"/>
                <w:szCs w:val="20"/>
                <w:color w:val="auto"/>
              </w:rPr>
            </w:pPr>
          </w:p>
        </w:tc>
        <w:tc>
          <w:tcPr>
            <w:tcW w:w="1460" w:type="dxa"/>
            <w:vAlign w:val="bottom"/>
          </w:tcPr>
          <w:p>
            <w:pPr>
              <w:jc w:val="right"/>
              <w:ind w:right="374"/>
              <w:spacing w:after="0"/>
              <w:rPr>
                <w:sz w:val="20"/>
                <w:szCs w:val="20"/>
                <w:color w:val="auto"/>
              </w:rPr>
            </w:pPr>
            <w:r>
              <w:rPr>
                <w:rFonts w:ascii="Arial" w:cs="Arial" w:eastAsia="Arial" w:hAnsi="Arial"/>
                <w:sz w:val="16"/>
                <w:szCs w:val="16"/>
                <w:b w:val="1"/>
                <w:bCs w:val="1"/>
                <w:color w:val="auto"/>
              </w:rPr>
              <w:t>per Share</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2018</w:t>
            </w:r>
          </w:p>
        </w:tc>
        <w:tc>
          <w:tcPr>
            <w:tcW w:w="16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11,687,774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67.85</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For the first half of 2019</w:t>
            </w: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2,358,808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91.12</w:t>
            </w: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June 30, 2019</w:t>
            </w:r>
          </w:p>
        </w:tc>
        <w:tc>
          <w:tcPr>
            <w:tcW w:w="1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14,046,582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71.76</w:t>
            </w:r>
          </w:p>
        </w:tc>
      </w:tr>
      <w:tr>
        <w:trPr>
          <w:trHeight w:val="20"/>
        </w:trPr>
        <w:tc>
          <w:tcPr>
            <w:tcW w:w="6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See Footnote 15 “Shareholders' Equity” to our Financial Statements for further information related to our share repurchase program.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distributed cash dividends to holders of common stock during the first half of 2019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Declaration Date</w:t>
            </w:r>
          </w:p>
        </w:tc>
        <w:tc>
          <w:tcPr>
            <w:tcW w:w="28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Shareholder Record Date</w:t>
            </w:r>
          </w:p>
        </w:tc>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Distribution Date</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w w:val="91"/>
              </w:rPr>
              <w:t>Dividend per Share</w:t>
            </w:r>
          </w:p>
        </w:tc>
      </w:tr>
      <w:tr>
        <w:trPr>
          <w:trHeight w:val="33"/>
        </w:trPr>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6, 2018</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20, 2018</w:t>
            </w: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January 3, 2019</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$0.45</w:t>
            </w:r>
          </w:p>
        </w:tc>
      </w:tr>
      <w:tr>
        <w:trPr>
          <w:trHeight w:val="243"/>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15, 2019</w:t>
            </w:r>
          </w:p>
        </w:tc>
        <w:tc>
          <w:tcPr>
            <w:tcW w:w="28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February 28, 2019</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14, 2019</w:t>
            </w:r>
          </w:p>
        </w:tc>
        <w:tc>
          <w:tcPr>
            <w:tcW w:w="2720" w:type="dxa"/>
            <w:vAlign w:val="bottom"/>
          </w:tcPr>
          <w:p>
            <w:pPr>
              <w:jc w:val="center"/>
              <w:spacing w:after="0"/>
              <w:rPr>
                <w:sz w:val="20"/>
                <w:szCs w:val="20"/>
                <w:color w:val="auto"/>
              </w:rPr>
            </w:pPr>
            <w:r>
              <w:rPr>
                <w:rFonts w:ascii="Arial" w:cs="Arial" w:eastAsia="Arial" w:hAnsi="Arial"/>
                <w:sz w:val="18"/>
                <w:szCs w:val="18"/>
                <w:color w:val="auto"/>
                <w:w w:val="88"/>
              </w:rPr>
              <w:t>$0.45</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43"/>
        </w:trPr>
        <w:tc>
          <w:tcPr>
            <w:tcW w:w="3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May 9, 2019</w:t>
            </w:r>
          </w:p>
        </w:tc>
        <w:tc>
          <w:tcPr>
            <w:tcW w:w="28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May 23, 2019</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June 6, 2019</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$0.45</w:t>
            </w:r>
          </w:p>
        </w:tc>
      </w:tr>
      <w:tr>
        <w:trPr>
          <w:trHeight w:val="27"/>
        </w:trPr>
        <w:tc>
          <w:tcPr>
            <w:tcW w:w="2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currently expect to pay quarterly cash dividends in the future, but any future dividend payments will be subject to Board approval, which will depend on our financial condition, results of operations and capital requirements, as well as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76" w:right="239" w:bottom="1440" w:gutter="0" w:footer="0" w:header="0"/>
        </w:sectPr>
      </w:pPr>
    </w:p>
    <w:bookmarkStart w:id="87" w:name="page88"/>
    <w:bookmarkEnd w:id="87"/>
    <w:p>
      <w:pPr>
        <w:ind w:right="20"/>
        <w:spacing w:after="0" w:line="257" w:lineRule="auto"/>
        <w:rPr>
          <w:sz w:val="20"/>
          <w:szCs w:val="20"/>
          <w:color w:val="auto"/>
        </w:rPr>
      </w:pPr>
      <w:r>
        <w:rPr>
          <w:rFonts w:ascii="Arial" w:cs="Arial" w:eastAsia="Arial" w:hAnsi="Arial"/>
          <w:sz w:val="18"/>
          <w:szCs w:val="18"/>
          <w:color w:val="auto"/>
        </w:rPr>
        <w:t>applicable law, regulatory constraints, industry practice and other business considerations that our Board of Directors considers relevant. In addition, our Corporate Credit Facility and the indentures governing our senior notes contain restrictions on our ability to pay dividends, and the terms of agreements governing debt that we may incur in the future may also limit or prohibit dividend payments. The payment of certain cash dividends may also result in an adjustment to the conversion rate of the Convertible Notes in a manner adverse to us. Accordingly, there can be no assurance that we will pay dividends in the future at the same rate or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as of June 30,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5"/>
          </w:tcPr>
          <w:p>
            <w:pPr>
              <w:ind w:left="280"/>
              <w:spacing w:after="0"/>
              <w:rPr>
                <w:sz w:val="20"/>
                <w:szCs w:val="20"/>
                <w:color w:val="auto"/>
              </w:rPr>
            </w:pPr>
            <w:r>
              <w:rPr>
                <w:rFonts w:ascii="Arial" w:cs="Arial" w:eastAsia="Arial" w:hAnsi="Arial"/>
                <w:sz w:val="16"/>
                <w:szCs w:val="16"/>
                <w:b w:val="1"/>
                <w:bCs w:val="1"/>
                <w:color w:val="auto"/>
              </w:rPr>
              <w:t>Payments Due by Period</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Remainder</w:t>
            </w:r>
          </w:p>
        </w:tc>
        <w:tc>
          <w:tcPr>
            <w:tcW w:w="180" w:type="dxa"/>
            <w:vAlign w:val="bottom"/>
          </w:tcPr>
          <w:p>
            <w:pPr>
              <w:spacing w:after="0"/>
              <w:rPr>
                <w:sz w:val="18"/>
                <w:szCs w:val="18"/>
                <w:color w:val="auto"/>
              </w:rPr>
            </w:pPr>
          </w:p>
        </w:tc>
        <w:tc>
          <w:tcPr>
            <w:tcW w:w="1180" w:type="dxa"/>
            <w:vAlign w:val="bottom"/>
            <w:gridSpan w:val="2"/>
          </w:tcPr>
          <w:p>
            <w:pPr>
              <w:ind w:left="260"/>
              <w:spacing w:after="0"/>
              <w:rPr>
                <w:sz w:val="20"/>
                <w:szCs w:val="20"/>
                <w:color w:val="auto"/>
              </w:rPr>
            </w:pPr>
            <w:r>
              <w:rPr>
                <w:rFonts w:ascii="Arial" w:cs="Arial" w:eastAsia="Arial" w:hAnsi="Arial"/>
                <w:sz w:val="16"/>
                <w:szCs w:val="16"/>
                <w:b w:val="1"/>
                <w:bCs w:val="1"/>
                <w:color w:val="auto"/>
              </w:rPr>
              <w:t>Years</w:t>
            </w:r>
          </w:p>
        </w:tc>
        <w:tc>
          <w:tcPr>
            <w:tcW w:w="180" w:type="dxa"/>
            <w:vAlign w:val="bottom"/>
          </w:tcPr>
          <w:p>
            <w:pPr>
              <w:spacing w:after="0"/>
              <w:rPr>
                <w:sz w:val="18"/>
                <w:szCs w:val="18"/>
                <w:color w:val="auto"/>
              </w:rPr>
            </w:pPr>
          </w:p>
        </w:tc>
        <w:tc>
          <w:tcPr>
            <w:tcW w:w="1180" w:type="dxa"/>
            <w:vAlign w:val="bottom"/>
            <w:gridSpan w:val="2"/>
          </w:tcPr>
          <w:p>
            <w:pPr>
              <w:ind w:left="260"/>
              <w:spacing w:after="0"/>
              <w:rPr>
                <w:sz w:val="20"/>
                <w:szCs w:val="20"/>
                <w:color w:val="auto"/>
              </w:rPr>
            </w:pPr>
            <w:r>
              <w:rPr>
                <w:rFonts w:ascii="Arial" w:cs="Arial" w:eastAsia="Arial" w:hAnsi="Arial"/>
                <w:sz w:val="16"/>
                <w:szCs w:val="16"/>
                <w:b w:val="1"/>
                <w:bCs w:val="1"/>
                <w:color w:val="auto"/>
              </w:rPr>
              <w:t>Years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of 2019</w:t>
            </w:r>
          </w:p>
        </w:tc>
        <w:tc>
          <w:tcPr>
            <w:tcW w:w="180" w:type="dxa"/>
            <w:vAlign w:val="bottom"/>
          </w:tcPr>
          <w:p>
            <w:pPr>
              <w:spacing w:after="0"/>
              <w:rPr>
                <w:sz w:val="20"/>
                <w:szCs w:val="20"/>
                <w:color w:val="auto"/>
              </w:rPr>
            </w:pPr>
          </w:p>
        </w:tc>
        <w:tc>
          <w:tcPr>
            <w:tcW w:w="1080" w:type="dxa"/>
            <w:vAlign w:val="bottom"/>
          </w:tcPr>
          <w:p>
            <w:pPr>
              <w:jc w:val="right"/>
              <w:ind w:right="153"/>
              <w:spacing w:after="0"/>
              <w:rPr>
                <w:sz w:val="20"/>
                <w:szCs w:val="20"/>
                <w:color w:val="auto"/>
              </w:rPr>
            </w:pPr>
            <w:r>
              <w:rPr>
                <w:rFonts w:ascii="Arial" w:cs="Arial" w:eastAsia="Arial" w:hAnsi="Arial"/>
                <w:sz w:val="16"/>
                <w:szCs w:val="16"/>
                <w:b w:val="1"/>
                <w:bCs w:val="1"/>
                <w:color w:val="auto"/>
                <w:w w:val="95"/>
              </w:rPr>
              <w:t>2020 - 2021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2"/>
              <w:spacing w:after="0"/>
              <w:rPr>
                <w:sz w:val="20"/>
                <w:szCs w:val="20"/>
                <w:color w:val="auto"/>
              </w:rPr>
            </w:pPr>
            <w:r>
              <w:rPr>
                <w:rFonts w:ascii="Arial" w:cs="Arial" w:eastAsia="Arial" w:hAnsi="Arial"/>
                <w:sz w:val="16"/>
                <w:szCs w:val="16"/>
                <w:b w:val="1"/>
                <w:bCs w:val="1"/>
                <w:color w:val="auto"/>
                <w:w w:val="95"/>
              </w:rPr>
              <w:t>2022 - 2023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71"/>
              <w:spacing w:after="0"/>
              <w:rPr>
                <w:sz w:val="20"/>
                <w:szCs w:val="20"/>
                <w:color w:val="auto"/>
              </w:rPr>
            </w:pPr>
            <w:r>
              <w:rPr>
                <w:rFonts w:ascii="Arial" w:cs="Arial" w:eastAsia="Arial" w:hAnsi="Arial"/>
                <w:sz w:val="16"/>
                <w:szCs w:val="16"/>
                <w:b w:val="1"/>
                <w:bCs w:val="1"/>
                <w:color w:val="auto"/>
                <w:w w:val="99"/>
              </w:rPr>
              <w:t>Thereafter</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Contractual Obligations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Debt</w:t>
            </w:r>
            <w:r>
              <w:rPr>
                <w:rFonts w:ascii="Arial" w:cs="Arial" w:eastAsia="Arial" w:hAnsi="Arial"/>
                <w:sz w:val="18"/>
                <w:szCs w:val="18"/>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4,971</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258"/>
        </w:trPr>
        <w:tc>
          <w:tcPr>
            <w:tcW w:w="1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88"/>
                <w:shd w:val="clear" w:color="auto" w:fill="CCEEFF"/>
              </w:rPr>
              <w:t>Purchase obligations</w:t>
            </w:r>
          </w:p>
        </w:tc>
        <w:tc>
          <w:tcPr>
            <w:tcW w:w="2920" w:type="dxa"/>
            <w:vAlign w:val="bottom"/>
            <w:tcBorders>
              <w:bottom w:val="single" w:sz="8" w:color="CCEEFF"/>
            </w:tcBorders>
            <w:shd w:val="clear" w:color="auto" w:fill="CCEEFF"/>
          </w:tcPr>
          <w:p>
            <w:pPr>
              <w:jc w:val="right"/>
              <w:ind w:right="2775"/>
              <w:spacing w:after="0"/>
              <w:rPr>
                <w:sz w:val="20"/>
                <w:szCs w:val="20"/>
                <w:color w:val="auto"/>
              </w:rPr>
            </w:pPr>
            <w:r>
              <w:rPr>
                <w:rFonts w:ascii="Arial" w:cs="Arial" w:eastAsia="Arial" w:hAnsi="Arial"/>
                <w:sz w:val="9"/>
                <w:szCs w:val="9"/>
                <w:color w:val="auto"/>
                <w:w w:val="72"/>
              </w:rPr>
              <w:t>(2)</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Operating lease obligations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Finance lease obligations</w:t>
            </w:r>
            <w:r>
              <w:rPr>
                <w:rFonts w:ascii="Arial" w:cs="Arial" w:eastAsia="Arial" w:hAnsi="Arial"/>
                <w:sz w:val="18"/>
                <w:szCs w:val="18"/>
                <w:color w:val="auto"/>
                <w:vertAlign w:val="superscript"/>
              </w:rPr>
              <w:t>(3)</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Other long-term obligations</w:t>
            </w:r>
            <w:r>
              <w:rPr>
                <w:rFonts w:ascii="Arial" w:cs="Arial" w:eastAsia="Arial" w:hAnsi="Arial"/>
                <w:sz w:val="18"/>
                <w:szCs w:val="18"/>
                <w:color w:val="auto"/>
                <w:vertAlign w:val="superscript"/>
              </w:rPr>
              <w:t>(4)</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5"/>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contractual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_________________________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Includes principal as well as interest payments and excludes unamortized debt discount and issuance costs.</w:t>
      </w:r>
    </w:p>
    <w:p>
      <w:pPr>
        <w:spacing w:after="0" w:line="56" w:lineRule="exact"/>
        <w:rPr>
          <w:rFonts w:ascii="Arial" w:cs="Arial" w:eastAsia="Arial" w:hAnsi="Arial"/>
          <w:sz w:val="25"/>
          <w:szCs w:val="25"/>
          <w:color w:val="auto"/>
          <w:vertAlign w:val="superscript"/>
        </w:rPr>
      </w:pPr>
    </w:p>
    <w:p>
      <w:pPr>
        <w:ind w:left="660" w:right="540" w:hanging="652"/>
        <w:spacing w:after="0" w:line="254" w:lineRule="auto"/>
        <w:tabs>
          <w:tab w:leader="none" w:pos="660" w:val="left"/>
        </w:tabs>
        <w:numPr>
          <w:ilvl w:val="0"/>
          <w:numId w:val="41"/>
        </w:numPr>
        <w:rPr>
          <w:rFonts w:ascii="Arial" w:cs="Arial" w:eastAsia="Arial" w:hAnsi="Arial"/>
          <w:sz w:val="22"/>
          <w:szCs w:val="22"/>
          <w:color w:val="auto"/>
          <w:vertAlign w:val="superscript"/>
        </w:rPr>
      </w:pPr>
      <w:r>
        <w:rPr>
          <w:rFonts w:ascii="Arial" w:cs="Arial" w:eastAsia="Arial" w:hAnsi="Arial"/>
          <w:sz w:val="16"/>
          <w:szCs w:val="16"/>
          <w:color w:val="auto"/>
        </w:rPr>
        <w:t>Arrangements are considered purchase obligations if a contract specifies all significant terms, including fixed or minimum quantities to be purchased, a pricing structure, and approximate timing of the transaction. Amounts reflected represent expected funding under such contracts. Amounts reflected on the consolidated balance sheet as accounts payable and accrued liabilities are excluded from the table above.</w:t>
      </w:r>
    </w:p>
    <w:p>
      <w:pPr>
        <w:ind w:left="660" w:hanging="652"/>
        <w:spacing w:after="0" w:line="225" w:lineRule="auto"/>
        <w:tabs>
          <w:tab w:leader="none" w:pos="66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Includes interest.</w:t>
      </w:r>
    </w:p>
    <w:p>
      <w:pPr>
        <w:spacing w:after="0" w:line="56" w:lineRule="exact"/>
        <w:rPr>
          <w:rFonts w:ascii="Arial" w:cs="Arial" w:eastAsia="Arial" w:hAnsi="Arial"/>
          <w:sz w:val="25"/>
          <w:szCs w:val="25"/>
          <w:color w:val="auto"/>
          <w:vertAlign w:val="superscript"/>
        </w:rPr>
      </w:pPr>
    </w:p>
    <w:p>
      <w:pPr>
        <w:ind w:left="660" w:right="80" w:hanging="652"/>
        <w:spacing w:after="0" w:line="208" w:lineRule="auto"/>
        <w:tabs>
          <w:tab w:leader="none" w:pos="66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Primarily relates to future guaranteed purchases of rental inventory, operational support services, marketing related benefits, membership fulfillment benefits and other commitments.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results of operations or financial condition.</w:t>
      </w:r>
    </w:p>
    <w:p>
      <w:pPr>
        <w:spacing w:after="0" w:line="7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consolidated financial position or results of operations. We have discussed those estimates that we believe are critical and require the use of complex judgment in their application in our most recent Annual Report on Form 10-K. Since the date of our most recent Annual Report on Form 10-K, there have been no material changes to our critical accounting policies or the methodologies or assumptions we apply under them, except those resulting from the following:</w:t>
      </w:r>
    </w:p>
    <w:p>
      <w:pPr>
        <w:spacing w:after="0" w:line="85" w:lineRule="exact"/>
        <w:rPr>
          <w:sz w:val="20"/>
          <w:szCs w:val="20"/>
          <w:color w:val="auto"/>
        </w:rPr>
      </w:pPr>
    </w:p>
    <w:p>
      <w:pPr>
        <w:ind w:left="1140" w:right="140" w:hanging="484"/>
        <w:spacing w:after="0" w:line="264" w:lineRule="auto"/>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adoption of Accounting Standards Update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 amended, which is discussed in Footnote 2 “Significant Accounting Policies and Recent Accounting Standards” and Footnote 12 “Leases” to our interim consolidated financial statements presented in Part 1, Item 1 of this Quarterly Report on Form 10-Q; and</w:t>
      </w:r>
    </w:p>
    <w:p>
      <w:pPr>
        <w:spacing w:after="0" w:line="73" w:lineRule="exact"/>
        <w:rPr>
          <w:rFonts w:ascii="Arial" w:cs="Arial" w:eastAsia="Arial" w:hAnsi="Arial"/>
          <w:sz w:val="18"/>
          <w:szCs w:val="18"/>
          <w:color w:val="auto"/>
        </w:rPr>
      </w:pPr>
    </w:p>
    <w:p>
      <w:pPr>
        <w:ind w:left="1140" w:right="700" w:hanging="484"/>
        <w:spacing w:after="0" w:line="277" w:lineRule="auto"/>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Purchase price allocations of business combinations, which is discussed in Footnote 3 “Acquisitions and Dispositions” to our interim consolidated financial statements presented in Part 1, Item 1 of this Quarterly Report on Form 10-Q.</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exposure to market risk has not changed materially from that disclosed in Part I, Item 7A of our Annual Report on Form 10-K for the year ended December 31,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76" w:right="239" w:bottom="1440" w:gutter="0" w:footer="0" w:header="0"/>
        </w:sectPr>
      </w:pPr>
    </w:p>
    <w:bookmarkStart w:id="88" w:name="page89"/>
    <w:bookmarkEnd w:id="88"/>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As of the end of the period covered by this Quarterly Report on Form 10-Q,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as amended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We made no changes in our internal control over financial reporting during the period covered by this Quarterly Report on Form 10-Q that have materially affected, or are reasonably likely to materially affect, our internal control over financial reporting other than changes in control over financial reporting to integrate the business we acquired in the ILG Acquisition.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Currently, and from time to time, we are subject to claims in legal proceedings arising in the normal course of business, including, among others, the legal actions discussed in Footnote 11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have been no material changes from the risk factors disclosed in Part I, Item 1A of our Annual Report on Form 10-K for the fiscal year ended December 31, 2018 other than as discussed below.</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We may be adversely affected by changes in LIBOR reporting practices or the method in which LIBOR is determined.</w:t>
      </w:r>
    </w:p>
    <w:p>
      <w:pPr>
        <w:spacing w:after="0" w:line="11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As of June 30, 2019, approximately $950 million of our gross aggregate consolidated indebtedness was indexed to the London Interbank Offered Rate (“LIBOR”). Our Warehouse Credit Facility, under which no amounts were outstanding as of June 30, 2019, is also indexed to LIBOR. In addition, as of June 30, 2019, we were party to $550 million of derivative instruments indexed to LIBOR. Central banks around the world, including the Federal Reserve, have commissioned working groups of market participants and official sector representatives with the goal of finding suitable replacements for LIBOR based on observable market transactions. It is expected that a transition away from the widespread use of LIBOR to alternative rates will occur over the course of the next few years. The U.K. Financial Conduct Authority, which regulates LIBOR, has announced that it has commitments from panel banks to continue to contribute to LIBOR through the end of 2021, but that it will not use its powers to compel contributions beyond such date. Accordingly, there is considerable uncertainty regarding the publication of such rates beyond 2021. The Federal Reserve Bank of New York and various other authorities have commenced the publication of reforms and actions relating to alternatives to U.S. dollar LIBOR. Although the full impact of such reforms and actions, together with any transition away from LIBOR, including the potential or actual discontinuance of LIBOR publication, remains unclear, these changes may have a material adverse impact on the availability of financing, including LIBOR-based loans, and on our financing costs.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580" w:right="259" w:bottom="1440" w:gutter="0" w:footer="0" w:header="0"/>
        </w:sectPr>
      </w:pPr>
    </w:p>
    <w:bookmarkStart w:id="89" w:name="page90"/>
    <w:bookmarkEnd w:id="89"/>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6"/>
              </w:rPr>
              <w:t>Maximum Number of</w:t>
            </w:r>
          </w:p>
        </w:tc>
        <w:tc>
          <w:tcPr>
            <w:tcW w:w="0" w:type="dxa"/>
            <w:vAlign w:val="bottom"/>
          </w:tcPr>
          <w:p>
            <w:pPr>
              <w:spacing w:after="0"/>
              <w:rPr>
                <w:sz w:val="1"/>
                <w:szCs w:val="1"/>
                <w:color w:val="auto"/>
              </w:rPr>
            </w:pPr>
          </w:p>
        </w:tc>
      </w:tr>
      <w:tr>
        <w:trPr>
          <w:trHeight w:val="203"/>
        </w:trPr>
        <w:tc>
          <w:tcPr>
            <w:tcW w:w="4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as Part of</w:t>
            </w: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2"/>
              </w:rPr>
              <w:t>Shares That May Yet Be</w:t>
            </w:r>
          </w:p>
        </w:tc>
        <w:tc>
          <w:tcPr>
            <w:tcW w:w="0" w:type="dxa"/>
            <w:vAlign w:val="bottom"/>
          </w:tcPr>
          <w:p>
            <w:pPr>
              <w:spacing w:after="0"/>
              <w:rPr>
                <w:sz w:val="1"/>
                <w:szCs w:val="1"/>
                <w:color w:val="auto"/>
              </w:rPr>
            </w:pPr>
          </w:p>
        </w:tc>
      </w:tr>
      <w:tr>
        <w:trPr>
          <w:trHeight w:val="203"/>
        </w:trPr>
        <w:tc>
          <w:tcPr>
            <w:tcW w:w="44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Average</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 Plans</w:t>
            </w: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Under the</w:t>
            </w:r>
          </w:p>
        </w:tc>
        <w:tc>
          <w:tcPr>
            <w:tcW w:w="0" w:type="dxa"/>
            <w:vAlign w:val="bottom"/>
          </w:tcPr>
          <w:p>
            <w:pPr>
              <w:spacing w:after="0"/>
              <w:rPr>
                <w:sz w:val="1"/>
                <w:szCs w:val="1"/>
                <w:color w:val="auto"/>
              </w:rPr>
            </w:pPr>
          </w:p>
        </w:tc>
      </w:tr>
      <w:tr>
        <w:trPr>
          <w:trHeight w:val="243"/>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Shares Purchased</w:t>
            </w: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Price per Share</w:t>
            </w:r>
          </w:p>
        </w:tc>
        <w:tc>
          <w:tcPr>
            <w:tcW w:w="100" w:type="dxa"/>
            <w:vAlign w:val="bottom"/>
            <w:tcBorders>
              <w:bottom w:val="single" w:sz="8" w:color="CCEEFF"/>
            </w:tcBorders>
          </w:tcPr>
          <w:p>
            <w:pPr>
              <w:spacing w:after="0"/>
              <w:rPr>
                <w:sz w:val="21"/>
                <w:szCs w:val="21"/>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or Programs</w:t>
            </w:r>
            <w:r>
              <w:rPr>
                <w:rFonts w:ascii="Arial" w:cs="Arial" w:eastAsia="Arial" w:hAnsi="Arial"/>
                <w:sz w:val="21"/>
                <w:szCs w:val="21"/>
                <w:b w:val="1"/>
                <w:bCs w:val="1"/>
                <w:color w:val="auto"/>
                <w:w w:val="89"/>
                <w:vertAlign w:val="superscript"/>
              </w:rPr>
              <w:t>(1)</w:t>
            </w:r>
          </w:p>
        </w:tc>
        <w:tc>
          <w:tcPr>
            <w:tcW w:w="100" w:type="dxa"/>
            <w:vAlign w:val="bottom"/>
            <w:tcBorders>
              <w:bottom w:val="single" w:sz="8" w:color="CCEEFF"/>
            </w:tcBorders>
          </w:tcPr>
          <w:p>
            <w:pPr>
              <w:spacing w:after="0"/>
              <w:rPr>
                <w:sz w:val="21"/>
                <w:szCs w:val="21"/>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Plans or Programs</w:t>
            </w:r>
            <w:r>
              <w:rPr>
                <w:rFonts w:ascii="Arial" w:cs="Arial" w:eastAsia="Arial" w:hAnsi="Arial"/>
                <w:sz w:val="21"/>
                <w:szCs w:val="21"/>
                <w:b w:val="1"/>
                <w:bCs w:val="1"/>
                <w:color w:val="auto"/>
                <w:w w:val="87"/>
                <w:vertAlign w:val="superscript"/>
              </w:rPr>
              <w:t>(1)(2)</w:t>
            </w: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2019 – April 30, 2019</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140,923</w:t>
            </w:r>
          </w:p>
        </w:tc>
        <w:tc>
          <w:tcPr>
            <w:tcW w:w="15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$101.40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140,923</w:t>
            </w:r>
          </w:p>
        </w:tc>
        <w:tc>
          <w:tcPr>
            <w:tcW w:w="20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1,554,888</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May 1, 2019 – May 31, 2019</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473,157</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$95.85</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473,157</w:t>
            </w:r>
          </w:p>
        </w:tc>
        <w:tc>
          <w:tcPr>
            <w:tcW w:w="20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1,081,731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1, 2019 – June 30, 2019</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514,460</w:t>
            </w:r>
          </w:p>
        </w:tc>
        <w:tc>
          <w:tcPr>
            <w:tcW w:w="15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$95.45</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514,460</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567,271</w:t>
            </w:r>
          </w:p>
        </w:tc>
        <w:tc>
          <w:tcPr>
            <w:tcW w:w="0" w:type="dxa"/>
            <w:vAlign w:val="bottom"/>
          </w:tcPr>
          <w:p>
            <w:pPr>
              <w:spacing w:after="0"/>
              <w:rPr>
                <w:sz w:val="1"/>
                <w:szCs w:val="1"/>
                <w:color w:val="auto"/>
              </w:rPr>
            </w:pP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1,128,540</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$96.36</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1,128,540</w:t>
            </w:r>
          </w:p>
        </w:tc>
        <w:tc>
          <w:tcPr>
            <w:tcW w:w="20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567,271</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60" w:hanging="652"/>
        <w:spacing w:after="0" w:line="232" w:lineRule="auto"/>
        <w:tabs>
          <w:tab w:leader="none" w:pos="66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As of June 30, 2019, our Board of Directors had authorized the repurchase of an aggregate of up to 14.9 million shares of our common stock under the share repurchase program since the initiation of the program in October 2013. Subsequent to the end of the second quarter of 2019, our Board of Directors authorized the extension of the duration of our existing share repurchase program to December 31, 2020, as well as the repurchase of up to 4.5 million additional shares of our common stock.</w:t>
      </w:r>
    </w:p>
    <w:p>
      <w:pPr>
        <w:spacing w:after="0" w:line="40" w:lineRule="exact"/>
        <w:rPr>
          <w:rFonts w:ascii="Arial" w:cs="Arial" w:eastAsia="Arial" w:hAnsi="Arial"/>
          <w:sz w:val="25"/>
          <w:szCs w:val="25"/>
          <w:color w:val="auto"/>
          <w:vertAlign w:val="superscript"/>
        </w:rPr>
      </w:pPr>
    </w:p>
    <w:p>
      <w:pPr>
        <w:ind w:left="660" w:right="60" w:hanging="652"/>
        <w:spacing w:after="0" w:line="216" w:lineRule="auto"/>
        <w:tabs>
          <w:tab w:leader="none" w:pos="66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Reflects the decrease of 286,147 shares inadvertently included in this number in the Quarterly Report on Form 10-Q for the quarter ended March 31, 2019 and the Annual Report on Form 10-K for the year ended December 31, 2018.</w:t>
      </w:r>
    </w:p>
    <w:p>
      <w:pPr>
        <w:spacing w:after="0" w:line="1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documents referenced below are being filed as a part of this Quarterly Report on Form 10-Q, unless otherwise noted.</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0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7"/>
              </w:rPr>
              <w:t>Exhibit</w:t>
            </w:r>
          </w:p>
        </w:tc>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6"/>
              </w:rPr>
              <w:t>Filed</w:t>
            </w:r>
          </w:p>
        </w:tc>
        <w:tc>
          <w:tcPr>
            <w:tcW w:w="3160" w:type="dxa"/>
            <w:vAlign w:val="bottom"/>
            <w:gridSpan w:val="5"/>
          </w:tcPr>
          <w:p>
            <w:pPr>
              <w:ind w:left="400"/>
              <w:spacing w:after="0"/>
              <w:rPr>
                <w:sz w:val="20"/>
                <w:szCs w:val="20"/>
                <w:color w:val="auto"/>
              </w:rPr>
            </w:pPr>
            <w:r>
              <w:rPr>
                <w:rFonts w:ascii="Arial" w:cs="Arial" w:eastAsia="Arial" w:hAnsi="Arial"/>
                <w:sz w:val="16"/>
                <w:szCs w:val="16"/>
                <w:b w:val="1"/>
                <w:bCs w:val="1"/>
                <w:color w:val="auto"/>
              </w:rPr>
              <w:t>Incorporation By Reference From</w:t>
            </w:r>
          </w:p>
        </w:tc>
        <w:tc>
          <w:tcPr>
            <w:tcW w:w="0" w:type="dxa"/>
            <w:vAlign w:val="bottom"/>
          </w:tcPr>
          <w:p>
            <w:pPr>
              <w:spacing w:after="0"/>
              <w:rPr>
                <w:sz w:val="1"/>
                <w:szCs w:val="1"/>
                <w:color w:val="auto"/>
              </w:rPr>
            </w:pPr>
          </w:p>
        </w:tc>
      </w:tr>
      <w:tr>
        <w:trPr>
          <w:trHeight w:val="33"/>
        </w:trPr>
        <w:tc>
          <w:tcPr>
            <w:tcW w:w="1040" w:type="dxa"/>
            <w:vAlign w:val="bottom"/>
            <w:gridSpan w:val="2"/>
            <w:vMerge w:val="continue"/>
          </w:tcPr>
          <w:p>
            <w:pPr>
              <w:spacing w:after="0"/>
              <w:rPr>
                <w:sz w:val="2"/>
                <w:szCs w:val="2"/>
                <w:color w:val="auto"/>
              </w:rPr>
            </w:pPr>
          </w:p>
        </w:tc>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w:t>
            </w:r>
          </w:p>
        </w:tc>
        <w:tc>
          <w:tcPr>
            <w:tcW w:w="6160" w:type="dxa"/>
            <w:vAlign w:val="bottom"/>
            <w:gridSpan w:val="2"/>
          </w:tcPr>
          <w:p>
            <w:pPr>
              <w:ind w:left="2620"/>
              <w:spacing w:after="0"/>
              <w:rPr>
                <w:sz w:val="20"/>
                <w:szCs w:val="20"/>
                <w:color w:val="auto"/>
              </w:rPr>
            </w:pPr>
            <w:r>
              <w:rPr>
                <w:rFonts w:ascii="Arial" w:cs="Arial" w:eastAsia="Arial" w:hAnsi="Arial"/>
                <w:sz w:val="16"/>
                <w:szCs w:val="16"/>
                <w:b w:val="1"/>
                <w:bCs w:val="1"/>
                <w:color w:val="auto"/>
              </w:rPr>
              <w:t>Description</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Herewith</w:t>
            </w:r>
          </w:p>
        </w:tc>
        <w:tc>
          <w:tcPr>
            <w:tcW w:w="1020" w:type="dxa"/>
            <w:vAlign w:val="bottom"/>
            <w:gridSpan w:val="2"/>
          </w:tcPr>
          <w:p>
            <w:pPr>
              <w:ind w:left="260"/>
              <w:spacing w:after="0"/>
              <w:rPr>
                <w:sz w:val="20"/>
                <w:szCs w:val="20"/>
                <w:color w:val="auto"/>
              </w:rPr>
            </w:pPr>
            <w:r>
              <w:rPr>
                <w:rFonts w:ascii="Arial" w:cs="Arial" w:eastAsia="Arial" w:hAnsi="Arial"/>
                <w:sz w:val="16"/>
                <w:szCs w:val="16"/>
                <w:b w:val="1"/>
                <w:bCs w:val="1"/>
                <w:color w:val="auto"/>
              </w:rPr>
              <w:t>Form</w:t>
            </w:r>
          </w:p>
        </w:tc>
        <w:tc>
          <w:tcPr>
            <w:tcW w:w="900" w:type="dxa"/>
            <w:vAlign w:val="bottom"/>
            <w:gridSpan w:val="2"/>
          </w:tcPr>
          <w:p>
            <w:pPr>
              <w:ind w:left="120"/>
              <w:spacing w:after="0"/>
              <w:rPr>
                <w:sz w:val="20"/>
                <w:szCs w:val="20"/>
                <w:color w:val="auto"/>
              </w:rPr>
            </w:pPr>
            <w:r>
              <w:rPr>
                <w:rFonts w:ascii="Arial" w:cs="Arial" w:eastAsia="Arial" w:hAnsi="Arial"/>
                <w:sz w:val="16"/>
                <w:szCs w:val="16"/>
                <w:b w:val="1"/>
                <w:bCs w:val="1"/>
                <w:color w:val="auto"/>
              </w:rPr>
              <w:t>Exhibit</w:t>
            </w:r>
          </w:p>
        </w:tc>
        <w:tc>
          <w:tcPr>
            <w:tcW w:w="1240" w:type="dxa"/>
            <w:vAlign w:val="bottom"/>
          </w:tcPr>
          <w:p>
            <w:pPr>
              <w:ind w:left="240"/>
              <w:spacing w:after="0"/>
              <w:rPr>
                <w:sz w:val="20"/>
                <w:szCs w:val="20"/>
                <w:color w:val="auto"/>
              </w:rPr>
            </w:pPr>
            <w:r>
              <w:rPr>
                <w:rFonts w:ascii="Arial" w:cs="Arial" w:eastAsia="Arial" w:hAnsi="Arial"/>
                <w:sz w:val="16"/>
                <w:szCs w:val="16"/>
                <w:b w:val="1"/>
                <w:bCs w:val="1"/>
                <w:color w:val="auto"/>
              </w:rPr>
              <w:t>Date Filed</w:t>
            </w:r>
          </w:p>
        </w:tc>
        <w:tc>
          <w:tcPr>
            <w:tcW w:w="0" w:type="dxa"/>
            <w:vAlign w:val="bottom"/>
          </w:tcPr>
          <w:p>
            <w:pPr>
              <w:spacing w:after="0"/>
              <w:rPr>
                <w:sz w:val="1"/>
                <w:szCs w:val="1"/>
                <w:color w:val="auto"/>
              </w:rPr>
            </w:pPr>
          </w:p>
        </w:tc>
      </w:tr>
      <w:tr>
        <w:trPr>
          <w:trHeight w:val="33"/>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16" w:lineRule="exact"/>
        <w:rPr>
          <w:sz w:val="20"/>
          <w:szCs w:val="20"/>
          <w:color w:val="auto"/>
        </w:rPr>
      </w:pPr>
    </w:p>
    <w:p>
      <w:pPr>
        <w:ind w:left="380"/>
        <w:spacing w:after="0"/>
        <w:rPr>
          <w:rFonts w:ascii="Arial" w:cs="Arial" w:eastAsia="Arial" w:hAnsi="Arial"/>
          <w:sz w:val="17"/>
          <w:szCs w:val="17"/>
          <w:u w:val="single" w:color="auto"/>
          <w:color w:val="0000FF"/>
        </w:rPr>
      </w:pPr>
      <w:hyperlink r:id="rId57">
        <w:r>
          <w:rPr>
            <w:rFonts w:ascii="Arial" w:cs="Arial" w:eastAsia="Arial" w:hAnsi="Arial"/>
            <w:sz w:val="17"/>
            <w:szCs w:val="17"/>
            <w:u w:val="single" w:color="auto"/>
            <w:color w:val="0000FF"/>
          </w:rPr>
          <w:t>2.1</w:t>
        </w:r>
      </w:hyperlink>
    </w:p>
    <w:p>
      <w:pPr>
        <w:spacing w:after="0" w:line="200" w:lineRule="exact"/>
        <w:rPr>
          <w:sz w:val="20"/>
          <w:szCs w:val="20"/>
          <w:color w:val="auto"/>
        </w:rPr>
      </w:pPr>
    </w:p>
    <w:p>
      <w:pPr>
        <w:spacing w:after="0" w:line="361" w:lineRule="exact"/>
        <w:rPr>
          <w:sz w:val="20"/>
          <w:szCs w:val="20"/>
          <w:color w:val="auto"/>
        </w:rPr>
      </w:pPr>
    </w:p>
    <w:p>
      <w:pPr>
        <w:ind w:left="380"/>
        <w:spacing w:after="0"/>
        <w:rPr>
          <w:rFonts w:ascii="Arial" w:cs="Arial" w:eastAsia="Arial" w:hAnsi="Arial"/>
          <w:sz w:val="17"/>
          <w:szCs w:val="17"/>
          <w:u w:val="single" w:color="auto"/>
          <w:color w:val="0000FF"/>
        </w:rPr>
      </w:pPr>
      <w:hyperlink r:id="rId58">
        <w:r>
          <w:rPr>
            <w:rFonts w:ascii="Arial" w:cs="Arial" w:eastAsia="Arial" w:hAnsi="Arial"/>
            <w:sz w:val="17"/>
            <w:szCs w:val="17"/>
            <w:u w:val="single" w:color="auto"/>
            <w:color w:val="0000FF"/>
          </w:rPr>
          <w:t>3.1</w:t>
        </w:r>
      </w:hyperlink>
    </w:p>
    <w:p>
      <w:pPr>
        <w:spacing w:after="0" w:line="291" w:lineRule="exact"/>
        <w:rPr>
          <w:sz w:val="20"/>
          <w:szCs w:val="20"/>
          <w:color w:val="auto"/>
        </w:rPr>
      </w:pPr>
    </w:p>
    <w:p>
      <w:pPr>
        <w:ind w:left="380"/>
        <w:spacing w:after="0"/>
        <w:rPr>
          <w:rFonts w:ascii="Arial" w:cs="Arial" w:eastAsia="Arial" w:hAnsi="Arial"/>
          <w:sz w:val="17"/>
          <w:szCs w:val="17"/>
          <w:u w:val="single" w:color="auto"/>
          <w:color w:val="0000FF"/>
        </w:rPr>
      </w:pPr>
      <w:hyperlink r:id="rId59">
        <w:r>
          <w:rPr>
            <w:rFonts w:ascii="Arial" w:cs="Arial" w:eastAsia="Arial" w:hAnsi="Arial"/>
            <w:sz w:val="17"/>
            <w:szCs w:val="17"/>
            <w:u w:val="single" w:color="auto"/>
            <w:color w:val="0000FF"/>
          </w:rPr>
          <w:t>3.2</w:t>
        </w:r>
      </w:hyperlink>
    </w:p>
    <w:p>
      <w:pPr>
        <w:spacing w:after="0" w:line="291" w:lineRule="exact"/>
        <w:rPr>
          <w:sz w:val="20"/>
          <w:szCs w:val="20"/>
          <w:color w:val="auto"/>
        </w:rPr>
      </w:pPr>
    </w:p>
    <w:p>
      <w:pPr>
        <w:ind w:left="380"/>
        <w:spacing w:after="0"/>
        <w:rPr>
          <w:rFonts w:ascii="Arial" w:cs="Arial" w:eastAsia="Arial" w:hAnsi="Arial"/>
          <w:sz w:val="17"/>
          <w:szCs w:val="17"/>
          <w:u w:val="single" w:color="auto"/>
          <w:color w:val="0000FF"/>
        </w:rPr>
      </w:pPr>
      <w:hyperlink r:id="rId60">
        <w:r>
          <w:rPr>
            <w:rFonts w:ascii="Arial" w:cs="Arial" w:eastAsia="Arial" w:hAnsi="Arial"/>
            <w:sz w:val="17"/>
            <w:szCs w:val="17"/>
            <w:u w:val="single" w:color="auto"/>
            <w:color w:val="0000FF"/>
          </w:rPr>
          <w:t>4.1</w:t>
        </w:r>
      </w:hyperlink>
    </w:p>
    <w:p>
      <w:pPr>
        <w:spacing w:after="0" w:line="399" w:lineRule="exact"/>
        <w:rPr>
          <w:sz w:val="20"/>
          <w:szCs w:val="20"/>
          <w:color w:val="auto"/>
        </w:rPr>
      </w:pPr>
    </w:p>
    <w:p>
      <w:pPr>
        <w:ind w:left="380"/>
        <w:spacing w:after="0"/>
        <w:rPr>
          <w:rFonts w:ascii="Arial" w:cs="Arial" w:eastAsia="Arial" w:hAnsi="Arial"/>
          <w:sz w:val="17"/>
          <w:szCs w:val="17"/>
          <w:u w:val="single" w:color="auto"/>
          <w:color w:val="0000FF"/>
        </w:rPr>
      </w:pPr>
      <w:hyperlink r:id="rId61">
        <w:r>
          <w:rPr>
            <w:rFonts w:ascii="Arial" w:cs="Arial" w:eastAsia="Arial" w:hAnsi="Arial"/>
            <w:sz w:val="17"/>
            <w:szCs w:val="17"/>
            <w:u w:val="single" w:color="auto"/>
            <w:color w:val="0000FF"/>
          </w:rPr>
          <w:t>4.2</w:t>
        </w:r>
      </w:hyperlink>
    </w:p>
    <w:p>
      <w:pPr>
        <w:spacing w:after="0" w:line="399" w:lineRule="exact"/>
        <w:rPr>
          <w:sz w:val="20"/>
          <w:szCs w:val="20"/>
          <w:color w:val="auto"/>
        </w:rPr>
      </w:pPr>
    </w:p>
    <w:p>
      <w:pPr>
        <w:ind w:left="380"/>
        <w:spacing w:after="0"/>
        <w:rPr>
          <w:rFonts w:ascii="Arial" w:cs="Arial" w:eastAsia="Arial" w:hAnsi="Arial"/>
          <w:sz w:val="17"/>
          <w:szCs w:val="17"/>
          <w:u w:val="single" w:color="auto"/>
          <w:color w:val="0000FF"/>
        </w:rPr>
      </w:pPr>
      <w:hyperlink r:id="rId62">
        <w:r>
          <w:rPr>
            <w:rFonts w:ascii="Arial" w:cs="Arial" w:eastAsia="Arial" w:hAnsi="Arial"/>
            <w:sz w:val="17"/>
            <w:szCs w:val="17"/>
            <w:u w:val="single" w:color="auto"/>
            <w:color w:val="0000FF"/>
          </w:rPr>
          <w:t>4.3</w:t>
        </w:r>
      </w:hyperlink>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80"/>
        <w:spacing w:after="0"/>
        <w:rPr>
          <w:rFonts w:ascii="Arial" w:cs="Arial" w:eastAsia="Arial" w:hAnsi="Arial"/>
          <w:sz w:val="17"/>
          <w:szCs w:val="17"/>
          <w:u w:val="single" w:color="auto"/>
          <w:color w:val="0000FF"/>
        </w:rPr>
      </w:pPr>
      <w:hyperlink r:id="rId63">
        <w:r>
          <w:rPr>
            <w:rFonts w:ascii="Arial" w:cs="Arial" w:eastAsia="Arial" w:hAnsi="Arial"/>
            <w:sz w:val="17"/>
            <w:szCs w:val="17"/>
            <w:u w:val="single" w:color="auto"/>
            <w:color w:val="0000FF"/>
          </w:rPr>
          <w:t>4.4</w:t>
        </w:r>
      </w:hyperlink>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80"/>
        <w:spacing w:after="0"/>
        <w:rPr>
          <w:rFonts w:ascii="Arial" w:cs="Arial" w:eastAsia="Arial" w:hAnsi="Arial"/>
          <w:sz w:val="17"/>
          <w:szCs w:val="17"/>
          <w:u w:val="single" w:color="auto"/>
          <w:color w:val="0000FF"/>
        </w:rPr>
      </w:pPr>
      <w:hyperlink r:id="rId64">
        <w:r>
          <w:rPr>
            <w:rFonts w:ascii="Arial" w:cs="Arial" w:eastAsia="Arial" w:hAnsi="Arial"/>
            <w:sz w:val="17"/>
            <w:szCs w:val="17"/>
            <w:u w:val="single" w:color="auto"/>
            <w:color w:val="0000FF"/>
          </w:rPr>
          <w:t>4.5</w:t>
        </w:r>
      </w:hyperlink>
    </w:p>
    <w:p>
      <w:pPr>
        <w:spacing w:after="0" w:line="200" w:lineRule="exact"/>
        <w:rPr>
          <w:sz w:val="20"/>
          <w:szCs w:val="20"/>
          <w:color w:val="auto"/>
        </w:rPr>
      </w:pPr>
    </w:p>
    <w:p>
      <w:pPr>
        <w:spacing w:after="0" w:line="253" w:lineRule="exact"/>
        <w:rPr>
          <w:sz w:val="20"/>
          <w:szCs w:val="20"/>
          <w:color w:val="auto"/>
        </w:rPr>
      </w:pPr>
    </w:p>
    <w:p>
      <w:pPr>
        <w:ind w:left="380"/>
        <w:spacing w:after="0"/>
        <w:rPr>
          <w:rFonts w:ascii="Arial" w:cs="Arial" w:eastAsia="Arial" w:hAnsi="Arial"/>
          <w:sz w:val="17"/>
          <w:szCs w:val="17"/>
          <w:u w:val="single" w:color="auto"/>
          <w:color w:val="0000FF"/>
        </w:rPr>
      </w:pPr>
      <w:hyperlink r:id="rId63">
        <w:r>
          <w:rPr>
            <w:rFonts w:ascii="Arial" w:cs="Arial" w:eastAsia="Arial" w:hAnsi="Arial"/>
            <w:sz w:val="17"/>
            <w:szCs w:val="17"/>
            <w:u w:val="single" w:color="auto"/>
            <w:color w:val="0000FF"/>
          </w:rPr>
          <w:t>4.6</w:t>
        </w:r>
      </w:hyperlink>
    </w:p>
    <w:p>
      <w:pPr>
        <w:spacing w:after="0" w:line="200" w:lineRule="exact"/>
        <w:rPr>
          <w:sz w:val="20"/>
          <w:szCs w:val="20"/>
          <w:color w:val="auto"/>
        </w:rPr>
      </w:pPr>
    </w:p>
    <w:p>
      <w:pPr>
        <w:spacing w:after="0" w:line="307" w:lineRule="exact"/>
        <w:rPr>
          <w:sz w:val="20"/>
          <w:szCs w:val="20"/>
          <w:color w:val="auto"/>
        </w:rPr>
      </w:pPr>
    </w:p>
    <w:p>
      <w:pPr>
        <w:ind w:left="380"/>
        <w:spacing w:after="0"/>
        <w:rPr>
          <w:rFonts w:ascii="Arial" w:cs="Arial" w:eastAsia="Arial" w:hAnsi="Arial"/>
          <w:sz w:val="17"/>
          <w:szCs w:val="17"/>
          <w:u w:val="single" w:color="auto"/>
          <w:color w:val="0000FF"/>
        </w:rPr>
      </w:pPr>
      <w:hyperlink r:id="rId65">
        <w:r>
          <w:rPr>
            <w:rFonts w:ascii="Arial" w:cs="Arial" w:eastAsia="Arial" w:hAnsi="Arial"/>
            <w:sz w:val="17"/>
            <w:szCs w:val="17"/>
            <w:u w:val="single" w:color="auto"/>
            <w:color w:val="0000FF"/>
          </w:rPr>
          <w:t>4.7</w:t>
        </w:r>
      </w:hyperlink>
    </w:p>
    <w:p>
      <w:pPr>
        <w:spacing w:after="0" w:line="20" w:lineRule="exact"/>
        <w:rPr>
          <w:sz w:val="20"/>
          <w:szCs w:val="20"/>
          <w:color w:val="auto"/>
        </w:rPr>
      </w:pPr>
      <w:r>
        <w:rPr>
          <w:sz w:val="20"/>
          <w:szCs w:val="20"/>
          <w:color w:val="auto"/>
        </w:rPr>
        <w:br w:type="column"/>
      </w:r>
    </w:p>
    <w:p>
      <w:pPr>
        <w:ind w:right="720"/>
        <w:spacing w:after="0" w:line="286" w:lineRule="auto"/>
        <w:rPr>
          <w:sz w:val="20"/>
          <w:szCs w:val="20"/>
          <w:color w:val="auto"/>
        </w:rPr>
      </w:pPr>
      <w:r>
        <w:rPr>
          <w:rFonts w:ascii="Arial" w:cs="Arial" w:eastAsia="Arial" w:hAnsi="Arial"/>
          <w:sz w:val="17"/>
          <w:szCs w:val="17"/>
          <w:color w:val="auto"/>
        </w:rPr>
        <w:t>Agreement and Plan of Merger, dated as of April 30, 2018, by and among Marriott Vacations Worldwide Corporation, ILG, Inc., Ignite Holdco, Inc., Ignite Holdco Subsidiary, Inc., Volt Merger Sub, Inc., and Volt Merger Sub LLC*</w:t>
      </w:r>
    </w:p>
    <w:p>
      <w:pPr>
        <w:spacing w:after="0" w:line="166" w:lineRule="exact"/>
        <w:rPr>
          <w:sz w:val="20"/>
          <w:szCs w:val="20"/>
          <w:color w:val="auto"/>
        </w:rPr>
      </w:pPr>
    </w:p>
    <w:p>
      <w:pPr>
        <w:ind w:right="1600"/>
        <w:spacing w:after="0" w:line="277" w:lineRule="auto"/>
        <w:rPr>
          <w:sz w:val="20"/>
          <w:szCs w:val="20"/>
          <w:color w:val="auto"/>
        </w:rPr>
      </w:pPr>
      <w:r>
        <w:rPr>
          <w:rFonts w:ascii="Arial" w:cs="Arial" w:eastAsia="Arial" w:hAnsi="Arial"/>
          <w:sz w:val="18"/>
          <w:szCs w:val="18"/>
          <w:color w:val="auto"/>
        </w:rPr>
        <w:t>Restated Certificate of Incorporation of Marriott Vacations Worldwide Corporation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Restated Bylaws of Marriott Vacations Worldwide Corporation</w:t>
      </w:r>
    </w:p>
    <w:p>
      <w:pPr>
        <w:spacing w:after="0" w:line="171" w:lineRule="exact"/>
        <w:rPr>
          <w:sz w:val="20"/>
          <w:szCs w:val="20"/>
          <w:color w:val="auto"/>
        </w:rPr>
      </w:pPr>
    </w:p>
    <w:p>
      <w:pPr>
        <w:ind w:right="1120"/>
        <w:spacing w:after="0" w:line="277" w:lineRule="auto"/>
        <w:rPr>
          <w:sz w:val="20"/>
          <w:szCs w:val="20"/>
          <w:color w:val="auto"/>
        </w:rPr>
      </w:pPr>
      <w:r>
        <w:rPr>
          <w:rFonts w:ascii="Arial" w:cs="Arial" w:eastAsia="Arial" w:hAnsi="Arial"/>
          <w:sz w:val="18"/>
          <w:szCs w:val="18"/>
          <w:color w:val="auto"/>
        </w:rPr>
        <w:t>Form of certificate representing shares of common stock, par value $0.01 per share, of Marriott Vacations Worldwide Corporation</w:t>
      </w:r>
    </w:p>
    <w:p>
      <w:pPr>
        <w:spacing w:after="0" w:line="116" w:lineRule="exact"/>
        <w:rPr>
          <w:sz w:val="20"/>
          <w:szCs w:val="20"/>
          <w:color w:val="auto"/>
        </w:rPr>
      </w:pPr>
    </w:p>
    <w:p>
      <w:pPr>
        <w:ind w:right="940"/>
        <w:spacing w:after="0" w:line="342" w:lineRule="auto"/>
        <w:rPr>
          <w:sz w:val="20"/>
          <w:szCs w:val="20"/>
          <w:color w:val="auto"/>
        </w:rPr>
      </w:pPr>
      <w:r>
        <w:rPr>
          <w:rFonts w:ascii="Arial" w:cs="Arial" w:eastAsia="Arial" w:hAnsi="Arial"/>
          <w:sz w:val="16"/>
          <w:szCs w:val="16"/>
          <w:color w:val="auto"/>
        </w:rPr>
        <w:t>Indenture between Marriott Vacations Worldwide Corporation and The Bank of New York Mellon Trust Company, N.A., as trustee, dated September 25, 2017</w:t>
      </w:r>
    </w:p>
    <w:p>
      <w:pPr>
        <w:spacing w:after="0" w:line="70" w:lineRule="exact"/>
        <w:rPr>
          <w:sz w:val="20"/>
          <w:szCs w:val="20"/>
          <w:color w:val="auto"/>
        </w:rPr>
      </w:pPr>
    </w:p>
    <w:p>
      <w:pPr>
        <w:ind w:right="1200"/>
        <w:spacing w:after="0" w:line="277" w:lineRule="auto"/>
        <w:rPr>
          <w:sz w:val="20"/>
          <w:szCs w:val="20"/>
          <w:color w:val="auto"/>
        </w:rPr>
      </w:pPr>
      <w:r>
        <w:rPr>
          <w:rFonts w:ascii="Arial" w:cs="Arial" w:eastAsia="Arial" w:hAnsi="Arial"/>
          <w:sz w:val="18"/>
          <w:szCs w:val="18"/>
          <w:color w:val="auto"/>
        </w:rPr>
        <w:t>Form of 1.50% Convertible Senior Note due 2022 (included as Exhibit A to Exhibit 4.2 above)</w:t>
      </w:r>
    </w:p>
    <w:p>
      <w:pPr>
        <w:spacing w:after="0" w:line="116" w:lineRule="exact"/>
        <w:rPr>
          <w:sz w:val="20"/>
          <w:szCs w:val="20"/>
          <w:color w:val="auto"/>
        </w:rPr>
      </w:pPr>
    </w:p>
    <w:p>
      <w:pPr>
        <w:ind w:right="780"/>
        <w:spacing w:after="0" w:line="259" w:lineRule="auto"/>
        <w:rPr>
          <w:sz w:val="20"/>
          <w:szCs w:val="20"/>
          <w:color w:val="auto"/>
        </w:rPr>
      </w:pPr>
      <w:r>
        <w:rPr>
          <w:rFonts w:ascii="Arial" w:cs="Arial" w:eastAsia="Arial" w:hAnsi="Arial"/>
          <w:sz w:val="18"/>
          <w:szCs w:val="18"/>
          <w:color w:val="auto"/>
        </w:rPr>
        <w:t>Indenture, dated as of August 23, 2018, by and among Marriott Ownership Resorts, Inc., Marriott Vacations Worldwide Corporation, as guarantor, the other guarantors party thereto and the Bank of New York Mellon Trust Company, N.A., as trustee</w:t>
      </w:r>
    </w:p>
    <w:p>
      <w:pPr>
        <w:spacing w:after="0" w:line="133" w:lineRule="exact"/>
        <w:rPr>
          <w:sz w:val="20"/>
          <w:szCs w:val="20"/>
          <w:color w:val="auto"/>
        </w:rPr>
      </w:pPr>
    </w:p>
    <w:p>
      <w:pPr>
        <w:ind w:right="840"/>
        <w:spacing w:after="0" w:line="264" w:lineRule="auto"/>
        <w:rPr>
          <w:sz w:val="20"/>
          <w:szCs w:val="20"/>
          <w:color w:val="auto"/>
        </w:rPr>
      </w:pPr>
      <w:r>
        <w:rPr>
          <w:rFonts w:ascii="Arial" w:cs="Arial" w:eastAsia="Arial" w:hAnsi="Arial"/>
          <w:sz w:val="18"/>
          <w:szCs w:val="18"/>
          <w:color w:val="auto"/>
        </w:rPr>
        <w:t>Supplemental Indenture, dated September 1, 2018, by and among Marriott Ownership Resorts, Inc., ILG, LLC, the guarantors party thereto and the Bank of New York Mellon Trust Company, N.A., as trustee</w:t>
      </w:r>
    </w:p>
    <w:p>
      <w:pPr>
        <w:spacing w:after="0" w:line="73" w:lineRule="exact"/>
        <w:rPr>
          <w:sz w:val="20"/>
          <w:szCs w:val="20"/>
          <w:color w:val="auto"/>
        </w:rPr>
      </w:pPr>
    </w:p>
    <w:p>
      <w:pPr>
        <w:ind w:right="1160"/>
        <w:spacing w:after="0" w:line="277" w:lineRule="auto"/>
        <w:rPr>
          <w:sz w:val="20"/>
          <w:szCs w:val="20"/>
          <w:color w:val="auto"/>
        </w:rPr>
      </w:pPr>
      <w:r>
        <w:rPr>
          <w:rFonts w:ascii="Arial" w:cs="Arial" w:eastAsia="Arial" w:hAnsi="Arial"/>
          <w:sz w:val="18"/>
          <w:szCs w:val="18"/>
          <w:color w:val="auto"/>
        </w:rPr>
        <w:t>Form of 6.500% Senior Note due 2026 (included as Exhibit A to Exhibit 4.4 above)</w:t>
      </w:r>
    </w:p>
    <w:p>
      <w:pPr>
        <w:spacing w:after="0" w:line="8" w:lineRule="exact"/>
        <w:rPr>
          <w:sz w:val="20"/>
          <w:szCs w:val="20"/>
          <w:color w:val="auto"/>
        </w:rPr>
      </w:pPr>
    </w:p>
    <w:p>
      <w:pPr>
        <w:ind w:right="840"/>
        <w:spacing w:after="0" w:line="259" w:lineRule="auto"/>
        <w:rPr>
          <w:sz w:val="20"/>
          <w:szCs w:val="20"/>
          <w:color w:val="auto"/>
        </w:rPr>
      </w:pPr>
      <w:r>
        <w:rPr>
          <w:rFonts w:ascii="Arial" w:cs="Arial" w:eastAsia="Arial" w:hAnsi="Arial"/>
          <w:sz w:val="18"/>
          <w:szCs w:val="18"/>
          <w:color w:val="auto"/>
        </w:rPr>
        <w:t>Registration Rights Agreement, dated as of August 23, 2018, by and among Marriott Ownership Resorts, Inc., Marriott Vacations Worldwide Corporation, as guarantor, the other guarantors party thereto and Merrill Lynch, Pierce, Fenner &amp; Smith Incorporated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2.1</w:t>
            </w:r>
          </w:p>
        </w:tc>
        <w:tc>
          <w:tcPr>
            <w:tcW w:w="1120" w:type="dxa"/>
            <w:vAlign w:val="bottom"/>
          </w:tcPr>
          <w:p>
            <w:pPr>
              <w:jc w:val="center"/>
              <w:ind w:left="190"/>
              <w:spacing w:after="0"/>
              <w:rPr>
                <w:sz w:val="20"/>
                <w:szCs w:val="20"/>
                <w:color w:val="auto"/>
              </w:rPr>
            </w:pPr>
            <w:r>
              <w:rPr>
                <w:rFonts w:ascii="Arial" w:cs="Arial" w:eastAsia="Arial" w:hAnsi="Arial"/>
                <w:sz w:val="18"/>
                <w:szCs w:val="18"/>
                <w:color w:val="auto"/>
                <w:w w:val="91"/>
              </w:rPr>
              <w:t>5/1/2018</w:t>
            </w:r>
          </w:p>
        </w:tc>
      </w:tr>
      <w:tr>
        <w:trPr>
          <w:trHeight w:val="7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3.1</w:t>
            </w:r>
          </w:p>
        </w:tc>
        <w:tc>
          <w:tcPr>
            <w:tcW w:w="1120" w:type="dxa"/>
            <w:vAlign w:val="bottom"/>
          </w:tcPr>
          <w:p>
            <w:pPr>
              <w:jc w:val="center"/>
              <w:ind w:left="190"/>
              <w:spacing w:after="0"/>
              <w:rPr>
                <w:sz w:val="20"/>
                <w:szCs w:val="20"/>
                <w:color w:val="auto"/>
              </w:rPr>
            </w:pPr>
            <w:r>
              <w:rPr>
                <w:rFonts w:ascii="Arial" w:cs="Arial" w:eastAsia="Arial" w:hAnsi="Arial"/>
                <w:sz w:val="18"/>
                <w:szCs w:val="18"/>
                <w:color w:val="auto"/>
                <w:w w:val="88"/>
              </w:rPr>
              <w:t>11/22/2011</w:t>
            </w:r>
          </w:p>
        </w:tc>
      </w:tr>
      <w:tr>
        <w:trPr>
          <w:trHeight w:val="48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3.2</w:t>
            </w:r>
          </w:p>
        </w:tc>
        <w:tc>
          <w:tcPr>
            <w:tcW w:w="1120" w:type="dxa"/>
            <w:vAlign w:val="bottom"/>
          </w:tcPr>
          <w:p>
            <w:pPr>
              <w:jc w:val="center"/>
              <w:ind w:left="190"/>
              <w:spacing w:after="0"/>
              <w:rPr>
                <w:sz w:val="20"/>
                <w:szCs w:val="20"/>
                <w:color w:val="auto"/>
              </w:rPr>
            </w:pPr>
            <w:r>
              <w:rPr>
                <w:rFonts w:ascii="Arial" w:cs="Arial" w:eastAsia="Arial" w:hAnsi="Arial"/>
                <w:sz w:val="18"/>
                <w:szCs w:val="18"/>
                <w:color w:val="auto"/>
                <w:w w:val="88"/>
              </w:rPr>
              <w:t>11/22/2011</w:t>
            </w:r>
          </w:p>
        </w:tc>
      </w:tr>
      <w:tr>
        <w:trPr>
          <w:trHeight w:val="486"/>
        </w:trPr>
        <w:tc>
          <w:tcPr>
            <w:tcW w:w="700" w:type="dxa"/>
            <w:vAlign w:val="bottom"/>
          </w:tcPr>
          <w:p>
            <w:pPr>
              <w:jc w:val="center"/>
              <w:ind w:right="230"/>
              <w:spacing w:after="0"/>
              <w:rPr>
                <w:sz w:val="20"/>
                <w:szCs w:val="20"/>
                <w:color w:val="auto"/>
              </w:rPr>
            </w:pPr>
            <w:r>
              <w:rPr>
                <w:rFonts w:ascii="Arial" w:cs="Arial" w:eastAsia="Arial" w:hAnsi="Arial"/>
                <w:sz w:val="18"/>
                <w:szCs w:val="18"/>
                <w:color w:val="auto"/>
                <w:w w:val="89"/>
              </w:rPr>
              <w:t>10</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4.1</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0"/>
              </w:rPr>
              <w:t>10/14/2011</w:t>
            </w:r>
          </w:p>
        </w:tc>
      </w:tr>
      <w:tr>
        <w:trPr>
          <w:trHeight w:val="594"/>
        </w:trPr>
        <w:tc>
          <w:tcPr>
            <w:tcW w:w="700" w:type="dxa"/>
            <w:vAlign w:val="bottom"/>
          </w:tcPr>
          <w:p>
            <w:pPr>
              <w:jc w:val="center"/>
              <w:ind w:right="230"/>
              <w:spacing w:after="0"/>
              <w:rPr>
                <w:sz w:val="20"/>
                <w:szCs w:val="20"/>
                <w:color w:val="auto"/>
              </w:rPr>
            </w:pPr>
            <w:r>
              <w:rPr>
                <w:rFonts w:ascii="Arial" w:cs="Arial" w:eastAsia="Arial" w:hAnsi="Arial"/>
                <w:sz w:val="18"/>
                <w:szCs w:val="18"/>
                <w:color w:val="auto"/>
                <w:w w:val="94"/>
              </w:rPr>
              <w:t>10-Q</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4.1</w:t>
            </w:r>
          </w:p>
        </w:tc>
        <w:tc>
          <w:tcPr>
            <w:tcW w:w="1120" w:type="dxa"/>
            <w:vAlign w:val="bottom"/>
          </w:tcPr>
          <w:p>
            <w:pPr>
              <w:jc w:val="center"/>
              <w:ind w:left="190"/>
              <w:spacing w:after="0"/>
              <w:rPr>
                <w:sz w:val="20"/>
                <w:szCs w:val="20"/>
                <w:color w:val="auto"/>
              </w:rPr>
            </w:pPr>
            <w:r>
              <w:rPr>
                <w:rFonts w:ascii="Arial" w:cs="Arial" w:eastAsia="Arial" w:hAnsi="Arial"/>
                <w:sz w:val="18"/>
                <w:szCs w:val="18"/>
                <w:color w:val="auto"/>
                <w:w w:val="89"/>
              </w:rPr>
              <w:t>11/2/2017</w:t>
            </w:r>
          </w:p>
        </w:tc>
      </w:tr>
      <w:tr>
        <w:trPr>
          <w:trHeight w:val="594"/>
        </w:trPr>
        <w:tc>
          <w:tcPr>
            <w:tcW w:w="700" w:type="dxa"/>
            <w:vAlign w:val="bottom"/>
          </w:tcPr>
          <w:p>
            <w:pPr>
              <w:jc w:val="center"/>
              <w:ind w:right="230"/>
              <w:spacing w:after="0"/>
              <w:rPr>
                <w:sz w:val="20"/>
                <w:szCs w:val="20"/>
                <w:color w:val="auto"/>
              </w:rPr>
            </w:pPr>
            <w:r>
              <w:rPr>
                <w:rFonts w:ascii="Arial" w:cs="Arial" w:eastAsia="Arial" w:hAnsi="Arial"/>
                <w:sz w:val="18"/>
                <w:szCs w:val="18"/>
                <w:color w:val="auto"/>
                <w:w w:val="94"/>
              </w:rPr>
              <w:t>10-Q</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4.1</w:t>
            </w:r>
          </w:p>
        </w:tc>
        <w:tc>
          <w:tcPr>
            <w:tcW w:w="1120" w:type="dxa"/>
            <w:vAlign w:val="bottom"/>
          </w:tcPr>
          <w:p>
            <w:pPr>
              <w:jc w:val="center"/>
              <w:ind w:left="190"/>
              <w:spacing w:after="0"/>
              <w:rPr>
                <w:sz w:val="20"/>
                <w:szCs w:val="20"/>
                <w:color w:val="auto"/>
              </w:rPr>
            </w:pPr>
            <w:r>
              <w:rPr>
                <w:rFonts w:ascii="Arial" w:cs="Arial" w:eastAsia="Arial" w:hAnsi="Arial"/>
                <w:sz w:val="18"/>
                <w:szCs w:val="18"/>
                <w:color w:val="auto"/>
                <w:w w:val="89"/>
              </w:rPr>
              <w:t>11/2/2017</w:t>
            </w:r>
          </w:p>
        </w:tc>
      </w:tr>
      <w:tr>
        <w:trPr>
          <w:trHeight w:val="810"/>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4.1</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2"/>
              </w:rPr>
              <w:t>8/23/2018</w:t>
            </w:r>
          </w:p>
        </w:tc>
      </w:tr>
      <w:tr>
        <w:trPr>
          <w:trHeight w:val="918"/>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4.7</w:t>
            </w:r>
          </w:p>
        </w:tc>
        <w:tc>
          <w:tcPr>
            <w:tcW w:w="1120" w:type="dxa"/>
            <w:vAlign w:val="bottom"/>
          </w:tcPr>
          <w:p>
            <w:pPr>
              <w:jc w:val="center"/>
              <w:ind w:left="190"/>
              <w:spacing w:after="0"/>
              <w:rPr>
                <w:sz w:val="20"/>
                <w:szCs w:val="20"/>
                <w:color w:val="auto"/>
              </w:rPr>
            </w:pPr>
            <w:r>
              <w:rPr>
                <w:rFonts w:ascii="Arial" w:cs="Arial" w:eastAsia="Arial" w:hAnsi="Arial"/>
                <w:sz w:val="18"/>
                <w:szCs w:val="18"/>
                <w:color w:val="auto"/>
                <w:w w:val="91"/>
              </w:rPr>
              <w:t>9/5/2018</w:t>
            </w:r>
          </w:p>
        </w:tc>
      </w:tr>
      <w:tr>
        <w:trPr>
          <w:trHeight w:val="648"/>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4.1</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2"/>
              </w:rPr>
              <w:t>8/23/2018</w:t>
            </w:r>
          </w:p>
        </w:tc>
      </w:tr>
      <w:tr>
        <w:trPr>
          <w:trHeight w:val="702"/>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4.3</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2"/>
              </w:rPr>
              <w:t>8/23/2018</w:t>
            </w:r>
          </w:p>
        </w:tc>
      </w:tr>
    </w:tbl>
    <w:p>
      <w:pPr>
        <w:spacing w:after="0" w:line="538" w:lineRule="exact"/>
        <w:rPr>
          <w:sz w:val="20"/>
          <w:szCs w:val="20"/>
          <w:color w:val="auto"/>
        </w:rPr>
      </w:pPr>
    </w:p>
    <w:p>
      <w:pPr>
        <w:sectPr>
          <w:pgSz w:w="11900" w:h="16838" w:orient="portrait"/>
          <w:cols w:equalWidth="0" w:num="3">
            <w:col w:w="620" w:space="480"/>
            <w:col w:w="6680" w:space="720"/>
            <w:col w:w="2920"/>
          </w:cols>
          <w:pgMar w:left="240" w:top="580" w:right="239" w:bottom="1440" w:gutter="0" w:footer="0" w:header="0"/>
          <w:type w:val="continuous"/>
        </w:sectPr>
      </w:pPr>
    </w:p>
    <w:p>
      <w:pPr>
        <w:spacing w:after="0" w:line="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580" w:right="23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10"/>
        </w:trPr>
        <w:tc>
          <w:tcPr>
            <w:tcW w:w="2020" w:type="dxa"/>
            <w:vAlign w:val="bottom"/>
            <w:vMerge w:val="restart"/>
          </w:tcPr>
          <w:p>
            <w:pPr>
              <w:jc w:val="center"/>
              <w:ind w:right="1379"/>
              <w:spacing w:after="0"/>
              <w:rPr>
                <w:sz w:val="20"/>
                <w:szCs w:val="20"/>
                <w:color w:val="auto"/>
              </w:rPr>
            </w:pPr>
            <w:r>
              <w:rPr>
                <w:rFonts w:ascii="Arial" w:cs="Arial" w:eastAsia="Arial" w:hAnsi="Arial"/>
                <w:sz w:val="16"/>
                <w:szCs w:val="16"/>
                <w:b w:val="1"/>
                <w:bCs w:val="1"/>
                <w:color w:val="auto"/>
                <w:w w:val="97"/>
              </w:rPr>
              <w:t>Exhibit</w:t>
            </w:r>
          </w:p>
        </w:tc>
        <w:tc>
          <w:tcPr>
            <w:tcW w:w="3680" w:type="dxa"/>
            <w:vAlign w:val="bottom"/>
          </w:tcPr>
          <w:p>
            <w:pPr>
              <w:spacing w:after="0"/>
              <w:rPr>
                <w:sz w:val="18"/>
                <w:szCs w:val="18"/>
                <w:color w:val="auto"/>
              </w:rPr>
            </w:pPr>
          </w:p>
        </w:tc>
        <w:tc>
          <w:tcPr>
            <w:tcW w:w="2320" w:type="dxa"/>
            <w:vAlign w:val="bottom"/>
            <w:vMerge w:val="restart"/>
          </w:tcPr>
          <w:p>
            <w:pPr>
              <w:jc w:val="center"/>
              <w:ind w:left="1119"/>
              <w:spacing w:after="0"/>
              <w:rPr>
                <w:sz w:val="20"/>
                <w:szCs w:val="20"/>
                <w:color w:val="auto"/>
              </w:rPr>
            </w:pPr>
            <w:r>
              <w:rPr>
                <w:rFonts w:ascii="Arial" w:cs="Arial" w:eastAsia="Arial" w:hAnsi="Arial"/>
                <w:sz w:val="16"/>
                <w:szCs w:val="16"/>
                <w:b w:val="1"/>
                <w:bCs w:val="1"/>
                <w:color w:val="auto"/>
                <w:w w:val="96"/>
              </w:rPr>
              <w:t>Filed</w:t>
            </w:r>
          </w:p>
        </w:tc>
        <w:tc>
          <w:tcPr>
            <w:tcW w:w="3160" w:type="dxa"/>
            <w:vAlign w:val="bottom"/>
            <w:gridSpan w:val="3"/>
          </w:tcPr>
          <w:p>
            <w:pPr>
              <w:ind w:left="400"/>
              <w:spacing w:after="0"/>
              <w:rPr>
                <w:sz w:val="20"/>
                <w:szCs w:val="20"/>
                <w:color w:val="auto"/>
              </w:rPr>
            </w:pPr>
            <w:r>
              <w:rPr>
                <w:rFonts w:ascii="Arial" w:cs="Arial" w:eastAsia="Arial" w:hAnsi="Arial"/>
                <w:sz w:val="16"/>
                <w:szCs w:val="16"/>
                <w:b w:val="1"/>
                <w:bCs w:val="1"/>
                <w:color w:val="auto"/>
              </w:rPr>
              <w:t>Incorporation By Reference From</w:t>
            </w:r>
          </w:p>
        </w:tc>
        <w:tc>
          <w:tcPr>
            <w:tcW w:w="0" w:type="dxa"/>
            <w:vAlign w:val="bottom"/>
          </w:tcPr>
          <w:p>
            <w:pPr>
              <w:spacing w:after="0"/>
              <w:rPr>
                <w:sz w:val="1"/>
                <w:szCs w:val="1"/>
                <w:color w:val="auto"/>
              </w:rPr>
            </w:pPr>
          </w:p>
        </w:tc>
      </w:tr>
      <w:tr>
        <w:trPr>
          <w:trHeight w:val="33"/>
        </w:trPr>
        <w:tc>
          <w:tcPr>
            <w:tcW w:w="2020" w:type="dxa"/>
            <w:vAlign w:val="bottom"/>
            <w:vMerge w:val="continue"/>
          </w:tcPr>
          <w:p>
            <w:pPr>
              <w:spacing w:after="0"/>
              <w:rPr>
                <w:sz w:val="2"/>
                <w:szCs w:val="2"/>
                <w:color w:val="auto"/>
              </w:rPr>
            </w:pPr>
          </w:p>
        </w:tc>
        <w:tc>
          <w:tcPr>
            <w:tcW w:w="3680" w:type="dxa"/>
            <w:vAlign w:val="bottom"/>
          </w:tcPr>
          <w:p>
            <w:pPr>
              <w:spacing w:after="0"/>
              <w:rPr>
                <w:sz w:val="2"/>
                <w:szCs w:val="2"/>
                <w:color w:val="auto"/>
              </w:rPr>
            </w:pPr>
          </w:p>
        </w:tc>
        <w:tc>
          <w:tcPr>
            <w:tcW w:w="2320" w:type="dxa"/>
            <w:vAlign w:val="bottom"/>
            <w:vMerge w:val="continue"/>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20" w:type="dxa"/>
            <w:vAlign w:val="bottom"/>
          </w:tcPr>
          <w:p>
            <w:pPr>
              <w:jc w:val="center"/>
              <w:ind w:right="1379"/>
              <w:spacing w:after="0"/>
              <w:rPr>
                <w:sz w:val="20"/>
                <w:szCs w:val="20"/>
                <w:color w:val="auto"/>
              </w:rPr>
            </w:pPr>
            <w:r>
              <w:rPr>
                <w:rFonts w:ascii="Arial" w:cs="Arial" w:eastAsia="Arial" w:hAnsi="Arial"/>
                <w:sz w:val="16"/>
                <w:szCs w:val="16"/>
                <w:b w:val="1"/>
                <w:bCs w:val="1"/>
                <w:color w:val="auto"/>
                <w:w w:val="92"/>
              </w:rPr>
              <w:t>Number</w:t>
            </w:r>
          </w:p>
        </w:tc>
        <w:tc>
          <w:tcPr>
            <w:tcW w:w="3680" w:type="dxa"/>
            <w:vAlign w:val="bottom"/>
          </w:tcPr>
          <w:p>
            <w:pPr>
              <w:ind w:left="1460"/>
              <w:spacing w:after="0"/>
              <w:rPr>
                <w:sz w:val="20"/>
                <w:szCs w:val="20"/>
                <w:color w:val="auto"/>
              </w:rPr>
            </w:pPr>
            <w:r>
              <w:rPr>
                <w:rFonts w:ascii="Arial" w:cs="Arial" w:eastAsia="Arial" w:hAnsi="Arial"/>
                <w:sz w:val="16"/>
                <w:szCs w:val="16"/>
                <w:b w:val="1"/>
                <w:bCs w:val="1"/>
                <w:color w:val="auto"/>
              </w:rPr>
              <w:t>Description</w:t>
            </w:r>
          </w:p>
        </w:tc>
        <w:tc>
          <w:tcPr>
            <w:tcW w:w="2320" w:type="dxa"/>
            <w:vAlign w:val="bottom"/>
          </w:tcPr>
          <w:p>
            <w:pPr>
              <w:jc w:val="center"/>
              <w:ind w:left="1119"/>
              <w:spacing w:after="0"/>
              <w:rPr>
                <w:sz w:val="20"/>
                <w:szCs w:val="20"/>
                <w:color w:val="auto"/>
              </w:rPr>
            </w:pPr>
            <w:r>
              <w:rPr>
                <w:rFonts w:ascii="Arial" w:cs="Arial" w:eastAsia="Arial" w:hAnsi="Arial"/>
                <w:sz w:val="16"/>
                <w:szCs w:val="16"/>
                <w:b w:val="1"/>
                <w:bCs w:val="1"/>
                <w:color w:val="auto"/>
                <w:w w:val="94"/>
              </w:rPr>
              <w:t>Herewith</w:t>
            </w:r>
          </w:p>
        </w:tc>
        <w:tc>
          <w:tcPr>
            <w:tcW w:w="900" w:type="dxa"/>
            <w:vAlign w:val="bottom"/>
          </w:tcPr>
          <w:p>
            <w:pPr>
              <w:ind w:left="260"/>
              <w:spacing w:after="0"/>
              <w:rPr>
                <w:sz w:val="20"/>
                <w:szCs w:val="20"/>
                <w:color w:val="auto"/>
              </w:rPr>
            </w:pPr>
            <w:r>
              <w:rPr>
                <w:rFonts w:ascii="Arial" w:cs="Arial" w:eastAsia="Arial" w:hAnsi="Arial"/>
                <w:sz w:val="16"/>
                <w:szCs w:val="16"/>
                <w:b w:val="1"/>
                <w:bCs w:val="1"/>
                <w:color w:val="auto"/>
              </w:rPr>
              <w:t>Form</w:t>
            </w:r>
          </w:p>
        </w:tc>
        <w:tc>
          <w:tcPr>
            <w:tcW w:w="1020" w:type="dxa"/>
            <w:vAlign w:val="bottom"/>
          </w:tcPr>
          <w:p>
            <w:pPr>
              <w:ind w:left="240"/>
              <w:spacing w:after="0"/>
              <w:rPr>
                <w:sz w:val="20"/>
                <w:szCs w:val="20"/>
                <w:color w:val="auto"/>
              </w:rPr>
            </w:pPr>
            <w:r>
              <w:rPr>
                <w:rFonts w:ascii="Arial" w:cs="Arial" w:eastAsia="Arial" w:hAnsi="Arial"/>
                <w:sz w:val="16"/>
                <w:szCs w:val="16"/>
                <w:b w:val="1"/>
                <w:bCs w:val="1"/>
                <w:color w:val="auto"/>
              </w:rPr>
              <w:t>Exhibit</w:t>
            </w:r>
          </w:p>
        </w:tc>
        <w:tc>
          <w:tcPr>
            <w:tcW w:w="1240" w:type="dxa"/>
            <w:vAlign w:val="bottom"/>
          </w:tcPr>
          <w:p>
            <w:pPr>
              <w:ind w:left="240"/>
              <w:spacing w:after="0"/>
              <w:rPr>
                <w:sz w:val="20"/>
                <w:szCs w:val="20"/>
                <w:color w:val="auto"/>
              </w:rPr>
            </w:pPr>
            <w:r>
              <w:rPr>
                <w:rFonts w:ascii="Arial" w:cs="Arial" w:eastAsia="Arial" w:hAnsi="Arial"/>
                <w:sz w:val="16"/>
                <w:szCs w:val="16"/>
                <w:b w:val="1"/>
                <w:bCs w:val="1"/>
                <w:color w:val="auto"/>
              </w:rPr>
              <w:t>Date Filed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20955</wp:posOffset>
            </wp:positionV>
            <wp:extent cx="72034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180"/>
          </w:cols>
          <w:pgMar w:left="460" w:top="544" w:right="259" w:bottom="1440" w:gutter="0" w:footer="0" w:header="0"/>
        </w:sectPr>
      </w:pPr>
    </w:p>
    <w:p>
      <w:pPr>
        <w:spacing w:after="0" w:line="275" w:lineRule="exact"/>
        <w:rPr>
          <w:sz w:val="20"/>
          <w:szCs w:val="20"/>
          <w:color w:val="auto"/>
        </w:rPr>
      </w:pPr>
    </w:p>
    <w:p>
      <w:pPr>
        <w:ind w:left="160"/>
        <w:spacing w:after="0"/>
        <w:rPr>
          <w:rFonts w:ascii="Arial" w:cs="Arial" w:eastAsia="Arial" w:hAnsi="Arial"/>
          <w:sz w:val="17"/>
          <w:szCs w:val="17"/>
          <w:u w:val="single" w:color="auto"/>
          <w:color w:val="0000FF"/>
        </w:rPr>
      </w:pPr>
      <w:hyperlink r:id="rId67">
        <w:r>
          <w:rPr>
            <w:rFonts w:ascii="Arial" w:cs="Arial" w:eastAsia="Arial" w:hAnsi="Arial"/>
            <w:sz w:val="17"/>
            <w:szCs w:val="17"/>
            <w:u w:val="single" w:color="auto"/>
            <w:color w:val="0000FF"/>
          </w:rPr>
          <w:t>4.8</w:t>
        </w:r>
      </w:hyperlink>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60"/>
        <w:spacing w:after="0"/>
        <w:rPr>
          <w:rFonts w:ascii="Arial" w:cs="Arial" w:eastAsia="Arial" w:hAnsi="Arial"/>
          <w:sz w:val="17"/>
          <w:szCs w:val="17"/>
          <w:u w:val="single" w:color="auto"/>
          <w:color w:val="0000FF"/>
        </w:rPr>
      </w:pPr>
      <w:hyperlink r:id="rId68">
        <w:r>
          <w:rPr>
            <w:rFonts w:ascii="Arial" w:cs="Arial" w:eastAsia="Arial" w:hAnsi="Arial"/>
            <w:sz w:val="17"/>
            <w:szCs w:val="17"/>
            <w:u w:val="single" w:color="auto"/>
            <w:color w:val="0000FF"/>
          </w:rPr>
          <w:t>4.9</w:t>
        </w:r>
      </w:hyperlink>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820"/>
        <w:spacing w:after="0" w:line="305" w:lineRule="auto"/>
        <w:rPr>
          <w:sz w:val="20"/>
          <w:szCs w:val="20"/>
          <w:color w:val="auto"/>
        </w:rPr>
      </w:pPr>
      <w:r>
        <w:rPr>
          <w:rFonts w:ascii="Arial" w:cs="Arial" w:eastAsia="Arial" w:hAnsi="Arial"/>
          <w:sz w:val="16"/>
          <w:szCs w:val="16"/>
          <w:color w:val="auto"/>
        </w:rPr>
        <w:t>Joinder Agreement to Registration Rights Agreement, dated as of September 1, 2018, by and among ILG, LLC, the guarantors party thereto and Merrill Lynch, Pierce, Fenner &amp; Smith Incorporated as the representative of the initial purchasers</w:t>
      </w:r>
    </w:p>
    <w:p>
      <w:pPr>
        <w:spacing w:after="0" w:line="1" w:lineRule="exact"/>
        <w:rPr>
          <w:sz w:val="20"/>
          <w:szCs w:val="20"/>
          <w:color w:val="auto"/>
        </w:rPr>
      </w:pPr>
    </w:p>
    <w:p>
      <w:pPr>
        <w:ind w:right="800"/>
        <w:spacing w:after="0" w:line="259" w:lineRule="auto"/>
        <w:rPr>
          <w:sz w:val="20"/>
          <w:szCs w:val="20"/>
          <w:color w:val="auto"/>
        </w:rPr>
      </w:pPr>
      <w:r>
        <w:rPr>
          <w:rFonts w:ascii="Arial" w:cs="Arial" w:eastAsia="Arial" w:hAnsi="Arial"/>
          <w:sz w:val="18"/>
          <w:szCs w:val="18"/>
          <w:color w:val="auto"/>
        </w:rPr>
        <w:t>Indenture, dated as of September 4, 2018, by and among Marriott Ownership Resorts, Inc., ILG, LLC, Marriott Vacations Worldwide Corporation, as guarantor, the other guarantors party thereto and HSBC Bank USA, National Association, as trustee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tabs>
          <w:tab w:leader="none" w:pos="960" w:val="left"/>
          <w:tab w:leader="none" w:pos="18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9/5/2018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960" w:val="left"/>
          <w:tab w:leader="none" w:pos="18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9/5/2018</w:t>
      </w:r>
    </w:p>
    <w:p>
      <w:pPr>
        <w:spacing w:after="0" w:line="387" w:lineRule="exact"/>
        <w:rPr>
          <w:sz w:val="20"/>
          <w:szCs w:val="20"/>
          <w:color w:val="auto"/>
        </w:rPr>
      </w:pPr>
    </w:p>
    <w:p>
      <w:pPr>
        <w:sectPr>
          <w:pgSz w:w="11900" w:h="16838" w:orient="portrait"/>
          <w:cols w:equalWidth="0" w:num="3">
            <w:col w:w="400" w:space="480"/>
            <w:col w:w="6740" w:space="720"/>
            <w:col w:w="2840"/>
          </w:cols>
          <w:pgMar w:left="460" w:top="544" w:right="25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540" w:type="dxa"/>
            <w:vAlign w:val="bottom"/>
            <w:gridSpan w:val="2"/>
            <w:vMerge w:val="restart"/>
          </w:tcPr>
          <w:p>
            <w:pPr>
              <w:jc w:val="right"/>
              <w:ind w:right="220"/>
              <w:spacing w:after="0"/>
              <w:rPr>
                <w:rFonts w:ascii="Arial" w:cs="Arial" w:eastAsia="Arial" w:hAnsi="Arial"/>
                <w:sz w:val="18"/>
                <w:szCs w:val="18"/>
                <w:color w:val="0000FF"/>
                <w:w w:val="85"/>
              </w:rPr>
            </w:pPr>
            <w:hyperlink r:id="rId68">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10</w:t>
              </w:r>
            </w:hyperlink>
          </w:p>
        </w:tc>
        <w:tc>
          <w:tcPr>
            <w:tcW w:w="6080" w:type="dxa"/>
            <w:vAlign w:val="bottom"/>
          </w:tcPr>
          <w:p>
            <w:pPr>
              <w:ind w:left="220"/>
              <w:spacing w:after="0"/>
              <w:rPr>
                <w:sz w:val="20"/>
                <w:szCs w:val="20"/>
                <w:color w:val="auto"/>
              </w:rPr>
            </w:pPr>
            <w:r>
              <w:rPr>
                <w:rFonts w:ascii="Arial" w:cs="Arial" w:eastAsia="Arial" w:hAnsi="Arial"/>
                <w:sz w:val="18"/>
                <w:szCs w:val="18"/>
                <w:color w:val="auto"/>
                <w:w w:val="98"/>
              </w:rPr>
              <w:t>Form of 5.625% Senior Note due 2023 (included as Exhibit A to Exhibit 4.9</w:t>
            </w:r>
          </w:p>
        </w:tc>
        <w:tc>
          <w:tcPr>
            <w:tcW w:w="0" w:type="dxa"/>
            <w:vAlign w:val="bottom"/>
          </w:tcPr>
          <w:p>
            <w:pPr>
              <w:spacing w:after="0"/>
              <w:rPr>
                <w:sz w:val="1"/>
                <w:szCs w:val="1"/>
                <w:color w:val="auto"/>
              </w:rPr>
            </w:pPr>
          </w:p>
        </w:tc>
      </w:tr>
      <w:tr>
        <w:trPr>
          <w:trHeight w:val="82"/>
        </w:trPr>
        <w:tc>
          <w:tcPr>
            <w:tcW w:w="540" w:type="dxa"/>
            <w:vAlign w:val="bottom"/>
            <w:gridSpan w:val="2"/>
            <w:vMerge w:val="continue"/>
          </w:tcPr>
          <w:p>
            <w:pPr>
              <w:spacing w:after="0"/>
              <w:rPr>
                <w:sz w:val="7"/>
                <w:szCs w:val="7"/>
                <w:color w:val="auto"/>
              </w:rPr>
            </w:pPr>
          </w:p>
        </w:tc>
        <w:tc>
          <w:tcPr>
            <w:tcW w:w="6080" w:type="dxa"/>
            <w:vAlign w:val="bottom"/>
            <w:vMerge w:val="restart"/>
          </w:tcPr>
          <w:p>
            <w:pPr>
              <w:ind w:left="220"/>
              <w:spacing w:after="0"/>
              <w:rPr>
                <w:sz w:val="20"/>
                <w:szCs w:val="20"/>
                <w:color w:val="auto"/>
              </w:rPr>
            </w:pPr>
            <w:r>
              <w:rPr>
                <w:rFonts w:ascii="Arial" w:cs="Arial" w:eastAsia="Arial" w:hAnsi="Arial"/>
                <w:sz w:val="18"/>
                <w:szCs w:val="18"/>
                <w:color w:val="auto"/>
              </w:rPr>
              <w:t>above)</w:t>
            </w:r>
          </w:p>
        </w:tc>
        <w:tc>
          <w:tcPr>
            <w:tcW w:w="0" w:type="dxa"/>
            <w:vAlign w:val="bottom"/>
          </w:tcPr>
          <w:p>
            <w:pPr>
              <w:spacing w:after="0"/>
              <w:rPr>
                <w:sz w:val="1"/>
                <w:szCs w:val="1"/>
                <w:color w:val="auto"/>
              </w:rPr>
            </w:pPr>
          </w:p>
        </w:tc>
      </w:tr>
      <w:tr>
        <w:trPr>
          <w:trHeight w:val="129"/>
        </w:trPr>
        <w:tc>
          <w:tcPr>
            <w:tcW w:w="320" w:type="dxa"/>
            <w:vAlign w:val="bottom"/>
            <w:tcBorders>
              <w:top w:val="single" w:sz="8" w:color="0000FF"/>
            </w:tcBorders>
          </w:tcPr>
          <w:p>
            <w:pPr>
              <w:spacing w:after="0"/>
              <w:rPr>
                <w:sz w:val="11"/>
                <w:szCs w:val="11"/>
                <w:color w:val="auto"/>
              </w:rPr>
            </w:pPr>
          </w:p>
        </w:tc>
        <w:tc>
          <w:tcPr>
            <w:tcW w:w="220" w:type="dxa"/>
            <w:vAlign w:val="bottom"/>
          </w:tcPr>
          <w:p>
            <w:pPr>
              <w:spacing w:after="0"/>
              <w:rPr>
                <w:sz w:val="11"/>
                <w:szCs w:val="11"/>
                <w:color w:val="auto"/>
              </w:rPr>
            </w:pPr>
          </w:p>
        </w:tc>
        <w:tc>
          <w:tcPr>
            <w:tcW w:w="6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80" w:type="dxa"/>
            <w:vAlign w:val="bottom"/>
          </w:tcPr>
          <w:p>
            <w:pPr>
              <w:ind w:left="220"/>
              <w:spacing w:after="0"/>
              <w:rPr>
                <w:sz w:val="20"/>
                <w:szCs w:val="20"/>
                <w:color w:val="auto"/>
              </w:rPr>
            </w:pPr>
            <w:r>
              <w:rPr>
                <w:rFonts w:ascii="Arial" w:cs="Arial" w:eastAsia="Arial" w:hAnsi="Arial"/>
                <w:sz w:val="18"/>
                <w:szCs w:val="18"/>
                <w:color w:val="auto"/>
                <w:w w:val="93"/>
              </w:rPr>
              <w:t>Registration Rights Agreement, dated as of September 4, 2018, by and among</w:t>
            </w:r>
          </w:p>
        </w:tc>
        <w:tc>
          <w:tcPr>
            <w:tcW w:w="0" w:type="dxa"/>
            <w:vAlign w:val="bottom"/>
          </w:tcPr>
          <w:p>
            <w:pPr>
              <w:spacing w:after="0"/>
              <w:rPr>
                <w:sz w:val="1"/>
                <w:szCs w:val="1"/>
                <w:color w:val="auto"/>
              </w:rPr>
            </w:pPr>
          </w:p>
        </w:tc>
      </w:tr>
      <w:tr>
        <w:trPr>
          <w:trHeight w:val="216"/>
        </w:trPr>
        <w:tc>
          <w:tcPr>
            <w:tcW w:w="320" w:type="dxa"/>
            <w:vAlign w:val="bottom"/>
            <w:vMerge w:val="restart"/>
          </w:tcPr>
          <w:p>
            <w:pPr>
              <w:jc w:val="right"/>
              <w:spacing w:after="0"/>
              <w:rPr>
                <w:rFonts w:ascii="Arial" w:cs="Arial" w:eastAsia="Arial" w:hAnsi="Arial"/>
                <w:sz w:val="18"/>
                <w:szCs w:val="18"/>
                <w:color w:val="0000FF"/>
                <w:w w:val="85"/>
              </w:rPr>
            </w:pPr>
            <w:hyperlink r:id="rId69">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11</w:t>
              </w:r>
            </w:hyperlink>
          </w:p>
        </w:tc>
        <w:tc>
          <w:tcPr>
            <w:tcW w:w="220" w:type="dxa"/>
            <w:vAlign w:val="bottom"/>
          </w:tcPr>
          <w:p>
            <w:pPr>
              <w:spacing w:after="0"/>
              <w:rPr>
                <w:sz w:val="18"/>
                <w:szCs w:val="18"/>
                <w:color w:val="auto"/>
              </w:rPr>
            </w:pPr>
          </w:p>
        </w:tc>
        <w:tc>
          <w:tcPr>
            <w:tcW w:w="6080" w:type="dxa"/>
            <w:vAlign w:val="bottom"/>
          </w:tcPr>
          <w:p>
            <w:pPr>
              <w:ind w:left="220"/>
              <w:spacing w:after="0"/>
              <w:rPr>
                <w:sz w:val="20"/>
                <w:szCs w:val="20"/>
                <w:color w:val="auto"/>
              </w:rPr>
            </w:pPr>
            <w:r>
              <w:rPr>
                <w:rFonts w:ascii="Arial" w:cs="Arial" w:eastAsia="Arial" w:hAnsi="Arial"/>
                <w:sz w:val="18"/>
                <w:szCs w:val="18"/>
                <w:color w:val="auto"/>
                <w:w w:val="99"/>
              </w:rPr>
              <w:t>Marriott Ownership Resorts, Inc., ILG, LLC, Marriott Vacations Worldwide</w:t>
            </w:r>
          </w:p>
        </w:tc>
        <w:tc>
          <w:tcPr>
            <w:tcW w:w="0" w:type="dxa"/>
            <w:vAlign w:val="bottom"/>
          </w:tcPr>
          <w:p>
            <w:pPr>
              <w:spacing w:after="0"/>
              <w:rPr>
                <w:sz w:val="1"/>
                <w:szCs w:val="1"/>
                <w:color w:val="auto"/>
              </w:rPr>
            </w:pPr>
          </w:p>
        </w:tc>
      </w:tr>
      <w:tr>
        <w:trPr>
          <w:trHeight w:val="87"/>
        </w:trPr>
        <w:tc>
          <w:tcPr>
            <w:tcW w:w="320" w:type="dxa"/>
            <w:vAlign w:val="bottom"/>
            <w:tcBorders>
              <w:bottom w:val="single" w:sz="8" w:color="0000FF"/>
            </w:tcBorders>
            <w:vMerge w:val="continue"/>
          </w:tcPr>
          <w:p>
            <w:pPr>
              <w:spacing w:after="0"/>
              <w:rPr>
                <w:sz w:val="7"/>
                <w:szCs w:val="7"/>
                <w:color w:val="auto"/>
              </w:rPr>
            </w:pPr>
          </w:p>
        </w:tc>
        <w:tc>
          <w:tcPr>
            <w:tcW w:w="220" w:type="dxa"/>
            <w:vAlign w:val="bottom"/>
          </w:tcPr>
          <w:p>
            <w:pPr>
              <w:spacing w:after="0"/>
              <w:rPr>
                <w:sz w:val="7"/>
                <w:szCs w:val="7"/>
                <w:color w:val="auto"/>
              </w:rPr>
            </w:pPr>
          </w:p>
        </w:tc>
        <w:tc>
          <w:tcPr>
            <w:tcW w:w="6080" w:type="dxa"/>
            <w:vAlign w:val="bottom"/>
            <w:vMerge w:val="restart"/>
          </w:tcPr>
          <w:p>
            <w:pPr>
              <w:ind w:left="220"/>
              <w:spacing w:after="0"/>
              <w:rPr>
                <w:sz w:val="20"/>
                <w:szCs w:val="20"/>
                <w:color w:val="auto"/>
              </w:rPr>
            </w:pPr>
            <w:r>
              <w:rPr>
                <w:rFonts w:ascii="Arial" w:cs="Arial" w:eastAsia="Arial" w:hAnsi="Arial"/>
                <w:sz w:val="18"/>
                <w:szCs w:val="18"/>
                <w:color w:val="auto"/>
                <w:w w:val="90"/>
              </w:rPr>
              <w:t>Corporation, as a guarantor, the other guarantors party thereto and Merrill Lynch,</w:t>
            </w:r>
          </w:p>
        </w:tc>
        <w:tc>
          <w:tcPr>
            <w:tcW w:w="0" w:type="dxa"/>
            <w:vAlign w:val="bottom"/>
          </w:tcPr>
          <w:p>
            <w:pPr>
              <w:spacing w:after="0"/>
              <w:rPr>
                <w:sz w:val="1"/>
                <w:szCs w:val="1"/>
                <w:color w:val="auto"/>
              </w:rPr>
            </w:pPr>
          </w:p>
        </w:tc>
      </w:tr>
      <w:tr>
        <w:trPr>
          <w:trHeight w:val="114"/>
        </w:trPr>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80" w:type="dxa"/>
            <w:vAlign w:val="bottom"/>
          </w:tcPr>
          <w:p>
            <w:pPr>
              <w:ind w:left="220"/>
              <w:spacing w:after="0"/>
              <w:rPr>
                <w:sz w:val="20"/>
                <w:szCs w:val="20"/>
                <w:color w:val="auto"/>
              </w:rPr>
            </w:pPr>
            <w:r>
              <w:rPr>
                <w:rFonts w:ascii="Arial" w:cs="Arial" w:eastAsia="Arial" w:hAnsi="Arial"/>
                <w:sz w:val="18"/>
                <w:szCs w:val="18"/>
                <w:color w:val="auto"/>
              </w:rPr>
              <w:t>Pierce, Fenner &amp; Smith Incorporated and J.P. Morgan Securities LLC</w:t>
            </w:r>
          </w:p>
        </w:tc>
        <w:tc>
          <w:tcPr>
            <w:tcW w:w="0" w:type="dxa"/>
            <w:vAlign w:val="bottom"/>
          </w:tcPr>
          <w:p>
            <w:pPr>
              <w:spacing w:after="0"/>
              <w:rPr>
                <w:sz w:val="1"/>
                <w:szCs w:val="1"/>
                <w:color w:val="auto"/>
              </w:rPr>
            </w:pPr>
          </w:p>
        </w:tc>
      </w:tr>
      <w:tr>
        <w:trPr>
          <w:trHeight w:val="256"/>
        </w:trPr>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80" w:type="dxa"/>
            <w:vAlign w:val="bottom"/>
          </w:tcPr>
          <w:p>
            <w:pPr>
              <w:ind w:left="220"/>
              <w:spacing w:after="0"/>
              <w:rPr>
                <w:sz w:val="20"/>
                <w:szCs w:val="20"/>
                <w:color w:val="auto"/>
              </w:rPr>
            </w:pPr>
            <w:r>
              <w:rPr>
                <w:rFonts w:ascii="Arial" w:cs="Arial" w:eastAsia="Arial" w:hAnsi="Arial"/>
                <w:sz w:val="18"/>
                <w:szCs w:val="18"/>
                <w:color w:val="auto"/>
                <w:w w:val="99"/>
              </w:rPr>
              <w:t>Indenture, dated April 10, 2015, among Interval Acquisition Corp., Interval</w:t>
            </w:r>
          </w:p>
        </w:tc>
        <w:tc>
          <w:tcPr>
            <w:tcW w:w="0" w:type="dxa"/>
            <w:vAlign w:val="bottom"/>
          </w:tcPr>
          <w:p>
            <w:pPr>
              <w:spacing w:after="0"/>
              <w:rPr>
                <w:sz w:val="1"/>
                <w:szCs w:val="1"/>
                <w:color w:val="auto"/>
              </w:rPr>
            </w:pPr>
          </w:p>
        </w:tc>
      </w:tr>
      <w:tr>
        <w:trPr>
          <w:trHeight w:val="190"/>
        </w:trPr>
        <w:tc>
          <w:tcPr>
            <w:tcW w:w="540" w:type="dxa"/>
            <w:vAlign w:val="bottom"/>
            <w:gridSpan w:val="2"/>
          </w:tcPr>
          <w:p>
            <w:pPr>
              <w:jc w:val="right"/>
              <w:ind w:right="220"/>
              <w:spacing w:after="0" w:line="190" w:lineRule="exact"/>
              <w:rPr>
                <w:rFonts w:ascii="Arial" w:cs="Arial" w:eastAsia="Arial" w:hAnsi="Arial"/>
                <w:sz w:val="18"/>
                <w:szCs w:val="18"/>
                <w:color w:val="0000FF"/>
                <w:w w:val="85"/>
              </w:rPr>
            </w:pPr>
            <w:hyperlink r:id="rId70">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12</w:t>
              </w:r>
            </w:hyperlink>
          </w:p>
        </w:tc>
        <w:tc>
          <w:tcPr>
            <w:tcW w:w="6080" w:type="dxa"/>
            <w:vAlign w:val="bottom"/>
          </w:tcPr>
          <w:p>
            <w:pPr>
              <w:ind w:left="220"/>
              <w:spacing w:after="0" w:line="190" w:lineRule="exact"/>
              <w:rPr>
                <w:sz w:val="20"/>
                <w:szCs w:val="20"/>
                <w:color w:val="auto"/>
              </w:rPr>
            </w:pPr>
            <w:r>
              <w:rPr>
                <w:rFonts w:ascii="Arial" w:cs="Arial" w:eastAsia="Arial" w:hAnsi="Arial"/>
                <w:sz w:val="18"/>
                <w:szCs w:val="18"/>
                <w:color w:val="auto"/>
                <w:w w:val="96"/>
              </w:rPr>
              <w:t>Leisure Group, Inc., the other Guarantors party thereto and HSBC Bank UA,</w:t>
            </w:r>
          </w:p>
        </w:tc>
        <w:tc>
          <w:tcPr>
            <w:tcW w:w="0" w:type="dxa"/>
            <w:vAlign w:val="bottom"/>
          </w:tcPr>
          <w:p>
            <w:pPr>
              <w:spacing w:after="0"/>
              <w:rPr>
                <w:sz w:val="1"/>
                <w:szCs w:val="1"/>
                <w:color w:val="auto"/>
              </w:rPr>
            </w:pPr>
          </w:p>
        </w:tc>
      </w:tr>
      <w:tr>
        <w:trPr>
          <w:trHeight w:val="237"/>
        </w:trPr>
        <w:tc>
          <w:tcPr>
            <w:tcW w:w="32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6080" w:type="dxa"/>
            <w:vAlign w:val="bottom"/>
          </w:tcPr>
          <w:p>
            <w:pPr>
              <w:ind w:left="220"/>
              <w:spacing w:after="0"/>
              <w:rPr>
                <w:sz w:val="20"/>
                <w:szCs w:val="20"/>
                <w:color w:val="auto"/>
              </w:rPr>
            </w:pPr>
            <w:r>
              <w:rPr>
                <w:rFonts w:ascii="Arial" w:cs="Arial" w:eastAsia="Arial" w:hAnsi="Arial"/>
                <w:sz w:val="18"/>
                <w:szCs w:val="18"/>
                <w:color w:val="auto"/>
              </w:rPr>
              <w:t>National Association, as trustee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80"/>
        <w:spacing w:after="0"/>
        <w:tabs>
          <w:tab w:leader="none" w:pos="1040" w:val="left"/>
          <w:tab w:leader="none" w:pos="19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9/5/2018</w:t>
      </w:r>
    </w:p>
    <w:p>
      <w:pPr>
        <w:spacing w:after="0" w:line="200" w:lineRule="exact"/>
        <w:rPr>
          <w:sz w:val="20"/>
          <w:szCs w:val="20"/>
          <w:color w:val="auto"/>
        </w:rPr>
      </w:pPr>
    </w:p>
    <w:p>
      <w:pPr>
        <w:spacing w:after="0" w:line="295" w:lineRule="exact"/>
        <w:rPr>
          <w:sz w:val="20"/>
          <w:szCs w:val="20"/>
          <w:color w:val="auto"/>
        </w:rPr>
      </w:pPr>
    </w:p>
    <w:p>
      <w:pPr>
        <w:ind w:left="80"/>
        <w:spacing w:after="0"/>
        <w:tabs>
          <w:tab w:leader="none" w:pos="1040" w:val="left"/>
          <w:tab w:leader="none" w:pos="194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9/5/2018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1040" w:val="left"/>
          <w:tab w:leader="none" w:pos="1900" w:val="left"/>
        </w:tabs>
        <w:rPr>
          <w:sz w:val="20"/>
          <w:szCs w:val="20"/>
          <w:color w:val="auto"/>
        </w:rPr>
      </w:pPr>
      <w:r>
        <w:rPr>
          <w:rFonts w:ascii="Arial" w:cs="Arial" w:eastAsia="Arial" w:hAnsi="Arial"/>
          <w:sz w:val="18"/>
          <w:szCs w:val="18"/>
          <w:color w:val="auto"/>
        </w:rPr>
        <w:t>8-K</w:t>
      </w:r>
      <w:r>
        <w:rPr>
          <w:rFonts w:ascii="Arial" w:cs="Arial" w:eastAsia="Arial" w:hAnsi="Arial"/>
          <w:sz w:val="21"/>
          <w:szCs w:val="21"/>
          <w:color w:val="auto"/>
          <w:vertAlign w:val="superscript"/>
        </w:rPr>
        <w:t>(1)</w:t>
      </w:r>
      <w:r>
        <w:rPr>
          <w:sz w:val="20"/>
          <w:szCs w:val="20"/>
          <w:color w:val="auto"/>
        </w:rPr>
        <w:tab/>
      </w: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4/10/2015</w:t>
      </w:r>
    </w:p>
    <w:p>
      <w:pPr>
        <w:spacing w:after="0" w:line="245" w:lineRule="exact"/>
        <w:rPr>
          <w:sz w:val="20"/>
          <w:szCs w:val="20"/>
          <w:color w:val="auto"/>
        </w:rPr>
      </w:pPr>
    </w:p>
    <w:p>
      <w:pPr>
        <w:sectPr>
          <w:pgSz w:w="11900" w:h="16838" w:orient="portrait"/>
          <w:cols w:equalWidth="0" w:num="2">
            <w:col w:w="7540" w:space="720"/>
            <w:col w:w="2920"/>
          </w:cols>
          <w:pgMar w:left="460" w:top="544" w:right="259" w:bottom="1440" w:gutter="0" w:footer="0" w:header="0"/>
          <w:type w:val="continuous"/>
        </w:sectPr>
      </w:pPr>
    </w:p>
    <w:p>
      <w:pPr>
        <w:spacing w:after="0" w:line="108" w:lineRule="exact"/>
        <w:rPr>
          <w:sz w:val="20"/>
          <w:szCs w:val="20"/>
          <w:color w:val="auto"/>
        </w:rPr>
      </w:pPr>
    </w:p>
    <w:p>
      <w:pPr>
        <w:ind w:left="120"/>
        <w:spacing w:after="0"/>
        <w:rPr>
          <w:rFonts w:ascii="Arial" w:cs="Arial" w:eastAsia="Arial" w:hAnsi="Arial"/>
          <w:sz w:val="16"/>
          <w:szCs w:val="16"/>
          <w:u w:val="single" w:color="auto"/>
          <w:color w:val="0000FF"/>
        </w:rPr>
      </w:pPr>
      <w:hyperlink r:id="rId63">
        <w:r>
          <w:rPr>
            <w:rFonts w:ascii="Arial" w:cs="Arial" w:eastAsia="Arial" w:hAnsi="Arial"/>
            <w:sz w:val="16"/>
            <w:szCs w:val="16"/>
            <w:u w:val="single" w:color="auto"/>
            <w:color w:val="0000FF"/>
          </w:rPr>
          <w:t>4.13</w:t>
        </w:r>
      </w:hyperlink>
    </w:p>
    <w:p>
      <w:pPr>
        <w:spacing w:after="0" w:line="302" w:lineRule="exact"/>
        <w:rPr>
          <w:sz w:val="20"/>
          <w:szCs w:val="20"/>
          <w:color w:val="auto"/>
        </w:rPr>
      </w:pPr>
    </w:p>
    <w:p>
      <w:pPr>
        <w:ind w:left="120"/>
        <w:spacing w:after="0"/>
        <w:rPr>
          <w:rFonts w:ascii="Arial" w:cs="Arial" w:eastAsia="Arial" w:hAnsi="Arial"/>
          <w:sz w:val="16"/>
          <w:szCs w:val="16"/>
          <w:u w:val="single" w:color="auto"/>
          <w:color w:val="0000FF"/>
        </w:rPr>
      </w:pPr>
      <w:hyperlink r:id="rId71">
        <w:r>
          <w:rPr>
            <w:rFonts w:ascii="Arial" w:cs="Arial" w:eastAsia="Arial" w:hAnsi="Arial"/>
            <w:sz w:val="16"/>
            <w:szCs w:val="16"/>
            <w:u w:val="single" w:color="auto"/>
            <w:color w:val="0000FF"/>
          </w:rPr>
          <w:t>4.14</w:t>
        </w:r>
      </w:hyperlink>
    </w:p>
    <w:p>
      <w:pPr>
        <w:spacing w:after="0" w:line="302" w:lineRule="exact"/>
        <w:rPr>
          <w:sz w:val="20"/>
          <w:szCs w:val="20"/>
          <w:color w:val="auto"/>
        </w:rPr>
      </w:pPr>
    </w:p>
    <w:p>
      <w:pPr>
        <w:ind w:left="120"/>
        <w:spacing w:after="0"/>
        <w:rPr>
          <w:rFonts w:ascii="Arial" w:cs="Arial" w:eastAsia="Arial" w:hAnsi="Arial"/>
          <w:sz w:val="16"/>
          <w:szCs w:val="16"/>
          <w:u w:val="single" w:color="auto"/>
          <w:color w:val="0000FF"/>
        </w:rPr>
      </w:pPr>
      <w:hyperlink w:anchor="page93">
        <w:r>
          <w:rPr>
            <w:rFonts w:ascii="Arial" w:cs="Arial" w:eastAsia="Arial" w:hAnsi="Arial"/>
            <w:sz w:val="16"/>
            <w:szCs w:val="16"/>
            <w:u w:val="single" w:color="auto"/>
            <w:color w:val="0000FF"/>
          </w:rPr>
          <w:t>31.1</w:t>
        </w:r>
      </w:hyperlink>
    </w:p>
    <w:p>
      <w:pPr>
        <w:spacing w:after="0" w:line="302" w:lineRule="exact"/>
        <w:rPr>
          <w:sz w:val="20"/>
          <w:szCs w:val="20"/>
          <w:color w:val="auto"/>
        </w:rPr>
      </w:pPr>
    </w:p>
    <w:p>
      <w:pPr>
        <w:ind w:left="120"/>
        <w:spacing w:after="0"/>
        <w:rPr>
          <w:rFonts w:ascii="Arial" w:cs="Arial" w:eastAsia="Arial" w:hAnsi="Arial"/>
          <w:sz w:val="16"/>
          <w:szCs w:val="16"/>
          <w:u w:val="single" w:color="auto"/>
          <w:color w:val="0000FF"/>
        </w:rPr>
      </w:pPr>
      <w:hyperlink w:anchor="page94">
        <w:r>
          <w:rPr>
            <w:rFonts w:ascii="Arial" w:cs="Arial" w:eastAsia="Arial" w:hAnsi="Arial"/>
            <w:sz w:val="16"/>
            <w:szCs w:val="16"/>
            <w:u w:val="single" w:color="auto"/>
            <w:color w:val="0000FF"/>
          </w:rPr>
          <w:t>31.2</w:t>
        </w:r>
      </w:hyperlink>
    </w:p>
    <w:p>
      <w:pPr>
        <w:spacing w:after="0" w:line="302" w:lineRule="exact"/>
        <w:rPr>
          <w:sz w:val="20"/>
          <w:szCs w:val="20"/>
          <w:color w:val="auto"/>
        </w:rPr>
      </w:pPr>
    </w:p>
    <w:p>
      <w:pPr>
        <w:ind w:left="120"/>
        <w:spacing w:after="0"/>
        <w:rPr>
          <w:rFonts w:ascii="Arial" w:cs="Arial" w:eastAsia="Arial" w:hAnsi="Arial"/>
          <w:sz w:val="16"/>
          <w:szCs w:val="16"/>
          <w:u w:val="single" w:color="auto"/>
          <w:color w:val="0000FF"/>
        </w:rPr>
      </w:pPr>
      <w:hyperlink w:anchor="page95">
        <w:r>
          <w:rPr>
            <w:rFonts w:ascii="Arial" w:cs="Arial" w:eastAsia="Arial" w:hAnsi="Arial"/>
            <w:sz w:val="16"/>
            <w:szCs w:val="16"/>
            <w:u w:val="single" w:color="auto"/>
            <w:color w:val="0000FF"/>
          </w:rPr>
          <w:t>32.1</w:t>
        </w:r>
      </w:hyperlink>
    </w:p>
    <w:p>
      <w:pPr>
        <w:spacing w:after="0" w:line="302" w:lineRule="exact"/>
        <w:rPr>
          <w:sz w:val="20"/>
          <w:szCs w:val="20"/>
          <w:color w:val="auto"/>
        </w:rPr>
      </w:pPr>
    </w:p>
    <w:p>
      <w:pPr>
        <w:ind w:left="120"/>
        <w:spacing w:after="0"/>
        <w:rPr>
          <w:rFonts w:ascii="Arial" w:cs="Arial" w:eastAsia="Arial" w:hAnsi="Arial"/>
          <w:sz w:val="16"/>
          <w:szCs w:val="16"/>
          <w:u w:val="single" w:color="auto"/>
          <w:color w:val="0000FF"/>
        </w:rPr>
      </w:pPr>
      <w:hyperlink w:anchor="page96">
        <w:r>
          <w:rPr>
            <w:rFonts w:ascii="Arial" w:cs="Arial" w:eastAsia="Arial" w:hAnsi="Arial"/>
            <w:sz w:val="16"/>
            <w:szCs w:val="16"/>
            <w:u w:val="single" w:color="auto"/>
            <w:color w:val="0000FF"/>
          </w:rPr>
          <w:t>32.2</w:t>
        </w:r>
      </w:hyperlink>
    </w:p>
    <w:p>
      <w:pPr>
        <w:spacing w:after="0" w:line="20" w:lineRule="exact"/>
        <w:rPr>
          <w:sz w:val="20"/>
          <w:szCs w:val="20"/>
          <w:color w:val="auto"/>
        </w:rPr>
      </w:pPr>
      <w:r>
        <w:rPr>
          <w:sz w:val="20"/>
          <w:szCs w:val="20"/>
          <w:color w:val="auto"/>
        </w:rPr>
        <w:br w:type="column"/>
      </w:r>
    </w:p>
    <w:p>
      <w:pPr>
        <w:ind w:right="160"/>
        <w:spacing w:after="0" w:line="277" w:lineRule="auto"/>
        <w:rPr>
          <w:sz w:val="20"/>
          <w:szCs w:val="20"/>
          <w:color w:val="auto"/>
        </w:rPr>
      </w:pPr>
      <w:r>
        <w:rPr>
          <w:rFonts w:ascii="Arial" w:cs="Arial" w:eastAsia="Arial" w:hAnsi="Arial"/>
          <w:sz w:val="18"/>
          <w:szCs w:val="18"/>
          <w:color w:val="auto"/>
        </w:rPr>
        <w:t>Form of Interval Acquisition Corp. 5.625% Senior Note due 2023 (included as Exhibit A to Exhibit 4.12 above)</w:t>
      </w:r>
    </w:p>
    <w:p>
      <w:pPr>
        <w:spacing w:after="0" w:line="8" w:lineRule="exact"/>
        <w:rPr>
          <w:sz w:val="20"/>
          <w:szCs w:val="20"/>
          <w:color w:val="auto"/>
        </w:rPr>
      </w:pPr>
    </w:p>
    <w:p>
      <w:pPr>
        <w:spacing w:after="0" w:line="317" w:lineRule="auto"/>
        <w:rPr>
          <w:sz w:val="20"/>
          <w:szCs w:val="20"/>
          <w:color w:val="auto"/>
        </w:rPr>
      </w:pPr>
      <w:r>
        <w:rPr>
          <w:rFonts w:ascii="Arial" w:cs="Arial" w:eastAsia="Arial" w:hAnsi="Arial"/>
          <w:sz w:val="16"/>
          <w:szCs w:val="16"/>
          <w:color w:val="auto"/>
        </w:rPr>
        <w:t>Supplemental Indenture, dated as of June 29, 2016, among Interval Acquisition Corp., certain subsidiary guarantors and HSBC Bank USA, National Association</w:t>
      </w:r>
    </w:p>
    <w:p>
      <w:pPr>
        <w:ind w:right="520"/>
        <w:spacing w:after="0" w:line="277" w:lineRule="auto"/>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p>
      <w:pPr>
        <w:spacing w:after="0" w:line="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p>
      <w:pPr>
        <w:spacing w:after="0" w:line="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Certification of Chief Executive Officer pursuant to Rule 13a-14(b) and Section 906 of the Sarbanes-Oxley Act of 2002</w:t>
      </w:r>
    </w:p>
    <w:p>
      <w:pPr>
        <w:spacing w:after="0" w:line="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Certification of Chief Financial Officer pursuant to Rule 13a-14(b) and Section 906 of the Sarbanes-Oxley Act of 2002</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right"/>
        <w:ind w:right="260"/>
        <w:spacing w:after="0"/>
        <w:tabs>
          <w:tab w:leader="none" w:pos="1580" w:val="left"/>
          <w:tab w:leader="none" w:pos="720" w:val="left"/>
        </w:tabs>
        <w:rPr>
          <w:sz w:val="20"/>
          <w:szCs w:val="20"/>
          <w:color w:val="auto"/>
        </w:rPr>
      </w:pPr>
      <w:r>
        <w:rPr>
          <w:rFonts w:ascii="Arial" w:cs="Arial" w:eastAsia="Arial" w:hAnsi="Arial"/>
          <w:sz w:val="18"/>
          <w:szCs w:val="18"/>
          <w:color w:val="auto"/>
        </w:rPr>
        <w:t>8-K</w:t>
      </w:r>
      <w:r>
        <w:rPr>
          <w:rFonts w:ascii="Arial" w:cs="Arial" w:eastAsia="Arial" w:hAnsi="Arial"/>
          <w:sz w:val="21"/>
          <w:szCs w:val="21"/>
          <w:color w:val="auto"/>
          <w:vertAlign w:val="superscript"/>
        </w:rPr>
        <w:t>(1)</w:t>
      </w:r>
      <w:r>
        <w:rPr>
          <w:sz w:val="20"/>
          <w:szCs w:val="20"/>
          <w:color w:val="auto"/>
        </w:rPr>
        <w:tab/>
      </w: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4/10/2015</w:t>
      </w:r>
    </w:p>
    <w:p>
      <w:pPr>
        <w:spacing w:after="0" w:line="245" w:lineRule="exact"/>
        <w:rPr>
          <w:sz w:val="20"/>
          <w:szCs w:val="20"/>
          <w:color w:val="auto"/>
        </w:rPr>
      </w:pPr>
    </w:p>
    <w:p>
      <w:pPr>
        <w:ind w:left="860"/>
        <w:spacing w:after="0"/>
        <w:tabs>
          <w:tab w:leader="none" w:pos="1900" w:val="left"/>
          <w:tab w:leader="none" w:pos="2800" w:val="left"/>
        </w:tabs>
        <w:rPr>
          <w:sz w:val="20"/>
          <w:szCs w:val="20"/>
          <w:color w:val="auto"/>
        </w:rPr>
      </w:pPr>
      <w:r>
        <w:rPr>
          <w:rFonts w:ascii="Arial" w:cs="Arial" w:eastAsia="Arial" w:hAnsi="Arial"/>
          <w:sz w:val="18"/>
          <w:szCs w:val="18"/>
          <w:color w:val="auto"/>
        </w:rPr>
        <w:t>8-K</w:t>
      </w:r>
      <w:r>
        <w:rPr>
          <w:rFonts w:ascii="Arial" w:cs="Arial" w:eastAsia="Arial" w:hAnsi="Arial"/>
          <w:sz w:val="21"/>
          <w:szCs w:val="21"/>
          <w:color w:val="auto"/>
          <w:vertAlign w:val="superscript"/>
        </w:rPr>
        <w:t>(1)</w:t>
      </w:r>
      <w:r>
        <w:rPr>
          <w:sz w:val="20"/>
          <w:szCs w:val="20"/>
          <w:color w:val="auto"/>
        </w:rPr>
        <w:tab/>
      </w: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7/1/2016</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Furnished</w:t>
      </w:r>
    </w:p>
    <w:p>
      <w:pPr>
        <w:spacing w:after="0" w:line="27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Furnished</w:t>
      </w:r>
    </w:p>
    <w:p>
      <w:pPr>
        <w:spacing w:after="0" w:line="170" w:lineRule="exact"/>
        <w:rPr>
          <w:sz w:val="20"/>
          <w:szCs w:val="20"/>
          <w:color w:val="auto"/>
        </w:rPr>
      </w:pPr>
    </w:p>
    <w:p>
      <w:pPr>
        <w:sectPr>
          <w:pgSz w:w="11900" w:h="16838" w:orient="portrait"/>
          <w:cols w:equalWidth="0" w:num="3">
            <w:col w:w="440" w:space="440"/>
            <w:col w:w="5840" w:space="680"/>
            <w:col w:w="3780"/>
          </w:cols>
          <w:pgMar w:left="460" w:top="544" w:right="259" w:bottom="1440" w:gutter="0" w:footer="0" w:header="0"/>
          <w:type w:val="continuous"/>
        </w:sectPr>
      </w:pPr>
    </w:p>
    <w:p>
      <w:pPr>
        <w:ind w:left="880"/>
        <w:spacing w:after="0"/>
        <w:rPr>
          <w:sz w:val="20"/>
          <w:szCs w:val="20"/>
          <w:color w:val="auto"/>
        </w:rPr>
      </w:pPr>
      <w:r>
        <w:rPr>
          <w:rFonts w:ascii="Arial" w:cs="Arial" w:eastAsia="Arial" w:hAnsi="Arial"/>
          <w:sz w:val="16"/>
          <w:szCs w:val="16"/>
          <w:color w:val="auto"/>
        </w:rPr>
        <w:t>The following financial statements from the Company’s Quarterly Report on Form 10-Q for the quarter ended June 30, 2019, formatted in</w:t>
      </w:r>
    </w:p>
    <w:p>
      <w:pPr>
        <w:spacing w:after="0" w:line="46" w:lineRule="exact"/>
        <w:rPr>
          <w:sz w:val="20"/>
          <w:szCs w:val="20"/>
          <w:color w:val="auto"/>
        </w:rPr>
      </w:pPr>
    </w:p>
    <w:p>
      <w:pPr>
        <w:ind w:left="880" w:right="300" w:hanging="734"/>
        <w:spacing w:after="0" w:line="214" w:lineRule="auto"/>
        <w:tabs>
          <w:tab w:leader="none" w:pos="880" w:val="left"/>
        </w:tabs>
        <w:numPr>
          <w:ilvl w:val="0"/>
          <w:numId w:val="44"/>
        </w:numPr>
        <w:rPr>
          <w:rFonts w:ascii="Arial" w:cs="Arial" w:eastAsia="Arial" w:hAnsi="Arial"/>
          <w:sz w:val="31"/>
          <w:szCs w:val="31"/>
          <w:color w:val="auto"/>
          <w:vertAlign w:val="subscript"/>
        </w:rPr>
      </w:pPr>
      <w:r>
        <w:rPr>
          <w:rFonts w:ascii="Arial" w:cs="Arial" w:eastAsia="Arial" w:hAnsi="Arial"/>
          <w:sz w:val="16"/>
          <w:szCs w:val="16"/>
          <w:color w:val="auto"/>
        </w:rPr>
        <w:t>Inline XBRL: (i) Interim Consolidated Statements of Income, (ii) Interim Consolidated Statements of Comprehensive Income, (iii) Interim Consolidated Balance Sheets, (iv) Interim Consolidated Statements of Cash Flows, (v) Interim Consolidated Statements of Shareholders’ Equity, and (vi) Notes to Interim Consolidated Financial Statements, tagged as blocks of text and including detailed tags</w:t>
      </w:r>
    </w:p>
    <w:p>
      <w:pPr>
        <w:spacing w:after="0" w:line="42" w:lineRule="exact"/>
        <w:rPr>
          <w:sz w:val="20"/>
          <w:szCs w:val="20"/>
          <w:color w:val="auto"/>
        </w:rPr>
      </w:pPr>
    </w:p>
    <w:p>
      <w:pPr>
        <w:ind w:left="880" w:right="440" w:hanging="734"/>
        <w:spacing w:after="0" w:line="182" w:lineRule="auto"/>
        <w:tabs>
          <w:tab w:leader="none" w:pos="880" w:val="left"/>
        </w:tabs>
        <w:numPr>
          <w:ilvl w:val="0"/>
          <w:numId w:val="45"/>
        </w:numPr>
        <w:rPr>
          <w:rFonts w:ascii="Arial" w:cs="Arial" w:eastAsia="Arial" w:hAnsi="Arial"/>
          <w:sz w:val="34"/>
          <w:szCs w:val="34"/>
          <w:color w:val="auto"/>
          <w:vertAlign w:val="subscript"/>
        </w:rPr>
      </w:pPr>
      <w:r>
        <w:rPr>
          <w:rFonts w:ascii="Arial" w:cs="Arial" w:eastAsia="Arial" w:hAnsi="Arial"/>
          <w:sz w:val="17"/>
          <w:szCs w:val="17"/>
          <w:color w:val="auto"/>
        </w:rPr>
        <w:t>The cover page from the Company’s Quarterly Report on Form 10-Q for the quarter ended June 30, 2019, formatted in Inline XBRL and contained in Exhibit 101</w:t>
      </w:r>
    </w:p>
    <w:p>
      <w:pPr>
        <w:spacing w:after="0" w:line="285" w:lineRule="exact"/>
        <w:rPr>
          <w:sz w:val="20"/>
          <w:szCs w:val="20"/>
          <w:color w:val="auto"/>
        </w:rPr>
      </w:pPr>
    </w:p>
    <w:p>
      <w:pPr>
        <w:ind w:left="880" w:right="180" w:hanging="651"/>
        <w:spacing w:after="0" w:line="182" w:lineRule="auto"/>
        <w:tabs>
          <w:tab w:leader="none" w:pos="880" w:val="left"/>
        </w:tabs>
        <w:numPr>
          <w:ilvl w:val="0"/>
          <w:numId w:val="46"/>
        </w:numPr>
        <w:rPr>
          <w:rFonts w:ascii="Arial" w:cs="Arial" w:eastAsia="Arial" w:hAnsi="Arial"/>
          <w:sz w:val="34"/>
          <w:szCs w:val="34"/>
          <w:color w:val="auto"/>
          <w:vertAlign w:val="subscript"/>
        </w:rPr>
      </w:pPr>
      <w:r>
        <w:rPr>
          <w:rFonts w:ascii="Arial" w:cs="Arial" w:eastAsia="Arial" w:hAnsi="Arial"/>
          <w:sz w:val="17"/>
          <w:szCs w:val="17"/>
          <w:color w:val="auto"/>
        </w:rPr>
        <w:t>Schedules have been omitted pursuant to Item 601(b)(2) of Regulation S-K. The Company agrees to furnish supplemental copies to the SEC of any omitted schedule upon request by the SEC.</w:t>
      </w:r>
    </w:p>
    <w:p>
      <w:pPr>
        <w:spacing w:after="0" w:line="150" w:lineRule="exact"/>
        <w:rPr>
          <w:sz w:val="20"/>
          <w:szCs w:val="20"/>
          <w:color w:val="auto"/>
        </w:rPr>
      </w:pPr>
    </w:p>
    <w:p>
      <w:pPr>
        <w:ind w:left="880" w:hanging="690"/>
        <w:spacing w:after="0"/>
        <w:tabs>
          <w:tab w:leader="none" w:pos="880" w:val="left"/>
        </w:tabs>
        <w:numPr>
          <w:ilvl w:val="0"/>
          <w:numId w:val="47"/>
        </w:numPr>
        <w:rPr>
          <w:rFonts w:ascii="Arial" w:cs="Arial" w:eastAsia="Arial" w:hAnsi="Arial"/>
          <w:sz w:val="14"/>
          <w:szCs w:val="14"/>
          <w:color w:val="auto"/>
        </w:rPr>
      </w:pPr>
      <w:r>
        <w:rPr>
          <w:rFonts w:ascii="Arial" w:cs="Arial" w:eastAsia="Arial" w:hAnsi="Arial"/>
          <w:sz w:val="18"/>
          <w:szCs w:val="18"/>
          <w:color w:val="auto"/>
        </w:rPr>
        <w:t>Filing made by ILG, LLC under SEC File No. 001-34062.</w:t>
      </w:r>
    </w:p>
    <w:p>
      <w:pPr>
        <w:spacing w:after="0" w:line="27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80"/>
          </w:cols>
          <w:pgMar w:left="460" w:top="544" w:right="259" w:bottom="1440" w:gutter="0" w:footer="0" w:header="0"/>
          <w:type w:val="continuous"/>
        </w:sectPr>
      </w:pPr>
    </w:p>
    <w:bookmarkStart w:id="91" w:name="page92"/>
    <w:bookmarkEnd w:id="91"/>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87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6640" w:type="dxa"/>
            <w:vAlign w:val="bottom"/>
          </w:tcPr>
          <w:p>
            <w:pPr>
              <w:ind w:left="40"/>
              <w:spacing w:after="0"/>
              <w:rPr>
                <w:sz w:val="20"/>
                <w:szCs w:val="20"/>
                <w:color w:val="auto"/>
              </w:rPr>
            </w:pPr>
            <w:r>
              <w:rPr>
                <w:rFonts w:ascii="Arial" w:cs="Arial" w:eastAsia="Arial" w:hAnsi="Arial"/>
                <w:sz w:val="18"/>
                <w:szCs w:val="18"/>
                <w:color w:val="auto"/>
              </w:rPr>
              <w:t>MARRIOTT VACATIONS WORLDWIDE CORPORATION</w:t>
            </w:r>
          </w:p>
        </w:tc>
      </w:tr>
      <w:tr>
        <w:trPr>
          <w:trHeight w:val="594"/>
        </w:trPr>
        <w:tc>
          <w:tcPr>
            <w:tcW w:w="4580" w:type="dxa"/>
            <w:vAlign w:val="bottom"/>
          </w:tcPr>
          <w:p>
            <w:pPr>
              <w:spacing w:after="0"/>
              <w:rPr>
                <w:sz w:val="20"/>
                <w:szCs w:val="20"/>
                <w:color w:val="auto"/>
              </w:rPr>
            </w:pPr>
            <w:r>
              <w:rPr>
                <w:rFonts w:ascii="Arial" w:cs="Arial" w:eastAsia="Arial" w:hAnsi="Arial"/>
                <w:sz w:val="18"/>
                <w:szCs w:val="18"/>
                <w:color w:val="auto"/>
              </w:rPr>
              <w:t>August 6, 2019</w:t>
            </w:r>
          </w:p>
        </w:tc>
        <w:tc>
          <w:tcPr>
            <w:tcW w:w="6640" w:type="dxa"/>
            <w:vAlign w:val="bottom"/>
          </w:tcPr>
          <w:p>
            <w:pPr>
              <w:ind w:left="40"/>
              <w:spacing w:after="0"/>
              <w:rPr>
                <w:sz w:val="20"/>
                <w:szCs w:val="20"/>
                <w:color w:val="auto"/>
              </w:rPr>
            </w:pPr>
            <w:r>
              <w:rPr>
                <w:rFonts w:ascii="Arial" w:cs="Arial" w:eastAsia="Arial" w:hAnsi="Arial"/>
                <w:sz w:val="18"/>
                <w:szCs w:val="18"/>
                <w:color w:val="auto"/>
              </w:rPr>
              <w:t>/s/ Stephen P. Weisz</w:t>
            </w:r>
          </w:p>
        </w:tc>
      </w:tr>
      <w:tr>
        <w:trPr>
          <w:trHeight w:val="27"/>
        </w:trPr>
        <w:tc>
          <w:tcPr>
            <w:tcW w:w="4580" w:type="dxa"/>
            <w:vAlign w:val="bottom"/>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6640" w:type="dxa"/>
            <w:vAlign w:val="bottom"/>
          </w:tcPr>
          <w:p>
            <w:pPr>
              <w:ind w:left="40"/>
              <w:spacing w:after="0"/>
              <w:rPr>
                <w:sz w:val="20"/>
                <w:szCs w:val="20"/>
                <w:color w:val="auto"/>
              </w:rPr>
            </w:pPr>
            <w:r>
              <w:rPr>
                <w:rFonts w:ascii="Arial" w:cs="Arial" w:eastAsia="Arial" w:hAnsi="Arial"/>
                <w:sz w:val="18"/>
                <w:szCs w:val="18"/>
                <w:color w:val="auto"/>
              </w:rPr>
              <w:t>Stephen P. Weisz</w:t>
            </w:r>
          </w:p>
        </w:tc>
      </w:tr>
      <w:tr>
        <w:trPr>
          <w:trHeight w:val="270"/>
        </w:trPr>
        <w:tc>
          <w:tcPr>
            <w:tcW w:w="4580" w:type="dxa"/>
            <w:vAlign w:val="bottom"/>
          </w:tcPr>
          <w:p>
            <w:pPr>
              <w:spacing w:after="0"/>
              <w:rPr>
                <w:sz w:val="23"/>
                <w:szCs w:val="23"/>
                <w:color w:val="auto"/>
              </w:rPr>
            </w:pPr>
          </w:p>
        </w:tc>
        <w:tc>
          <w:tcPr>
            <w:tcW w:w="664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594"/>
        </w:trPr>
        <w:tc>
          <w:tcPr>
            <w:tcW w:w="4580" w:type="dxa"/>
            <w:vAlign w:val="bottom"/>
          </w:tcPr>
          <w:p>
            <w:pPr>
              <w:spacing w:after="0"/>
              <w:rPr>
                <w:sz w:val="24"/>
                <w:szCs w:val="24"/>
                <w:color w:val="auto"/>
              </w:rPr>
            </w:pPr>
          </w:p>
        </w:tc>
        <w:tc>
          <w:tcPr>
            <w:tcW w:w="6640" w:type="dxa"/>
            <w:vAlign w:val="bottom"/>
          </w:tcPr>
          <w:p>
            <w:pPr>
              <w:ind w:left="40"/>
              <w:spacing w:after="0"/>
              <w:rPr>
                <w:sz w:val="20"/>
                <w:szCs w:val="20"/>
                <w:color w:val="auto"/>
              </w:rPr>
            </w:pPr>
            <w:r>
              <w:rPr>
                <w:rFonts w:ascii="Arial" w:cs="Arial" w:eastAsia="Arial" w:hAnsi="Arial"/>
                <w:sz w:val="18"/>
                <w:szCs w:val="18"/>
                <w:color w:val="auto"/>
              </w:rPr>
              <w:t>/s/ John E. Geller, Jr.</w:t>
            </w:r>
          </w:p>
        </w:tc>
      </w:tr>
      <w:tr>
        <w:trPr>
          <w:trHeight w:val="27"/>
        </w:trPr>
        <w:tc>
          <w:tcPr>
            <w:tcW w:w="4580" w:type="dxa"/>
            <w:vAlign w:val="bottom"/>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6640" w:type="dxa"/>
            <w:vAlign w:val="bottom"/>
          </w:tcPr>
          <w:p>
            <w:pPr>
              <w:ind w:left="40"/>
              <w:spacing w:after="0"/>
              <w:rPr>
                <w:sz w:val="20"/>
                <w:szCs w:val="20"/>
                <w:color w:val="auto"/>
              </w:rPr>
            </w:pPr>
            <w:r>
              <w:rPr>
                <w:rFonts w:ascii="Arial" w:cs="Arial" w:eastAsia="Arial" w:hAnsi="Arial"/>
                <w:sz w:val="18"/>
                <w:szCs w:val="18"/>
                <w:color w:val="auto"/>
              </w:rPr>
              <w:t>John E. Geller, Jr.</w:t>
            </w:r>
          </w:p>
        </w:tc>
      </w:tr>
      <w:tr>
        <w:trPr>
          <w:trHeight w:val="270"/>
        </w:trPr>
        <w:tc>
          <w:tcPr>
            <w:tcW w:w="4580" w:type="dxa"/>
            <w:vAlign w:val="bottom"/>
          </w:tcPr>
          <w:p>
            <w:pPr>
              <w:spacing w:after="0"/>
              <w:rPr>
                <w:sz w:val="23"/>
                <w:szCs w:val="23"/>
                <w:color w:val="auto"/>
              </w:rPr>
            </w:pPr>
          </w:p>
        </w:tc>
        <w:tc>
          <w:tcPr>
            <w:tcW w:w="664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and Administrative Officer</w:t>
            </w:r>
          </w:p>
        </w:tc>
      </w:tr>
      <w:tr>
        <w:trPr>
          <w:trHeight w:val="486"/>
        </w:trPr>
        <w:tc>
          <w:tcPr>
            <w:tcW w:w="4580" w:type="dxa"/>
            <w:vAlign w:val="bottom"/>
          </w:tcPr>
          <w:p>
            <w:pPr>
              <w:spacing w:after="0"/>
              <w:rPr>
                <w:sz w:val="24"/>
                <w:szCs w:val="24"/>
                <w:color w:val="auto"/>
              </w:rPr>
            </w:pPr>
          </w:p>
        </w:tc>
        <w:tc>
          <w:tcPr>
            <w:tcW w:w="6640" w:type="dxa"/>
            <w:vAlign w:val="bottom"/>
          </w:tcPr>
          <w:p>
            <w:pPr>
              <w:ind w:left="1000"/>
              <w:spacing w:after="0"/>
              <w:rPr>
                <w:sz w:val="20"/>
                <w:szCs w:val="20"/>
                <w:color w:val="auto"/>
              </w:rPr>
            </w:pPr>
            <w:r>
              <w:rPr>
                <w:rFonts w:ascii="Arial" w:cs="Arial" w:eastAsia="Arial" w:hAnsi="Arial"/>
                <w:sz w:val="18"/>
                <w:szCs w:val="18"/>
                <w:color w:val="auto"/>
              </w:rPr>
              <w:t>90</w:t>
            </w:r>
          </w:p>
        </w:tc>
      </w:tr>
    </w:tbl>
    <w:p>
      <w:pPr>
        <w:sectPr>
          <w:pgSz w:w="11900" w:h="16838" w:orient="portrait"/>
          <w:cols w:equalWidth="0" w:num="1">
            <w:col w:w="11260"/>
          </w:cols>
          <w:pgMar w:left="240" w:top="364" w:right="39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certify that:</w:t>
      </w:r>
    </w:p>
    <w:p>
      <w:pPr>
        <w:spacing w:after="0" w:line="117"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2019</w:t>
      </w:r>
    </w:p>
    <w:p>
      <w:pPr>
        <w:spacing w:after="0" w:line="200" w:lineRule="exact"/>
        <w:rPr>
          <w:sz w:val="20"/>
          <w:szCs w:val="20"/>
          <w:color w:val="auto"/>
        </w:rPr>
      </w:pPr>
    </w:p>
    <w:p>
      <w:pPr>
        <w:spacing w:after="0" w:line="295"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42710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57"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Stephen P. Weisz</w:t>
      </w:r>
    </w:p>
    <w:p>
      <w:pPr>
        <w:spacing w:after="0" w:line="6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E. Geller, Jr., certify that:</w:t>
      </w:r>
    </w:p>
    <w:p>
      <w:pPr>
        <w:spacing w:after="0" w:line="117"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2019</w:t>
      </w:r>
    </w:p>
    <w:p>
      <w:pPr>
        <w:spacing w:after="0" w:line="200" w:lineRule="exact"/>
        <w:rPr>
          <w:sz w:val="20"/>
          <w:szCs w:val="20"/>
          <w:color w:val="auto"/>
        </w:rPr>
      </w:pPr>
    </w:p>
    <w:p>
      <w:pPr>
        <w:spacing w:after="0" w:line="268"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31750</wp:posOffset>
            </wp:positionV>
            <wp:extent cx="42367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57"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John E. Geller, Jr.</w:t>
      </w:r>
    </w:p>
    <w:p>
      <w:pPr>
        <w:spacing w:after="0" w:line="6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Executive Vice President and Chief Financial and Administrative Officer</w:t>
      </w:r>
    </w:p>
    <w:p>
      <w:pPr>
        <w:spacing w:after="0" w:line="6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President and Chief Executive Officer of Marriott Vacations Worldwide Corporation (the “Company”) certify that:</w:t>
      </w:r>
    </w:p>
    <w:p>
      <w:pPr>
        <w:spacing w:after="0" w:line="117" w:lineRule="exact"/>
        <w:rPr>
          <w:sz w:val="20"/>
          <w:szCs w:val="20"/>
          <w:color w:val="auto"/>
        </w:rPr>
      </w:pPr>
    </w:p>
    <w:p>
      <w:pPr>
        <w:ind w:left="660" w:right="880" w:hanging="652"/>
        <w:spacing w:after="0" w:line="308"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June 30, 2019 (the “Quarterly Report”), fully complies with the requirements of section 13(a) or 15(d) of the Securities Exchange Act of 1934 (15 U.S.C. 78m or 78o(d)); and</w:t>
      </w:r>
    </w:p>
    <w:p>
      <w:pPr>
        <w:spacing w:after="0" w:line="38" w:lineRule="exact"/>
        <w:rPr>
          <w:rFonts w:ascii="Arial" w:cs="Arial" w:eastAsia="Arial" w:hAnsi="Arial"/>
          <w:sz w:val="17"/>
          <w:szCs w:val="17"/>
          <w:color w:val="auto"/>
        </w:rPr>
      </w:pPr>
    </w:p>
    <w:p>
      <w:pPr>
        <w:ind w:left="660" w:right="420" w:hanging="652"/>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August 6,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31750</wp:posOffset>
            </wp:positionV>
            <wp:extent cx="34563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Stephen P. Weisz</w:t>
      </w:r>
    </w:p>
    <w:p>
      <w:pPr>
        <w:spacing w:after="0" w:line="6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John E. Geller, Jr., Executive Vice President and Chief Financial Officer of Marriott Vacations Worldwide Corporation (the “Company”) certify that:</w:t>
      </w:r>
    </w:p>
    <w:p>
      <w:pPr>
        <w:spacing w:after="0" w:line="129" w:lineRule="exact"/>
        <w:rPr>
          <w:sz w:val="20"/>
          <w:szCs w:val="20"/>
          <w:color w:val="auto"/>
        </w:rPr>
      </w:pPr>
    </w:p>
    <w:p>
      <w:pPr>
        <w:ind w:left="660" w:right="880" w:hanging="652"/>
        <w:spacing w:after="0" w:line="308"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June 30, 2019 (the “Quarterly Report”), fully complies with the requirements of section 13(a) or 15(d) of the Securities Exchange Act of 1934 (15 U.S.C. 78m or 78o(d)); and</w:t>
      </w:r>
    </w:p>
    <w:p>
      <w:pPr>
        <w:spacing w:after="0" w:line="38" w:lineRule="exact"/>
        <w:rPr>
          <w:rFonts w:ascii="Arial" w:cs="Arial" w:eastAsia="Arial" w:hAnsi="Arial"/>
          <w:sz w:val="17"/>
          <w:szCs w:val="17"/>
          <w:color w:val="auto"/>
        </w:rPr>
      </w:pPr>
    </w:p>
    <w:p>
      <w:pPr>
        <w:ind w:left="660" w:right="420" w:hanging="652"/>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August 6,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34048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John E. Geller, Jr.</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Executive Vice President and Chief Financial and Administrative Officer</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decimal"/>
      <w:start w:val="2"/>
    </w:lvl>
  </w:abstractNum>
  <w:abstractNum w:abstractNumId="5">
    <w:nsid w:val="836C40E"/>
    <w:multiLevelType w:val="hybridMultilevel"/>
    <w:lvl w:ilvl="0">
      <w:lvlJc w:val="left"/>
      <w:lvlText w:val="%1."/>
      <w:numFmt w:val="decimal"/>
      <w:start w:val="3"/>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1."/>
      <w:numFmt w:val="decimal"/>
      <w:start w:val="4"/>
    </w:lvl>
  </w:abstractNum>
  <w:abstractNum w:abstractNumId="9">
    <w:nsid w:val="1E7FF521"/>
    <w:multiLevelType w:val="hybridMultilevel"/>
    <w:lvl w:ilvl="0">
      <w:lvlJc w:val="left"/>
      <w:lvlText w:val="%1."/>
      <w:numFmt w:val="decimal"/>
      <w:start w:val="5"/>
    </w:lvl>
  </w:abstractNum>
  <w:abstractNum w:abstractNumId="10">
    <w:nsid w:val="7C3DBD3D"/>
    <w:multiLevelType w:val="hybridMultilevel"/>
    <w:lvl w:ilvl="0">
      <w:lvlJc w:val="left"/>
      <w:lvlText w:val="%1."/>
      <w:numFmt w:val="decimal"/>
      <w:start w:val="6"/>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1."/>
      <w:numFmt w:val="decimal"/>
      <w:start w:val="7"/>
    </w:lvl>
  </w:abstractNum>
  <w:abstractNum w:abstractNumId="20">
    <w:nsid w:val="5072367"/>
    <w:multiLevelType w:val="hybridMultilevel"/>
    <w:lvl w:ilvl="0">
      <w:lvlJc w:val="left"/>
      <w:lvlText w:val="%1."/>
      <w:numFmt w:val="decimal"/>
      <w:start w:val="8"/>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1."/>
      <w:numFmt w:val="decimal"/>
      <w:start w:val="18"/>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1."/>
      <w:numFmt w:val="decimal"/>
      <w:start w:val="19"/>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lvl w:ilvl="1">
      <w:lvlJc w:val="left"/>
      <w:lvlText w:val="•"/>
      <w:numFmt w:val="bullet"/>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1"/>
      <w:numFmt w:val="decimal"/>
      <w:start w:val="101"/>
    </w:lvl>
  </w:abstractNum>
  <w:abstractNum w:abstractNumId="44">
    <w:nsid w:val="7644A45C"/>
    <w:multiLevelType w:val="hybridMultilevel"/>
    <w:lvl w:ilvl="0">
      <w:lvlJc w:val="left"/>
      <w:lvlText w:val="%1"/>
      <w:numFmt w:val="decimal"/>
      <w:start w:val="104"/>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6"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57" Type="http://schemas.openxmlformats.org/officeDocument/2006/relationships/hyperlink" Target="http://www.sec.gov/Archives/edgar/data/1524358/000119312518144431/d577638dex21.htm" TargetMode="External"/><Relationship Id="rId58" Type="http://schemas.openxmlformats.org/officeDocument/2006/relationships/hyperlink" Target="http://www.sec.gov/Archives/edgar/data/1524358/000119312511320045/d256766dex31.htm" TargetMode="External"/><Relationship Id="rId59" Type="http://schemas.openxmlformats.org/officeDocument/2006/relationships/hyperlink" Target="http://www.sec.gov/Archives/edgar/data/1524358/000119312511320045/d256766dex32.htm" TargetMode="External"/><Relationship Id="rId60" Type="http://schemas.openxmlformats.org/officeDocument/2006/relationships/hyperlink" Target="http://www.sec.gov/Archives/edgar/data/1524358/000119312511271851/d197736dex41.htm" TargetMode="External"/><Relationship Id="rId61" Type="http://schemas.openxmlformats.org/officeDocument/2006/relationships/hyperlink" Target="http://www.sec.gov/Archives/edgar/data/1524358/000152435817000036/q3201710-qexhibit41xindent.htm" TargetMode="External"/><Relationship Id="rId62" Type="http://schemas.openxmlformats.org/officeDocument/2006/relationships/hyperlink" Target="http://www.sec.gov/Archives/edgar/data/1524358/000152435817000036/q3201710-qexhibit41xindent.htm#s5A3ABC734649FE299B9DF361BE642613" TargetMode="External"/><Relationship Id="rId63" Type="http://schemas.openxmlformats.org/officeDocument/2006/relationships/hyperlink" Target="http://www.sec.gov/Archives/edgar/data/1524358/000119312518256374/d608569dex41.htm" TargetMode="External"/><Relationship Id="rId64" Type="http://schemas.openxmlformats.org/officeDocument/2006/relationships/hyperlink" Target="http://www.sec.gov/Archives/edgar/data/1524358/000119312518266807/d597652dex47.htm" TargetMode="External"/><Relationship Id="rId65" Type="http://schemas.openxmlformats.org/officeDocument/2006/relationships/hyperlink" Target="http://www.sec.gov/Archives/edgar/data/1524358/000119312518256374/d608569dex43.htm" TargetMode="External"/><Relationship Id="rId67" Type="http://schemas.openxmlformats.org/officeDocument/2006/relationships/hyperlink" Target="http://www.sec.gov/Archives/edgar/data/1524358/000119312518266807/d597652dex48.htm" TargetMode="External"/><Relationship Id="rId68" Type="http://schemas.openxmlformats.org/officeDocument/2006/relationships/hyperlink" Target="http://www.sec.gov/Archives/edgar/data/1524358/000119312518266807/d597652dex41.htm" TargetMode="External"/><Relationship Id="rId69" Type="http://schemas.openxmlformats.org/officeDocument/2006/relationships/hyperlink" Target="http://www.sec.gov/Archives/edgar/data/1524358/000119312518266807/d597652dex43.htm" TargetMode="External"/><Relationship Id="rId70" Type="http://schemas.openxmlformats.org/officeDocument/2006/relationships/hyperlink" Target="http://www.sec.gov/Archives/edgar/data/1434620/000114420415022275/v406616_ex4-1.htm" TargetMode="External"/><Relationship Id="rId71" Type="http://schemas.openxmlformats.org/officeDocument/2006/relationships/hyperlink" Target="http://www.sec.gov/Archives/edgar/data/1434620/000110465916130819/a16-14344_1ex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2019-12-28T08:19:36Z</dcterms:created>
  <dcterms:modified xsi:type="dcterms:W3CDTF">2019-12-28T08:19:36Z</dcterms:modified>
</cp:coreProperties>
</file>