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1325245</wp:posOffset>
            </wp:positionH>
            <wp:positionV relativeFrom="page">
              <wp:posOffset>759460</wp:posOffset>
            </wp:positionV>
            <wp:extent cx="529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99075" cy="8255"/>
                    </a:xfrm>
                    <a:prstGeom prst="rect">
                      <a:avLst/>
                    </a:prstGeom>
                    <a:noFill/>
                  </pic:spPr>
                </pic:pic>
              </a:graphicData>
            </a:graphic>
          </wp:anchor>
        </w:drawing>
        <w:drawing>
          <wp:anchor simplePos="0" relativeHeight="251657728" behindDoc="1" locked="0" layoutInCell="0" allowOverlap="1">
            <wp:simplePos x="0" y="0"/>
            <wp:positionH relativeFrom="page">
              <wp:posOffset>1325245</wp:posOffset>
            </wp:positionH>
            <wp:positionV relativeFrom="page">
              <wp:posOffset>726440</wp:posOffset>
            </wp:positionV>
            <wp:extent cx="529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99075" cy="8255"/>
                    </a:xfrm>
                    <a:prstGeom prst="rect">
                      <a:avLst/>
                    </a:prstGeom>
                    <a:noFill/>
                  </pic:spPr>
                </pic:pic>
              </a:graphicData>
            </a:graphic>
          </wp:anchor>
        </w:drawing>
        <w:t>UNITED STATES</w:t>
      </w:r>
    </w:p>
    <w:p>
      <w:pPr>
        <w:spacing w:after="0" w:line="40" w:lineRule="exact"/>
        <w:rPr>
          <w:sz w:val="24"/>
          <w:szCs w:val="24"/>
          <w:color w:val="auto"/>
        </w:rPr>
      </w:pPr>
    </w:p>
    <w:p>
      <w:pPr>
        <w:jc w:val="center"/>
        <w:ind w:left="600"/>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ind w:left="4680"/>
        <w:spacing w:after="0"/>
        <w:rPr>
          <w:sz w:val="20"/>
          <w:szCs w:val="20"/>
          <w:color w:val="auto"/>
        </w:rPr>
      </w:pPr>
      <w:r>
        <w:rPr>
          <w:rFonts w:ascii="Arial" w:cs="Arial" w:eastAsia="Arial" w:hAnsi="Arial"/>
          <w:sz w:val="21"/>
          <w:szCs w:val="21"/>
          <w:b w:val="1"/>
          <w:bCs w:val="1"/>
          <w:color w:val="auto"/>
        </w:rPr>
        <w:t>WASHINGTON, D.C. 20549</w:t>
      </w:r>
    </w:p>
    <w:p>
      <w:pPr>
        <w:spacing w:after="0" w:line="3"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FORM 10-Q</w:t>
      </w:r>
    </w:p>
    <w:p>
      <w:pPr>
        <w:spacing w:after="0" w:line="43" w:lineRule="exact"/>
        <w:rPr>
          <w:sz w:val="24"/>
          <w:szCs w:val="24"/>
          <w:color w:val="auto"/>
        </w:rPr>
      </w:pPr>
    </w:p>
    <w:p>
      <w:pPr>
        <w:ind w:left="4520"/>
        <w:spacing w:after="0"/>
        <w:rPr>
          <w:sz w:val="20"/>
          <w:szCs w:val="20"/>
          <w:color w:val="auto"/>
        </w:rPr>
      </w:pPr>
      <w:r>
        <w:rPr>
          <w:rFonts w:ascii="Arial" w:cs="Arial" w:eastAsia="Arial" w:hAnsi="Arial"/>
          <w:sz w:val="10"/>
          <w:szCs w:val="10"/>
          <w:color w:val="auto"/>
        </w:rPr>
        <w:t>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1" w:lineRule="exact"/>
        <w:rPr>
          <w:sz w:val="24"/>
          <w:szCs w:val="24"/>
          <w:color w:val="auto"/>
        </w:rPr>
      </w:pPr>
    </w:p>
    <w:p>
      <w:pPr>
        <w:ind w:left="1880" w:hanging="411"/>
        <w:spacing w:after="0"/>
        <w:tabs>
          <w:tab w:leader="none" w:pos="188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 the quarterly period ended March 31, 2023</w:t>
      </w:r>
    </w:p>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OR</w:t>
      </w:r>
    </w:p>
    <w:p>
      <w:pPr>
        <w:spacing w:after="0" w:line="131" w:lineRule="exact"/>
        <w:rPr>
          <w:sz w:val="24"/>
          <w:szCs w:val="24"/>
          <w:color w:val="auto"/>
        </w:rPr>
      </w:pPr>
    </w:p>
    <w:p>
      <w:pPr>
        <w:ind w:left="1880" w:hanging="411"/>
        <w:spacing w:after="0"/>
        <w:tabs>
          <w:tab w:leader="none" w:pos="188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30" w:lineRule="exact"/>
        <w:rPr>
          <w:sz w:val="24"/>
          <w:szCs w:val="24"/>
          <w:color w:val="auto"/>
        </w:rPr>
      </w:pPr>
    </w:p>
    <w:p>
      <w:pPr>
        <w:ind w:left="352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3671570</wp:posOffset>
            </wp:positionH>
            <wp:positionV relativeFrom="paragraph">
              <wp:posOffset>-5715</wp:posOffset>
            </wp:positionV>
            <wp:extent cx="1235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9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001-35219</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8"/>
          <w:szCs w:val="38"/>
          <w:b w:val="1"/>
          <w:bCs w:val="1"/>
          <w:color w:val="auto"/>
        </w:rPr>
        <w:t>Marriott Vacations Worldwide Corporation</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122" w:lineRule="exact"/>
        <w:rPr>
          <w:sz w:val="24"/>
          <w:szCs w:val="24"/>
          <w:color w:val="auto"/>
        </w:rPr>
      </w:pPr>
    </w:p>
    <w:tbl>
      <w:tblPr>
        <w:tblLayout w:type="fixed"/>
        <w:tblInd w:w="2280" w:type="dxa"/>
        <w:tblCellMar>
          <w:top w:w="0" w:type="dxa"/>
          <w:left w:w="0" w:type="dxa"/>
          <w:bottom w:w="0" w:type="dxa"/>
          <w:right w:w="0" w:type="dxa"/>
        </w:tblCellMar>
      </w:tblPr>
      <w:tr>
        <w:trPr>
          <w:trHeight w:val="223"/>
        </w:trPr>
        <w:tc>
          <w:tcPr>
            <w:tcW w:w="3920" w:type="dxa"/>
            <w:vAlign w:val="bottom"/>
          </w:tcPr>
          <w:p>
            <w:pPr>
              <w:jc w:val="center"/>
              <w:ind w:right="1064"/>
              <w:spacing w:after="0"/>
              <w:rPr>
                <w:sz w:val="20"/>
                <w:szCs w:val="20"/>
                <w:color w:val="auto"/>
              </w:rPr>
            </w:pPr>
            <w:r>
              <w:rPr>
                <w:rFonts w:ascii="Arial" w:cs="Arial" w:eastAsia="Arial" w:hAnsi="Arial"/>
                <w:sz w:val="17"/>
                <w:szCs w:val="17"/>
                <w:b w:val="1"/>
                <w:bCs w:val="1"/>
                <w:color w:val="auto"/>
                <w:w w:val="93"/>
              </w:rPr>
              <w:t>Delaware</w:t>
            </w:r>
          </w:p>
        </w:tc>
        <w:tc>
          <w:tcPr>
            <w:tcW w:w="2240" w:type="dxa"/>
            <w:vAlign w:val="bottom"/>
          </w:tcPr>
          <w:p>
            <w:pPr>
              <w:jc w:val="right"/>
              <w:ind w:right="44"/>
              <w:spacing w:after="0"/>
              <w:rPr>
                <w:sz w:val="20"/>
                <w:szCs w:val="20"/>
                <w:color w:val="auto"/>
              </w:rPr>
            </w:pPr>
            <w:r>
              <w:rPr>
                <w:rFonts w:ascii="Arial" w:cs="Arial" w:eastAsia="Arial" w:hAnsi="Arial"/>
                <w:sz w:val="17"/>
                <w:szCs w:val="17"/>
                <w:b w:val="1"/>
                <w:bCs w:val="1"/>
                <w:color w:val="auto"/>
              </w:rPr>
              <w:t>45-2598330</w:t>
            </w:r>
          </w:p>
        </w:tc>
      </w:tr>
      <w:tr>
        <w:trPr>
          <w:trHeight w:val="198"/>
        </w:trPr>
        <w:tc>
          <w:tcPr>
            <w:tcW w:w="3920" w:type="dxa"/>
            <w:vAlign w:val="bottom"/>
          </w:tcPr>
          <w:p>
            <w:pPr>
              <w:jc w:val="center"/>
              <w:ind w:right="1044"/>
              <w:spacing w:after="0"/>
              <w:rPr>
                <w:sz w:val="20"/>
                <w:szCs w:val="20"/>
                <w:color w:val="auto"/>
              </w:rPr>
            </w:pPr>
            <w:r>
              <w:rPr>
                <w:rFonts w:ascii="Arial" w:cs="Arial" w:eastAsia="Arial" w:hAnsi="Arial"/>
                <w:sz w:val="14"/>
                <w:szCs w:val="14"/>
                <w:b w:val="1"/>
                <w:bCs w:val="1"/>
                <w:color w:val="auto"/>
                <w:w w:val="89"/>
              </w:rPr>
              <w:t>(State or other jurisdiction of</w:t>
            </w:r>
          </w:p>
        </w:tc>
        <w:tc>
          <w:tcPr>
            <w:tcW w:w="2240" w:type="dxa"/>
            <w:vAlign w:val="bottom"/>
          </w:tcPr>
          <w:p>
            <w:pPr>
              <w:jc w:val="center"/>
              <w:ind w:left="1104"/>
              <w:spacing w:after="0"/>
              <w:rPr>
                <w:sz w:val="20"/>
                <w:szCs w:val="20"/>
                <w:color w:val="auto"/>
              </w:rPr>
            </w:pPr>
            <w:r>
              <w:rPr>
                <w:rFonts w:ascii="Arial" w:cs="Arial" w:eastAsia="Arial" w:hAnsi="Arial"/>
                <w:sz w:val="14"/>
                <w:szCs w:val="14"/>
                <w:b w:val="1"/>
                <w:bCs w:val="1"/>
                <w:color w:val="auto"/>
                <w:w w:val="91"/>
              </w:rPr>
              <w:t>(I.R.S. Employer</w:t>
            </w:r>
          </w:p>
        </w:tc>
      </w:tr>
      <w:tr>
        <w:trPr>
          <w:trHeight w:val="178"/>
        </w:trPr>
        <w:tc>
          <w:tcPr>
            <w:tcW w:w="3920" w:type="dxa"/>
            <w:vAlign w:val="bottom"/>
          </w:tcPr>
          <w:p>
            <w:pPr>
              <w:jc w:val="center"/>
              <w:ind w:right="1064"/>
              <w:spacing w:after="0"/>
              <w:rPr>
                <w:sz w:val="20"/>
                <w:szCs w:val="20"/>
                <w:color w:val="auto"/>
              </w:rPr>
            </w:pPr>
            <w:r>
              <w:rPr>
                <w:rFonts w:ascii="Arial" w:cs="Arial" w:eastAsia="Arial" w:hAnsi="Arial"/>
                <w:sz w:val="14"/>
                <w:szCs w:val="14"/>
                <w:b w:val="1"/>
                <w:bCs w:val="1"/>
                <w:color w:val="auto"/>
                <w:w w:val="89"/>
              </w:rPr>
              <w:t>incorporation or organization)</w:t>
            </w:r>
          </w:p>
        </w:tc>
        <w:tc>
          <w:tcPr>
            <w:tcW w:w="2240" w:type="dxa"/>
            <w:vAlign w:val="bottom"/>
          </w:tcPr>
          <w:p>
            <w:pPr>
              <w:jc w:val="center"/>
              <w:ind w:left="1104"/>
              <w:spacing w:after="0"/>
              <w:rPr>
                <w:sz w:val="20"/>
                <w:szCs w:val="20"/>
                <w:color w:val="auto"/>
              </w:rPr>
            </w:pPr>
            <w:r>
              <w:rPr>
                <w:rFonts w:ascii="Arial" w:cs="Arial" w:eastAsia="Arial" w:hAnsi="Arial"/>
                <w:sz w:val="14"/>
                <w:szCs w:val="14"/>
                <w:b w:val="1"/>
                <w:bCs w:val="1"/>
                <w:color w:val="auto"/>
                <w:w w:val="89"/>
              </w:rPr>
              <w:t>Identification No.)</w:t>
            </w:r>
          </w:p>
        </w:tc>
      </w:tr>
      <w:tr>
        <w:trPr>
          <w:trHeight w:val="247"/>
        </w:trPr>
        <w:tc>
          <w:tcPr>
            <w:tcW w:w="3920" w:type="dxa"/>
            <w:vAlign w:val="bottom"/>
          </w:tcPr>
          <w:p>
            <w:pPr>
              <w:spacing w:after="0"/>
              <w:rPr>
                <w:sz w:val="20"/>
                <w:szCs w:val="20"/>
                <w:color w:val="auto"/>
              </w:rPr>
            </w:pPr>
            <w:r>
              <w:rPr>
                <w:rFonts w:ascii="Arial" w:cs="Arial" w:eastAsia="Arial" w:hAnsi="Arial"/>
                <w:sz w:val="17"/>
                <w:szCs w:val="17"/>
                <w:b w:val="1"/>
                <w:bCs w:val="1"/>
                <w:color w:val="auto"/>
              </w:rPr>
              <w:t>9002 San Marco Court  Orlando FL</w:t>
            </w:r>
          </w:p>
        </w:tc>
        <w:tc>
          <w:tcPr>
            <w:tcW w:w="2240" w:type="dxa"/>
            <w:vAlign w:val="bottom"/>
          </w:tcPr>
          <w:p>
            <w:pPr>
              <w:jc w:val="right"/>
              <w:ind w:right="244"/>
              <w:spacing w:after="0"/>
              <w:rPr>
                <w:sz w:val="20"/>
                <w:szCs w:val="20"/>
                <w:color w:val="auto"/>
              </w:rPr>
            </w:pPr>
            <w:r>
              <w:rPr>
                <w:rFonts w:ascii="Arial" w:cs="Arial" w:eastAsia="Arial" w:hAnsi="Arial"/>
                <w:sz w:val="17"/>
                <w:szCs w:val="17"/>
                <w:b w:val="1"/>
                <w:bCs w:val="1"/>
                <w:color w:val="auto"/>
              </w:rPr>
              <w:t>32819</w:t>
            </w:r>
          </w:p>
        </w:tc>
      </w:tr>
      <w:tr>
        <w:trPr>
          <w:trHeight w:val="178"/>
        </w:trPr>
        <w:tc>
          <w:tcPr>
            <w:tcW w:w="3920" w:type="dxa"/>
            <w:vAlign w:val="bottom"/>
          </w:tcPr>
          <w:p>
            <w:pPr>
              <w:jc w:val="center"/>
              <w:ind w:right="10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40" w:type="dxa"/>
            <w:vAlign w:val="bottom"/>
          </w:tcPr>
          <w:p>
            <w:pPr>
              <w:jc w:val="center"/>
              <w:ind w:left="1104"/>
              <w:spacing w:after="0"/>
              <w:rPr>
                <w:sz w:val="20"/>
                <w:szCs w:val="20"/>
                <w:color w:val="auto"/>
              </w:rPr>
            </w:pPr>
            <w:r>
              <w:rPr>
                <w:rFonts w:ascii="Arial" w:cs="Arial" w:eastAsia="Arial" w:hAnsi="Arial"/>
                <w:sz w:val="14"/>
                <w:szCs w:val="14"/>
                <w:b w:val="1"/>
                <w:bCs w:val="1"/>
                <w:color w:val="auto"/>
                <w:w w:val="89"/>
              </w:rPr>
              <w:t>(Zip Code)</w:t>
            </w:r>
          </w:p>
        </w:tc>
      </w:tr>
    </w:tbl>
    <w:p>
      <w:pPr>
        <w:spacing w:after="0" w:line="109" w:lineRule="exact"/>
        <w:rPr>
          <w:sz w:val="24"/>
          <w:szCs w:val="24"/>
          <w:color w:val="auto"/>
        </w:rPr>
      </w:pPr>
    </w:p>
    <w:p>
      <w:pPr>
        <w:ind w:left="3220" w:right="3140" w:firstLine="298"/>
        <w:spacing w:after="0" w:line="302" w:lineRule="auto"/>
        <w:tabs>
          <w:tab w:leader="none" w:pos="393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206-6000 </w:t>
      </w:r>
      <w:r>
        <w:rPr>
          <w:rFonts w:ascii="Arial" w:cs="Arial" w:eastAsia="Arial" w:hAnsi="Arial"/>
          <w:sz w:val="12"/>
          <w:szCs w:val="12"/>
          <w:b w:val="1"/>
          <w:bCs w:val="1"/>
          <w:color w:val="auto"/>
        </w:rPr>
        <w:t>(Registrant’s telephone number, including area code)</w:t>
      </w:r>
      <w:r>
        <w:rPr>
          <w:rFonts w:ascii="Arial" w:cs="Arial" w:eastAsia="Arial" w:hAnsi="Arial"/>
          <w:sz w:val="16"/>
          <w:szCs w:val="16"/>
          <w:b w:val="1"/>
          <w:bCs w:val="1"/>
          <w:color w:val="auto"/>
        </w:rPr>
        <w:t xml:space="preserve"> </w:t>
      </w:r>
      <w:r>
        <w:rPr>
          <w:rFonts w:ascii="Arial" w:cs="Arial" w:eastAsia="Arial" w:hAnsi="Arial"/>
          <w:sz w:val="12"/>
          <w:szCs w:val="12"/>
          <w:b w:val="1"/>
          <w:bCs w:val="1"/>
          <w:color w:val="auto"/>
        </w:rPr>
        <w:t>(Former name, former address and former fiscal year, if changed since last report)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1" w:lineRule="exact"/>
        <w:rPr>
          <w:sz w:val="24"/>
          <w:szCs w:val="24"/>
          <w:color w:val="auto"/>
        </w:rPr>
      </w:pPr>
    </w:p>
    <w:tbl>
      <w:tblPr>
        <w:tblLayout w:type="fixed"/>
        <w:tblInd w:w="1470" w:type="dxa"/>
        <w:tblCellMar>
          <w:top w:w="0" w:type="dxa"/>
          <w:left w:w="0" w:type="dxa"/>
          <w:bottom w:w="0" w:type="dxa"/>
          <w:right w:w="0" w:type="dxa"/>
        </w:tblCellMar>
      </w:tblPr>
      <w:tr>
        <w:trPr>
          <w:trHeight w:val="199"/>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3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5"/>
        </w:trPr>
        <w:tc>
          <w:tcPr>
            <w:tcW w:w="3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VAC</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9"/>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176" w:lineRule="exact"/>
        <w:rPr>
          <w:sz w:val="24"/>
          <w:szCs w:val="24"/>
          <w:color w:val="auto"/>
        </w:rPr>
      </w:pPr>
    </w:p>
    <w:p>
      <w:pPr>
        <w:ind w:right="26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280"/>
        <w:spacing w:after="0" w:line="21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373" w:right="399" w:bottom="1440" w:gutter="0" w:footer="0" w:header="0"/>
        </w:sectPr>
      </w:pPr>
    </w:p>
    <w:p>
      <w:pPr>
        <w:spacing w:after="0" w:line="25" w:lineRule="exact"/>
        <w:rPr>
          <w:sz w:val="24"/>
          <w:szCs w:val="24"/>
          <w:color w:val="auto"/>
        </w:rPr>
      </w:pPr>
    </w:p>
    <w:p>
      <w:pPr>
        <w:ind w:left="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tabs>
          <w:tab w:leader="none" w:pos="4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jc w:val="center"/>
        <w:spacing w:after="0"/>
        <w:tabs>
          <w:tab w:leader="none" w:pos="32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4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5">
            <w:col w:w="2120" w:space="720"/>
            <w:col w:w="1620" w:space="720"/>
            <w:col w:w="1860" w:space="680"/>
            <w:col w:w="2360" w:space="720"/>
            <w:col w:w="380"/>
          </w:cols>
          <w:pgMar w:left="320" w:top="1373" w:right="39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3" w:lineRule="exact"/>
        <w:rPr>
          <w:sz w:val="24"/>
          <w:szCs w:val="24"/>
          <w:color w:val="auto"/>
        </w:rPr>
      </w:pPr>
    </w:p>
    <w:p>
      <w:pPr>
        <w:sectPr>
          <w:pgSz w:w="11900" w:h="16838" w:orient="portrait"/>
          <w:cols w:equalWidth="0" w:num="2">
            <w:col w:w="2120" w:space="720"/>
            <w:col w:w="8340"/>
          </w:cols>
          <w:pgMar w:left="320" w:top="1373" w:right="399" w:bottom="1440" w:gutter="0" w:footer="0" w:header="0"/>
          <w:type w:val="continuous"/>
        </w:sectPr>
      </w:pPr>
    </w:p>
    <w:p>
      <w:pPr>
        <w:ind w:right="4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6"/>
          <w:szCs w:val="16"/>
          <w:color w:val="auto"/>
        </w:rPr>
        <w:t xml:space="preserve"> No </w:t>
      </w:r>
      <w:r>
        <w:rPr>
          <w:rFonts w:ascii="MS PGothic" w:cs="MS PGothic" w:eastAsia="MS PGothic" w:hAnsi="MS PGothic"/>
          <w:sz w:val="15"/>
          <w:szCs w:val="15"/>
          <w:color w:val="auto"/>
        </w:rPr>
        <w:t>☒</w:t>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par value $0.01 per share, as of May 2, 2023 was 36,808,928.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723900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123190</wp:posOffset>
            </wp:positionV>
            <wp:extent cx="529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9075" cy="8255"/>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90805</wp:posOffset>
            </wp:positionV>
            <wp:extent cx="5299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9075" cy="8255"/>
                    </a:xfrm>
                    <a:prstGeom prst="rect">
                      <a:avLst/>
                    </a:prstGeom>
                    <a:noFill/>
                  </pic:spPr>
                </pic:pic>
              </a:graphicData>
            </a:graphic>
          </wp:anchor>
        </w:drawing>
      </w:r>
    </w:p>
    <w:p>
      <w:pPr>
        <w:sectPr>
          <w:pgSz w:w="11900" w:h="16838" w:orient="portrait"/>
          <w:cols w:equalWidth="0" w:num="1">
            <w:col w:w="11180"/>
          </w:cols>
          <w:pgMar w:left="320" w:top="1373" w:right="399" w:bottom="1440" w:gutter="0" w:footer="0" w:header="0"/>
          <w:type w:val="continuous"/>
        </w:sectPr>
      </w:pPr>
    </w:p>
    <w:bookmarkStart w:id="1" w:name="page2"/>
    <w:bookmarkEnd w:id="1"/>
    <w:p>
      <w:pPr>
        <w:jc w:val="center"/>
        <w:ind w:left="62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FORM 10-Q TABLE OF CONTENTS</w:t>
      </w:r>
    </w:p>
    <w:p>
      <w:pPr>
        <w:spacing w:after="0" w:line="41" w:lineRule="exact"/>
        <w:rPr>
          <w:sz w:val="20"/>
          <w:szCs w:val="20"/>
          <w:color w:val="auto"/>
        </w:rPr>
      </w:pPr>
    </w:p>
    <w:tbl>
      <w:tblPr>
        <w:tblLayout w:type="fixed"/>
        <w:tblInd w:w="1460" w:type="dxa"/>
        <w:tblCellMar>
          <w:top w:w="0" w:type="dxa"/>
          <w:left w:w="0" w:type="dxa"/>
          <w:bottom w:w="0" w:type="dxa"/>
          <w:right w:w="0" w:type="dxa"/>
        </w:tblCellMar>
      </w:tblPr>
      <w:tr>
        <w:trPr>
          <w:trHeight w:val="178"/>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3"/>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6480" w:type="dxa"/>
            <w:vAlign w:val="bottom"/>
            <w:gridSpan w:val="32"/>
            <w:vMerge w:val="restart"/>
          </w:tcPr>
          <w:p>
            <w:pPr>
              <w:spacing w:after="0"/>
              <w:rPr>
                <w:sz w:val="20"/>
                <w:szCs w:val="20"/>
                <w:color w:val="auto"/>
              </w:rPr>
            </w:pPr>
            <w:r>
              <w:rPr>
                <w:rFonts w:ascii="Arial" w:cs="Arial" w:eastAsia="Arial" w:hAnsi="Arial"/>
                <w:sz w:val="16"/>
                <w:szCs w:val="16"/>
                <w:b w:val="1"/>
                <w:bCs w:val="1"/>
                <w:color w:val="0000FF"/>
              </w:rPr>
              <w:t>FINANCIAL INFORMATION</w:t>
            </w: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6480" w:type="dxa"/>
            <w:vAlign w:val="bottom"/>
            <w:gridSpan w:val="32"/>
            <w:vMerge w:val="continue"/>
          </w:tcPr>
          <w:p>
            <w:pPr>
              <w:spacing w:after="0"/>
              <w:rPr>
                <w:sz w:val="13"/>
                <w:szCs w:val="13"/>
                <w:color w:val="auto"/>
              </w:rPr>
            </w:pPr>
          </w:p>
        </w:tc>
        <w:tc>
          <w:tcPr>
            <w:tcW w:w="480" w:type="dxa"/>
            <w:vAlign w:val="bottom"/>
            <w:gridSpan w:val="2"/>
          </w:tcPr>
          <w:p>
            <w:pPr>
              <w:jc w:val="center"/>
              <w:ind w:left="319"/>
              <w:spacing w:after="0" w:line="161" w:lineRule="exact"/>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ind w:left="200"/>
              <w:spacing w:after="0"/>
              <w:rPr>
                <w:sz w:val="20"/>
                <w:szCs w:val="20"/>
                <w:color w:val="auto"/>
              </w:rPr>
            </w:pPr>
            <w:r>
              <w:rPr>
                <w:rFonts w:ascii="Arial" w:cs="Arial" w:eastAsia="Arial" w:hAnsi="Arial"/>
                <w:sz w:val="16"/>
                <w:szCs w:val="16"/>
                <w:color w:val="auto"/>
              </w:rPr>
              <w:t>Item 1.</w:t>
            </w:r>
          </w:p>
        </w:tc>
        <w:tc>
          <w:tcPr>
            <w:tcW w:w="180" w:type="dxa"/>
            <w:vAlign w:val="bottom"/>
          </w:tcPr>
          <w:p>
            <w:pPr>
              <w:spacing w:after="0"/>
              <w:rPr>
                <w:sz w:val="19"/>
                <w:szCs w:val="19"/>
                <w:color w:val="auto"/>
              </w:rPr>
            </w:pPr>
          </w:p>
        </w:tc>
        <w:tc>
          <w:tcPr>
            <w:tcW w:w="1380" w:type="dxa"/>
            <w:vAlign w:val="bottom"/>
            <w:gridSpan w:val="9"/>
          </w:tcPr>
          <w:p>
            <w:pPr>
              <w:spacing w:after="0"/>
              <w:rPr>
                <w:sz w:val="20"/>
                <w:szCs w:val="20"/>
                <w:color w:val="auto"/>
              </w:rPr>
            </w:pPr>
            <w:r>
              <w:rPr>
                <w:rFonts w:ascii="Arial" w:cs="Arial" w:eastAsia="Arial" w:hAnsi="Arial"/>
                <w:sz w:val="16"/>
                <w:szCs w:val="16"/>
                <w:color w:val="0000FF"/>
                <w:w w:val="91"/>
              </w:rPr>
              <w:t>Financial Statements</w:t>
            </w:r>
          </w:p>
        </w:tc>
        <w:tc>
          <w:tcPr>
            <w:tcW w:w="600" w:type="dxa"/>
            <w:vAlign w:val="bottom"/>
            <w:gridSpan w:val="5"/>
          </w:tcPr>
          <w:p>
            <w:pPr>
              <w:spacing w:after="0"/>
              <w:rPr>
                <w:sz w:val="19"/>
                <w:szCs w:val="19"/>
                <w:color w:val="auto"/>
              </w:rPr>
            </w:pPr>
          </w:p>
        </w:tc>
        <w:tc>
          <w:tcPr>
            <w:tcW w:w="4320" w:type="dxa"/>
            <w:vAlign w:val="bottom"/>
            <w:gridSpan w:val="17"/>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gridSpan w:val="29"/>
          </w:tcPr>
          <w:p>
            <w:pPr>
              <w:spacing w:after="0"/>
              <w:rPr>
                <w:sz w:val="20"/>
                <w:szCs w:val="20"/>
                <w:color w:val="auto"/>
              </w:rPr>
            </w:pPr>
            <w:r>
              <w:rPr>
                <w:rFonts w:ascii="Arial" w:cs="Arial" w:eastAsia="Arial" w:hAnsi="Arial"/>
                <w:sz w:val="16"/>
                <w:szCs w:val="16"/>
                <w:color w:val="0000FF"/>
              </w:rPr>
              <w:t>Interim Consolidated Statements of Income</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gridSpan w:val="26"/>
          </w:tcPr>
          <w:p>
            <w:pPr>
              <w:spacing w:after="0"/>
              <w:rPr>
                <w:sz w:val="20"/>
                <w:szCs w:val="20"/>
                <w:color w:val="auto"/>
              </w:rPr>
            </w:pPr>
            <w:r>
              <w:rPr>
                <w:rFonts w:ascii="Arial" w:cs="Arial" w:eastAsia="Arial" w:hAnsi="Arial"/>
                <w:sz w:val="16"/>
                <w:szCs w:val="16"/>
                <w:color w:val="0000FF"/>
                <w:w w:val="96"/>
              </w:rPr>
              <w:t>Interim Consolidated Statements of Comprehensive Income</w:t>
            </w:r>
          </w:p>
        </w:tc>
        <w:tc>
          <w:tcPr>
            <w:tcW w:w="1940" w:type="dxa"/>
            <w:vAlign w:val="bottom"/>
            <w:gridSpan w:val="3"/>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18"/>
          </w:tcPr>
          <w:p>
            <w:pPr>
              <w:spacing w:after="0"/>
              <w:rPr>
                <w:sz w:val="20"/>
                <w:szCs w:val="20"/>
                <w:color w:val="auto"/>
              </w:rPr>
            </w:pPr>
            <w:r>
              <w:rPr>
                <w:rFonts w:ascii="Arial" w:cs="Arial" w:eastAsia="Arial" w:hAnsi="Arial"/>
                <w:sz w:val="16"/>
                <w:szCs w:val="16"/>
                <w:color w:val="0000FF"/>
                <w:w w:val="88"/>
              </w:rPr>
              <w:t>Interim Consolidated Balance Sheets</w:t>
            </w:r>
          </w:p>
        </w:tc>
        <w:tc>
          <w:tcPr>
            <w:tcW w:w="1760" w:type="dxa"/>
            <w:vAlign w:val="bottom"/>
            <w:gridSpan w:val="8"/>
          </w:tcPr>
          <w:p>
            <w:pPr>
              <w:spacing w:after="0"/>
              <w:rPr>
                <w:sz w:val="19"/>
                <w:szCs w:val="19"/>
                <w:color w:val="auto"/>
              </w:rPr>
            </w:pPr>
          </w:p>
        </w:tc>
        <w:tc>
          <w:tcPr>
            <w:tcW w:w="1940" w:type="dxa"/>
            <w:vAlign w:val="bottom"/>
            <w:gridSpan w:val="3"/>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22"/>
          </w:tcPr>
          <w:p>
            <w:pPr>
              <w:spacing w:after="0"/>
              <w:rPr>
                <w:sz w:val="20"/>
                <w:szCs w:val="20"/>
                <w:color w:val="auto"/>
              </w:rPr>
            </w:pPr>
            <w:r>
              <w:rPr>
                <w:rFonts w:ascii="Arial" w:cs="Arial" w:eastAsia="Arial" w:hAnsi="Arial"/>
                <w:sz w:val="16"/>
                <w:szCs w:val="16"/>
                <w:color w:val="0000FF"/>
                <w:w w:val="91"/>
              </w:rPr>
              <w:t>Interim Consolidated Statements of Cash Flows</w:t>
            </w:r>
          </w:p>
        </w:tc>
        <w:tc>
          <w:tcPr>
            <w:tcW w:w="2940" w:type="dxa"/>
            <w:vAlign w:val="bottom"/>
            <w:gridSpan w:val="7"/>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gridSpan w:val="29"/>
          </w:tcPr>
          <w:p>
            <w:pPr>
              <w:spacing w:after="0"/>
              <w:rPr>
                <w:sz w:val="20"/>
                <w:szCs w:val="20"/>
                <w:color w:val="auto"/>
              </w:rPr>
            </w:pPr>
            <w:r>
              <w:rPr>
                <w:rFonts w:ascii="Arial" w:cs="Arial" w:eastAsia="Arial" w:hAnsi="Arial"/>
                <w:sz w:val="16"/>
                <w:szCs w:val="16"/>
                <w:color w:val="0000FF"/>
              </w:rPr>
              <w:t>Interim Consolidated Statements of Shareholders’ Equity</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80" w:type="dxa"/>
            <w:vAlign w:val="bottom"/>
            <w:gridSpan w:val="30"/>
          </w:tcPr>
          <w:p>
            <w:pPr>
              <w:spacing w:after="0"/>
              <w:rPr>
                <w:sz w:val="20"/>
                <w:szCs w:val="20"/>
                <w:color w:val="auto"/>
              </w:rPr>
            </w:pPr>
            <w:r>
              <w:rPr>
                <w:rFonts w:ascii="Arial" w:cs="Arial" w:eastAsia="Arial" w:hAnsi="Arial"/>
                <w:sz w:val="16"/>
                <w:szCs w:val="16"/>
                <w:color w:val="0000FF"/>
              </w:rPr>
              <w:t>Interim Condensed Notes to Consolidated Financial Statements</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34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1.</w:t>
            </w:r>
          </w:p>
        </w:tc>
        <w:tc>
          <w:tcPr>
            <w:tcW w:w="3660" w:type="dxa"/>
            <w:vAlign w:val="bottom"/>
            <w:gridSpan w:val="24"/>
          </w:tcPr>
          <w:p>
            <w:pPr>
              <w:ind w:left="20"/>
              <w:spacing w:after="0"/>
              <w:rPr>
                <w:sz w:val="20"/>
                <w:szCs w:val="20"/>
                <w:color w:val="auto"/>
              </w:rPr>
            </w:pPr>
            <w:r>
              <w:rPr>
                <w:rFonts w:ascii="Arial" w:cs="Arial" w:eastAsia="Arial" w:hAnsi="Arial"/>
                <w:sz w:val="16"/>
                <w:szCs w:val="16"/>
                <w:color w:val="0000FF"/>
              </w:rPr>
              <w:t>Basis of Presentation</w:t>
            </w:r>
          </w:p>
        </w:tc>
        <w:tc>
          <w:tcPr>
            <w:tcW w:w="1940" w:type="dxa"/>
            <w:vAlign w:val="bottom"/>
            <w:gridSpan w:val="3"/>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2.</w:t>
            </w:r>
          </w:p>
        </w:tc>
        <w:tc>
          <w:tcPr>
            <w:tcW w:w="5600" w:type="dxa"/>
            <w:vAlign w:val="bottom"/>
            <w:gridSpan w:val="27"/>
          </w:tcPr>
          <w:p>
            <w:pPr>
              <w:ind w:left="20"/>
              <w:spacing w:after="0"/>
              <w:rPr>
                <w:sz w:val="20"/>
                <w:szCs w:val="20"/>
                <w:color w:val="auto"/>
              </w:rPr>
            </w:pPr>
            <w:r>
              <w:rPr>
                <w:rFonts w:ascii="Arial" w:cs="Arial" w:eastAsia="Arial" w:hAnsi="Arial"/>
                <w:sz w:val="16"/>
                <w:szCs w:val="16"/>
                <w:color w:val="0000FF"/>
              </w:rPr>
              <w:t>Significant Accounting Policies and Recent Accounting Standards</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880" w:type="dxa"/>
            <w:vAlign w:val="bottom"/>
            <w:gridSpan w:val="5"/>
          </w:tcPr>
          <w:p>
            <w:pPr>
              <w:ind w:left="720"/>
              <w:spacing w:after="0"/>
              <w:rPr>
                <w:sz w:val="20"/>
                <w:szCs w:val="20"/>
                <w:color w:val="auto"/>
              </w:rPr>
            </w:pPr>
            <w:r>
              <w:rPr>
                <w:rFonts w:ascii="Arial" w:cs="Arial" w:eastAsia="Arial" w:hAnsi="Arial"/>
                <w:sz w:val="16"/>
                <w:szCs w:val="16"/>
                <w:color w:val="0000FF"/>
              </w:rPr>
              <w:t>3.</w:t>
            </w:r>
          </w:p>
        </w:tc>
        <w:tc>
          <w:tcPr>
            <w:tcW w:w="5600" w:type="dxa"/>
            <w:vAlign w:val="bottom"/>
            <w:gridSpan w:val="27"/>
          </w:tcPr>
          <w:p>
            <w:pPr>
              <w:ind w:left="20"/>
              <w:spacing w:after="0"/>
              <w:rPr>
                <w:sz w:val="20"/>
                <w:szCs w:val="20"/>
                <w:color w:val="auto"/>
              </w:rPr>
            </w:pPr>
            <w:r>
              <w:rPr>
                <w:rFonts w:ascii="Arial" w:cs="Arial" w:eastAsia="Arial" w:hAnsi="Arial"/>
                <w:sz w:val="16"/>
                <w:szCs w:val="16"/>
                <w:color w:val="0000FF"/>
              </w:rPr>
              <w:t>Acquisitions</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4.</w:t>
            </w:r>
          </w:p>
        </w:tc>
        <w:tc>
          <w:tcPr>
            <w:tcW w:w="5600" w:type="dxa"/>
            <w:vAlign w:val="bottom"/>
            <w:gridSpan w:val="27"/>
          </w:tcPr>
          <w:p>
            <w:pPr>
              <w:ind w:left="20"/>
              <w:spacing w:after="0"/>
              <w:rPr>
                <w:sz w:val="20"/>
                <w:szCs w:val="20"/>
                <w:color w:val="auto"/>
              </w:rPr>
            </w:pPr>
            <w:r>
              <w:rPr>
                <w:rFonts w:ascii="Arial" w:cs="Arial" w:eastAsia="Arial" w:hAnsi="Arial"/>
                <w:sz w:val="16"/>
                <w:szCs w:val="16"/>
                <w:color w:val="0000FF"/>
              </w:rPr>
              <w:t>Revenue and Receivables</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5.</w:t>
            </w:r>
          </w:p>
        </w:tc>
        <w:tc>
          <w:tcPr>
            <w:tcW w:w="920" w:type="dxa"/>
            <w:vAlign w:val="bottom"/>
            <w:gridSpan w:val="7"/>
          </w:tcPr>
          <w:p>
            <w:pPr>
              <w:ind w:left="20"/>
              <w:spacing w:after="0"/>
              <w:rPr>
                <w:sz w:val="20"/>
                <w:szCs w:val="20"/>
                <w:color w:val="auto"/>
              </w:rPr>
            </w:pPr>
            <w:r>
              <w:rPr>
                <w:rFonts w:ascii="Arial" w:cs="Arial" w:eastAsia="Arial" w:hAnsi="Arial"/>
                <w:sz w:val="16"/>
                <w:szCs w:val="16"/>
                <w:color w:val="0000FF"/>
                <w:w w:val="85"/>
              </w:rPr>
              <w:t>Income Taxes</w:t>
            </w:r>
          </w:p>
        </w:tc>
        <w:tc>
          <w:tcPr>
            <w:tcW w:w="760" w:type="dxa"/>
            <w:vAlign w:val="bottom"/>
            <w:gridSpan w:val="7"/>
          </w:tcPr>
          <w:p>
            <w:pPr>
              <w:spacing w:after="0"/>
              <w:rPr>
                <w:sz w:val="19"/>
                <w:szCs w:val="19"/>
                <w:color w:val="auto"/>
              </w:rPr>
            </w:pPr>
          </w:p>
        </w:tc>
        <w:tc>
          <w:tcPr>
            <w:tcW w:w="3920" w:type="dxa"/>
            <w:vAlign w:val="bottom"/>
            <w:gridSpan w:val="13"/>
          </w:tcPr>
          <w:p>
            <w:pPr>
              <w:spacing w:after="0"/>
              <w:rPr>
                <w:sz w:val="19"/>
                <w:szCs w:val="19"/>
                <w:color w:val="auto"/>
              </w:rPr>
            </w:pPr>
          </w:p>
        </w:tc>
        <w:tc>
          <w:tcPr>
            <w:tcW w:w="480" w:type="dxa"/>
            <w:vAlign w:val="bottom"/>
            <w:gridSpan w:val="2"/>
          </w:tcPr>
          <w:p>
            <w:pPr>
              <w:jc w:val="center"/>
              <w:ind w:left="239"/>
              <w:spacing w:after="0"/>
              <w:rPr>
                <w:sz w:val="20"/>
                <w:szCs w:val="20"/>
                <w:color w:val="auto"/>
              </w:rPr>
            </w:pPr>
            <w:r>
              <w:rPr>
                <w:rFonts w:ascii="Arial" w:cs="Arial" w:eastAsia="Arial" w:hAnsi="Arial"/>
                <w:sz w:val="16"/>
                <w:szCs w:val="16"/>
                <w:color w:val="0000FF"/>
                <w:w w:val="89"/>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6.</w:t>
            </w:r>
          </w:p>
        </w:tc>
        <w:tc>
          <w:tcPr>
            <w:tcW w:w="5600" w:type="dxa"/>
            <w:vAlign w:val="bottom"/>
            <w:gridSpan w:val="27"/>
          </w:tcPr>
          <w:p>
            <w:pPr>
              <w:ind w:left="20"/>
              <w:spacing w:after="0"/>
              <w:rPr>
                <w:sz w:val="20"/>
                <w:szCs w:val="20"/>
                <w:color w:val="auto"/>
              </w:rPr>
            </w:pPr>
            <w:r>
              <w:rPr>
                <w:rFonts w:ascii="Arial" w:cs="Arial" w:eastAsia="Arial" w:hAnsi="Arial"/>
                <w:sz w:val="16"/>
                <w:szCs w:val="16"/>
                <w:color w:val="0000FF"/>
              </w:rPr>
              <w:t>Vacation Ownership Notes Receivable</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7.</w:t>
            </w:r>
          </w:p>
        </w:tc>
        <w:tc>
          <w:tcPr>
            <w:tcW w:w="5600" w:type="dxa"/>
            <w:vAlign w:val="bottom"/>
            <w:gridSpan w:val="27"/>
          </w:tcPr>
          <w:p>
            <w:pPr>
              <w:ind w:left="20"/>
              <w:spacing w:after="0"/>
              <w:rPr>
                <w:sz w:val="20"/>
                <w:szCs w:val="20"/>
                <w:color w:val="auto"/>
              </w:rPr>
            </w:pPr>
            <w:r>
              <w:rPr>
                <w:rFonts w:ascii="Arial" w:cs="Arial" w:eastAsia="Arial" w:hAnsi="Arial"/>
                <w:sz w:val="16"/>
                <w:szCs w:val="16"/>
                <w:color w:val="0000FF"/>
              </w:rPr>
              <w:t>Financial Instruments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8.</w:t>
            </w:r>
          </w:p>
        </w:tc>
        <w:tc>
          <w:tcPr>
            <w:tcW w:w="1420" w:type="dxa"/>
            <w:vAlign w:val="bottom"/>
            <w:gridSpan w:val="12"/>
          </w:tcPr>
          <w:p>
            <w:pPr>
              <w:ind w:left="20"/>
              <w:spacing w:after="0"/>
              <w:rPr>
                <w:sz w:val="20"/>
                <w:szCs w:val="20"/>
                <w:color w:val="auto"/>
              </w:rPr>
            </w:pPr>
            <w:r>
              <w:rPr>
                <w:rFonts w:ascii="Arial" w:cs="Arial" w:eastAsia="Arial" w:hAnsi="Arial"/>
                <w:sz w:val="16"/>
                <w:szCs w:val="16"/>
                <w:color w:val="0000FF"/>
                <w:w w:val="98"/>
              </w:rPr>
              <w:t>Earnings Per Share</w:t>
            </w:r>
          </w:p>
        </w:tc>
        <w:tc>
          <w:tcPr>
            <w:tcW w:w="4180" w:type="dxa"/>
            <w:vAlign w:val="bottom"/>
            <w:gridSpan w:val="15"/>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9.</w:t>
            </w:r>
          </w:p>
        </w:tc>
        <w:tc>
          <w:tcPr>
            <w:tcW w:w="920" w:type="dxa"/>
            <w:vAlign w:val="bottom"/>
            <w:gridSpan w:val="7"/>
          </w:tcPr>
          <w:p>
            <w:pPr>
              <w:ind w:left="20"/>
              <w:spacing w:after="0"/>
              <w:rPr>
                <w:sz w:val="20"/>
                <w:szCs w:val="20"/>
                <w:color w:val="auto"/>
              </w:rPr>
            </w:pPr>
            <w:r>
              <w:rPr>
                <w:rFonts w:ascii="Arial" w:cs="Arial" w:eastAsia="Arial" w:hAnsi="Arial"/>
                <w:sz w:val="16"/>
                <w:szCs w:val="16"/>
                <w:color w:val="0000FF"/>
              </w:rPr>
              <w:t>Inventory</w:t>
            </w:r>
          </w:p>
        </w:tc>
        <w:tc>
          <w:tcPr>
            <w:tcW w:w="4680" w:type="dxa"/>
            <w:vAlign w:val="bottom"/>
            <w:gridSpan w:val="20"/>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80" w:type="dxa"/>
            <w:vAlign w:val="bottom"/>
            <w:gridSpan w:val="22"/>
          </w:tcPr>
          <w:p>
            <w:pPr>
              <w:spacing w:after="0"/>
              <w:rPr>
                <w:sz w:val="20"/>
                <w:szCs w:val="20"/>
                <w:color w:val="auto"/>
              </w:rPr>
            </w:pPr>
            <w:r>
              <w:rPr>
                <w:rFonts w:ascii="Arial" w:cs="Arial" w:eastAsia="Arial" w:hAnsi="Arial"/>
                <w:sz w:val="16"/>
                <w:szCs w:val="16"/>
                <w:color w:val="0000FF"/>
              </w:rPr>
              <w:t>10. Contingencies and Commitments</w:t>
            </w:r>
          </w:p>
        </w:tc>
        <w:tc>
          <w:tcPr>
            <w:tcW w:w="2360" w:type="dxa"/>
            <w:vAlign w:val="bottom"/>
            <w:gridSpan w:val="6"/>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9"/>
          </w:tcPr>
          <w:p>
            <w:pPr>
              <w:spacing w:after="0"/>
              <w:rPr>
                <w:sz w:val="20"/>
                <w:szCs w:val="20"/>
                <w:color w:val="auto"/>
              </w:rPr>
            </w:pPr>
            <w:r>
              <w:rPr>
                <w:rFonts w:ascii="Arial" w:cs="Arial" w:eastAsia="Arial" w:hAnsi="Arial"/>
                <w:sz w:val="16"/>
                <w:szCs w:val="16"/>
                <w:color w:val="0000FF"/>
                <w:w w:val="90"/>
              </w:rPr>
              <w:t>11. Securitized Debt</w:t>
            </w:r>
          </w:p>
        </w:tc>
        <w:tc>
          <w:tcPr>
            <w:tcW w:w="2060" w:type="dxa"/>
            <w:vAlign w:val="bottom"/>
            <w:gridSpan w:val="13"/>
          </w:tcPr>
          <w:p>
            <w:pPr>
              <w:spacing w:after="0"/>
              <w:rPr>
                <w:sz w:val="19"/>
                <w:szCs w:val="19"/>
                <w:color w:val="auto"/>
              </w:rPr>
            </w:pPr>
          </w:p>
        </w:tc>
        <w:tc>
          <w:tcPr>
            <w:tcW w:w="2360" w:type="dxa"/>
            <w:vAlign w:val="bottom"/>
            <w:gridSpan w:val="6"/>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6"/>
                <w:szCs w:val="16"/>
                <w:color w:val="0000FF"/>
                <w:w w:val="89"/>
              </w:rPr>
              <w:t>12. Debt</w:t>
            </w:r>
          </w:p>
        </w:tc>
        <w:tc>
          <w:tcPr>
            <w:tcW w:w="760" w:type="dxa"/>
            <w:vAlign w:val="bottom"/>
            <w:gridSpan w:val="6"/>
          </w:tcPr>
          <w:p>
            <w:pPr>
              <w:spacing w:after="0"/>
              <w:rPr>
                <w:sz w:val="19"/>
                <w:szCs w:val="19"/>
                <w:color w:val="auto"/>
              </w:rPr>
            </w:pPr>
          </w:p>
        </w:tc>
        <w:tc>
          <w:tcPr>
            <w:tcW w:w="4420" w:type="dxa"/>
            <w:vAlign w:val="bottom"/>
            <w:gridSpan w:val="19"/>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14"/>
          </w:tcPr>
          <w:p>
            <w:pPr>
              <w:spacing w:after="0"/>
              <w:rPr>
                <w:sz w:val="20"/>
                <w:szCs w:val="20"/>
                <w:color w:val="auto"/>
              </w:rPr>
            </w:pPr>
            <w:r>
              <w:rPr>
                <w:rFonts w:ascii="Arial" w:cs="Arial" w:eastAsia="Arial" w:hAnsi="Arial"/>
                <w:sz w:val="16"/>
                <w:szCs w:val="16"/>
                <w:color w:val="0000FF"/>
                <w:w w:val="91"/>
              </w:rPr>
              <w:t>13. Shareholders’ Equity</w:t>
            </w:r>
          </w:p>
        </w:tc>
        <w:tc>
          <w:tcPr>
            <w:tcW w:w="4120" w:type="dxa"/>
            <w:vAlign w:val="bottom"/>
            <w:gridSpan w:val="14"/>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17"/>
          </w:tcPr>
          <w:p>
            <w:pPr>
              <w:spacing w:after="0"/>
              <w:rPr>
                <w:sz w:val="20"/>
                <w:szCs w:val="20"/>
                <w:color w:val="auto"/>
              </w:rPr>
            </w:pPr>
            <w:r>
              <w:rPr>
                <w:rFonts w:ascii="Arial" w:cs="Arial" w:eastAsia="Arial" w:hAnsi="Arial"/>
                <w:sz w:val="16"/>
                <w:szCs w:val="16"/>
                <w:color w:val="0000FF"/>
                <w:w w:val="87"/>
              </w:rPr>
              <w:t>14. Share-Based Compensation</w:t>
            </w:r>
          </w:p>
        </w:tc>
        <w:tc>
          <w:tcPr>
            <w:tcW w:w="3700" w:type="dxa"/>
            <w:vAlign w:val="bottom"/>
            <w:gridSpan w:val="11"/>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17"/>
          </w:tcPr>
          <w:p>
            <w:pPr>
              <w:spacing w:after="0"/>
              <w:rPr>
                <w:sz w:val="20"/>
                <w:szCs w:val="20"/>
                <w:color w:val="auto"/>
              </w:rPr>
            </w:pPr>
            <w:r>
              <w:rPr>
                <w:rFonts w:ascii="Arial" w:cs="Arial" w:eastAsia="Arial" w:hAnsi="Arial"/>
                <w:sz w:val="16"/>
                <w:szCs w:val="16"/>
                <w:color w:val="0000FF"/>
                <w:w w:val="99"/>
              </w:rPr>
              <w:t>15. Variable Interest Entities</w:t>
            </w:r>
          </w:p>
        </w:tc>
        <w:tc>
          <w:tcPr>
            <w:tcW w:w="3700" w:type="dxa"/>
            <w:vAlign w:val="bottom"/>
            <w:gridSpan w:val="11"/>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16"/>
          </w:tcPr>
          <w:p>
            <w:pPr>
              <w:spacing w:after="0"/>
              <w:rPr>
                <w:sz w:val="20"/>
                <w:szCs w:val="20"/>
                <w:color w:val="auto"/>
              </w:rPr>
            </w:pPr>
            <w:r>
              <w:rPr>
                <w:rFonts w:ascii="Arial" w:cs="Arial" w:eastAsia="Arial" w:hAnsi="Arial"/>
                <w:sz w:val="16"/>
                <w:szCs w:val="16"/>
                <w:color w:val="0000FF"/>
              </w:rPr>
              <w:t>16. Business Segments</w:t>
            </w:r>
          </w:p>
        </w:tc>
        <w:tc>
          <w:tcPr>
            <w:tcW w:w="3900" w:type="dxa"/>
            <w:vAlign w:val="bottom"/>
            <w:gridSpan w:val="12"/>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ind w:left="200"/>
              <w:spacing w:after="0"/>
              <w:rPr>
                <w:sz w:val="20"/>
                <w:szCs w:val="20"/>
                <w:color w:val="auto"/>
              </w:rPr>
            </w:pPr>
            <w:r>
              <w:rPr>
                <w:rFonts w:ascii="Arial" w:cs="Arial" w:eastAsia="Arial" w:hAnsi="Arial"/>
                <w:sz w:val="16"/>
                <w:szCs w:val="16"/>
                <w:color w:val="auto"/>
              </w:rPr>
              <w:t>Item 2.</w:t>
            </w:r>
          </w:p>
        </w:tc>
        <w:tc>
          <w:tcPr>
            <w:tcW w:w="180" w:type="dxa"/>
            <w:vAlign w:val="bottom"/>
          </w:tcPr>
          <w:p>
            <w:pPr>
              <w:spacing w:after="0"/>
              <w:rPr>
                <w:sz w:val="19"/>
                <w:szCs w:val="19"/>
                <w:color w:val="auto"/>
              </w:rPr>
            </w:pPr>
          </w:p>
        </w:tc>
        <w:tc>
          <w:tcPr>
            <w:tcW w:w="5860" w:type="dxa"/>
            <w:vAlign w:val="bottom"/>
            <w:gridSpan w:val="30"/>
          </w:tcPr>
          <w:p>
            <w:pPr>
              <w:spacing w:after="0"/>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44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ind w:left="200"/>
              <w:spacing w:after="0"/>
              <w:rPr>
                <w:sz w:val="20"/>
                <w:szCs w:val="20"/>
                <w:color w:val="auto"/>
              </w:rPr>
            </w:pPr>
            <w:r>
              <w:rPr>
                <w:rFonts w:ascii="Arial" w:cs="Arial" w:eastAsia="Arial" w:hAnsi="Arial"/>
                <w:sz w:val="16"/>
                <w:szCs w:val="16"/>
                <w:color w:val="auto"/>
              </w:rPr>
              <w:t>Item 3.</w:t>
            </w:r>
          </w:p>
        </w:tc>
        <w:tc>
          <w:tcPr>
            <w:tcW w:w="180" w:type="dxa"/>
            <w:vAlign w:val="bottom"/>
          </w:tcPr>
          <w:p>
            <w:pPr>
              <w:spacing w:after="0"/>
              <w:rPr>
                <w:sz w:val="19"/>
                <w:szCs w:val="19"/>
                <w:color w:val="auto"/>
              </w:rPr>
            </w:pPr>
          </w:p>
        </w:tc>
        <w:tc>
          <w:tcPr>
            <w:tcW w:w="3940" w:type="dxa"/>
            <w:vAlign w:val="bottom"/>
            <w:gridSpan w:val="25"/>
          </w:tcPr>
          <w:p>
            <w:pPr>
              <w:spacing w:after="0"/>
              <w:rPr>
                <w:sz w:val="20"/>
                <w:szCs w:val="20"/>
                <w:color w:val="auto"/>
              </w:rPr>
            </w:pPr>
            <w:r>
              <w:rPr>
                <w:rFonts w:ascii="Arial" w:cs="Arial" w:eastAsia="Arial" w:hAnsi="Arial"/>
                <w:sz w:val="16"/>
                <w:szCs w:val="16"/>
                <w:color w:val="0000FF"/>
                <w:w w:val="93"/>
              </w:rPr>
              <w:t>Quantitative and Qualitative Disclosures About Market Risk</w:t>
            </w:r>
          </w:p>
        </w:tc>
        <w:tc>
          <w:tcPr>
            <w:tcW w:w="1920" w:type="dxa"/>
            <w:vAlign w:val="bottom"/>
            <w:gridSpan w:val="5"/>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50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ind w:left="200"/>
              <w:spacing w:after="0"/>
              <w:rPr>
                <w:sz w:val="20"/>
                <w:szCs w:val="20"/>
                <w:color w:val="auto"/>
              </w:rPr>
            </w:pPr>
            <w:r>
              <w:rPr>
                <w:rFonts w:ascii="Arial" w:cs="Arial" w:eastAsia="Arial" w:hAnsi="Arial"/>
                <w:sz w:val="16"/>
                <w:szCs w:val="16"/>
                <w:color w:val="auto"/>
              </w:rPr>
              <w:t>Item 4.</w:t>
            </w:r>
          </w:p>
        </w:tc>
        <w:tc>
          <w:tcPr>
            <w:tcW w:w="180" w:type="dxa"/>
            <w:vAlign w:val="bottom"/>
          </w:tcPr>
          <w:p>
            <w:pPr>
              <w:spacing w:after="0"/>
              <w:rPr>
                <w:sz w:val="19"/>
                <w:szCs w:val="19"/>
                <w:color w:val="auto"/>
              </w:rPr>
            </w:pPr>
          </w:p>
        </w:tc>
        <w:tc>
          <w:tcPr>
            <w:tcW w:w="1620" w:type="dxa"/>
            <w:vAlign w:val="bottom"/>
            <w:gridSpan w:val="11"/>
          </w:tcPr>
          <w:p>
            <w:pPr>
              <w:spacing w:after="0"/>
              <w:rPr>
                <w:sz w:val="20"/>
                <w:szCs w:val="20"/>
                <w:color w:val="auto"/>
              </w:rPr>
            </w:pPr>
            <w:r>
              <w:rPr>
                <w:rFonts w:ascii="Arial" w:cs="Arial" w:eastAsia="Arial" w:hAnsi="Arial"/>
                <w:sz w:val="16"/>
                <w:szCs w:val="16"/>
                <w:color w:val="0000FF"/>
                <w:w w:val="89"/>
              </w:rPr>
              <w:t>Controls and Procedures</w:t>
            </w:r>
          </w:p>
        </w:tc>
        <w:tc>
          <w:tcPr>
            <w:tcW w:w="2320" w:type="dxa"/>
            <w:vAlign w:val="bottom"/>
            <w:gridSpan w:val="14"/>
          </w:tcPr>
          <w:p>
            <w:pPr>
              <w:spacing w:after="0"/>
              <w:rPr>
                <w:sz w:val="19"/>
                <w:szCs w:val="19"/>
                <w:color w:val="auto"/>
              </w:rPr>
            </w:pPr>
          </w:p>
        </w:tc>
        <w:tc>
          <w:tcPr>
            <w:tcW w:w="2360" w:type="dxa"/>
            <w:vAlign w:val="bottom"/>
            <w:gridSpan w:val="6"/>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50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320" w:type="dxa"/>
            <w:vAlign w:val="bottom"/>
            <w:gridSpan w:val="14"/>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480" w:type="dxa"/>
            <w:vAlign w:val="bottom"/>
            <w:gridSpan w:val="32"/>
          </w:tcPr>
          <w:p>
            <w:pPr>
              <w:spacing w:after="0"/>
              <w:rPr>
                <w:sz w:val="20"/>
                <w:szCs w:val="20"/>
                <w:color w:val="auto"/>
              </w:rPr>
            </w:pPr>
            <w:r>
              <w:rPr>
                <w:rFonts w:ascii="Arial" w:cs="Arial" w:eastAsia="Arial" w:hAnsi="Arial"/>
                <w:sz w:val="16"/>
                <w:szCs w:val="16"/>
                <w:b w:val="1"/>
                <w:bCs w:val="1"/>
                <w:color w:val="0000FF"/>
              </w:rPr>
              <w:t>OTHER INFORMATION</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51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320" w:type="dxa"/>
            <w:vAlign w:val="bottom"/>
            <w:tcBorders>
              <w:left w:val="single" w:sz="8" w:color="0000FF"/>
            </w:tcBorders>
            <w:gridSpan w:val="14"/>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ind w:left="200"/>
              <w:spacing w:after="0"/>
              <w:rPr>
                <w:sz w:val="20"/>
                <w:szCs w:val="20"/>
                <w:color w:val="auto"/>
              </w:rPr>
            </w:pPr>
            <w:r>
              <w:rPr>
                <w:rFonts w:ascii="Arial" w:cs="Arial" w:eastAsia="Arial" w:hAnsi="Arial"/>
                <w:sz w:val="16"/>
                <w:szCs w:val="16"/>
                <w:color w:val="auto"/>
              </w:rPr>
              <w:t>Item 1.</w:t>
            </w:r>
          </w:p>
        </w:tc>
        <w:tc>
          <w:tcPr>
            <w:tcW w:w="180" w:type="dxa"/>
            <w:vAlign w:val="bottom"/>
          </w:tcPr>
          <w:p>
            <w:pPr>
              <w:spacing w:after="0"/>
              <w:rPr>
                <w:sz w:val="19"/>
                <w:szCs w:val="19"/>
                <w:color w:val="auto"/>
              </w:rPr>
            </w:pPr>
          </w:p>
        </w:tc>
        <w:tc>
          <w:tcPr>
            <w:tcW w:w="1220" w:type="dxa"/>
            <w:vAlign w:val="bottom"/>
            <w:gridSpan w:val="7"/>
          </w:tcPr>
          <w:p>
            <w:pPr>
              <w:spacing w:after="0"/>
              <w:rPr>
                <w:sz w:val="20"/>
                <w:szCs w:val="20"/>
                <w:color w:val="auto"/>
              </w:rPr>
            </w:pPr>
            <w:r>
              <w:rPr>
                <w:rFonts w:ascii="Arial" w:cs="Arial" w:eastAsia="Arial" w:hAnsi="Arial"/>
                <w:sz w:val="16"/>
                <w:szCs w:val="16"/>
                <w:color w:val="0000FF"/>
                <w:w w:val="90"/>
              </w:rPr>
              <w:t>Legal Proceedings</w:t>
            </w:r>
          </w:p>
        </w:tc>
        <w:tc>
          <w:tcPr>
            <w:tcW w:w="400" w:type="dxa"/>
            <w:vAlign w:val="bottom"/>
            <w:gridSpan w:val="4"/>
          </w:tcPr>
          <w:p>
            <w:pPr>
              <w:spacing w:after="0"/>
              <w:rPr>
                <w:sz w:val="19"/>
                <w:szCs w:val="19"/>
                <w:color w:val="auto"/>
              </w:rPr>
            </w:pPr>
          </w:p>
        </w:tc>
        <w:tc>
          <w:tcPr>
            <w:tcW w:w="4680" w:type="dxa"/>
            <w:vAlign w:val="bottom"/>
            <w:gridSpan w:val="20"/>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51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ind w:left="200"/>
              <w:spacing w:after="0"/>
              <w:rPr>
                <w:sz w:val="20"/>
                <w:szCs w:val="20"/>
                <w:color w:val="auto"/>
              </w:rPr>
            </w:pPr>
            <w:r>
              <w:rPr>
                <w:rFonts w:ascii="Arial" w:cs="Arial" w:eastAsia="Arial" w:hAnsi="Arial"/>
                <w:sz w:val="16"/>
                <w:szCs w:val="16"/>
                <w:color w:val="auto"/>
              </w:rPr>
              <w:t>Item 1A.</w:t>
            </w:r>
          </w:p>
        </w:tc>
        <w:tc>
          <w:tcPr>
            <w:tcW w:w="180" w:type="dxa"/>
            <w:vAlign w:val="bottom"/>
          </w:tcPr>
          <w:p>
            <w:pPr>
              <w:spacing w:after="0"/>
              <w:rPr>
                <w:sz w:val="19"/>
                <w:szCs w:val="19"/>
                <w:color w:val="auto"/>
              </w:rPr>
            </w:pPr>
          </w:p>
        </w:tc>
        <w:tc>
          <w:tcPr>
            <w:tcW w:w="1220" w:type="dxa"/>
            <w:vAlign w:val="bottom"/>
            <w:gridSpan w:val="7"/>
          </w:tcPr>
          <w:p>
            <w:pPr>
              <w:spacing w:after="0"/>
              <w:rPr>
                <w:sz w:val="20"/>
                <w:szCs w:val="20"/>
                <w:color w:val="auto"/>
              </w:rPr>
            </w:pPr>
            <w:r>
              <w:rPr>
                <w:rFonts w:ascii="Arial" w:cs="Arial" w:eastAsia="Arial" w:hAnsi="Arial"/>
                <w:sz w:val="16"/>
                <w:szCs w:val="16"/>
                <w:color w:val="0000FF"/>
              </w:rPr>
              <w:t>Risk Factors</w:t>
            </w:r>
          </w:p>
        </w:tc>
        <w:tc>
          <w:tcPr>
            <w:tcW w:w="5080" w:type="dxa"/>
            <w:vAlign w:val="bottom"/>
            <w:gridSpan w:val="24"/>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51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120" w:type="dxa"/>
            <w:vAlign w:val="bottom"/>
            <w:gridSpan w:val="20"/>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ind w:left="200"/>
              <w:spacing w:after="0"/>
              <w:rPr>
                <w:sz w:val="20"/>
                <w:szCs w:val="20"/>
                <w:color w:val="auto"/>
              </w:rPr>
            </w:pPr>
            <w:r>
              <w:rPr>
                <w:rFonts w:ascii="Arial" w:cs="Arial" w:eastAsia="Arial" w:hAnsi="Arial"/>
                <w:sz w:val="16"/>
                <w:szCs w:val="16"/>
                <w:color w:val="auto"/>
              </w:rPr>
              <w:t>Item 2.</w:t>
            </w:r>
          </w:p>
        </w:tc>
        <w:tc>
          <w:tcPr>
            <w:tcW w:w="180" w:type="dxa"/>
            <w:vAlign w:val="bottom"/>
          </w:tcPr>
          <w:p>
            <w:pPr>
              <w:spacing w:after="0"/>
              <w:rPr>
                <w:sz w:val="19"/>
                <w:szCs w:val="19"/>
                <w:color w:val="auto"/>
              </w:rPr>
            </w:pPr>
          </w:p>
        </w:tc>
        <w:tc>
          <w:tcPr>
            <w:tcW w:w="6300" w:type="dxa"/>
            <w:vAlign w:val="bottom"/>
            <w:gridSpan w:val="3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51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ind w:left="200"/>
              <w:spacing w:after="0"/>
              <w:rPr>
                <w:sz w:val="20"/>
                <w:szCs w:val="20"/>
                <w:color w:val="auto"/>
              </w:rPr>
            </w:pPr>
            <w:r>
              <w:rPr>
                <w:rFonts w:ascii="Arial" w:cs="Arial" w:eastAsia="Arial" w:hAnsi="Arial"/>
                <w:sz w:val="16"/>
                <w:szCs w:val="16"/>
                <w:color w:val="auto"/>
              </w:rPr>
              <w:t>Item 6.</w:t>
            </w:r>
          </w:p>
        </w:tc>
        <w:tc>
          <w:tcPr>
            <w:tcW w:w="18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6"/>
                <w:szCs w:val="16"/>
                <w:color w:val="0000FF"/>
                <w:w w:val="92"/>
              </w:rPr>
              <w:t>Exhibits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80" w:type="dxa"/>
            <w:vAlign w:val="bottom"/>
            <w:gridSpan w:val="2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80" w:type="dxa"/>
            <w:vAlign w:val="bottom"/>
          </w:tcPr>
          <w:p>
            <w:pPr>
              <w:spacing w:after="0"/>
              <w:rPr>
                <w:sz w:val="19"/>
                <w:szCs w:val="19"/>
                <w:color w:val="auto"/>
              </w:rPr>
            </w:pPr>
          </w:p>
        </w:tc>
        <w:tc>
          <w:tcPr>
            <w:tcW w:w="1000" w:type="dxa"/>
            <w:vAlign w:val="bottom"/>
            <w:gridSpan w:val="6"/>
          </w:tcPr>
          <w:p>
            <w:pPr>
              <w:spacing w:after="0"/>
              <w:rPr>
                <w:sz w:val="20"/>
                <w:szCs w:val="20"/>
                <w:color w:val="auto"/>
              </w:rPr>
            </w:pPr>
            <w:r>
              <w:rPr>
                <w:rFonts w:ascii="Arial" w:cs="Arial" w:eastAsia="Arial" w:hAnsi="Arial"/>
                <w:sz w:val="16"/>
                <w:szCs w:val="16"/>
                <w:color w:val="0000FF"/>
                <w:w w:val="94"/>
              </w:rPr>
              <w:t>SIGNATURES</w:t>
            </w:r>
          </w:p>
        </w:tc>
        <w:tc>
          <w:tcPr>
            <w:tcW w:w="5480" w:type="dxa"/>
            <w:vAlign w:val="bottom"/>
            <w:gridSpan w:val="26"/>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54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640080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1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14"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INCOME</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 except per share amounts)</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(Unaudited)</w:t>
      </w:r>
    </w:p>
    <w:p>
      <w:pPr>
        <w:spacing w:after="0" w:line="140"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2023</w:t>
            </w:r>
          </w:p>
        </w:tc>
        <w:tc>
          <w:tcPr>
            <w:tcW w:w="100" w:type="dxa"/>
            <w:vAlign w:val="bottom"/>
          </w:tcPr>
          <w:p>
            <w:pPr>
              <w:spacing w:after="0"/>
              <w:rPr>
                <w:sz w:val="17"/>
                <w:szCs w:val="17"/>
                <w:color w:val="auto"/>
              </w:rPr>
            </w:pPr>
          </w:p>
        </w:tc>
        <w:tc>
          <w:tcPr>
            <w:tcW w:w="1160" w:type="dxa"/>
            <w:vAlign w:val="bottom"/>
          </w:tcPr>
          <w:p>
            <w:pPr>
              <w:jc w:val="right"/>
              <w:ind w:right="34"/>
              <w:spacing w:after="0"/>
              <w:rPr>
                <w:sz w:val="20"/>
                <w:szCs w:val="20"/>
                <w:color w:val="auto"/>
              </w:rPr>
            </w:pPr>
            <w:r>
              <w:rPr>
                <w:rFonts w:ascii="Arial" w:cs="Arial" w:eastAsia="Arial" w:hAnsi="Arial"/>
                <w:sz w:val="15"/>
                <w:szCs w:val="15"/>
                <w:b w:val="1"/>
                <w:bCs w:val="1"/>
                <w:color w:val="auto"/>
                <w:w w:val="95"/>
              </w:rPr>
              <w:t>March 31, 2022</w:t>
            </w:r>
          </w:p>
        </w:tc>
      </w:tr>
      <w:tr>
        <w:trPr>
          <w:trHeight w:val="227"/>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310</w:t>
            </w: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38"/>
        </w:trPr>
        <w:tc>
          <w:tcPr>
            <w:tcW w:w="56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r>
      <w:tr>
        <w:trPr>
          <w:trHeight w:val="232"/>
        </w:trPr>
        <w:tc>
          <w:tcPr>
            <w:tcW w:w="564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REVENUES</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w:t>
            </w:r>
          </w:p>
        </w:tc>
      </w:tr>
      <w:tr>
        <w:trPr>
          <w:trHeight w:val="217"/>
        </w:trPr>
        <w:tc>
          <w:tcPr>
            <w:tcW w:w="564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Marketing and sales</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Litigation charges</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Royalty fee</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Impairment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218"/>
        </w:trPr>
        <w:tc>
          <w:tcPr>
            <w:tcW w:w="5640" w:type="dxa"/>
            <w:vAlign w:val="bottom"/>
            <w:tcBorders>
              <w:bottom w:val="single" w:sz="8" w:color="CCEEFF"/>
            </w:tcBorders>
          </w:tcPr>
          <w:p>
            <w:pPr>
              <w:ind w:left="420"/>
              <w:spacing w:after="0"/>
              <w:rPr>
                <w:sz w:val="20"/>
                <w:szCs w:val="20"/>
                <w:color w:val="auto"/>
              </w:rPr>
            </w:pPr>
            <w:r>
              <w:rPr>
                <w:rFonts w:ascii="Arial" w:cs="Arial" w:eastAsia="Arial" w:hAnsi="Arial"/>
                <w:sz w:val="17"/>
                <w:szCs w:val="17"/>
                <w:b w:val="1"/>
                <w:bCs w:val="1"/>
                <w:color w:val="auto"/>
              </w:rPr>
              <w:t>TOTAL EXPENSES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w:t>
            </w:r>
          </w:p>
        </w:tc>
      </w:tr>
      <w:tr>
        <w:trPr>
          <w:trHeight w:val="23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and other income, net</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52"/>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Transaction and integration costs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147"/>
        </w:trPr>
        <w:tc>
          <w:tcPr>
            <w:tcW w:w="5640" w:type="dxa"/>
            <w:vAlign w:val="bottom"/>
          </w:tcPr>
          <w:p>
            <w:pPr>
              <w:spacing w:after="0" w:line="147" w:lineRule="exact"/>
              <w:rPr>
                <w:sz w:val="20"/>
                <w:szCs w:val="20"/>
                <w:color w:val="auto"/>
              </w:rPr>
            </w:pPr>
            <w:r>
              <w:rPr>
                <w:rFonts w:ascii="Arial" w:cs="Arial" w:eastAsia="Arial" w:hAnsi="Arial"/>
                <w:sz w:val="17"/>
                <w:szCs w:val="17"/>
                <w:b w:val="1"/>
                <w:bCs w:val="1"/>
                <w:color w:val="auto"/>
              </w:rPr>
              <w:t>INCOME BEFORE INCOME TAXES AND NONCONTROLLING</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31"/>
        </w:trPr>
        <w:tc>
          <w:tcPr>
            <w:tcW w:w="5640" w:type="dxa"/>
            <w:vAlign w:val="bottom"/>
          </w:tcPr>
          <w:p>
            <w:pPr>
              <w:spacing w:after="0"/>
              <w:rPr>
                <w:sz w:val="20"/>
                <w:szCs w:val="20"/>
                <w:color w:val="auto"/>
              </w:rPr>
            </w:pPr>
            <w:r>
              <w:rPr>
                <w:rFonts w:ascii="Arial" w:cs="Arial" w:eastAsia="Arial" w:hAnsi="Arial"/>
                <w:sz w:val="17"/>
                <w:szCs w:val="17"/>
                <w:b w:val="1"/>
                <w:bCs w:val="1"/>
                <w:color w:val="auto"/>
              </w:rPr>
              <w:t>INTERESTS</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45"/>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7"/>
        </w:trPr>
        <w:tc>
          <w:tcPr>
            <w:tcW w:w="564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2"/>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640" w:type="dxa"/>
            <w:vAlign w:val="bottom"/>
          </w:tcPr>
          <w:p>
            <w:pPr>
              <w:spacing w:after="0"/>
              <w:rPr>
                <w:sz w:val="20"/>
                <w:szCs w:val="20"/>
                <w:color w:val="auto"/>
              </w:rPr>
            </w:pPr>
            <w:r>
              <w:rPr>
                <w:rFonts w:ascii="Arial" w:cs="Arial" w:eastAsia="Arial" w:hAnsi="Arial"/>
                <w:sz w:val="17"/>
                <w:szCs w:val="17"/>
                <w:b w:val="1"/>
                <w:bCs w:val="1"/>
                <w:color w:val="auto"/>
              </w:rPr>
              <w:t>NET INCOME ATTRIBUTABLE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67"/>
        </w:trPr>
        <w:tc>
          <w:tcPr>
            <w:tcW w:w="5640" w:type="dxa"/>
            <w:vAlign w:val="bottom"/>
          </w:tcPr>
          <w:p>
            <w:pPr>
              <w:spacing w:after="0" w:line="167" w:lineRule="exact"/>
              <w:rPr>
                <w:sz w:val="20"/>
                <w:szCs w:val="20"/>
                <w:color w:val="auto"/>
              </w:rPr>
            </w:pPr>
            <w:r>
              <w:rPr>
                <w:rFonts w:ascii="Arial" w:cs="Arial" w:eastAsia="Arial" w:hAnsi="Arial"/>
                <w:sz w:val="17"/>
                <w:szCs w:val="17"/>
                <w:b w:val="1"/>
                <w:bCs w:val="1"/>
                <w:color w:val="auto"/>
              </w:rPr>
              <w:t>EARNINGS PER SHARE ATTRIBUTABLE TO COMMON</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7"/>
        </w:trPr>
        <w:tc>
          <w:tcPr>
            <w:tcW w:w="5640" w:type="dxa"/>
            <w:vAlign w:val="bottom"/>
          </w:tcPr>
          <w:p>
            <w:pPr>
              <w:spacing w:after="0"/>
              <w:rPr>
                <w:sz w:val="20"/>
                <w:szCs w:val="20"/>
                <w:color w:val="auto"/>
              </w:rPr>
            </w:pPr>
            <w:r>
              <w:rPr>
                <w:rFonts w:ascii="Arial" w:cs="Arial" w:eastAsia="Arial" w:hAnsi="Arial"/>
                <w:sz w:val="17"/>
                <w:szCs w:val="17"/>
                <w:b w:val="1"/>
                <w:bCs w:val="1"/>
                <w:color w:val="auto"/>
              </w:rPr>
              <w:t>SHAREHOLDERS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9"/>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37"/>
        </w:trPr>
        <w:tc>
          <w:tcPr>
            <w:tcW w:w="5640" w:type="dxa"/>
            <w:vAlign w:val="bottom"/>
          </w:tcPr>
          <w:p>
            <w:pPr>
              <w:ind w:left="200"/>
              <w:spacing w:after="0"/>
              <w:rPr>
                <w:sz w:val="20"/>
                <w:szCs w:val="20"/>
                <w:color w:val="auto"/>
              </w:rPr>
            </w:pPr>
            <w:r>
              <w:rPr>
                <w:rFonts w:ascii="Arial" w:cs="Arial" w:eastAsia="Arial" w:hAnsi="Arial"/>
                <w:sz w:val="17"/>
                <w:szCs w:val="17"/>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2.06</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65"/>
        </w:trPr>
        <w:tc>
          <w:tcPr>
            <w:tcW w:w="5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7"/>
                <w:szCs w:val="17"/>
                <w:b w:val="1"/>
                <w:bCs w:val="1"/>
                <w:color w:val="auto"/>
              </w:rPr>
              <w:t>CASH DIVIDENDS DECLARED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0.72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0.62</w:t>
            </w:r>
          </w:p>
        </w:tc>
      </w:tr>
    </w:tbl>
    <w:p>
      <w:pPr>
        <w:spacing w:after="0" w:line="344"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COMPREHENSIVE INCOME</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(Unaudited)</w:t>
      </w:r>
    </w:p>
    <w:p>
      <w:pPr>
        <w:spacing w:after="0" w:line="346"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2023</w:t>
            </w:r>
          </w:p>
        </w:tc>
        <w:tc>
          <w:tcPr>
            <w:tcW w:w="100" w:type="dxa"/>
            <w:vAlign w:val="bottom"/>
          </w:tcPr>
          <w:p>
            <w:pPr>
              <w:spacing w:after="0"/>
              <w:rPr>
                <w:sz w:val="17"/>
                <w:szCs w:val="17"/>
                <w:color w:val="auto"/>
              </w:rPr>
            </w:pPr>
          </w:p>
        </w:tc>
        <w:tc>
          <w:tcPr>
            <w:tcW w:w="1160" w:type="dxa"/>
            <w:vAlign w:val="bottom"/>
          </w:tcPr>
          <w:p>
            <w:pPr>
              <w:jc w:val="right"/>
              <w:ind w:right="35"/>
              <w:spacing w:after="0"/>
              <w:rPr>
                <w:sz w:val="20"/>
                <w:szCs w:val="20"/>
                <w:color w:val="auto"/>
              </w:rPr>
            </w:pPr>
            <w:r>
              <w:rPr>
                <w:rFonts w:ascii="Arial" w:cs="Arial" w:eastAsia="Arial" w:hAnsi="Arial"/>
                <w:sz w:val="15"/>
                <w:szCs w:val="15"/>
                <w:b w:val="1"/>
                <w:bCs w:val="1"/>
                <w:color w:val="auto"/>
                <w:w w:val="95"/>
              </w:rPr>
              <w:t>March 31, 2022</w:t>
            </w:r>
          </w:p>
        </w:tc>
        <w:tc>
          <w:tcPr>
            <w:tcW w:w="0" w:type="dxa"/>
            <w:vAlign w:val="bottom"/>
          </w:tcPr>
          <w:p>
            <w:pPr>
              <w:spacing w:after="0"/>
              <w:rPr>
                <w:sz w:val="1"/>
                <w:szCs w:val="1"/>
                <w:color w:val="auto"/>
              </w:rPr>
            </w:pPr>
          </w:p>
        </w:tc>
      </w:tr>
      <w:tr>
        <w:trPr>
          <w:trHeight w:val="227"/>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58"/>
        </w:trPr>
        <w:tc>
          <w:tcPr>
            <w:tcW w:w="5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Foreign currency translation adjustments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Derivative instrument adjustment, net of tax</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GAIN, NET OF TAX</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income attributable to noncontrolling interests</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7"/>
        </w:trPr>
        <w:tc>
          <w:tcPr>
            <w:tcW w:w="5640" w:type="dxa"/>
            <w:vAlign w:val="bottom"/>
          </w:tcPr>
          <w:p>
            <w:pPr>
              <w:spacing w:after="0" w:line="147" w:lineRule="exact"/>
              <w:rPr>
                <w:sz w:val="20"/>
                <w:szCs w:val="20"/>
                <w:color w:val="auto"/>
              </w:rPr>
            </w:pPr>
            <w:r>
              <w:rPr>
                <w:rFonts w:ascii="Arial" w:cs="Arial" w:eastAsia="Arial" w:hAnsi="Arial"/>
                <w:sz w:val="17"/>
                <w:szCs w:val="17"/>
                <w:b w:val="1"/>
                <w:bCs w:val="1"/>
                <w:color w:val="auto"/>
              </w:rPr>
              <w:t>COMPREHENSIVE INCOME ATTRIBUTABLE TO</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5640" w:type="dxa"/>
            <w:vAlign w:val="bottom"/>
          </w:tcPr>
          <w:p>
            <w:pPr>
              <w:spacing w:after="0"/>
              <w:rPr>
                <w:sz w:val="20"/>
                <w:szCs w:val="20"/>
                <w:color w:val="auto"/>
              </w:rPr>
            </w:pPr>
            <w:r>
              <w:rPr>
                <w:rFonts w:ascii="Arial" w:cs="Arial" w:eastAsia="Arial" w:hAnsi="Arial"/>
                <w:sz w:val="17"/>
                <w:szCs w:val="17"/>
                <w:b w:val="1"/>
                <w:bCs w:val="1"/>
                <w:color w:val="auto"/>
              </w:rPr>
              <w:t>NONCONTROLLING INTERESTS</w:t>
            </w:r>
          </w:p>
        </w:tc>
        <w:tc>
          <w:tcPr>
            <w:tcW w:w="1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6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line="147" w:lineRule="exact"/>
              <w:rPr>
                <w:sz w:val="20"/>
                <w:szCs w:val="20"/>
                <w:color w:val="auto"/>
              </w:rPr>
            </w:pPr>
            <w:r>
              <w:rPr>
                <w:rFonts w:ascii="Arial" w:cs="Arial" w:eastAsia="Arial" w:hAnsi="Arial"/>
                <w:sz w:val="17"/>
                <w:szCs w:val="17"/>
                <w:b w:val="1"/>
                <w:bCs w:val="1"/>
                <w:color w:val="auto"/>
              </w:rPr>
              <w:t>COMPREHENSIVE INCOME ATTRIBUTABLE TO COMMON</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1"/>
        </w:trPr>
        <w:tc>
          <w:tcPr>
            <w:tcW w:w="5640" w:type="dxa"/>
            <w:vAlign w:val="bottom"/>
          </w:tcPr>
          <w:p>
            <w:pPr>
              <w:spacing w:after="0"/>
              <w:rPr>
                <w:sz w:val="20"/>
                <w:szCs w:val="20"/>
                <w:color w:val="auto"/>
              </w:rPr>
            </w:pPr>
            <w:r>
              <w:rPr>
                <w:rFonts w:ascii="Arial" w:cs="Arial" w:eastAsia="Arial" w:hAnsi="Arial"/>
                <w:sz w:val="17"/>
                <w:szCs w:val="17"/>
                <w:b w:val="1"/>
                <w:bCs w:val="1"/>
                <w:color w:val="auto"/>
              </w:rPr>
              <w:t>SHAREHOLDERS</w:t>
            </w:r>
          </w:p>
        </w:tc>
        <w:tc>
          <w:tcPr>
            <w:tcW w:w="1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BALANCE SHEETS</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 except share and per share data)</w:t>
      </w:r>
    </w:p>
    <w:p>
      <w:pPr>
        <w:spacing w:after="0" w:line="127" w:lineRule="exact"/>
        <w:rPr>
          <w:sz w:val="20"/>
          <w:szCs w:val="20"/>
          <w:color w:val="auto"/>
        </w:rPr>
      </w:pPr>
    </w:p>
    <w:tbl>
      <w:tblPr>
        <w:tblLayout w:type="fixed"/>
        <w:tblInd w:w="1460" w:type="dxa"/>
        <w:tblCellMar>
          <w:top w:w="0" w:type="dxa"/>
          <w:left w:w="0" w:type="dxa"/>
          <w:bottom w:w="0" w:type="dxa"/>
          <w:right w:w="0" w:type="dxa"/>
        </w:tblCellMar>
      </w:tblPr>
      <w:tr>
        <w:trPr>
          <w:trHeight w:val="202"/>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Unaudited</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March 31, 2023</w:t>
            </w:r>
          </w:p>
        </w:tc>
        <w:tc>
          <w:tcPr>
            <w:tcW w:w="100" w:type="dxa"/>
            <w:vAlign w:val="bottom"/>
          </w:tcPr>
          <w:p>
            <w:pPr>
              <w:spacing w:after="0"/>
              <w:rPr>
                <w:sz w:val="18"/>
                <w:szCs w:val="18"/>
                <w:color w:val="auto"/>
              </w:rPr>
            </w:pPr>
          </w:p>
        </w:tc>
        <w:tc>
          <w:tcPr>
            <w:tcW w:w="1400" w:type="dxa"/>
            <w:vAlign w:val="bottom"/>
          </w:tcPr>
          <w:p>
            <w:pPr>
              <w:jc w:val="right"/>
              <w:ind w:right="54"/>
              <w:spacing w:after="0"/>
              <w:rPr>
                <w:sz w:val="20"/>
                <w:szCs w:val="20"/>
                <w:color w:val="auto"/>
              </w:rPr>
            </w:pPr>
            <w:r>
              <w:rPr>
                <w:rFonts w:ascii="Arial" w:cs="Arial" w:eastAsia="Arial" w:hAnsi="Arial"/>
                <w:sz w:val="15"/>
                <w:szCs w:val="15"/>
                <w:b w:val="1"/>
                <w:bCs w:val="1"/>
                <w:color w:val="auto"/>
                <w:w w:val="91"/>
              </w:rPr>
              <w:t>December 31, 2022</w:t>
            </w:r>
          </w:p>
        </w:tc>
      </w:tr>
      <w:tr>
        <w:trPr>
          <w:trHeight w:val="227"/>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306</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524</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(including $85 and $85 from VIEs, respectively)</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r>
      <w:tr>
        <w:trPr>
          <w:trHeight w:val="168"/>
        </w:trPr>
        <w:tc>
          <w:tcPr>
            <w:tcW w:w="5200" w:type="dxa"/>
            <w:vAlign w:val="bottom"/>
          </w:tcPr>
          <w:p>
            <w:pPr>
              <w:spacing w:after="0" w:line="168" w:lineRule="exact"/>
              <w:rPr>
                <w:sz w:val="20"/>
                <w:szCs w:val="20"/>
                <w:color w:val="auto"/>
              </w:rPr>
            </w:pPr>
            <w:r>
              <w:rPr>
                <w:rFonts w:ascii="Arial" w:cs="Arial" w:eastAsia="Arial" w:hAnsi="Arial"/>
                <w:sz w:val="17"/>
                <w:szCs w:val="17"/>
                <w:color w:val="auto"/>
                <w:w w:val="93"/>
              </w:rPr>
              <w:t>Accounts and contracts receivable, net (including $13 and $13 from VIEs,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1"/>
        </w:trPr>
        <w:tc>
          <w:tcPr>
            <w:tcW w:w="5200" w:type="dxa"/>
            <w:vAlign w:val="bottom"/>
          </w:tcPr>
          <w:p>
            <w:pPr>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169"/>
        </w:trPr>
        <w:tc>
          <w:tcPr>
            <w:tcW w:w="52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w w:val="97"/>
              </w:rPr>
              <w:t>Vacation ownership notes receivable, net (including $1,793 and $1,792</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31"/>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from VIEs, 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rPr>
              <w:t>Inventory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672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660</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3,117</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Intangibles,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r>
      <w:tr>
        <w:trPr>
          <w:trHeight w:val="244"/>
        </w:trPr>
        <w:tc>
          <w:tcPr>
            <w:tcW w:w="5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(including $80 and $76 from VIEs, respectively)</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r>
      <w:tr>
        <w:trPr>
          <w:trHeight w:val="238"/>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222</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Advance deposits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rPr>
              <w:t>Accrued liabilities (including $3 and $5 from VIEs,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369</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rPr>
              <w:t>Payroll and benefits liability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251</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 liability</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168"/>
        </w:trPr>
        <w:tc>
          <w:tcPr>
            <w:tcW w:w="5200" w:type="dxa"/>
            <w:vAlign w:val="bottom"/>
          </w:tcPr>
          <w:p>
            <w:pPr>
              <w:spacing w:after="0" w:line="168" w:lineRule="exact"/>
              <w:rPr>
                <w:sz w:val="20"/>
                <w:szCs w:val="20"/>
                <w:color w:val="auto"/>
              </w:rPr>
            </w:pPr>
            <w:r>
              <w:rPr>
                <w:rFonts w:ascii="Arial" w:cs="Arial" w:eastAsia="Arial" w:hAnsi="Arial"/>
                <w:sz w:val="17"/>
                <w:szCs w:val="17"/>
                <w:color w:val="auto"/>
              </w:rPr>
              <w:t>Securitized debt, net (including $1,957 and $1,982 from VIEs,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1"/>
        </w:trPr>
        <w:tc>
          <w:tcPr>
            <w:tcW w:w="5200" w:type="dxa"/>
            <w:vAlign w:val="bottom"/>
          </w:tcPr>
          <w:p>
            <w:pPr>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1,938</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Debt,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w:t>
            </w: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Deferred taxes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r>
      <w:tr>
        <w:trPr>
          <w:trHeight w:val="224"/>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7,141</w:t>
            </w: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Contingencies and Commitments (Note 10)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68"/>
        </w:trPr>
        <w:tc>
          <w:tcPr>
            <w:tcW w:w="5200" w:type="dxa"/>
            <w:vAlign w:val="bottom"/>
          </w:tcPr>
          <w:p>
            <w:pPr>
              <w:spacing w:after="0" w:line="168" w:lineRule="exact"/>
              <w:rPr>
                <w:sz w:val="20"/>
                <w:szCs w:val="20"/>
                <w:color w:val="auto"/>
              </w:rPr>
            </w:pPr>
            <w:r>
              <w:rPr>
                <w:rFonts w:ascii="Arial" w:cs="Arial" w:eastAsia="Arial" w:hAnsi="Arial"/>
                <w:sz w:val="17"/>
                <w:szCs w:val="17"/>
                <w:color w:val="auto"/>
                <w:w w:val="97"/>
              </w:rPr>
              <w:t>Preferred stock — $0.01 par value; 2,000,000 shares authorized; none</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1"/>
        </w:trPr>
        <w:tc>
          <w:tcPr>
            <w:tcW w:w="5200" w:type="dxa"/>
            <w:vAlign w:val="bottom"/>
          </w:tcPr>
          <w:p>
            <w:pPr>
              <w:spacing w:after="0"/>
              <w:rPr>
                <w:sz w:val="20"/>
                <w:szCs w:val="20"/>
                <w:color w:val="auto"/>
              </w:rPr>
            </w:pPr>
            <w:r>
              <w:rPr>
                <w:rFonts w:ascii="Arial" w:cs="Arial" w:eastAsia="Arial" w:hAnsi="Arial"/>
                <w:sz w:val="17"/>
                <w:szCs w:val="17"/>
                <w:color w:val="auto"/>
              </w:rPr>
              <w:t>issued or outstanding</w:t>
            </w:r>
          </w:p>
        </w:tc>
        <w:tc>
          <w:tcPr>
            <w:tcW w:w="1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69"/>
        </w:trPr>
        <w:tc>
          <w:tcPr>
            <w:tcW w:w="52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Common stock — $0.01 par value; 100,000,000 shares authorized;</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31"/>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75,805,974 and 75,744,524 shares issued, 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w w:val="92"/>
              </w:rPr>
              <w:t>Treasury stock — at cost; 38,731,521 and 38,263,442 shares,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(2,132)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(2,054)</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w:t>
            </w:r>
          </w:p>
        </w:tc>
      </w:tr>
      <w:tr>
        <w:trPr>
          <w:trHeight w:val="244"/>
        </w:trPr>
        <w:tc>
          <w:tcPr>
            <w:tcW w:w="520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r>
      <w:tr>
        <w:trPr>
          <w:trHeight w:val="224"/>
        </w:trPr>
        <w:tc>
          <w:tcPr>
            <w:tcW w:w="5200" w:type="dxa"/>
            <w:vAlign w:val="bottom"/>
          </w:tcPr>
          <w:p>
            <w:pPr>
              <w:ind w:left="440"/>
              <w:spacing w:after="0"/>
              <w:rPr>
                <w:sz w:val="20"/>
                <w:szCs w:val="20"/>
                <w:color w:val="auto"/>
              </w:rPr>
            </w:pPr>
            <w:r>
              <w:rPr>
                <w:rFonts w:ascii="Arial" w:cs="Arial" w:eastAsia="Arial" w:hAnsi="Arial"/>
                <w:sz w:val="17"/>
                <w:szCs w:val="17"/>
                <w:b w:val="1"/>
                <w:bCs w:val="1"/>
                <w:color w:val="auto"/>
              </w:rPr>
              <w:t>TOTAL MVW SHAREHOLDERS' EQUITY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2,496</w:t>
            </w:r>
          </w:p>
        </w:tc>
      </w:tr>
      <w:tr>
        <w:trPr>
          <w:trHeight w:val="24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4"/>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EQUITY</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2,498</w:t>
            </w:r>
          </w:p>
        </w:tc>
      </w:tr>
      <w:tr>
        <w:trPr>
          <w:trHeight w:val="238"/>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abbreviation VIEs above means Variable Interest Entities.</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See Interim Condensed Notes to Financial Statements</w:t>
      </w: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CASH FLOWS</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(Unaudited)</w:t>
      </w:r>
    </w:p>
    <w:p>
      <w:pPr>
        <w:spacing w:after="0" w:line="75" w:lineRule="exact"/>
        <w:rPr>
          <w:sz w:val="20"/>
          <w:szCs w:val="20"/>
          <w:color w:val="auto"/>
        </w:rPr>
      </w:pPr>
    </w:p>
    <w:tbl>
      <w:tblPr>
        <w:tblLayout w:type="fixed"/>
        <w:tblInd w:w="1460" w:type="dxa"/>
        <w:tblCellMar>
          <w:top w:w="0" w:type="dxa"/>
          <w:left w:w="0" w:type="dxa"/>
          <w:bottom w:w="0" w:type="dxa"/>
          <w:right w:w="0" w:type="dxa"/>
        </w:tblCellMar>
      </w:tblPr>
      <w:tr>
        <w:trPr>
          <w:trHeight w:val="204"/>
        </w:trPr>
        <w:tc>
          <w:tcPr>
            <w:tcW w:w="5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2023</w:t>
            </w:r>
          </w:p>
        </w:tc>
        <w:tc>
          <w:tcPr>
            <w:tcW w:w="100" w:type="dxa"/>
            <w:vAlign w:val="bottom"/>
          </w:tcPr>
          <w:p>
            <w:pPr>
              <w:spacing w:after="0"/>
              <w:rPr>
                <w:sz w:val="17"/>
                <w:szCs w:val="17"/>
                <w:color w:val="auto"/>
              </w:rPr>
            </w:pPr>
          </w:p>
        </w:tc>
        <w:tc>
          <w:tcPr>
            <w:tcW w:w="1160" w:type="dxa"/>
            <w:vAlign w:val="bottom"/>
          </w:tcPr>
          <w:p>
            <w:pPr>
              <w:jc w:val="right"/>
              <w:ind w:right="35"/>
              <w:spacing w:after="0"/>
              <w:rPr>
                <w:sz w:val="20"/>
                <w:szCs w:val="20"/>
                <w:color w:val="auto"/>
              </w:rPr>
            </w:pPr>
            <w:r>
              <w:rPr>
                <w:rFonts w:ascii="Arial" w:cs="Arial" w:eastAsia="Arial" w:hAnsi="Arial"/>
                <w:sz w:val="15"/>
                <w:szCs w:val="15"/>
                <w:b w:val="1"/>
                <w:bCs w:val="1"/>
                <w:color w:val="auto"/>
                <w:w w:val="95"/>
              </w:rPr>
              <w:t>March 31, 2022</w:t>
            </w:r>
          </w:p>
        </w:tc>
      </w:tr>
      <w:tr>
        <w:trPr>
          <w:trHeight w:val="227"/>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44"/>
        </w:trPr>
        <w:tc>
          <w:tcPr>
            <w:tcW w:w="56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181"/>
        </w:trPr>
        <w:tc>
          <w:tcPr>
            <w:tcW w:w="568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w w:val="93"/>
              </w:rPr>
              <w:t>Adjustments to reconcile net income to net cash, cash equivalents and restricted</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1"/>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provided by operating activities: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Depreciation and amortization of intangibles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debt discount and issuance costs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Vacation ownership notes receivable reserve</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Share-based compensation</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Impairment charges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Net change in assets and liabilities: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5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and contracts receivable</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44"/>
        </w:trPr>
        <w:tc>
          <w:tcPr>
            <w:tcW w:w="5680" w:type="dxa"/>
            <w:vAlign w:val="bottom"/>
          </w:tcPr>
          <w:p>
            <w:pPr>
              <w:ind w:left="440"/>
              <w:spacing w:after="0"/>
              <w:rPr>
                <w:sz w:val="20"/>
                <w:szCs w:val="20"/>
                <w:color w:val="auto"/>
              </w:rPr>
            </w:pPr>
            <w:r>
              <w:rPr>
                <w:rFonts w:ascii="Arial" w:cs="Arial" w:eastAsia="Arial" w:hAnsi="Arial"/>
                <w:sz w:val="17"/>
                <w:szCs w:val="17"/>
                <w:color w:val="auto"/>
              </w:rPr>
              <w:t>Vacation ownership notes receivable originations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45"/>
        </w:trPr>
        <w:tc>
          <w:tcPr>
            <w:tcW w:w="5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Vacation ownership notes receivable collections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r>
      <w:tr>
        <w:trPr>
          <w:trHeight w:val="244"/>
        </w:trPr>
        <w:tc>
          <w:tcPr>
            <w:tcW w:w="5680" w:type="dxa"/>
            <w:vAlign w:val="bottom"/>
          </w:tcPr>
          <w:p>
            <w:pPr>
              <w:ind w:left="440"/>
              <w:spacing w:after="0"/>
              <w:rPr>
                <w:sz w:val="20"/>
                <w:szCs w:val="20"/>
                <w:color w:val="auto"/>
              </w:rPr>
            </w:pPr>
            <w:r>
              <w:rPr>
                <w:rFonts w:ascii="Arial" w:cs="Arial" w:eastAsia="Arial" w:hAnsi="Arial"/>
                <w:sz w:val="17"/>
                <w:szCs w:val="17"/>
                <w:color w:val="auto"/>
              </w:rPr>
              <w:t>Inventory</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45"/>
        </w:trPr>
        <w:tc>
          <w:tcPr>
            <w:tcW w:w="5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44"/>
        </w:trPr>
        <w:tc>
          <w:tcPr>
            <w:tcW w:w="5680" w:type="dxa"/>
            <w:vAlign w:val="bottom"/>
          </w:tcPr>
          <w:p>
            <w:pPr>
              <w:ind w:left="440"/>
              <w:spacing w:after="0"/>
              <w:rPr>
                <w:sz w:val="20"/>
                <w:szCs w:val="20"/>
                <w:color w:val="auto"/>
              </w:rPr>
            </w:pPr>
            <w:r>
              <w:rPr>
                <w:rFonts w:ascii="Arial" w:cs="Arial" w:eastAsia="Arial" w:hAnsi="Arial"/>
                <w:sz w:val="17"/>
                <w:szCs w:val="17"/>
                <w:color w:val="auto"/>
              </w:rPr>
              <w:t>Accounts payable, advance deposits and accrued liabilities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45"/>
        </w:trPr>
        <w:tc>
          <w:tcPr>
            <w:tcW w:w="5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44"/>
        </w:trPr>
        <w:tc>
          <w:tcPr>
            <w:tcW w:w="5680" w:type="dxa"/>
            <w:vAlign w:val="bottom"/>
          </w:tcPr>
          <w:p>
            <w:pPr>
              <w:ind w:left="440"/>
              <w:spacing w:after="0"/>
              <w:rPr>
                <w:sz w:val="20"/>
                <w:szCs w:val="20"/>
                <w:color w:val="auto"/>
              </w:rPr>
            </w:pPr>
            <w:r>
              <w:rPr>
                <w:rFonts w:ascii="Arial" w:cs="Arial" w:eastAsia="Arial" w:hAnsi="Arial"/>
                <w:sz w:val="17"/>
                <w:szCs w:val="17"/>
                <w:color w:val="auto"/>
              </w:rPr>
              <w:t>Payroll and benefit liabilities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45"/>
        </w:trPr>
        <w:tc>
          <w:tcPr>
            <w:tcW w:w="5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compensation liability</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44"/>
        </w:trPr>
        <w:tc>
          <w:tcPr>
            <w:tcW w:w="5680" w:type="dxa"/>
            <w:vAlign w:val="bottom"/>
          </w:tcPr>
          <w:p>
            <w:pPr>
              <w:ind w:left="44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45"/>
        </w:trPr>
        <w:tc>
          <w:tcPr>
            <w:tcW w:w="56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Purchase of vacation ownership units for future transfer to inventory</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44"/>
        </w:trPr>
        <w:tc>
          <w:tcPr>
            <w:tcW w:w="56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161"/>
        </w:trPr>
        <w:tc>
          <w:tcPr>
            <w:tcW w:w="5680" w:type="dxa"/>
            <w:vAlign w:val="bottom"/>
            <w:shd w:val="clear" w:color="auto" w:fill="CCEEFF"/>
          </w:tcPr>
          <w:p>
            <w:pPr>
              <w:ind w:left="640"/>
              <w:spacing w:after="0" w:line="162" w:lineRule="exact"/>
              <w:rPr>
                <w:sz w:val="20"/>
                <w:szCs w:val="20"/>
                <w:color w:val="auto"/>
              </w:rPr>
            </w:pPr>
            <w:r>
              <w:rPr>
                <w:rFonts w:ascii="Arial" w:cs="Arial" w:eastAsia="Arial" w:hAnsi="Arial"/>
                <w:sz w:val="17"/>
                <w:szCs w:val="17"/>
                <w:color w:val="auto"/>
                <w:w w:val="97"/>
              </w:rPr>
              <w:t>Net cash, cash equivalents and restricted cash (used in) provided by</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1"/>
        </w:trPr>
        <w:tc>
          <w:tcPr>
            <w:tcW w:w="5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operating activities</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24"/>
        </w:trPr>
        <w:tc>
          <w:tcPr>
            <w:tcW w:w="568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 expenditures for property and equipment (excluding inventory)</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Purchase of company owned life insurance</w:t>
            </w:r>
          </w:p>
        </w:tc>
        <w:tc>
          <w:tcPr>
            <w:tcW w:w="1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5"/>
        </w:trPr>
        <w:tc>
          <w:tcPr>
            <w:tcW w:w="5680" w:type="dxa"/>
            <w:vAlign w:val="bottom"/>
          </w:tcPr>
          <w:p>
            <w:pPr>
              <w:ind w:left="640"/>
              <w:spacing w:after="0"/>
              <w:rPr>
                <w:sz w:val="20"/>
                <w:szCs w:val="20"/>
                <w:color w:val="auto"/>
              </w:rPr>
            </w:pPr>
            <w:r>
              <w:rPr>
                <w:rFonts w:ascii="Arial" w:cs="Arial" w:eastAsia="Arial" w:hAnsi="Arial"/>
                <w:sz w:val="17"/>
                <w:szCs w:val="17"/>
                <w:color w:val="auto"/>
                <w:w w:val="90"/>
              </w:rPr>
              <w:t>Net cash, cash equivalents and restricted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r>
    </w:tbl>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CASH FLOWS (CONTINUED)</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(Unaudited)</w:t>
      </w:r>
    </w:p>
    <w:p>
      <w:pPr>
        <w:spacing w:after="0" w:line="268" w:lineRule="exact"/>
        <w:rPr>
          <w:sz w:val="20"/>
          <w:szCs w:val="20"/>
          <w:color w:val="auto"/>
        </w:rPr>
      </w:pPr>
    </w:p>
    <w:tbl>
      <w:tblPr>
        <w:tblLayout w:type="fixed"/>
        <w:tblInd w:w="1460" w:type="dxa"/>
        <w:tblCellMar>
          <w:top w:w="0" w:type="dxa"/>
          <w:left w:w="0" w:type="dxa"/>
          <w:bottom w:w="0" w:type="dxa"/>
          <w:right w:w="0" w:type="dxa"/>
        </w:tblCellMar>
      </w:tblPr>
      <w:tr>
        <w:trPr>
          <w:trHeight w:val="204"/>
        </w:trPr>
        <w:tc>
          <w:tcPr>
            <w:tcW w:w="5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Pr>
          <w:p>
            <w:pPr>
              <w:spacing w:after="0"/>
              <w:rPr>
                <w:sz w:val="17"/>
                <w:szCs w:val="17"/>
                <w:color w:val="auto"/>
              </w:rPr>
            </w:pPr>
          </w:p>
        </w:tc>
        <w:tc>
          <w:tcPr>
            <w:tcW w:w="1160" w:type="dxa"/>
            <w:vAlign w:val="bottom"/>
          </w:tcPr>
          <w:p>
            <w:pPr>
              <w:jc w:val="right"/>
              <w:ind w:right="35"/>
              <w:spacing w:after="0"/>
              <w:rPr>
                <w:sz w:val="20"/>
                <w:szCs w:val="20"/>
                <w:color w:val="auto"/>
              </w:rPr>
            </w:pPr>
            <w:r>
              <w:rPr>
                <w:rFonts w:ascii="Arial" w:cs="Arial" w:eastAsia="Arial" w:hAnsi="Arial"/>
                <w:sz w:val="15"/>
                <w:szCs w:val="15"/>
                <w:b w:val="1"/>
                <w:bCs w:val="1"/>
                <w:color w:val="auto"/>
                <w:w w:val="95"/>
              </w:rPr>
              <w:t>March 31, 2022</w:t>
            </w:r>
          </w:p>
        </w:tc>
      </w:tr>
      <w:tr>
        <w:trPr>
          <w:trHeight w:val="227"/>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Borrowings from securitization transactions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Repayment of debt related to securitization transactions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Proceeds from debt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Repayments of debt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Finance lease incentive</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 payment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Payment of debt issuance costs</w:t>
            </w:r>
          </w:p>
        </w:tc>
        <w:tc>
          <w:tcPr>
            <w:tcW w:w="1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Repurchase of common stock</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Payment of dividends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 of withholding taxes on vesting of restricted stock units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5"/>
        </w:trPr>
        <w:tc>
          <w:tcPr>
            <w:tcW w:w="568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w w:val="91"/>
              </w:rPr>
              <w:t>Net cash, cash equivalents and restricted cash used in financing activities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r>
      <w:tr>
        <w:trPr>
          <w:trHeight w:val="149"/>
        </w:trPr>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w w:val="94"/>
              </w:rPr>
              <w:t>Effect of changes in exchange rates on cash, cash equivalents and restricted</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31"/>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5680" w:type="dxa"/>
            <w:vAlign w:val="bottom"/>
          </w:tcPr>
          <w:p>
            <w:pPr>
              <w:spacing w:after="0"/>
              <w:rPr>
                <w:sz w:val="20"/>
                <w:szCs w:val="20"/>
                <w:color w:val="auto"/>
              </w:rPr>
            </w:pPr>
            <w:r>
              <w:rPr>
                <w:rFonts w:ascii="Arial" w:cs="Arial" w:eastAsia="Arial" w:hAnsi="Arial"/>
                <w:sz w:val="17"/>
                <w:szCs w:val="17"/>
                <w:color w:val="auto"/>
              </w:rPr>
              <w:t>Change in cash, cash equivalents and restricted cash</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45"/>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r>
      <w:tr>
        <w:trPr>
          <w:trHeight w:val="213"/>
        </w:trPr>
        <w:tc>
          <w:tcPr>
            <w:tcW w:w="5680" w:type="dxa"/>
            <w:vAlign w:val="bottom"/>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4"/>
        </w:trPr>
        <w:tc>
          <w:tcPr>
            <w:tcW w:w="5680" w:type="dxa"/>
            <w:vAlign w:val="bottom"/>
          </w:tcPr>
          <w:p>
            <w:pPr>
              <w:spacing w:after="0"/>
              <w:rPr>
                <w:sz w:val="20"/>
                <w:szCs w:val="20"/>
                <w:color w:val="auto"/>
              </w:rPr>
            </w:pPr>
            <w:r>
              <w:rPr>
                <w:rFonts w:ascii="Arial" w:cs="Arial" w:eastAsia="Arial" w:hAnsi="Arial"/>
                <w:sz w:val="17"/>
                <w:szCs w:val="17"/>
                <w:b w:val="1"/>
                <w:bCs w:val="1"/>
                <w:color w:val="auto"/>
              </w:rPr>
              <w:t>SUPPLEMENTAL DISCLOSURES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Non-cash issuance of debt in connection with asset acquisition</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Non-cash issuance of treasury stock for employee stock purchase plan</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Non-cash transfer from inventory to property and equipment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Non-cash transfer from property and equipment to inventory</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Non-cash transfer from other assets to property and equipment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Non-cash transfer from property and equipment to other assets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Right-of-use asset obtained in exchange for finance lease obligation</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Non-cash issuance of debt in connection with finance lease</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4"/>
        </w:trPr>
        <w:tc>
          <w:tcPr>
            <w:tcW w:w="5680" w:type="dxa"/>
            <w:vAlign w:val="bottom"/>
          </w:tcPr>
          <w:p>
            <w:pPr>
              <w:ind w:left="200"/>
              <w:spacing w:after="0"/>
              <w:rPr>
                <w:sz w:val="20"/>
                <w:szCs w:val="20"/>
                <w:color w:val="auto"/>
              </w:rPr>
            </w:pPr>
            <w:r>
              <w:rPr>
                <w:rFonts w:ascii="Arial" w:cs="Arial" w:eastAsia="Arial" w:hAnsi="Arial"/>
                <w:sz w:val="17"/>
                <w:szCs w:val="17"/>
                <w:color w:val="auto"/>
              </w:rPr>
              <w:t>Interest paid, net of amounts capitalized</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169"/>
        </w:trPr>
        <w:tc>
          <w:tcPr>
            <w:tcW w:w="5680" w:type="dxa"/>
            <w:vAlign w:val="bottom"/>
            <w:shd w:val="clear" w:color="auto" w:fill="CCEEFF"/>
          </w:tcPr>
          <w:p>
            <w:pPr>
              <w:ind w:left="200"/>
              <w:spacing w:after="0" w:line="169" w:lineRule="exact"/>
              <w:rPr>
                <w:sz w:val="20"/>
                <w:szCs w:val="20"/>
                <w:color w:val="auto"/>
              </w:rPr>
            </w:pPr>
            <w:r>
              <w:rPr>
                <w:rFonts w:ascii="Arial" w:cs="Arial" w:eastAsia="Arial" w:hAnsi="Arial"/>
                <w:sz w:val="17"/>
                <w:szCs w:val="17"/>
                <w:color w:val="auto"/>
                <w:w w:val="97"/>
              </w:rPr>
              <w:t>Income taxes paid, net of refunds (income tax refunds, net of income taxes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1"/>
        </w:trPr>
        <w:tc>
          <w:tcPr>
            <w:tcW w:w="5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bl>
    <w:p>
      <w:pPr>
        <w:spacing w:after="0" w:line="200" w:lineRule="exact"/>
        <w:rPr>
          <w:sz w:val="20"/>
          <w:szCs w:val="20"/>
          <w:color w:val="auto"/>
        </w:rPr>
      </w:pPr>
    </w:p>
    <w:p>
      <w:pPr>
        <w:spacing w:after="0" w:line="297"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7" w:name="page8"/>
    <w:bookmarkEnd w:id="7"/>
    <w:p>
      <w:pPr>
        <w:jc w:val="center"/>
        <w:ind w:right="16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INTERIM CONSOLIDATED STATEMENTS OF SHAREHOLDERS’ EQUITY</w:t>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(In millions)</w:t>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(Unaudited)</w:t>
      </w:r>
    </w:p>
    <w:p>
      <w:pPr>
        <w:sectPr>
          <w:pgSz w:w="11900" w:h="16838" w:orient="portrait"/>
          <w:cols w:equalWidth="0" w:num="1">
            <w:col w:w="11280"/>
          </w:cols>
          <w:pgMar w:left="380" w:top="1254"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Common</w:t>
      </w:r>
    </w:p>
    <w:p>
      <w:pPr>
        <w:ind w:left="100"/>
        <w:spacing w:after="0" w:line="238" w:lineRule="auto"/>
        <w:rPr>
          <w:sz w:val="20"/>
          <w:szCs w:val="20"/>
          <w:color w:val="auto"/>
        </w:rPr>
      </w:pPr>
      <w:r>
        <w:rPr>
          <w:rFonts w:ascii="Arial" w:cs="Arial" w:eastAsia="Arial" w:hAnsi="Arial"/>
          <w:sz w:val="14"/>
          <w:szCs w:val="14"/>
          <w:b w:val="1"/>
          <w:bCs w:val="1"/>
          <w:color w:val="auto"/>
        </w:rPr>
        <w:t>Stock</w:t>
      </w:r>
    </w:p>
    <w:p>
      <w:pPr>
        <w:ind w:left="80"/>
        <w:spacing w:after="0"/>
        <w:rPr>
          <w:sz w:val="20"/>
          <w:szCs w:val="20"/>
          <w:color w:val="auto"/>
        </w:rPr>
      </w:pPr>
      <w:r>
        <w:rPr>
          <w:rFonts w:ascii="Arial" w:cs="Arial" w:eastAsia="Arial" w:hAnsi="Arial"/>
          <w:sz w:val="14"/>
          <w:szCs w:val="14"/>
          <w:b w:val="1"/>
          <w:bCs w:val="1"/>
          <w:color w:val="auto"/>
        </w:rPr>
        <w:t>Issued</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75.7</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13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w:t>
      </w:r>
    </w:p>
    <w:p>
      <w:pPr>
        <w:spacing w:after="0" w:line="8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0.1</w:t>
      </w:r>
    </w:p>
    <w:p>
      <w:pPr>
        <w:spacing w:after="0" w:line="8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34290</wp:posOffset>
            </wp:positionV>
            <wp:extent cx="408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26670</wp:posOffset>
            </wp:positionV>
            <wp:extent cx="408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8940" cy="825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50800</wp:posOffset>
            </wp:positionV>
            <wp:extent cx="408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b w:val="1"/>
          <w:bCs w:val="1"/>
          <w:color w:val="auto"/>
        </w:rPr>
        <w:t>BALANCE AT DECEMBER 31, 2022</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Net income</w:t>
      </w:r>
    </w:p>
    <w:p>
      <w:pPr>
        <w:spacing w:after="0" w:line="59" w:lineRule="exact"/>
        <w:rPr>
          <w:sz w:val="20"/>
          <w:szCs w:val="20"/>
          <w:color w:val="auto"/>
        </w:rPr>
      </w:pPr>
    </w:p>
    <w:p>
      <w:pPr>
        <w:ind w:left="200" w:right="320"/>
        <w:spacing w:after="0" w:line="247" w:lineRule="auto"/>
        <w:rPr>
          <w:sz w:val="20"/>
          <w:szCs w:val="20"/>
          <w:color w:val="auto"/>
        </w:rPr>
      </w:pPr>
      <w:r>
        <w:rPr>
          <w:rFonts w:ascii="Arial" w:cs="Arial" w:eastAsia="Arial" w:hAnsi="Arial"/>
          <w:sz w:val="15"/>
          <w:szCs w:val="15"/>
          <w:color w:val="auto"/>
        </w:rPr>
        <w:t>Foreign currency translation adjustments</w:t>
      </w:r>
    </w:p>
    <w:p>
      <w:pPr>
        <w:spacing w:after="0" w:line="31" w:lineRule="exact"/>
        <w:rPr>
          <w:sz w:val="20"/>
          <w:szCs w:val="20"/>
          <w:color w:val="auto"/>
        </w:rPr>
      </w:pPr>
    </w:p>
    <w:p>
      <w:pPr>
        <w:ind w:left="200"/>
        <w:spacing w:after="0" w:line="381" w:lineRule="auto"/>
        <w:rPr>
          <w:sz w:val="20"/>
          <w:szCs w:val="20"/>
          <w:color w:val="auto"/>
        </w:rPr>
      </w:pPr>
      <w:r>
        <w:rPr>
          <w:rFonts w:ascii="Arial" w:cs="Arial" w:eastAsia="Arial" w:hAnsi="Arial"/>
          <w:sz w:val="14"/>
          <w:szCs w:val="14"/>
          <w:color w:val="auto"/>
        </w:rPr>
        <w:t>Derivative instrument adjustment Share-based compensation plans Repurchase of common stock Dividends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AT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Total MVW</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Noncontrolling</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Shareholders'</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(2,054)</w:t>
            </w:r>
          </w:p>
        </w:tc>
        <w:tc>
          <w:tcPr>
            <w:tcW w:w="1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3,941</w:t>
            </w:r>
          </w:p>
        </w:tc>
        <w:tc>
          <w:tcPr>
            <w:tcW w:w="1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593</w:t>
            </w:r>
          </w:p>
        </w:tc>
        <w:tc>
          <w:tcPr>
            <w:tcW w:w="14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2,496</w:t>
            </w:r>
          </w:p>
        </w:tc>
        <w:tc>
          <w:tcPr>
            <w:tcW w:w="140" w:type="dxa"/>
            <w:vAlign w:val="bottom"/>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2"/>
                <w:szCs w:val="22"/>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2,498</w:t>
            </w:r>
          </w:p>
        </w:tc>
        <w:tc>
          <w:tcPr>
            <w:tcW w:w="0" w:type="dxa"/>
            <w:vAlign w:val="bottom"/>
          </w:tcPr>
          <w:p>
            <w:pPr>
              <w:spacing w:after="0"/>
              <w:rPr>
                <w:sz w:val="1"/>
                <w:szCs w:val="1"/>
                <w:color w:val="auto"/>
              </w:rPr>
            </w:pPr>
          </w:p>
        </w:tc>
      </w:tr>
      <w:tr>
        <w:trPr>
          <w:trHeight w:val="309"/>
        </w:trPr>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87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309"/>
        </w:trPr>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09"/>
        </w:trPr>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31"/>
        </w:trPr>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(2,132)</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3,937</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2,478</w:t>
            </w:r>
          </w:p>
        </w:tc>
        <w:tc>
          <w:tcPr>
            <w:tcW w:w="1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2,480</w:t>
            </w:r>
          </w:p>
        </w:tc>
        <w:tc>
          <w:tcPr>
            <w:tcW w:w="0" w:type="dxa"/>
            <w:vAlign w:val="bottom"/>
          </w:tcPr>
          <w:p>
            <w:pPr>
              <w:spacing w:after="0"/>
              <w:rPr>
                <w:sz w:val="1"/>
                <w:szCs w:val="1"/>
                <w:color w:val="auto"/>
              </w:rPr>
            </w:pPr>
          </w:p>
        </w:tc>
      </w:tr>
      <w:tr>
        <w:trPr>
          <w:trHeight w:val="26"/>
        </w:trPr>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-1062355</wp:posOffset>
            </wp:positionV>
            <wp:extent cx="7198995" cy="229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229235"/>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-669925</wp:posOffset>
            </wp:positionV>
            <wp:extent cx="7198995" cy="163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16383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-342900</wp:posOffset>
            </wp:positionV>
            <wp:extent cx="7198995" cy="163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16383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-1454785</wp:posOffset>
            </wp:positionV>
            <wp:extent cx="7198995" cy="229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995" cy="229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40" w:space="180"/>
            <w:col w:w="2260" w:space="160"/>
            <w:col w:w="8140"/>
          </w:cols>
          <w:pgMar w:left="380" w:top="125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Common</w:t>
      </w:r>
    </w:p>
    <w:p>
      <w:pPr>
        <w:jc w:val="center"/>
        <w:spacing w:after="0" w:line="238" w:lineRule="auto"/>
        <w:rPr>
          <w:sz w:val="20"/>
          <w:szCs w:val="20"/>
          <w:color w:val="auto"/>
        </w:rPr>
      </w:pPr>
      <w:r>
        <w:rPr>
          <w:rFonts w:ascii="Arial" w:cs="Arial" w:eastAsia="Arial" w:hAnsi="Arial"/>
          <w:sz w:val="14"/>
          <w:szCs w:val="14"/>
          <w:b w:val="1"/>
          <w:bCs w:val="1"/>
          <w:color w:val="auto"/>
        </w:rPr>
        <w:t>Stock</w:t>
      </w:r>
    </w:p>
    <w:p>
      <w:pPr>
        <w:ind w:left="80"/>
        <w:spacing w:after="0"/>
        <w:rPr>
          <w:sz w:val="20"/>
          <w:szCs w:val="20"/>
          <w:color w:val="auto"/>
        </w:rPr>
      </w:pPr>
      <w:r>
        <w:rPr>
          <w:rFonts w:ascii="Arial" w:cs="Arial" w:eastAsia="Arial" w:hAnsi="Arial"/>
          <w:sz w:val="14"/>
          <w:szCs w:val="14"/>
          <w:b w:val="1"/>
          <w:bCs w:val="1"/>
          <w:color w:val="auto"/>
        </w:rPr>
        <w:t>Issued</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75.5</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75.5</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p>
    <w:p>
      <w:pPr>
        <w:spacing w:after="0" w:line="13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w:t>
      </w:r>
    </w:p>
    <w:p>
      <w:pPr>
        <w:spacing w:after="0" w:line="8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0.2</w:t>
      </w:r>
    </w:p>
    <w:p>
      <w:pPr>
        <w:spacing w:after="0" w:line="8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w:t>
      </w:r>
    </w:p>
    <w:p>
      <w:pPr>
        <w:spacing w:after="0" w:line="85"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34290</wp:posOffset>
            </wp:positionV>
            <wp:extent cx="408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52"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26670</wp:posOffset>
            </wp:positionV>
            <wp:extent cx="4089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940" cy="825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50800</wp:posOffset>
            </wp:positionV>
            <wp:extent cx="408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color w:val="auto"/>
        </w:rPr>
        <w:t>BALANCE AT DECEMBER 31, 2021</w:t>
      </w:r>
    </w:p>
    <w:p>
      <w:pPr>
        <w:ind w:left="200"/>
        <w:spacing w:after="0" w:line="247" w:lineRule="auto"/>
        <w:rPr>
          <w:sz w:val="20"/>
          <w:szCs w:val="20"/>
          <w:color w:val="auto"/>
        </w:rPr>
      </w:pPr>
      <w:r>
        <w:rPr>
          <w:rFonts w:ascii="Arial" w:cs="Arial" w:eastAsia="Arial" w:hAnsi="Arial"/>
          <w:sz w:val="15"/>
          <w:szCs w:val="15"/>
          <w:color w:val="auto"/>
        </w:rPr>
        <w:t>Impact of adoption of ASU 2020-06</w:t>
      </w:r>
    </w:p>
    <w:p>
      <w:pPr>
        <w:spacing w:after="0" w:line="25" w:lineRule="exact"/>
        <w:rPr>
          <w:sz w:val="20"/>
          <w:szCs w:val="20"/>
          <w:color w:val="auto"/>
        </w:rPr>
      </w:pPr>
    </w:p>
    <w:p>
      <w:pPr>
        <w:ind w:left="200" w:right="420" w:hanging="192"/>
        <w:spacing w:after="0" w:line="344" w:lineRule="auto"/>
        <w:rPr>
          <w:sz w:val="20"/>
          <w:szCs w:val="20"/>
          <w:color w:val="auto"/>
        </w:rPr>
      </w:pPr>
      <w:r>
        <w:rPr>
          <w:rFonts w:ascii="Arial" w:cs="Arial" w:eastAsia="Arial" w:hAnsi="Arial"/>
          <w:sz w:val="15"/>
          <w:szCs w:val="15"/>
          <w:b w:val="1"/>
          <w:bCs w:val="1"/>
          <w:color w:val="auto"/>
        </w:rPr>
        <w:t xml:space="preserve">OPENING BALANCE 2022 </w:t>
      </w:r>
      <w:r>
        <w:rPr>
          <w:rFonts w:ascii="Arial" w:cs="Arial" w:eastAsia="Arial" w:hAnsi="Arial"/>
          <w:sz w:val="15"/>
          <w:szCs w:val="15"/>
          <w:color w:val="auto"/>
        </w:rPr>
        <w:t>Net income</w:t>
      </w:r>
    </w:p>
    <w:p>
      <w:pPr>
        <w:spacing w:after="0" w:line="1" w:lineRule="exact"/>
        <w:rPr>
          <w:sz w:val="20"/>
          <w:szCs w:val="20"/>
          <w:color w:val="auto"/>
        </w:rPr>
      </w:pPr>
    </w:p>
    <w:p>
      <w:pPr>
        <w:ind w:left="200" w:right="340"/>
        <w:spacing w:after="0" w:line="247" w:lineRule="auto"/>
        <w:rPr>
          <w:sz w:val="20"/>
          <w:szCs w:val="20"/>
          <w:color w:val="auto"/>
        </w:rPr>
      </w:pPr>
      <w:r>
        <w:rPr>
          <w:rFonts w:ascii="Arial" w:cs="Arial" w:eastAsia="Arial" w:hAnsi="Arial"/>
          <w:sz w:val="15"/>
          <w:szCs w:val="15"/>
          <w:color w:val="auto"/>
        </w:rPr>
        <w:t>Foreign currency translation adjustments</w:t>
      </w:r>
    </w:p>
    <w:p>
      <w:pPr>
        <w:spacing w:after="0" w:line="31" w:lineRule="exact"/>
        <w:rPr>
          <w:sz w:val="20"/>
          <w:szCs w:val="20"/>
          <w:color w:val="auto"/>
        </w:rPr>
      </w:pPr>
    </w:p>
    <w:p>
      <w:pPr>
        <w:ind w:left="200" w:right="20"/>
        <w:spacing w:after="0" w:line="381" w:lineRule="auto"/>
        <w:rPr>
          <w:sz w:val="20"/>
          <w:szCs w:val="20"/>
          <w:color w:val="auto"/>
        </w:rPr>
      </w:pPr>
      <w:r>
        <w:rPr>
          <w:rFonts w:ascii="Arial" w:cs="Arial" w:eastAsia="Arial" w:hAnsi="Arial"/>
          <w:sz w:val="14"/>
          <w:szCs w:val="14"/>
          <w:color w:val="auto"/>
        </w:rPr>
        <w:t>Derivative instrument adjustment Share-based compensation plans Repurchase of common stock Dividends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AT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Total MVW</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6"/>
              </w:rPr>
              <w:t>Noncontrolling</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Shareholders'</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(Loss) Income</w:t>
            </w: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Interests</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(1,356)</w:t>
            </w:r>
          </w:p>
        </w:tc>
        <w:tc>
          <w:tcPr>
            <w:tcW w:w="14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4,072</w:t>
            </w:r>
          </w:p>
        </w:tc>
        <w:tc>
          <w:tcPr>
            <w:tcW w:w="14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275</w:t>
            </w:r>
          </w:p>
        </w:tc>
        <w:tc>
          <w:tcPr>
            <w:tcW w:w="14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2,976</w:t>
            </w:r>
          </w:p>
        </w:tc>
        <w:tc>
          <w:tcPr>
            <w:tcW w:w="140" w:type="dxa"/>
            <w:vAlign w:val="bottom"/>
          </w:tcPr>
          <w:p>
            <w:pPr>
              <w:spacing w:after="0"/>
              <w:rPr>
                <w:sz w:val="23"/>
                <w:szCs w:val="2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3"/>
                <w:szCs w:val="23"/>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2,986</w:t>
            </w:r>
          </w:p>
        </w:tc>
        <w:tc>
          <w:tcPr>
            <w:tcW w:w="0" w:type="dxa"/>
            <w:vAlign w:val="bottom"/>
          </w:tcPr>
          <w:p>
            <w:pPr>
              <w:spacing w:after="0"/>
              <w:rPr>
                <w:sz w:val="1"/>
                <w:szCs w:val="1"/>
                <w:color w:val="auto"/>
              </w:rPr>
            </w:pPr>
          </w:p>
        </w:tc>
      </w:tr>
      <w:tr>
        <w:trPr>
          <w:trHeight w:val="361"/>
        </w:trPr>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83"/>
        </w:trPr>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3,961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306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2,896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2,906</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309"/>
        </w:trPr>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09"/>
        </w:trPr>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31"/>
        </w:trPr>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(1,474)</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3,945</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2,814</w:t>
            </w:r>
          </w:p>
        </w:tc>
        <w:tc>
          <w:tcPr>
            <w:tcW w:w="1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2,824</w:t>
            </w:r>
          </w:p>
        </w:tc>
        <w:tc>
          <w:tcPr>
            <w:tcW w:w="0" w:type="dxa"/>
            <w:vAlign w:val="bottom"/>
          </w:tcPr>
          <w:p>
            <w:pPr>
              <w:spacing w:after="0"/>
              <w:rPr>
                <w:sz w:val="1"/>
                <w:szCs w:val="1"/>
                <w:color w:val="auto"/>
              </w:rPr>
            </w:pPr>
          </w:p>
        </w:tc>
      </w:tr>
      <w:tr>
        <w:trPr>
          <w:trHeight w:val="26"/>
        </w:trPr>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-1062355</wp:posOffset>
            </wp:positionV>
            <wp:extent cx="7198995" cy="229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995" cy="229235"/>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-669925</wp:posOffset>
            </wp:positionV>
            <wp:extent cx="7198995" cy="163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995" cy="16383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-342900</wp:posOffset>
            </wp:positionV>
            <wp:extent cx="7198995"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995" cy="16383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-1389380</wp:posOffset>
            </wp:positionV>
            <wp:extent cx="7198995" cy="16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995" cy="16383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-1847215</wp:posOffset>
            </wp:positionV>
            <wp:extent cx="7198995" cy="229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995" cy="229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40" w:space="180"/>
            <w:col w:w="2280" w:space="140"/>
            <w:col w:w="8140"/>
          </w:cols>
          <w:pgMar w:left="380" w:top="1254" w:right="239" w:bottom="1440" w:gutter="0" w:footer="0" w:header="0"/>
          <w:type w:val="continuous"/>
        </w:sectPr>
      </w:pPr>
    </w:p>
    <w:p>
      <w:pPr>
        <w:spacing w:after="0" w:line="348"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See Interim Condensed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280035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380" w:top="1254"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INTERIM CONDENSED NOTES TO CONSOLIDATED FINANCIAL STATEMENTS</w:t>
      </w:r>
    </w:p>
    <w:p>
      <w:pPr>
        <w:spacing w:after="0" w:line="277" w:lineRule="exact"/>
        <w:rPr>
          <w:sz w:val="20"/>
          <w:szCs w:val="20"/>
          <w:color w:val="auto"/>
        </w:rPr>
      </w:pPr>
    </w:p>
    <w:p>
      <w:pPr>
        <w:ind w:left="400" w:hanging="380"/>
        <w:spacing w:after="0"/>
        <w:tabs>
          <w:tab w:leader="none" w:pos="4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210"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unless otherwise noted. Capitalized terms used and not</w:t>
      </w:r>
    </w:p>
    <w:p>
      <w:pPr>
        <w:spacing w:after="0" w:line="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specifically defined herein have the same meanings given those terms in our Annual Report on Form 10-K for the fiscal year ended December 31, 2022 (the “2022 Annual Report”). We also use certain other terms that are defined within these Financial Statements.</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VIEs for which Marriott Vacations Worldwide is the primary beneficiary, as determined in accordance with consolidation accounting guidance. References in these Financial Statements to net income or loss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7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accounting for acquired vacation ownership notes receivable, vacation ownership notes receivable reserves, income taxes, and loss contingencies. The uncertainties in the broader macroeconomic environment, including inflationary pressures, as well as any effects of the recent COVID-19 pandemic have made it more challenging to make these estimates. Actual results could differ from our estimates, and such differences may be material.</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rising interest rates, and seasonal and short-term variations, as well as any effects of the recent COVID-19 pandemic.</w:t>
      </w:r>
    </w:p>
    <w:p>
      <w:pPr>
        <w:spacing w:after="0" w:line="2"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2022 Annual Report.</w:t>
      </w:r>
    </w:p>
    <w:p>
      <w:pPr>
        <w:spacing w:after="0" w:line="4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refer to the business and brands that we acquired in the acquisition of Welk Hospitality Group, Inc. (“Welk”) in 2021 (the “Welk Acquisition”) as “Legacy-Welk.” We refer to the business and brands that we acquired in the acquisition of ILG, LLC, formerly known as ILG, Inc. (“ILG”), in 2018 (the “ILG Acquisition”) as “Legacy-ILG.” We refer to the business we conducted, and the associated brands, prior to the ILG Acquisition as “Legacy-MVW.”</w:t>
      </w:r>
    </w:p>
    <w:p>
      <w:pPr>
        <w:spacing w:after="0" w:line="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businesses acquired from ILG that we currently operate as part of our Vacation Ownership segment include Vistana Signature Experiences, which includes vacation ownership products branded as Sheraton or Westin, and Hyatt Vacation Ownership. The businesses acquired from ILG that we currently operate as part of our Exchange &amp; Third-Party Management business include Interval International and Aqua-Aston Hospitality. As part of the ILG Acquisition, we also acquired the Vacation Resorts International (“VRI”) and Trading Places International (“TPI”) businesses (together, the “VRI Americas” business), which was part of our Exchange &amp; Third-Party Management segment prior to our disposal of VRI Americas during the second quarter of 2022.</w:t>
      </w:r>
    </w:p>
    <w:p>
      <w:pPr>
        <w:spacing w:after="0" w:line="21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hanging="380"/>
        <w:spacing w:after="0"/>
        <w:tabs>
          <w:tab w:leader="none" w:pos="4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AND RECENT ACCOUNTING STANDARDS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w:t>
      </w:r>
    </w:p>
    <w:p>
      <w:pPr>
        <w:spacing w:after="0" w:line="11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Accounting Standards Update 2022-02 –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 </w:t>
      </w:r>
      <w:r>
        <w:rPr>
          <w:rFonts w:ascii="Arial" w:cs="Arial" w:eastAsia="Arial" w:hAnsi="Arial"/>
          <w:sz w:val="17"/>
          <w:szCs w:val="17"/>
          <w:i w:val="1"/>
          <w:iCs w:val="1"/>
          <w:color w:val="auto"/>
        </w:rPr>
        <w:t>Troubled Debt Restructurings and Vintage Disclosures”</w:t>
      </w:r>
      <w:r>
        <w:rPr>
          <w:rFonts w:ascii="Arial" w:cs="Arial" w:eastAsia="Arial" w:hAnsi="Arial"/>
          <w:sz w:val="17"/>
          <w:szCs w:val="17"/>
          <w:color w:val="auto"/>
        </w:rPr>
        <w:t xml:space="preserve"> (“ASU 2022-02”)</w:t>
      </w:r>
    </w:p>
    <w:p>
      <w:pPr>
        <w:spacing w:after="0" w:line="6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In the first quarter of 2023, we adopted accounting standards update (“ASU”) 2022-02, which eliminated the recognition and measurement guidance applicable to troubled debt restructurings for creditors and enhanced disclosure requirements with respect to loan modifications for borrowers experiencing financial difficulty. ASU 2022-02 also requires disclosure of current-period gross write-offs by year of origination to be presented in the vintage disclosures for financing receivables. The adoption of ASU 2022-02 on January 1, 2023, on a prospective basis, did not have a material impact on our financial statements or disclosures other than the incremental disclosures relating to gross write-offs for financing receivables. See Footnote 6 “Vacation Ownership Notes Receivable” for the incremental disclosures required by the adoption of ASU 2022-02.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Adoption of Accounting Standards</w:t>
      </w:r>
    </w:p>
    <w:p>
      <w:pPr>
        <w:spacing w:after="0" w:line="114" w:lineRule="exact"/>
        <w:rPr>
          <w:sz w:val="20"/>
          <w:szCs w:val="20"/>
          <w:color w:val="auto"/>
        </w:rPr>
      </w:pPr>
    </w:p>
    <w:p>
      <w:pPr>
        <w:spacing w:after="0" w:line="348" w:lineRule="auto"/>
        <w:rPr>
          <w:sz w:val="20"/>
          <w:szCs w:val="20"/>
          <w:color w:val="auto"/>
        </w:rPr>
      </w:pPr>
      <w:r>
        <w:rPr>
          <w:rFonts w:ascii="Arial" w:cs="Arial" w:eastAsia="Arial" w:hAnsi="Arial"/>
          <w:sz w:val="15"/>
          <w:szCs w:val="15"/>
          <w:color w:val="auto"/>
        </w:rPr>
        <w:t>Accounting Standards Update 2020-04 –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(“ASU 2020-04”) and Accounting Standards Update 2022-06 – “</w:t>
      </w:r>
      <w:r>
        <w:rPr>
          <w:rFonts w:ascii="Arial" w:cs="Arial" w:eastAsia="Arial" w:hAnsi="Arial"/>
          <w:sz w:val="15"/>
          <w:szCs w:val="15"/>
          <w:i w:val="1"/>
          <w:iCs w:val="1"/>
          <w:color w:val="auto"/>
        </w:rPr>
        <w:t>Reference Rate Reform (Topic 848), Deferral of the Sunset Date of Topic 848</w:t>
      </w:r>
      <w:r>
        <w:rPr>
          <w:rFonts w:ascii="Arial" w:cs="Arial" w:eastAsia="Arial" w:hAnsi="Arial"/>
          <w:sz w:val="15"/>
          <w:szCs w:val="15"/>
          <w:color w:val="auto"/>
        </w:rPr>
        <w:t>” (“ASU 2022-06”)</w:t>
      </w:r>
    </w:p>
    <w:p>
      <w:pPr>
        <w:spacing w:after="0" w:line="1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March 2020, the Financial Accounting Standards Board (“FASB”) issued ASU 2020-04, as amended, which provides optional expedients and exceptions to existing guidance on contract modifications and hedge accounting in an effort to ease the financial reporting burdens related to the expected market transition from the USD London Interbank Offered Rate (“LIBOR”) and other interbank offered rates to alternative reference rates. This update was effective upon issuance and issuers were able to generally elect to adopt the optional expedients and exceptions over time through a period ending on December 31, 2022. In December 2022, the FASB issued ASU 2022-06 to extend the temporary accounting rules under Topic 848 from December 31, 2022 to December 31, 2024. As of March 31, 2023, our Term Loan (as defined in Footnote 12 “Debt”) and certain of our interest rate swaps and collars have not yet discontinued the use of LIBOR. To the extent these instruments are amended to reference a different benchmark interest rate, we may elect to utilize the relief available in ASU 2020-04. Subsequent to March 31, 2023, we amended the terms of our Term Loan to reference SOFR (as defined in Footnote 12 “Debt”) rather than LIBOR. See Footnote 12 “Debt” for more information. We have not adopted any of the optional expedients or exceptions under ASU 2020-04 as of March 31, 2023, but continue to evaluate their adoption during the effective period as circumstances evolve.</w:t>
      </w:r>
    </w:p>
    <w:p>
      <w:pPr>
        <w:spacing w:after="0" w:line="245" w:lineRule="exact"/>
        <w:rPr>
          <w:sz w:val="20"/>
          <w:szCs w:val="20"/>
          <w:color w:val="auto"/>
        </w:rPr>
      </w:pPr>
    </w:p>
    <w:p>
      <w:pPr>
        <w:ind w:left="400" w:hanging="380"/>
        <w:spacing w:after="0"/>
        <w:tabs>
          <w:tab w:leader="none" w:pos="4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Charleston, South Carolina</w:t>
      </w:r>
    </w:p>
    <w:p>
      <w:pPr>
        <w:spacing w:after="0" w:line="11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During the first quarter of 2023, we acquired a parcel of land and an adjacent retail space in Charleston, South Carolina for $17 million. We plan to develop the parcel of land into a 50-unit vacation ownership resort, and use a portion of the retail space to operate a sales center. The transaction was accounted for as an asset acquisition and was recorded in Property and equipment, net.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Bali</w:t>
      </w:r>
    </w:p>
    <w:p>
      <w:pPr>
        <w:spacing w:after="0" w:line="114"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During the first quarter of 2022, we acquired 88 completed vacation ownership units, as well as a sales center, located in Bali, Indonesia for $36 million. The transaction was accounted for as an asset acquisition and the purchase price was allocated to Property and equipment, net. As consideration for the acquisition, we paid $12 million in cash and issued a non-interest bearing note payable for $11 million, of which $6 million was repaid in the first quarter of 2023. Further, during the first quarter of 2022, we reclassified $13 million of previous deposits associated with the project from Other assets to Property and equipment, net.</w:t>
      </w:r>
    </w:p>
    <w:p>
      <w:pPr>
        <w:spacing w:after="0" w:line="19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b w:val="1"/>
          <w:bCs w:val="1"/>
          <w:color w:val="auto"/>
        </w:rPr>
        <w:t>4.</w:t>
        <w:tab/>
        <w:t>REVENUE AND RECEIVABLES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Revenue by Segment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8"/>
          </w:tcPr>
          <w:p>
            <w:pPr>
              <w:ind w:left="60"/>
              <w:spacing w:after="0"/>
              <w:rPr>
                <w:sz w:val="20"/>
                <w:szCs w:val="20"/>
                <w:color w:val="auto"/>
              </w:rPr>
            </w:pPr>
            <w:r>
              <w:rPr>
                <w:rFonts w:ascii="Arial" w:cs="Arial" w:eastAsia="Arial" w:hAnsi="Arial"/>
                <w:sz w:val="15"/>
                <w:szCs w:val="15"/>
                <w:b w:val="1"/>
                <w:bCs w:val="1"/>
                <w:color w:val="auto"/>
                <w:w w:val="97"/>
              </w:rPr>
              <w:t>Three Months Ended March 31, 2023</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56"/>
              <w:spacing w:after="0"/>
              <w:rPr>
                <w:sz w:val="20"/>
                <w:szCs w:val="20"/>
                <w:color w:val="auto"/>
              </w:rPr>
            </w:pPr>
            <w:r>
              <w:rPr>
                <w:rFonts w:ascii="Arial" w:cs="Arial" w:eastAsia="Arial" w:hAnsi="Arial"/>
                <w:sz w:val="15"/>
                <w:szCs w:val="15"/>
                <w:b w:val="1"/>
                <w:bCs w:val="1"/>
                <w:color w:val="auto"/>
                <w:w w:val="92"/>
              </w:rPr>
              <w:t>Vacation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3"/>
              </w:rPr>
              <w:t>Corporate and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Third-Party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29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95"/>
              </w:rPr>
              <w:t>Ownership</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Management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99"/>
              </w:rPr>
              <w:t>Other</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8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580" w:type="dxa"/>
            <w:vAlign w:val="bottom"/>
          </w:tcPr>
          <w:p>
            <w:pPr>
              <w:ind w:left="20"/>
              <w:spacing w:after="0"/>
              <w:rPr>
                <w:sz w:val="20"/>
                <w:szCs w:val="20"/>
                <w:color w:val="auto"/>
              </w:rPr>
            </w:pPr>
            <w:r>
              <w:rPr>
                <w:rFonts w:ascii="Arial" w:cs="Arial" w:eastAsia="Arial" w:hAnsi="Arial"/>
                <w:sz w:val="17"/>
                <w:szCs w:val="17"/>
                <w:color w:val="auto"/>
              </w:rPr>
              <w:t>Rental</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151</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1,097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71</w:t>
            </w:r>
          </w:p>
        </w:tc>
        <w:tc>
          <w:tcPr>
            <w:tcW w:w="4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1,169</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ind w:left="60"/>
              <w:spacing w:after="0"/>
              <w:rPr>
                <w:sz w:val="20"/>
                <w:szCs w:val="20"/>
                <w:color w:val="auto"/>
              </w:rPr>
            </w:pPr>
            <w:r>
              <w:rPr>
                <w:rFonts w:ascii="Arial" w:cs="Arial" w:eastAsia="Arial" w:hAnsi="Arial"/>
                <w:sz w:val="15"/>
                <w:szCs w:val="15"/>
                <w:b w:val="1"/>
                <w:bCs w:val="1"/>
                <w:color w:val="auto"/>
                <w:w w:val="97"/>
              </w:rPr>
              <w:t>Three Months Ended March 31, 2022</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56"/>
              <w:spacing w:after="0"/>
              <w:rPr>
                <w:sz w:val="20"/>
                <w:szCs w:val="20"/>
                <w:color w:val="auto"/>
              </w:rPr>
            </w:pPr>
            <w:r>
              <w:rPr>
                <w:rFonts w:ascii="Arial" w:cs="Arial" w:eastAsia="Arial" w:hAnsi="Arial"/>
                <w:sz w:val="15"/>
                <w:szCs w:val="15"/>
                <w:b w:val="1"/>
                <w:bCs w:val="1"/>
                <w:color w:val="auto"/>
                <w:w w:val="92"/>
              </w:rPr>
              <w:t>Vacation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3"/>
              </w:rPr>
              <w:t>Corporate and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Third-Party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29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95"/>
              </w:rPr>
              <w:t>Ownership</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Management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99"/>
              </w:rPr>
              <w:t>Other</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8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222</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580" w:type="dxa"/>
            <w:vAlign w:val="bottom"/>
          </w:tcPr>
          <w:p>
            <w:pPr>
              <w:ind w:left="20"/>
              <w:spacing w:after="0"/>
              <w:rPr>
                <w:sz w:val="20"/>
                <w:szCs w:val="20"/>
                <w:color w:val="auto"/>
              </w:rPr>
            </w:pPr>
            <w:r>
              <w:rPr>
                <w:rFonts w:ascii="Arial" w:cs="Arial" w:eastAsia="Arial" w:hAnsi="Arial"/>
                <w:sz w:val="17"/>
                <w:szCs w:val="17"/>
                <w:color w:val="auto"/>
              </w:rPr>
              <w:t>Rental</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133</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1,052</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Revenue from Contracts with Customers by Segment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detail the timing of revenue from contracts with customers by segment for the time periods presented.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1"/>
          </w:tcPr>
          <w:p>
            <w:pPr>
              <w:ind w:left="20"/>
              <w:spacing w:after="0"/>
              <w:rPr>
                <w:sz w:val="20"/>
                <w:szCs w:val="20"/>
                <w:color w:val="auto"/>
              </w:rPr>
            </w:pPr>
            <w:r>
              <w:rPr>
                <w:rFonts w:ascii="Arial" w:cs="Arial" w:eastAsia="Arial" w:hAnsi="Arial"/>
                <w:sz w:val="15"/>
                <w:szCs w:val="15"/>
                <w:b w:val="1"/>
                <w:bCs w:val="1"/>
                <w:color w:val="auto"/>
                <w:w w:val="97"/>
              </w:rPr>
              <w:t>Three Months Ended March 31, 2023</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78"/>
              <w:spacing w:after="0"/>
              <w:rPr>
                <w:sz w:val="20"/>
                <w:szCs w:val="20"/>
                <w:color w:val="auto"/>
              </w:rPr>
            </w:pPr>
            <w:r>
              <w:rPr>
                <w:rFonts w:ascii="Arial" w:cs="Arial" w:eastAsia="Arial" w:hAnsi="Arial"/>
                <w:sz w:val="15"/>
                <w:szCs w:val="15"/>
                <w:b w:val="1"/>
                <w:bCs w:val="1"/>
                <w:color w:val="auto"/>
                <w:w w:val="92"/>
              </w:rPr>
              <w:t>Vacation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Exchange &amp;</w:t>
            </w:r>
          </w:p>
        </w:tc>
        <w:tc>
          <w:tcPr>
            <w:tcW w:w="20" w:type="dxa"/>
            <w:vAlign w:val="bottom"/>
          </w:tcPr>
          <w:p>
            <w:pPr>
              <w:spacing w:after="0"/>
              <w:rPr>
                <w:sz w:val="13"/>
                <w:szCs w:val="13"/>
                <w:color w:val="auto"/>
              </w:rPr>
            </w:pPr>
          </w:p>
        </w:tc>
        <w:tc>
          <w:tcPr>
            <w:tcW w:w="1200" w:type="dxa"/>
            <w:vAlign w:val="bottom"/>
            <w:gridSpan w:val="4"/>
            <w:vMerge w:val="restart"/>
          </w:tcPr>
          <w:p>
            <w:pPr>
              <w:jc w:val="right"/>
              <w:ind w:right="180"/>
              <w:spacing w:after="0"/>
              <w:rPr>
                <w:sz w:val="20"/>
                <w:szCs w:val="20"/>
                <w:color w:val="auto"/>
              </w:rPr>
            </w:pPr>
            <w:r>
              <w:rPr>
                <w:rFonts w:ascii="Arial" w:cs="Arial" w:eastAsia="Arial" w:hAnsi="Arial"/>
                <w:sz w:val="15"/>
                <w:szCs w:val="15"/>
                <w:b w:val="1"/>
                <w:bCs w:val="1"/>
                <w:color w:val="auto"/>
                <w:w w:val="97"/>
              </w:rPr>
              <w:t>Corporate and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ind w:left="40"/>
              <w:spacing w:after="0" w:line="155" w:lineRule="exact"/>
              <w:rPr>
                <w:sz w:val="20"/>
                <w:szCs w:val="20"/>
                <w:color w:val="auto"/>
              </w:rPr>
            </w:pPr>
            <w:r>
              <w:rPr>
                <w:rFonts w:ascii="Arial" w:cs="Arial" w:eastAsia="Arial" w:hAnsi="Arial"/>
                <w:sz w:val="15"/>
                <w:szCs w:val="15"/>
                <w:b w:val="1"/>
                <w:bCs w:val="1"/>
                <w:color w:val="auto"/>
              </w:rPr>
              <w:t>Third-Party</w:t>
            </w:r>
          </w:p>
        </w:tc>
        <w:tc>
          <w:tcPr>
            <w:tcW w:w="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5"/>
                <w:szCs w:val="15"/>
                <w:b w:val="1"/>
                <w:bCs w:val="1"/>
                <w:color w:val="auto"/>
                <w:w w:val="92"/>
              </w:rPr>
              <w:t>Ownership</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b w:val="1"/>
                <w:bCs w:val="1"/>
                <w:color w:val="auto"/>
                <w:w w:val="91"/>
              </w:rPr>
              <w:t>Management</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Other</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33"/>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1"/>
          </w:tcPr>
          <w:p>
            <w:pPr>
              <w:ind w:left="40"/>
              <w:spacing w:after="0"/>
              <w:rPr>
                <w:sz w:val="20"/>
                <w:szCs w:val="20"/>
                <w:color w:val="auto"/>
              </w:rPr>
            </w:pPr>
            <w:r>
              <w:rPr>
                <w:rFonts w:ascii="Arial" w:cs="Arial" w:eastAsia="Arial" w:hAnsi="Arial"/>
                <w:sz w:val="15"/>
                <w:szCs w:val="15"/>
                <w:b w:val="1"/>
                <w:bCs w:val="1"/>
                <w:color w:val="auto"/>
                <w:w w:val="96"/>
              </w:rPr>
              <w:t>Three Months Ended March 31, 2022</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38"/>
              <w:spacing w:after="0"/>
              <w:rPr>
                <w:sz w:val="20"/>
                <w:szCs w:val="20"/>
                <w:color w:val="auto"/>
              </w:rPr>
            </w:pPr>
            <w:r>
              <w:rPr>
                <w:rFonts w:ascii="Arial" w:cs="Arial" w:eastAsia="Arial" w:hAnsi="Arial"/>
                <w:sz w:val="15"/>
                <w:szCs w:val="15"/>
                <w:b w:val="1"/>
                <w:bCs w:val="1"/>
                <w:color w:val="auto"/>
                <w:w w:val="92"/>
              </w:rPr>
              <w:t>Vacation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260"/>
              <w:spacing w:after="0" w:line="150" w:lineRule="exact"/>
              <w:rPr>
                <w:sz w:val="20"/>
                <w:szCs w:val="20"/>
                <w:color w:val="auto"/>
              </w:rPr>
            </w:pPr>
            <w:r>
              <w:rPr>
                <w:rFonts w:ascii="Arial" w:cs="Arial" w:eastAsia="Arial" w:hAnsi="Arial"/>
                <w:sz w:val="15"/>
                <w:szCs w:val="15"/>
                <w:b w:val="1"/>
                <w:bCs w:val="1"/>
                <w:color w:val="auto"/>
                <w:w w:val="97"/>
              </w:rPr>
              <w:t>Exchange &amp;</w:t>
            </w:r>
          </w:p>
        </w:tc>
        <w:tc>
          <w:tcPr>
            <w:tcW w:w="20" w:type="dxa"/>
            <w:vAlign w:val="bottom"/>
          </w:tcPr>
          <w:p>
            <w:pPr>
              <w:spacing w:after="0"/>
              <w:rPr>
                <w:sz w:val="13"/>
                <w:szCs w:val="13"/>
                <w:color w:val="auto"/>
              </w:rPr>
            </w:pPr>
          </w:p>
        </w:tc>
        <w:tc>
          <w:tcPr>
            <w:tcW w:w="1200" w:type="dxa"/>
            <w:vAlign w:val="bottom"/>
            <w:gridSpan w:val="4"/>
            <w:vMerge w:val="restart"/>
          </w:tcPr>
          <w:p>
            <w:pPr>
              <w:jc w:val="center"/>
              <w:ind w:right="100"/>
              <w:spacing w:after="0"/>
              <w:rPr>
                <w:sz w:val="20"/>
                <w:szCs w:val="20"/>
                <w:color w:val="auto"/>
              </w:rPr>
            </w:pPr>
            <w:r>
              <w:rPr>
                <w:rFonts w:ascii="Arial" w:cs="Arial" w:eastAsia="Arial" w:hAnsi="Arial"/>
                <w:sz w:val="15"/>
                <w:szCs w:val="15"/>
                <w:b w:val="1"/>
                <w:bCs w:val="1"/>
                <w:color w:val="auto"/>
                <w:w w:val="95"/>
              </w:rPr>
              <w:t>Corporate and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260"/>
              <w:spacing w:after="0" w:line="155" w:lineRule="exact"/>
              <w:rPr>
                <w:sz w:val="20"/>
                <w:szCs w:val="20"/>
                <w:color w:val="auto"/>
              </w:rPr>
            </w:pPr>
            <w:r>
              <w:rPr>
                <w:rFonts w:ascii="Arial" w:cs="Arial" w:eastAsia="Arial" w:hAnsi="Arial"/>
                <w:sz w:val="15"/>
                <w:szCs w:val="15"/>
                <w:b w:val="1"/>
                <w:bCs w:val="1"/>
                <w:color w:val="auto"/>
              </w:rPr>
              <w:t>Third-Party</w:t>
            </w:r>
          </w:p>
        </w:tc>
        <w:tc>
          <w:tcPr>
            <w:tcW w:w="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92"/>
              </w:rPr>
              <w:t>Ownership</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Management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9"/>
              </w:rPr>
              <w:t>Other</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Vacation Ownership Products</w:t>
      </w:r>
    </w:p>
    <w:p>
      <w:pPr>
        <w:spacing w:after="0" w:line="11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Revenues were reduced during the first quarter of 2023 by $8 million due to changes in our estimates of variable consideration for performance obligations that were satisfied in prior periods.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from Contracts with Customers, Contract Assets, &amp; Contract Liabilities</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shows the composition of our receivables from contracts with customers and contract liabilities. We had no contract assets at either March 31, 2023 or December 31,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5"/>
                <w:szCs w:val="15"/>
                <w:b w:val="1"/>
                <w:bCs w:val="1"/>
                <w:color w:val="auto"/>
              </w:rPr>
              <w:t>At March 31, 2023</w:t>
            </w:r>
          </w:p>
        </w:tc>
        <w:tc>
          <w:tcPr>
            <w:tcW w:w="120" w:type="dxa"/>
            <w:vAlign w:val="bottom"/>
          </w:tcPr>
          <w:p>
            <w:pPr>
              <w:spacing w:after="0"/>
              <w:rPr>
                <w:sz w:val="17"/>
                <w:szCs w:val="17"/>
                <w:color w:val="auto"/>
              </w:rPr>
            </w:pPr>
          </w:p>
        </w:tc>
        <w:tc>
          <w:tcPr>
            <w:tcW w:w="1640" w:type="dxa"/>
            <w:vAlign w:val="bottom"/>
          </w:tcPr>
          <w:p>
            <w:pPr>
              <w:jc w:val="right"/>
              <w:ind w:right="75"/>
              <w:spacing w:after="0"/>
              <w:rPr>
                <w:sz w:val="20"/>
                <w:szCs w:val="20"/>
                <w:color w:val="auto"/>
              </w:rPr>
            </w:pPr>
            <w:r>
              <w:rPr>
                <w:rFonts w:ascii="Arial" w:cs="Arial" w:eastAsia="Arial" w:hAnsi="Arial"/>
                <w:sz w:val="15"/>
                <w:szCs w:val="15"/>
                <w:b w:val="1"/>
                <w:bCs w:val="1"/>
                <w:color w:val="auto"/>
                <w:w w:val="94"/>
              </w:rPr>
              <w:t>At December 31, 2022</w:t>
            </w:r>
          </w:p>
        </w:tc>
      </w:tr>
      <w:tr>
        <w:trPr>
          <w:trHeight w:val="227"/>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Receivables from Contracts with Customers</w:t>
            </w: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44"/>
        </w:trPr>
        <w:tc>
          <w:tcPr>
            <w:tcW w:w="4680" w:type="dxa"/>
            <w:vAlign w:val="bottom"/>
          </w:tcPr>
          <w:p>
            <w:pPr>
              <w:ind w:left="220"/>
              <w:spacing w:after="0"/>
              <w:rPr>
                <w:sz w:val="20"/>
                <w:szCs w:val="20"/>
                <w:color w:val="auto"/>
              </w:rPr>
            </w:pPr>
            <w:r>
              <w:rPr>
                <w:rFonts w:ascii="Arial" w:cs="Arial" w:eastAsia="Arial" w:hAnsi="Arial"/>
                <w:sz w:val="17"/>
                <w:szCs w:val="17"/>
                <w:color w:val="auto"/>
              </w:rPr>
              <w:t>Accounts and contracts receivable, net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45"/>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Vacation ownership notes receivable, net</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w:t>
            </w:r>
          </w:p>
        </w:tc>
      </w:tr>
      <w:tr>
        <w:trPr>
          <w:trHeight w:val="212"/>
        </w:trPr>
        <w:tc>
          <w:tcPr>
            <w:tcW w:w="46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1"/>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Contract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44"/>
        </w:trPr>
        <w:tc>
          <w:tcPr>
            <w:tcW w:w="4680" w:type="dxa"/>
            <w:vAlign w:val="bottom"/>
          </w:tcPr>
          <w:p>
            <w:pPr>
              <w:ind w:left="220"/>
              <w:spacing w:after="0"/>
              <w:rPr>
                <w:sz w:val="20"/>
                <w:szCs w:val="20"/>
                <w:color w:val="auto"/>
              </w:rPr>
            </w:pPr>
            <w:r>
              <w:rPr>
                <w:rFonts w:ascii="Arial" w:cs="Arial" w:eastAsia="Arial" w:hAnsi="Arial"/>
                <w:sz w:val="17"/>
                <w:szCs w:val="17"/>
                <w:color w:val="auto"/>
              </w:rPr>
              <w:t>Advance deposits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178</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45"/>
        </w:trPr>
        <w:tc>
          <w:tcPr>
            <w:tcW w:w="4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12"/>
        </w:trPr>
        <w:tc>
          <w:tcPr>
            <w:tcW w:w="46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recognized during the first quarter of 2023 that was included in our contract liabilities balance at December 31, 2022 was $100 million.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4" w:lineRule="exact"/>
        <w:rPr>
          <w:sz w:val="20"/>
          <w:szCs w:val="20"/>
          <w:color w:val="auto"/>
        </w:rPr>
      </w:pPr>
    </w:p>
    <w:p>
      <w:pPr>
        <w:ind w:right="20"/>
        <w:spacing w:after="0" w:line="348" w:lineRule="auto"/>
        <w:rPr>
          <w:sz w:val="20"/>
          <w:szCs w:val="20"/>
          <w:color w:val="auto"/>
        </w:rPr>
      </w:pPr>
      <w:r>
        <w:rPr>
          <w:rFonts w:ascii="Arial" w:cs="Arial" w:eastAsia="Arial" w:hAnsi="Arial"/>
          <w:sz w:val="15"/>
          <w:szCs w:val="15"/>
          <w:color w:val="auto"/>
        </w:rPr>
        <w:t>Our remaining performance obligations represent the expected transaction price allocated to our contracts that we expect to recognize as revenue in future periods when we perform under the contracts. At March 31, 2023, approximately 91% of this amount is expected to be recognized as revenue over the next two years.</w:t>
      </w:r>
    </w:p>
    <w:p>
      <w:pPr>
        <w:spacing w:after="0" w:line="18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and Contracts Receivable</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5"/>
                <w:szCs w:val="15"/>
                <w:b w:val="1"/>
                <w:bCs w:val="1"/>
                <w:color w:val="auto"/>
              </w:rPr>
              <w:t>At March 31, 2023</w:t>
            </w:r>
          </w:p>
        </w:tc>
        <w:tc>
          <w:tcPr>
            <w:tcW w:w="120" w:type="dxa"/>
            <w:vAlign w:val="bottom"/>
          </w:tcPr>
          <w:p>
            <w:pPr>
              <w:spacing w:after="0"/>
              <w:rPr>
                <w:sz w:val="17"/>
                <w:szCs w:val="17"/>
                <w:color w:val="auto"/>
              </w:rPr>
            </w:pPr>
          </w:p>
        </w:tc>
        <w:tc>
          <w:tcPr>
            <w:tcW w:w="1640" w:type="dxa"/>
            <w:vAlign w:val="bottom"/>
          </w:tcPr>
          <w:p>
            <w:pPr>
              <w:jc w:val="right"/>
              <w:ind w:right="75"/>
              <w:spacing w:after="0"/>
              <w:rPr>
                <w:sz w:val="20"/>
                <w:szCs w:val="20"/>
                <w:color w:val="auto"/>
              </w:rPr>
            </w:pPr>
            <w:r>
              <w:rPr>
                <w:rFonts w:ascii="Arial" w:cs="Arial" w:eastAsia="Arial" w:hAnsi="Arial"/>
                <w:sz w:val="15"/>
                <w:szCs w:val="15"/>
                <w:b w:val="1"/>
                <w:bCs w:val="1"/>
                <w:color w:val="auto"/>
                <w:w w:val="94"/>
              </w:rPr>
              <w:t>At December 31, 2022</w:t>
            </w:r>
          </w:p>
        </w:tc>
      </w:tr>
      <w:tr>
        <w:trPr>
          <w:trHeight w:val="227"/>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Receivables from contracts with customers,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44"/>
        </w:trPr>
        <w:tc>
          <w:tcPr>
            <w:tcW w:w="468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45"/>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receivable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44"/>
        </w:trPr>
        <w:tc>
          <w:tcPr>
            <w:tcW w:w="4680" w:type="dxa"/>
            <w:vAlign w:val="bottom"/>
          </w:tcPr>
          <w:p>
            <w:pPr>
              <w:ind w:left="20"/>
              <w:spacing w:after="0"/>
              <w:rPr>
                <w:sz w:val="20"/>
                <w:szCs w:val="20"/>
                <w:color w:val="auto"/>
              </w:rPr>
            </w:pPr>
            <w:r>
              <w:rPr>
                <w:rFonts w:ascii="Arial" w:cs="Arial" w:eastAsia="Arial" w:hAnsi="Arial"/>
                <w:sz w:val="17"/>
                <w:szCs w:val="17"/>
                <w:color w:val="auto"/>
              </w:rPr>
              <w:t>Indemnification assets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5"/>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tax credit receivable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4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37"/>
        </w:trPr>
        <w:tc>
          <w:tcPr>
            <w:tcW w:w="4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400" w:hanging="380"/>
        <w:spacing w:after="0"/>
        <w:tabs>
          <w:tab w:leader="none" w:pos="4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1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interim effective tax rate was 32.3% and 35.6% for the three months ended March 31, 2023 and March 31, 2022, respectively. The decrease in the effective tax rate is predominately attributable to an increase in Income Before Income Taxes and Noncontrolling Interests and a net increase in discrete items, including a net increase in the reserve for uncertain tax benefits of $16 million, partially offset by an increase in our share-based compensation benefit of $5 million and a $4 million increase in favorable foreign income tax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11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following table summarizes the activity related to our unrecognized tax benefits (excluding interest and penalties) during the three months ended March 31, 2023. These unrecognized tax benefits relate to uncertain income tax positions, which would affect the effective tax rate if recognized.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1"/>
              </w:rPr>
              <w:t>Unrecognized Tax Benefits</w:t>
            </w: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44"/>
        </w:trPr>
        <w:tc>
          <w:tcPr>
            <w:tcW w:w="6520" w:type="dxa"/>
            <w:vAlign w:val="bottom"/>
          </w:tcPr>
          <w:p>
            <w:pPr>
              <w:ind w:left="220"/>
              <w:spacing w:after="0"/>
              <w:rPr>
                <w:sz w:val="20"/>
                <w:szCs w:val="20"/>
                <w:color w:val="auto"/>
              </w:rPr>
            </w:pPr>
            <w:r>
              <w:rPr>
                <w:rFonts w:ascii="Arial" w:cs="Arial" w:eastAsia="Arial" w:hAnsi="Arial"/>
                <w:sz w:val="17"/>
                <w:szCs w:val="17"/>
                <w:color w:val="auto"/>
              </w:rPr>
              <w:t>Increases related to tax positions taken during a prior period</w:t>
            </w:r>
          </w:p>
        </w:tc>
        <w:tc>
          <w:tcPr>
            <w:tcW w:w="8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5"/>
        </w:trPr>
        <w:tc>
          <w:tcPr>
            <w:tcW w:w="6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Decreases related to tax positions taken during a prior period</w:t>
            </w:r>
          </w:p>
        </w:tc>
        <w:tc>
          <w:tcPr>
            <w:tcW w:w="8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1"/>
        </w:trPr>
        <w:tc>
          <w:tcPr>
            <w:tcW w:w="6520" w:type="dxa"/>
            <w:vAlign w:val="bottom"/>
          </w:tcPr>
          <w:p>
            <w:pPr>
              <w:ind w:left="20"/>
              <w:spacing w:after="0"/>
              <w:rPr>
                <w:sz w:val="20"/>
                <w:szCs w:val="20"/>
                <w:color w:val="auto"/>
              </w:rPr>
            </w:pPr>
            <w:r>
              <w:rPr>
                <w:rFonts w:ascii="Arial" w:cs="Arial" w:eastAsia="Arial" w:hAnsi="Arial"/>
                <w:sz w:val="17"/>
                <w:szCs w:val="17"/>
                <w:color w:val="auto"/>
              </w:rPr>
              <w:t>Balance at March 31, 2023</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0"/>
        </w:trPr>
        <w:tc>
          <w:tcPr>
            <w:tcW w:w="6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The total amount of gross interest and penalties accrued was $46 million at March 31, 2023 and $28 million at December 31, 2022, an increase of $18 million which is predominantly attributable to additional adjustments to the pre-acquisition reserves for uncertain tax positions. We anticipate $33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48" w:lineRule="exact"/>
        <w:rPr>
          <w:sz w:val="20"/>
          <w:szCs w:val="20"/>
          <w:color w:val="auto"/>
        </w:rPr>
      </w:pPr>
    </w:p>
    <w:p>
      <w:pPr>
        <w:ind w:right="260"/>
        <w:spacing w:after="0" w:line="348" w:lineRule="auto"/>
        <w:rPr>
          <w:sz w:val="20"/>
          <w:szCs w:val="20"/>
          <w:color w:val="auto"/>
        </w:rPr>
      </w:pPr>
      <w:r>
        <w:rPr>
          <w:rFonts w:ascii="Arial" w:cs="Arial" w:eastAsia="Arial" w:hAnsi="Arial"/>
          <w:sz w:val="15"/>
          <w:szCs w:val="15"/>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18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hanging="380"/>
        <w:spacing w:after="0"/>
        <w:tabs>
          <w:tab w:leader="none" w:pos="4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VACATION OWNERSHIP NOTES RECEIVABLE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our vacation ownership notes receivable balances, net of reserves.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rPr>
              <w:t>March 31, 2023</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w w:val="91"/>
              </w:rPr>
              <w:t>December 31, 2022</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9"/>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5"/>
                <w:szCs w:val="15"/>
                <w:b w:val="1"/>
                <w:bCs w:val="1"/>
                <w:color w:val="auto"/>
                <w:w w:val="95"/>
              </w:rPr>
              <w:t>Originated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5"/>
              </w:rPr>
              <w:t>Acquired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Originated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8"/>
              </w:rPr>
              <w:t>Acquired</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Total</w:t>
            </w:r>
          </w:p>
        </w:tc>
      </w:tr>
      <w:tr>
        <w:trPr>
          <w:trHeight w:val="227"/>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r>
      <w:tr>
        <w:trPr>
          <w:trHeight w:val="244"/>
        </w:trPr>
        <w:tc>
          <w:tcPr>
            <w:tcW w:w="2060" w:type="dxa"/>
            <w:vAlign w:val="bottom"/>
          </w:tcPr>
          <w:p>
            <w:pPr>
              <w:ind w:left="40"/>
              <w:spacing w:after="0"/>
              <w:rPr>
                <w:sz w:val="20"/>
                <w:szCs w:val="20"/>
                <w:color w:val="auto"/>
              </w:rPr>
            </w:pPr>
            <w:r>
              <w:rPr>
                <w:rFonts w:ascii="Arial" w:cs="Arial" w:eastAsia="Arial" w:hAnsi="Arial"/>
                <w:sz w:val="17"/>
                <w:szCs w:val="17"/>
                <w:color w:val="auto"/>
              </w:rPr>
              <w:t>Non-securitized</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5"/>
        </w:trPr>
        <w:tc>
          <w:tcPr>
            <w:tcW w:w="20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8"/>
              </w:rPr>
              <w:t>Eligible for securitization</w:t>
            </w:r>
            <w:r>
              <w:rPr>
                <w:rFonts w:ascii="Arial" w:cs="Arial" w:eastAsia="Arial" w:hAnsi="Arial"/>
                <w:sz w:val="10"/>
                <w:szCs w:val="10"/>
                <w:color w:val="auto"/>
                <w:w w:val="98"/>
              </w:rPr>
              <w:t>(1)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168"/>
        </w:trPr>
        <w:tc>
          <w:tcPr>
            <w:tcW w:w="2060" w:type="dxa"/>
            <w:vAlign w:val="bottom"/>
          </w:tcPr>
          <w:p>
            <w:pPr>
              <w:ind w:left="120"/>
              <w:spacing w:after="0" w:line="168" w:lineRule="exact"/>
              <w:rPr>
                <w:sz w:val="20"/>
                <w:szCs w:val="20"/>
                <w:color w:val="auto"/>
              </w:rPr>
            </w:pPr>
            <w:r>
              <w:rPr>
                <w:rFonts w:ascii="Arial" w:cs="Arial" w:eastAsia="Arial" w:hAnsi="Arial"/>
                <w:sz w:val="17"/>
                <w:szCs w:val="17"/>
                <w:color w:val="auto"/>
              </w:rPr>
              <w:t>Not eligible for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1"/>
        </w:trPr>
        <w:tc>
          <w:tcPr>
            <w:tcW w:w="2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securitization</w:t>
            </w:r>
            <w:r>
              <w:rPr>
                <w:rFonts w:ascii="Arial" w:cs="Arial" w:eastAsia="Arial" w:hAnsi="Arial"/>
                <w:sz w:val="10"/>
                <w:szCs w:val="10"/>
                <w:color w:val="auto"/>
              </w:rPr>
              <w:t>(1)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r>
      <w:tr>
        <w:trPr>
          <w:trHeight w:val="225"/>
        </w:trPr>
        <w:tc>
          <w:tcPr>
            <w:tcW w:w="2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Subtotal</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12"/>
        </w:trPr>
        <w:tc>
          <w:tcPr>
            <w:tcW w:w="2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1,998</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222</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1,956</w:t>
            </w:r>
          </w:p>
        </w:tc>
        <w:tc>
          <w:tcPr>
            <w:tcW w:w="3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2,198</w:t>
            </w: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right="3000" w:hanging="300"/>
        <w:spacing w:after="0" w:line="226" w:lineRule="auto"/>
        <w:tabs>
          <w:tab w:leader="none" w:pos="30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Refer to Footnote 7 “Financial Instruments” for discussion of eligibility of our vacation ownership notes receivable for securitization.</w:t>
      </w:r>
    </w:p>
    <w:p>
      <w:pPr>
        <w:spacing w:after="0" w:line="26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5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Pr>
          <w:p>
            <w:pPr>
              <w:spacing w:after="0"/>
              <w:rPr>
                <w:sz w:val="17"/>
                <w:szCs w:val="17"/>
                <w:color w:val="auto"/>
              </w:rPr>
            </w:pPr>
          </w:p>
        </w:tc>
        <w:tc>
          <w:tcPr>
            <w:tcW w:w="1180" w:type="dxa"/>
            <w:vAlign w:val="bottom"/>
          </w:tcPr>
          <w:p>
            <w:pPr>
              <w:jc w:val="right"/>
              <w:ind w:right="56"/>
              <w:spacing w:after="0"/>
              <w:rPr>
                <w:sz w:val="20"/>
                <w:szCs w:val="20"/>
                <w:color w:val="auto"/>
              </w:rPr>
            </w:pPr>
            <w:r>
              <w:rPr>
                <w:rFonts w:ascii="Arial" w:cs="Arial" w:eastAsia="Arial" w:hAnsi="Arial"/>
                <w:sz w:val="15"/>
                <w:szCs w:val="15"/>
                <w:b w:val="1"/>
                <w:bCs w:val="1"/>
                <w:color w:val="auto"/>
                <w:w w:val="95"/>
              </w:rPr>
              <w:t>March 31, 2022</w:t>
            </w:r>
          </w:p>
        </w:tc>
      </w:tr>
      <w:tr>
        <w:trPr>
          <w:trHeight w:val="150"/>
        </w:trPr>
        <w:tc>
          <w:tcPr>
            <w:tcW w:w="560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Interest income associated with vacation ownership notes receivable —</w:t>
            </w: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231"/>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168"/>
        </w:trPr>
        <w:tc>
          <w:tcPr>
            <w:tcW w:w="5600" w:type="dxa"/>
            <w:vAlign w:val="bottom"/>
          </w:tcPr>
          <w:p>
            <w:pPr>
              <w:ind w:left="20"/>
              <w:spacing w:after="0" w:line="168" w:lineRule="exact"/>
              <w:rPr>
                <w:sz w:val="20"/>
                <w:szCs w:val="20"/>
                <w:color w:val="auto"/>
              </w:rPr>
            </w:pPr>
            <w:r>
              <w:rPr>
                <w:rFonts w:ascii="Arial" w:cs="Arial" w:eastAsia="Arial" w:hAnsi="Arial"/>
                <w:sz w:val="17"/>
                <w:szCs w:val="17"/>
                <w:color w:val="auto"/>
                <w:w w:val="96"/>
              </w:rPr>
              <w:t>Interest income associated with vacation ownership notes receivable — non-</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1"/>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securitized</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3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Total interest income associated with vacation ownership notes receivable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Quality Indicators - Vacation Ownership Notes Receivable</w:t>
      </w:r>
    </w:p>
    <w:p>
      <w:pPr>
        <w:spacing w:after="0" w:line="11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use the origination of vacation ownership notes receivable by Marriott-, Sheraton-, and Westin-brands (“Combined Marriott”) and the FICO scores of the customer as the primary credit quality indicators, as historical performance indicates that there is a relationship between the default behavior of borrowers and the brand associated with the vacation ownership interest (“VOI”) they have acquired.</w:t>
      </w:r>
    </w:p>
    <w:p>
      <w:pPr>
        <w:spacing w:after="0" w:line="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weighted average FICO score within our consolidated vacation ownership notes receivable pool was 722 and 721, at March 31, 2023 and December 31, 2022, respectively, based on the FICO score of the borrower at the time of origination.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Acquired Vacation Ownership Notes Receivable</w:t>
      </w:r>
    </w:p>
    <w:p>
      <w:pPr>
        <w:spacing w:after="0" w:line="114"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March 31,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gridSpan w:val="8"/>
          </w:tcPr>
          <w:p>
            <w:pPr>
              <w:jc w:val="center"/>
              <w:ind w:right="3040"/>
              <w:spacing w:after="0"/>
              <w:rPr>
                <w:sz w:val="20"/>
                <w:szCs w:val="20"/>
                <w:color w:val="auto"/>
              </w:rPr>
            </w:pPr>
            <w:r>
              <w:rPr>
                <w:rFonts w:ascii="Arial" w:cs="Arial" w:eastAsia="Arial" w:hAnsi="Arial"/>
                <w:sz w:val="15"/>
                <w:szCs w:val="15"/>
                <w:b w:val="1"/>
                <w:bCs w:val="1"/>
                <w:color w:val="auto"/>
                <w:w w:val="92"/>
              </w:rPr>
              <w:t>Acquired Vacation Ownership Notes Receivable</w:t>
            </w:r>
          </w:p>
        </w:tc>
        <w:tc>
          <w:tcPr>
            <w:tcW w:w="0" w:type="dxa"/>
            <w:vAlign w:val="bottom"/>
          </w:tcPr>
          <w:p>
            <w:pPr>
              <w:spacing w:after="0"/>
              <w:rPr>
                <w:sz w:val="1"/>
                <w:szCs w:val="1"/>
                <w:color w:val="auto"/>
              </w:rPr>
            </w:pPr>
          </w:p>
        </w:tc>
      </w:tr>
      <w:tr>
        <w:trPr>
          <w:trHeight w:val="199"/>
        </w:trPr>
        <w:tc>
          <w:tcPr>
            <w:tcW w:w="3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5"/>
                <w:szCs w:val="15"/>
                <w:b w:val="1"/>
                <w:bCs w:val="1"/>
                <w:color w:val="auto"/>
                <w:w w:val="92"/>
              </w:rPr>
              <w:t>Non-Securitized</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2"/>
              </w:rPr>
              <w:t>Securitized</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94"/>
              </w:rPr>
              <w:t>Total</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0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0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6"/>
              <w:spacing w:after="0" w:line="189" w:lineRule="exact"/>
              <w:rPr>
                <w:sz w:val="20"/>
                <w:szCs w:val="20"/>
                <w:color w:val="auto"/>
              </w:rPr>
            </w:pPr>
            <w:r>
              <w:rPr>
                <w:rFonts w:ascii="Arial" w:cs="Arial" w:eastAsia="Arial" w:hAnsi="Arial"/>
                <w:sz w:val="17"/>
                <w:szCs w:val="17"/>
                <w:color w:val="auto"/>
                <w:w w:val="95"/>
              </w:rPr>
              <w:t>13.9%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5"/>
              <w:spacing w:after="0" w:line="189" w:lineRule="exact"/>
              <w:rPr>
                <w:sz w:val="20"/>
                <w:szCs w:val="20"/>
                <w:color w:val="auto"/>
              </w:rPr>
            </w:pPr>
            <w:r>
              <w:rPr>
                <w:rFonts w:ascii="Arial" w:cs="Arial" w:eastAsia="Arial" w:hAnsi="Arial"/>
                <w:sz w:val="17"/>
                <w:szCs w:val="17"/>
                <w:color w:val="auto"/>
                <w:w w:val="91"/>
              </w:rPr>
              <w:t>14.2%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5"/>
              <w:spacing w:after="0" w:line="189" w:lineRule="exact"/>
              <w:rPr>
                <w:sz w:val="20"/>
                <w:szCs w:val="20"/>
                <w:color w:val="auto"/>
              </w:rPr>
            </w:pPr>
            <w:r>
              <w:rPr>
                <w:rFonts w:ascii="Arial" w:cs="Arial" w:eastAsia="Arial" w:hAnsi="Arial"/>
                <w:sz w:val="17"/>
                <w:szCs w:val="17"/>
                <w:color w:val="auto"/>
                <w:w w:val="91"/>
              </w:rPr>
              <w:t>14.2%</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color w:val="auto"/>
                <w:w w:val="92"/>
              </w:rPr>
              <w:t>0.0% to 21.9%</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2"/>
              </w:rPr>
              <w:t>0.0% to 21.9%</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2"/>
              </w:rPr>
              <w:t>0.0% to 21.9%</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2"/>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63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related to our acquired vacation ownership notes receivable reserve.</w:t>
      </w:r>
    </w:p>
    <w:p>
      <w:pPr>
        <w:spacing w:after="0" w:line="111"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Acquired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36830</wp:posOffset>
            </wp:positionV>
            <wp:extent cx="3009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spacing w:after="0" w:line="49" w:lineRule="exact"/>
        <w:rPr>
          <w:sz w:val="20"/>
          <w:szCs w:val="20"/>
          <w:color w:val="auto"/>
        </w:rPr>
      </w:pPr>
    </w:p>
    <w:p>
      <w:pPr>
        <w:ind w:left="20"/>
        <w:spacing w:after="0"/>
        <w:tabs>
          <w:tab w:leader="none" w:pos="3800" w:val="left"/>
          <w:tab w:leader="none" w:pos="5600" w:val="left"/>
          <w:tab w:leader="none" w:pos="742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5"/>
          <w:szCs w:val="15"/>
          <w:b w:val="1"/>
          <w:bCs w:val="1"/>
          <w:color w:val="auto"/>
        </w:rPr>
        <w:t>Non-Securitized</w:t>
      </w:r>
      <w:r>
        <w:rPr>
          <w:sz w:val="20"/>
          <w:szCs w:val="20"/>
          <w:color w:val="auto"/>
        </w:rPr>
        <w:tab/>
      </w:r>
      <w:r>
        <w:rPr>
          <w:rFonts w:ascii="Arial" w:cs="Arial" w:eastAsia="Arial" w:hAnsi="Arial"/>
          <w:sz w:val="15"/>
          <w:szCs w:val="15"/>
          <w:b w:val="1"/>
          <w:bCs w:val="1"/>
          <w:color w:val="auto"/>
        </w:rPr>
        <w:t>Securitized</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5299075" cy="155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520" w:type="dxa"/>
            <w:vAlign w:val="bottom"/>
          </w:tcPr>
          <w:p>
            <w:pPr>
              <w:spacing w:after="0"/>
              <w:rPr>
                <w:sz w:val="20"/>
                <w:szCs w:val="20"/>
                <w:color w:val="auto"/>
              </w:rPr>
            </w:pPr>
            <w:r>
              <w:rPr>
                <w:rFonts w:ascii="Arial" w:cs="Arial" w:eastAsia="Arial" w:hAnsi="Arial"/>
                <w:sz w:val="17"/>
                <w:szCs w:val="17"/>
                <w:color w:val="auto"/>
              </w:rPr>
              <w:t>Balance at December 31, 2022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3520" w:type="dxa"/>
            <w:vAlign w:val="bottom"/>
          </w:tcPr>
          <w:p>
            <w:pPr>
              <w:ind w:left="100"/>
              <w:spacing w:after="0"/>
              <w:rPr>
                <w:sz w:val="20"/>
                <w:szCs w:val="20"/>
                <w:color w:val="auto"/>
              </w:rPr>
            </w:pPr>
            <w:r>
              <w:rPr>
                <w:rFonts w:ascii="Arial" w:cs="Arial" w:eastAsia="Arial" w:hAnsi="Arial"/>
                <w:sz w:val="17"/>
                <w:szCs w:val="17"/>
                <w:color w:val="auto"/>
              </w:rPr>
              <w:t>Write-offs</w:t>
            </w:r>
          </w:p>
        </w:tc>
        <w:tc>
          <w:tcPr>
            <w:tcW w:w="180" w:type="dxa"/>
            <w:vAlign w:val="bottom"/>
          </w:tcPr>
          <w:p>
            <w:pPr>
              <w:spacing w:after="0"/>
              <w:rPr>
                <w:sz w:val="19"/>
                <w:szCs w:val="19"/>
                <w:color w:val="auto"/>
              </w:rPr>
            </w:pPr>
          </w:p>
        </w:tc>
      </w:tr>
      <w:tr>
        <w:trPr>
          <w:trHeight w:val="245"/>
        </w:trPr>
        <w:tc>
          <w:tcPr>
            <w:tcW w:w="3520" w:type="dxa"/>
            <w:vAlign w:val="bottom"/>
          </w:tcPr>
          <w:p>
            <w:pPr>
              <w:ind w:left="100"/>
              <w:spacing w:after="0"/>
              <w:rPr>
                <w:sz w:val="20"/>
                <w:szCs w:val="20"/>
                <w:color w:val="auto"/>
              </w:rPr>
            </w:pPr>
            <w:r>
              <w:rPr>
                <w:rFonts w:ascii="Arial" w:cs="Arial" w:eastAsia="Arial" w:hAnsi="Arial"/>
                <w:sz w:val="17"/>
                <w:szCs w:val="17"/>
                <w:color w:val="auto"/>
              </w:rPr>
              <w:t>Recoveries</w:t>
            </w:r>
          </w:p>
        </w:tc>
        <w:tc>
          <w:tcPr>
            <w:tcW w:w="180" w:type="dxa"/>
            <w:vAlign w:val="bottom"/>
          </w:tcPr>
          <w:p>
            <w:pPr>
              <w:spacing w:after="0"/>
              <w:rPr>
                <w:sz w:val="21"/>
                <w:szCs w:val="21"/>
                <w:color w:val="auto"/>
              </w:rPr>
            </w:pPr>
          </w:p>
        </w:tc>
      </w:tr>
      <w:tr>
        <w:trPr>
          <w:trHeight w:val="208"/>
        </w:trPr>
        <w:tc>
          <w:tcPr>
            <w:tcW w:w="3520" w:type="dxa"/>
            <w:vAlign w:val="bottom"/>
          </w:tcPr>
          <w:p>
            <w:pPr>
              <w:ind w:left="100"/>
              <w:spacing w:after="0"/>
              <w:rPr>
                <w:sz w:val="20"/>
                <w:szCs w:val="20"/>
                <w:color w:val="auto"/>
              </w:rPr>
            </w:pPr>
            <w:r>
              <w:rPr>
                <w:rFonts w:ascii="Arial" w:cs="Arial" w:eastAsia="Arial" w:hAnsi="Arial"/>
                <w:sz w:val="17"/>
                <w:szCs w:val="17"/>
                <w:color w:val="auto"/>
                <w:w w:val="96"/>
              </w:rPr>
              <w:t>Defaulted vacation ownership notes receivable</w:t>
            </w:r>
          </w:p>
        </w:tc>
        <w:tc>
          <w:tcPr>
            <w:tcW w:w="180" w:type="dxa"/>
            <w:vAlign w:val="bottom"/>
          </w:tcPr>
          <w:p>
            <w:pPr>
              <w:spacing w:after="0"/>
              <w:rPr>
                <w:sz w:val="18"/>
                <w:szCs w:val="18"/>
                <w:color w:val="auto"/>
              </w:rPr>
            </w:pPr>
          </w:p>
        </w:tc>
      </w:tr>
      <w:tr>
        <w:trPr>
          <w:trHeight w:val="217"/>
        </w:trPr>
        <w:tc>
          <w:tcPr>
            <w:tcW w:w="3520" w:type="dxa"/>
            <w:vAlign w:val="bottom"/>
          </w:tcPr>
          <w:p>
            <w:pPr>
              <w:ind w:left="100"/>
              <w:spacing w:after="0"/>
              <w:rPr>
                <w:sz w:val="20"/>
                <w:szCs w:val="20"/>
                <w:color w:val="auto"/>
              </w:rPr>
            </w:pPr>
            <w:r>
              <w:rPr>
                <w:rFonts w:ascii="Arial" w:cs="Arial" w:eastAsia="Arial" w:hAnsi="Arial"/>
                <w:sz w:val="17"/>
                <w:szCs w:val="17"/>
                <w:color w:val="auto"/>
              </w:rPr>
              <w:t>repurchase activity</w:t>
            </w:r>
            <w:r>
              <w:rPr>
                <w:rFonts w:ascii="Arial" w:cs="Arial" w:eastAsia="Arial" w:hAnsi="Arial"/>
                <w:sz w:val="8"/>
                <w:szCs w:val="8"/>
                <w:color w:val="auto"/>
              </w:rPr>
              <w:t>(1)</w:t>
            </w:r>
          </w:p>
        </w:tc>
        <w:tc>
          <w:tcPr>
            <w:tcW w:w="180" w:type="dxa"/>
            <w:vAlign w:val="bottom"/>
          </w:tcPr>
          <w:p>
            <w:pPr>
              <w:spacing w:after="0"/>
              <w:rPr>
                <w:sz w:val="18"/>
                <w:szCs w:val="18"/>
                <w:color w:val="auto"/>
              </w:rPr>
            </w:pPr>
          </w:p>
        </w:tc>
      </w:tr>
      <w:tr>
        <w:trPr>
          <w:trHeight w:val="182"/>
        </w:trPr>
        <w:tc>
          <w:tcPr>
            <w:tcW w:w="3520" w:type="dxa"/>
            <w:vAlign w:val="bottom"/>
          </w:tcPr>
          <w:p>
            <w:pPr>
              <w:ind w:left="100"/>
              <w:spacing w:after="0" w:line="182" w:lineRule="exact"/>
              <w:rPr>
                <w:sz w:val="20"/>
                <w:szCs w:val="20"/>
                <w:color w:val="auto"/>
              </w:rPr>
            </w:pPr>
            <w:r>
              <w:rPr>
                <w:rFonts w:ascii="Arial" w:cs="Arial" w:eastAsia="Arial" w:hAnsi="Arial"/>
                <w:sz w:val="17"/>
                <w:szCs w:val="17"/>
                <w:color w:val="auto"/>
                <w:w w:val="92"/>
              </w:rPr>
              <w:t>(Decrease) increase in vacation ownership notes</w:t>
            </w:r>
          </w:p>
        </w:tc>
        <w:tc>
          <w:tcPr>
            <w:tcW w:w="180" w:type="dxa"/>
            <w:vAlign w:val="bottom"/>
          </w:tcPr>
          <w:p>
            <w:pPr>
              <w:spacing w:after="0"/>
              <w:rPr>
                <w:sz w:val="15"/>
                <w:szCs w:val="15"/>
                <w:color w:val="auto"/>
              </w:rPr>
            </w:pPr>
          </w:p>
        </w:tc>
      </w:tr>
      <w:tr>
        <w:trPr>
          <w:trHeight w:val="217"/>
        </w:trPr>
        <w:tc>
          <w:tcPr>
            <w:tcW w:w="3520" w:type="dxa"/>
            <w:vAlign w:val="bottom"/>
          </w:tcPr>
          <w:p>
            <w:pPr>
              <w:ind w:left="100"/>
              <w:spacing w:after="0"/>
              <w:rPr>
                <w:sz w:val="20"/>
                <w:szCs w:val="20"/>
                <w:color w:val="auto"/>
              </w:rPr>
            </w:pPr>
            <w:r>
              <w:rPr>
                <w:rFonts w:ascii="Arial" w:cs="Arial" w:eastAsia="Arial" w:hAnsi="Arial"/>
                <w:sz w:val="17"/>
                <w:szCs w:val="17"/>
                <w:color w:val="auto"/>
              </w:rPr>
              <w:t>receivable reserve</w:t>
            </w:r>
          </w:p>
        </w:tc>
        <w:tc>
          <w:tcPr>
            <w:tcW w:w="180" w:type="dxa"/>
            <w:vAlign w:val="bottom"/>
          </w:tcPr>
          <w:p>
            <w:pPr>
              <w:spacing w:after="0"/>
              <w:rPr>
                <w:sz w:val="18"/>
                <w:szCs w:val="18"/>
                <w:color w:val="auto"/>
              </w:rPr>
            </w:pPr>
          </w:p>
        </w:tc>
      </w:tr>
      <w:tr>
        <w:trPr>
          <w:trHeight w:val="258"/>
        </w:trPr>
        <w:tc>
          <w:tcPr>
            <w:tcW w:w="3520" w:type="dxa"/>
            <w:vAlign w:val="bottom"/>
          </w:tcPr>
          <w:p>
            <w:pPr>
              <w:spacing w:after="0"/>
              <w:rPr>
                <w:sz w:val="20"/>
                <w:szCs w:val="20"/>
                <w:color w:val="auto"/>
              </w:rPr>
            </w:pPr>
            <w:r>
              <w:rPr>
                <w:rFonts w:ascii="Arial" w:cs="Arial" w:eastAsia="Arial" w:hAnsi="Arial"/>
                <w:sz w:val="17"/>
                <w:szCs w:val="17"/>
                <w:color w:val="auto"/>
              </w:rPr>
              <w:t>Balance at March 31, 2023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-824230</wp:posOffset>
            </wp:positionV>
            <wp:extent cx="5299075" cy="155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99075"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-415290</wp:posOffset>
            </wp:positionV>
            <wp:extent cx="5299075" cy="253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99075" cy="253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80" w:type="dxa"/>
            <w:vAlign w:val="bottom"/>
          </w:tcPr>
          <w:p>
            <w:pPr>
              <w:jc w:val="right"/>
              <w:ind w:right="114"/>
              <w:spacing w:after="0"/>
              <w:rPr>
                <w:sz w:val="20"/>
                <w:szCs w:val="20"/>
                <w:color w:val="auto"/>
              </w:rPr>
            </w:pPr>
            <w:r>
              <w:rPr>
                <w:rFonts w:ascii="Arial" w:cs="Arial" w:eastAsia="Arial" w:hAnsi="Arial"/>
                <w:sz w:val="17"/>
                <w:szCs w:val="17"/>
                <w:color w:val="auto"/>
                <w:w w:val="84"/>
              </w:rPr>
              <w:t>11</w:t>
            </w:r>
          </w:p>
        </w:tc>
        <w:tc>
          <w:tcPr>
            <w:tcW w:w="680" w:type="dxa"/>
            <w:vAlign w:val="bottom"/>
          </w:tcPr>
          <w:p>
            <w:pPr>
              <w:jc w:val="right"/>
              <w:ind w:right="49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5"/>
        </w:trPr>
        <w:tc>
          <w:tcPr>
            <w:tcW w:w="380" w:type="dxa"/>
            <w:vAlign w:val="bottom"/>
          </w:tcPr>
          <w:p>
            <w:pPr>
              <w:jc w:val="right"/>
              <w:ind w:right="74"/>
              <w:spacing w:after="0"/>
              <w:rPr>
                <w:sz w:val="20"/>
                <w:szCs w:val="20"/>
                <w:color w:val="auto"/>
              </w:rPr>
            </w:pPr>
            <w:r>
              <w:rPr>
                <w:rFonts w:ascii="Arial" w:cs="Arial" w:eastAsia="Arial" w:hAnsi="Arial"/>
                <w:sz w:val="17"/>
                <w:szCs w:val="17"/>
                <w:color w:val="auto"/>
                <w:w w:val="96"/>
              </w:rPr>
              <w:t>(7)</w:t>
            </w:r>
          </w:p>
        </w:tc>
        <w:tc>
          <w:tcPr>
            <w:tcW w:w="6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5"/>
        </w:trPr>
        <w:tc>
          <w:tcPr>
            <w:tcW w:w="380" w:type="dxa"/>
            <w:vAlign w:val="bottom"/>
          </w:tcPr>
          <w:p>
            <w:pPr>
              <w:jc w:val="right"/>
              <w:ind w:right="114"/>
              <w:spacing w:after="0"/>
              <w:rPr>
                <w:sz w:val="20"/>
                <w:szCs w:val="20"/>
                <w:color w:val="auto"/>
              </w:rPr>
            </w:pPr>
            <w:r>
              <w:rPr>
                <w:rFonts w:ascii="Arial" w:cs="Arial" w:eastAsia="Arial" w:hAnsi="Arial"/>
                <w:sz w:val="17"/>
                <w:szCs w:val="17"/>
                <w:color w:val="auto"/>
              </w:rPr>
              <w:t>4</w:t>
            </w:r>
          </w:p>
        </w:tc>
        <w:tc>
          <w:tcPr>
            <w:tcW w:w="6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99"/>
        </w:trPr>
        <w:tc>
          <w:tcPr>
            <w:tcW w:w="380" w:type="dxa"/>
            <w:vAlign w:val="bottom"/>
          </w:tcPr>
          <w:p>
            <w:pPr>
              <w:jc w:val="right"/>
              <w:ind w:right="114"/>
              <w:spacing w:after="0"/>
              <w:rPr>
                <w:sz w:val="20"/>
                <w:szCs w:val="20"/>
                <w:color w:val="auto"/>
              </w:rPr>
            </w:pPr>
            <w:r>
              <w:rPr>
                <w:rFonts w:ascii="Arial" w:cs="Arial" w:eastAsia="Arial" w:hAnsi="Arial"/>
                <w:sz w:val="17"/>
                <w:szCs w:val="17"/>
                <w:color w:val="auto"/>
              </w:rPr>
              <w:t>5</w:t>
            </w:r>
          </w:p>
        </w:tc>
        <w:tc>
          <w:tcPr>
            <w:tcW w:w="6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99"/>
        </w:trPr>
        <w:tc>
          <w:tcPr>
            <w:tcW w:w="380" w:type="dxa"/>
            <w:vAlign w:val="bottom"/>
          </w:tcPr>
          <w:p>
            <w:pPr>
              <w:jc w:val="right"/>
              <w:ind w:right="74"/>
              <w:spacing w:after="0"/>
              <w:rPr>
                <w:sz w:val="20"/>
                <w:szCs w:val="20"/>
                <w:color w:val="auto"/>
              </w:rPr>
            </w:pPr>
            <w:r>
              <w:rPr>
                <w:rFonts w:ascii="Arial" w:cs="Arial" w:eastAsia="Arial" w:hAnsi="Arial"/>
                <w:sz w:val="17"/>
                <w:szCs w:val="17"/>
                <w:color w:val="auto"/>
                <w:w w:val="96"/>
              </w:rPr>
              <w:t>(4)</w:t>
            </w: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80" w:type="dxa"/>
            <w:vAlign w:val="bottom"/>
          </w:tcPr>
          <w:p>
            <w:pPr>
              <w:jc w:val="right"/>
              <w:ind w:right="114"/>
              <w:spacing w:after="0"/>
              <w:rPr>
                <w:sz w:val="20"/>
                <w:szCs w:val="20"/>
                <w:color w:val="auto"/>
              </w:rPr>
            </w:pPr>
            <w:r>
              <w:rPr>
                <w:rFonts w:ascii="Arial" w:cs="Arial" w:eastAsia="Arial" w:hAnsi="Arial"/>
                <w:sz w:val="17"/>
                <w:szCs w:val="17"/>
                <w:color w:val="auto"/>
              </w:rPr>
              <w:t>9</w:t>
            </w:r>
          </w:p>
        </w:tc>
        <w:tc>
          <w:tcPr>
            <w:tcW w:w="6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0"/>
        </w:trPr>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-32385</wp:posOffset>
            </wp:positionV>
            <wp:extent cx="956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694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-7620</wp:posOffset>
            </wp:positionV>
            <wp:extent cx="956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694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-179070</wp:posOffset>
            </wp:positionV>
            <wp:extent cx="9569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6945"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4140" w:space="720"/>
            <w:col w:w="6380"/>
          </w:cols>
          <w:pgMar w:left="320" w:top="230" w:right="339" w:bottom="1440" w:gutter="0" w:footer="0" w:header="0"/>
          <w:type w:val="continuous"/>
        </w:sectPr>
      </w:pPr>
    </w:p>
    <w:p>
      <w:pPr>
        <w:jc w:val="both"/>
        <w:ind w:left="320" w:right="3580" w:hanging="300"/>
        <w:spacing w:after="0" w:line="234" w:lineRule="auto"/>
        <w:tabs>
          <w:tab w:leader="none" w:pos="30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show the acquired vacation ownership notes receivable, before reserves, by brand and FICO score.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gridSpan w:val="20"/>
          </w:tcPr>
          <w:p>
            <w:pPr>
              <w:jc w:val="right"/>
              <w:ind w:right="576"/>
              <w:spacing w:after="0"/>
              <w:rPr>
                <w:sz w:val="20"/>
                <w:szCs w:val="20"/>
                <w:color w:val="auto"/>
              </w:rPr>
            </w:pPr>
            <w:r>
              <w:rPr>
                <w:rFonts w:ascii="Arial" w:cs="Arial" w:eastAsia="Arial" w:hAnsi="Arial"/>
                <w:sz w:val="15"/>
                <w:szCs w:val="15"/>
                <w:b w:val="1"/>
                <w:bCs w:val="1"/>
                <w:color w:val="auto"/>
              </w:rPr>
              <w:t>Acquired Vacation Ownership Notes Receivable as of March 31, 2023</w:t>
            </w:r>
          </w:p>
        </w:tc>
      </w:tr>
      <w:tr>
        <w:trPr>
          <w:trHeight w:val="199"/>
        </w:trPr>
        <w:tc>
          <w:tcPr>
            <w:tcW w:w="2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8"/>
              <w:spacing w:after="0"/>
              <w:rPr>
                <w:sz w:val="20"/>
                <w:szCs w:val="20"/>
                <w:color w:val="auto"/>
              </w:rPr>
            </w:pPr>
            <w:r>
              <w:rPr>
                <w:rFonts w:ascii="Arial" w:cs="Arial" w:eastAsia="Arial" w:hAnsi="Arial"/>
                <w:sz w:val="15"/>
                <w:szCs w:val="15"/>
                <w:b w:val="1"/>
                <w:bCs w:val="1"/>
                <w:color w:val="auto"/>
              </w:rPr>
              <w:t>700+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6"/>
              <w:spacing w:after="0"/>
              <w:rPr>
                <w:sz w:val="20"/>
                <w:szCs w:val="20"/>
                <w:color w:val="auto"/>
              </w:rPr>
            </w:pPr>
            <w:r>
              <w:rPr>
                <w:rFonts w:ascii="Arial" w:cs="Arial" w:eastAsia="Arial" w:hAnsi="Arial"/>
                <w:sz w:val="15"/>
                <w:szCs w:val="15"/>
                <w:b w:val="1"/>
                <w:bCs w:val="1"/>
                <w:color w:val="auto"/>
                <w:w w:val="97"/>
              </w:rPr>
              <w:t>600 - 699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3"/>
              <w:spacing w:after="0"/>
              <w:rPr>
                <w:sz w:val="20"/>
                <w:szCs w:val="20"/>
                <w:color w:val="auto"/>
              </w:rPr>
            </w:pPr>
            <w:r>
              <w:rPr>
                <w:rFonts w:ascii="Arial" w:cs="Arial" w:eastAsia="Arial" w:hAnsi="Arial"/>
                <w:sz w:val="15"/>
                <w:szCs w:val="15"/>
                <w:b w:val="1"/>
                <w:bCs w:val="1"/>
                <w:color w:val="auto"/>
              </w:rPr>
              <w:t>&lt; 600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Arial" w:cs="Arial" w:eastAsia="Arial" w:hAnsi="Arial"/>
                <w:sz w:val="15"/>
                <w:szCs w:val="15"/>
                <w:b w:val="1"/>
                <w:bCs w:val="1"/>
                <w:color w:val="auto"/>
              </w:rPr>
              <w:t>No Score</w:t>
            </w:r>
          </w:p>
        </w:tc>
        <w:tc>
          <w:tcPr>
            <w:tcW w:w="240" w:type="dxa"/>
            <w:vAlign w:val="bottom"/>
          </w:tcPr>
          <w:p>
            <w:pPr>
              <w:spacing w:after="0"/>
              <w:rPr>
                <w:sz w:val="17"/>
                <w:szCs w:val="17"/>
                <w:color w:val="auto"/>
              </w:rPr>
            </w:pPr>
          </w:p>
        </w:tc>
        <w:tc>
          <w:tcPr>
            <w:tcW w:w="840" w:type="dxa"/>
            <w:vAlign w:val="bottom"/>
          </w:tcPr>
          <w:p>
            <w:pPr>
              <w:jc w:val="right"/>
              <w:ind w:right="296"/>
              <w:spacing w:after="0"/>
              <w:rPr>
                <w:sz w:val="20"/>
                <w:szCs w:val="20"/>
                <w:color w:val="auto"/>
              </w:rPr>
            </w:pPr>
            <w:r>
              <w:rPr>
                <w:rFonts w:ascii="Arial" w:cs="Arial" w:eastAsia="Arial" w:hAnsi="Arial"/>
                <w:sz w:val="15"/>
                <w:szCs w:val="15"/>
                <w:b w:val="1"/>
                <w:bCs w:val="1"/>
                <w:color w:val="auto"/>
              </w:rPr>
              <w:t>Total</w:t>
            </w:r>
          </w:p>
        </w:tc>
      </w:tr>
      <w:tr>
        <w:trPr>
          <w:trHeight w:val="227"/>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44"/>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4"/>
        </w:trPr>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0"/>
          </w:tcPr>
          <w:p>
            <w:pPr>
              <w:jc w:val="right"/>
              <w:ind w:right="436"/>
              <w:spacing w:after="0"/>
              <w:rPr>
                <w:sz w:val="20"/>
                <w:szCs w:val="20"/>
                <w:color w:val="auto"/>
              </w:rPr>
            </w:pPr>
            <w:r>
              <w:rPr>
                <w:rFonts w:ascii="Arial" w:cs="Arial" w:eastAsia="Arial" w:hAnsi="Arial"/>
                <w:sz w:val="15"/>
                <w:szCs w:val="15"/>
                <w:b w:val="1"/>
                <w:bCs w:val="1"/>
                <w:color w:val="auto"/>
                <w:w w:val="97"/>
              </w:rPr>
              <w:t>Acquired Vacation Ownership Notes Receivable as of December 31, 2022</w:t>
            </w:r>
          </w:p>
        </w:tc>
      </w:tr>
      <w:tr>
        <w:trPr>
          <w:trHeight w:val="199"/>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5"/>
                <w:szCs w:val="15"/>
                <w:b w:val="1"/>
                <w:bCs w:val="1"/>
                <w:color w:val="auto"/>
              </w:rPr>
              <w:t>700+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rPr>
              <w:t>600 - 699</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&lt; 600</w:t>
            </w: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No Score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Total</w:t>
            </w:r>
          </w:p>
        </w:tc>
      </w:tr>
      <w:tr>
        <w:trPr>
          <w:trHeight w:val="227"/>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44"/>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232"/>
        </w:trPr>
        <w:tc>
          <w:tcPr>
            <w:tcW w:w="24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following tables detail the origination year of our acquired vacation ownership notes receivable, before reserves, by brand and FICO score as of March 31, 2023, and gross write-offs by brand for the first quarter of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160" w:type="dxa"/>
            <w:vAlign w:val="bottom"/>
            <w:gridSpan w:val="14"/>
          </w:tcPr>
          <w:p>
            <w:pPr>
              <w:ind w:left="180"/>
              <w:spacing w:after="0"/>
              <w:rPr>
                <w:sz w:val="20"/>
                <w:szCs w:val="20"/>
                <w:color w:val="auto"/>
              </w:rPr>
            </w:pPr>
            <w:r>
              <w:rPr>
                <w:rFonts w:ascii="Arial" w:cs="Arial" w:eastAsia="Arial" w:hAnsi="Arial"/>
                <w:sz w:val="15"/>
                <w:szCs w:val="15"/>
                <w:b w:val="1"/>
                <w:bCs w:val="1"/>
                <w:color w:val="auto"/>
              </w:rPr>
              <w:t>Acquired Vacation Ownership Notes Receivable - Combined Marriott</w:t>
            </w:r>
          </w:p>
        </w:tc>
      </w:tr>
      <w:tr>
        <w:trPr>
          <w:trHeight w:val="19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Total</w:t>
            </w:r>
          </w:p>
        </w:tc>
        <w:tc>
          <w:tcPr>
            <w:tcW w:w="2900" w:type="dxa"/>
            <w:vAlign w:val="bottom"/>
          </w:tcPr>
          <w:p>
            <w:pPr>
              <w:spacing w:after="0"/>
              <w:rPr>
                <w:sz w:val="17"/>
                <w:szCs w:val="17"/>
                <w:color w:val="auto"/>
              </w:rPr>
            </w:pPr>
          </w:p>
        </w:tc>
      </w:tr>
      <w:tr>
        <w:trPr>
          <w:trHeight w:val="227"/>
        </w:trPr>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700</w:t>
            </w:r>
          </w:p>
        </w:tc>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900" w:type="dxa"/>
            <w:vAlign w:val="bottom"/>
          </w:tcPr>
          <w:p>
            <w:pPr>
              <w:spacing w:after="0"/>
              <w:rPr>
                <w:sz w:val="19"/>
                <w:szCs w:val="19"/>
                <w:color w:val="auto"/>
              </w:rPr>
            </w:pPr>
          </w:p>
        </w:tc>
      </w:tr>
      <w:tr>
        <w:trPr>
          <w:trHeight w:val="244"/>
        </w:trPr>
        <w:tc>
          <w:tcPr>
            <w:tcW w:w="280" w:type="dxa"/>
            <w:vAlign w:val="bottom"/>
          </w:tcPr>
          <w:p>
            <w:pPr>
              <w:ind w:left="20"/>
              <w:spacing w:after="0"/>
              <w:rPr>
                <w:sz w:val="20"/>
                <w:szCs w:val="20"/>
                <w:color w:val="auto"/>
              </w:rPr>
            </w:pPr>
            <w:r>
              <w:rPr>
                <w:rFonts w:ascii="Arial" w:cs="Arial" w:eastAsia="Arial" w:hAnsi="Arial"/>
                <w:sz w:val="15"/>
                <w:szCs w:val="15"/>
                <w:color w:val="auto"/>
                <w:w w:val="95"/>
              </w:rPr>
              <w:t>600</w:t>
            </w:r>
          </w:p>
        </w:tc>
        <w:tc>
          <w:tcPr>
            <w:tcW w:w="2500" w:type="dxa"/>
            <w:vAlign w:val="bottom"/>
          </w:tcPr>
          <w:p>
            <w:pPr>
              <w:ind w:left="20"/>
              <w:spacing w:after="0"/>
              <w:rPr>
                <w:sz w:val="20"/>
                <w:szCs w:val="20"/>
                <w:color w:val="auto"/>
              </w:rPr>
            </w:pPr>
            <w:r>
              <w:rPr>
                <w:rFonts w:ascii="Arial" w:cs="Arial" w:eastAsia="Arial" w:hAnsi="Arial"/>
                <w:sz w:val="15"/>
                <w:szCs w:val="15"/>
                <w:color w:val="auto"/>
              </w:rPr>
              <w:t>- 699</w:t>
            </w:r>
          </w:p>
        </w:tc>
        <w:tc>
          <w:tcPr>
            <w:tcW w:w="30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w:t>
            </w:r>
          </w:p>
        </w:tc>
        <w:tc>
          <w:tcPr>
            <w:tcW w:w="2900" w:type="dxa"/>
            <w:vAlign w:val="bottom"/>
          </w:tcPr>
          <w:p>
            <w:pPr>
              <w:spacing w:after="0"/>
              <w:rPr>
                <w:sz w:val="21"/>
                <w:szCs w:val="21"/>
                <w:color w:val="auto"/>
              </w:rPr>
            </w:pPr>
          </w:p>
        </w:tc>
      </w:tr>
      <w:tr>
        <w:trPr>
          <w:trHeight w:val="24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00" w:type="dxa"/>
            <w:vAlign w:val="bottom"/>
          </w:tcPr>
          <w:p>
            <w:pPr>
              <w:spacing w:after="0"/>
              <w:rPr>
                <w:sz w:val="21"/>
                <w:szCs w:val="21"/>
                <w:color w:val="auto"/>
              </w:rPr>
            </w:pPr>
          </w:p>
        </w:tc>
      </w:tr>
      <w:tr>
        <w:trPr>
          <w:trHeight w:val="244"/>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 Score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900" w:type="dxa"/>
            <w:vAlign w:val="bottom"/>
          </w:tcPr>
          <w:p>
            <w:pPr>
              <w:spacing w:after="0"/>
              <w:rPr>
                <w:sz w:val="21"/>
                <w:szCs w:val="21"/>
                <w:color w:val="auto"/>
              </w:rPr>
            </w:pPr>
          </w:p>
        </w:tc>
      </w:tr>
      <w:tr>
        <w:trPr>
          <w:trHeight w:val="232"/>
        </w:trPr>
        <w:tc>
          <w:tcPr>
            <w:tcW w:w="2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900" w:type="dxa"/>
            <w:vAlign w:val="bottom"/>
          </w:tcPr>
          <w:p>
            <w:pPr>
              <w:spacing w:after="0"/>
              <w:rPr>
                <w:sz w:val="20"/>
                <w:szCs w:val="20"/>
                <w:color w:val="auto"/>
              </w:rPr>
            </w:pPr>
          </w:p>
        </w:tc>
      </w:tr>
      <w:tr>
        <w:trPr>
          <w:trHeight w:val="20"/>
        </w:trPr>
        <w:tc>
          <w:tcPr>
            <w:tcW w:w="27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01"/>
        </w:trPr>
        <w:tc>
          <w:tcPr>
            <w:tcW w:w="2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900" w:type="dxa"/>
            <w:vAlign w:val="bottom"/>
          </w:tcPr>
          <w:p>
            <w:pPr>
              <w:spacing w:after="0"/>
              <w:rPr>
                <w:sz w:val="8"/>
                <w:szCs w:val="8"/>
                <w:color w:val="auto"/>
              </w:rPr>
            </w:pPr>
          </w:p>
        </w:tc>
      </w:tr>
      <w:tr>
        <w:trPr>
          <w:trHeight w:val="24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900" w:type="dxa"/>
            <w:vAlign w:val="bottom"/>
          </w:tcPr>
          <w:p>
            <w:pPr>
              <w:spacing w:after="0"/>
              <w:rPr>
                <w:sz w:val="21"/>
                <w:szCs w:val="21"/>
                <w:color w:val="auto"/>
              </w:rPr>
            </w:pPr>
          </w:p>
        </w:tc>
      </w:tr>
      <w:tr>
        <w:trPr>
          <w:trHeight w:val="422"/>
        </w:trPr>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60" w:type="dxa"/>
            <w:vAlign w:val="bottom"/>
            <w:gridSpan w:val="14"/>
          </w:tcPr>
          <w:p>
            <w:pPr>
              <w:ind w:left="320"/>
              <w:spacing w:after="0"/>
              <w:rPr>
                <w:sz w:val="20"/>
                <w:szCs w:val="20"/>
                <w:color w:val="auto"/>
              </w:rPr>
            </w:pPr>
            <w:r>
              <w:rPr>
                <w:rFonts w:ascii="Arial" w:cs="Arial" w:eastAsia="Arial" w:hAnsi="Arial"/>
                <w:sz w:val="15"/>
                <w:szCs w:val="15"/>
                <w:b w:val="1"/>
                <w:bCs w:val="1"/>
                <w:color w:val="auto"/>
              </w:rPr>
              <w:t>Acquired Vacation Ownership Notes Receivable - Hyatt and Welk</w:t>
            </w:r>
          </w:p>
        </w:tc>
      </w:tr>
      <w:tr>
        <w:trPr>
          <w:trHeight w:val="19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Total</w:t>
            </w:r>
          </w:p>
        </w:tc>
        <w:tc>
          <w:tcPr>
            <w:tcW w:w="2900" w:type="dxa"/>
            <w:vAlign w:val="bottom"/>
          </w:tcPr>
          <w:p>
            <w:pPr>
              <w:spacing w:after="0"/>
              <w:rPr>
                <w:sz w:val="17"/>
                <w:szCs w:val="17"/>
                <w:color w:val="auto"/>
              </w:rPr>
            </w:pPr>
          </w:p>
        </w:tc>
      </w:tr>
      <w:tr>
        <w:trPr>
          <w:trHeight w:val="227"/>
        </w:trPr>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700</w:t>
            </w:r>
          </w:p>
        </w:tc>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900" w:type="dxa"/>
            <w:vAlign w:val="bottom"/>
          </w:tcPr>
          <w:p>
            <w:pPr>
              <w:spacing w:after="0"/>
              <w:rPr>
                <w:sz w:val="19"/>
                <w:szCs w:val="19"/>
                <w:color w:val="auto"/>
              </w:rPr>
            </w:pPr>
          </w:p>
        </w:tc>
      </w:tr>
      <w:tr>
        <w:trPr>
          <w:trHeight w:val="244"/>
        </w:trPr>
        <w:tc>
          <w:tcPr>
            <w:tcW w:w="280" w:type="dxa"/>
            <w:vAlign w:val="bottom"/>
          </w:tcPr>
          <w:p>
            <w:pPr>
              <w:ind w:left="20"/>
              <w:spacing w:after="0"/>
              <w:rPr>
                <w:sz w:val="20"/>
                <w:szCs w:val="20"/>
                <w:color w:val="auto"/>
              </w:rPr>
            </w:pPr>
            <w:r>
              <w:rPr>
                <w:rFonts w:ascii="Arial" w:cs="Arial" w:eastAsia="Arial" w:hAnsi="Arial"/>
                <w:sz w:val="15"/>
                <w:szCs w:val="15"/>
                <w:color w:val="auto"/>
                <w:w w:val="95"/>
              </w:rPr>
              <w:t>600</w:t>
            </w:r>
          </w:p>
        </w:tc>
        <w:tc>
          <w:tcPr>
            <w:tcW w:w="2500" w:type="dxa"/>
            <w:vAlign w:val="bottom"/>
          </w:tcPr>
          <w:p>
            <w:pPr>
              <w:ind w:left="20"/>
              <w:spacing w:after="0"/>
              <w:rPr>
                <w:sz w:val="20"/>
                <w:szCs w:val="20"/>
                <w:color w:val="auto"/>
              </w:rPr>
            </w:pPr>
            <w:r>
              <w:rPr>
                <w:rFonts w:ascii="Arial" w:cs="Arial" w:eastAsia="Arial" w:hAnsi="Arial"/>
                <w:sz w:val="15"/>
                <w:szCs w:val="15"/>
                <w:color w:val="auto"/>
              </w:rPr>
              <w:t>- 699</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w:t>
            </w:r>
          </w:p>
        </w:tc>
        <w:tc>
          <w:tcPr>
            <w:tcW w:w="2900" w:type="dxa"/>
            <w:vAlign w:val="bottom"/>
          </w:tcPr>
          <w:p>
            <w:pPr>
              <w:spacing w:after="0"/>
              <w:rPr>
                <w:sz w:val="21"/>
                <w:szCs w:val="21"/>
                <w:color w:val="auto"/>
              </w:rPr>
            </w:pPr>
          </w:p>
        </w:tc>
      </w:tr>
      <w:tr>
        <w:trPr>
          <w:trHeight w:val="24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900" w:type="dxa"/>
            <w:vAlign w:val="bottom"/>
          </w:tcPr>
          <w:p>
            <w:pPr>
              <w:spacing w:after="0"/>
              <w:rPr>
                <w:sz w:val="21"/>
                <w:szCs w:val="21"/>
                <w:color w:val="auto"/>
              </w:rPr>
            </w:pPr>
          </w:p>
        </w:tc>
      </w:tr>
      <w:tr>
        <w:trPr>
          <w:trHeight w:val="244"/>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 Score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900" w:type="dxa"/>
            <w:vAlign w:val="bottom"/>
          </w:tcPr>
          <w:p>
            <w:pPr>
              <w:spacing w:after="0"/>
              <w:rPr>
                <w:sz w:val="21"/>
                <w:szCs w:val="21"/>
                <w:color w:val="auto"/>
              </w:rPr>
            </w:pPr>
          </w:p>
        </w:tc>
      </w:tr>
      <w:tr>
        <w:trPr>
          <w:trHeight w:val="232"/>
        </w:trPr>
        <w:tc>
          <w:tcPr>
            <w:tcW w:w="2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900" w:type="dxa"/>
            <w:vAlign w:val="bottom"/>
          </w:tcPr>
          <w:p>
            <w:pPr>
              <w:spacing w:after="0"/>
              <w:rPr>
                <w:sz w:val="20"/>
                <w:szCs w:val="20"/>
                <w:color w:val="auto"/>
              </w:rPr>
            </w:pPr>
          </w:p>
        </w:tc>
      </w:tr>
      <w:tr>
        <w:trPr>
          <w:trHeight w:val="20"/>
        </w:trPr>
        <w:tc>
          <w:tcPr>
            <w:tcW w:w="27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01"/>
        </w:trPr>
        <w:tc>
          <w:tcPr>
            <w:tcW w:w="2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900" w:type="dxa"/>
            <w:vAlign w:val="bottom"/>
          </w:tcPr>
          <w:p>
            <w:pPr>
              <w:spacing w:after="0"/>
              <w:rPr>
                <w:sz w:val="8"/>
                <w:szCs w:val="8"/>
                <w:color w:val="auto"/>
              </w:rPr>
            </w:pPr>
          </w:p>
        </w:tc>
      </w:tr>
      <w:tr>
        <w:trPr>
          <w:trHeight w:val="24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21"/>
                <w:szCs w:val="21"/>
                <w:color w:val="auto"/>
              </w:rPr>
            </w:pPr>
          </w:p>
        </w:tc>
      </w:tr>
      <w:tr>
        <w:trPr>
          <w:trHeight w:val="552"/>
        </w:trPr>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5"/>
        </w:trPr>
        <w:tc>
          <w:tcPr>
            <w:tcW w:w="2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Originated Vacation Ownership Notes Receivable</w:t>
      </w:r>
    </w:p>
    <w:p>
      <w:pPr>
        <w:spacing w:after="0" w:line="11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March 31,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5"/>
                <w:szCs w:val="15"/>
                <w:b w:val="1"/>
                <w:bCs w:val="1"/>
                <w:color w:val="auto"/>
                <w:w w:val="92"/>
              </w:rPr>
              <w:t>Originated Vacation Ownership Notes Receivable</w:t>
            </w: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Non-Securitized</w:t>
            </w:r>
          </w:p>
        </w:tc>
        <w:tc>
          <w:tcPr>
            <w:tcW w:w="18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Securitized</w:t>
            </w:r>
          </w:p>
        </w:tc>
        <w:tc>
          <w:tcPr>
            <w:tcW w:w="160" w:type="dxa"/>
            <w:vAlign w:val="bottom"/>
          </w:tcPr>
          <w:p>
            <w:pPr>
              <w:spacing w:after="0"/>
              <w:rPr>
                <w:sz w:val="17"/>
                <w:szCs w:val="17"/>
                <w:color w:val="auto"/>
              </w:rPr>
            </w:pPr>
          </w:p>
        </w:tc>
        <w:tc>
          <w:tcPr>
            <w:tcW w:w="1320" w:type="dxa"/>
            <w:vAlign w:val="bottom"/>
          </w:tcPr>
          <w:p>
            <w:pPr>
              <w:jc w:val="center"/>
              <w:ind w:right="75"/>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227"/>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44"/>
        </w:trPr>
        <w:tc>
          <w:tcPr>
            <w:tcW w:w="358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44"/>
        </w:trPr>
        <w:tc>
          <w:tcPr>
            <w:tcW w:w="358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w:t>
            </w:r>
          </w:p>
        </w:tc>
        <w:tc>
          <w:tcPr>
            <w:tcW w:w="0" w:type="dxa"/>
            <w:vAlign w:val="bottom"/>
          </w:tcPr>
          <w:p>
            <w:pPr>
              <w:spacing w:after="0"/>
              <w:rPr>
                <w:sz w:val="1"/>
                <w:szCs w:val="1"/>
                <w:color w:val="auto"/>
              </w:rPr>
            </w:pPr>
          </w:p>
        </w:tc>
      </w:tr>
      <w:tr>
        <w:trPr>
          <w:trHeight w:val="23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56"/>
              <w:spacing w:after="0" w:line="189" w:lineRule="exact"/>
              <w:rPr>
                <w:sz w:val="20"/>
                <w:szCs w:val="20"/>
                <w:color w:val="auto"/>
              </w:rPr>
            </w:pPr>
            <w:r>
              <w:rPr>
                <w:rFonts w:ascii="Arial" w:cs="Arial" w:eastAsia="Arial" w:hAnsi="Arial"/>
                <w:sz w:val="17"/>
                <w:szCs w:val="17"/>
                <w:color w:val="auto"/>
                <w:w w:val="91"/>
              </w:rPr>
              <w:t>12.3%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75"/>
              <w:spacing w:after="0" w:line="189" w:lineRule="exact"/>
              <w:rPr>
                <w:sz w:val="20"/>
                <w:szCs w:val="20"/>
                <w:color w:val="auto"/>
              </w:rPr>
            </w:pPr>
            <w:r>
              <w:rPr>
                <w:rFonts w:ascii="Arial" w:cs="Arial" w:eastAsia="Arial" w:hAnsi="Arial"/>
                <w:sz w:val="17"/>
                <w:szCs w:val="17"/>
                <w:color w:val="auto"/>
                <w:w w:val="91"/>
              </w:rPr>
              <w:t>13.2%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5"/>
              <w:spacing w:after="0" w:line="189" w:lineRule="exact"/>
              <w:rPr>
                <w:sz w:val="20"/>
                <w:szCs w:val="20"/>
                <w:color w:val="auto"/>
              </w:rPr>
            </w:pPr>
            <w:r>
              <w:rPr>
                <w:rFonts w:ascii="Arial" w:cs="Arial" w:eastAsia="Arial" w:hAnsi="Arial"/>
                <w:sz w:val="17"/>
                <w:szCs w:val="17"/>
                <w:color w:val="auto"/>
                <w:w w:val="91"/>
              </w:rPr>
              <w:t>13.0%</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color w:val="auto"/>
                <w:w w:val="92"/>
              </w:rPr>
              <w:t>0.0% to 20.9%</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92"/>
              </w:rPr>
              <w:t>0.0% to 19.9%</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92"/>
              </w:rPr>
              <w:t>0.0% to 20.9%</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95"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Originated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22225</wp:posOffset>
            </wp:positionV>
            <wp:extent cx="30092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spacing w:after="0" w:line="52" w:lineRule="exact"/>
        <w:rPr>
          <w:sz w:val="20"/>
          <w:szCs w:val="20"/>
          <w:color w:val="auto"/>
        </w:rPr>
      </w:pPr>
    </w:p>
    <w:p>
      <w:pPr>
        <w:ind w:left="20"/>
        <w:spacing w:after="0"/>
        <w:tabs>
          <w:tab w:leader="none" w:pos="3800" w:val="left"/>
          <w:tab w:leader="none" w:pos="5600" w:val="left"/>
          <w:tab w:leader="none" w:pos="742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5"/>
          <w:szCs w:val="15"/>
          <w:b w:val="1"/>
          <w:bCs w:val="1"/>
          <w:color w:val="auto"/>
        </w:rPr>
        <w:t>Non-Securitized</w:t>
      </w:r>
      <w:r>
        <w:rPr>
          <w:sz w:val="20"/>
          <w:szCs w:val="20"/>
          <w:color w:val="auto"/>
        </w:rPr>
        <w:tab/>
      </w:r>
      <w:r>
        <w:rPr>
          <w:rFonts w:ascii="Arial" w:cs="Arial" w:eastAsia="Arial" w:hAnsi="Arial"/>
          <w:sz w:val="15"/>
          <w:szCs w:val="15"/>
          <w:b w:val="1"/>
          <w:bCs w:val="1"/>
          <w:color w:val="auto"/>
        </w:rPr>
        <w:t>Securitized</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5299075" cy="155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48"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17"/>
          <w:szCs w:val="17"/>
          <w:color w:val="auto"/>
        </w:rPr>
        <w:t>Balance at December 31, 2022</w:t>
      </w:r>
      <w:r>
        <w:rPr>
          <w:sz w:val="20"/>
          <w:szCs w:val="20"/>
          <w:color w:val="auto"/>
        </w:rPr>
        <w:tab/>
      </w:r>
      <w:r>
        <w:rPr>
          <w:rFonts w:ascii="Arial" w:cs="Arial" w:eastAsia="Arial" w:hAnsi="Arial"/>
          <w:sz w:val="17"/>
          <w:szCs w:val="17"/>
          <w:color w:val="auto"/>
        </w:rPr>
        <w:t>$</w:t>
      </w:r>
    </w:p>
    <w:p>
      <w:pPr>
        <w:spacing w:after="0" w:line="36" w:lineRule="exact"/>
        <w:rPr>
          <w:sz w:val="20"/>
          <w:szCs w:val="20"/>
          <w:color w:val="auto"/>
        </w:rPr>
      </w:pPr>
    </w:p>
    <w:p>
      <w:pPr>
        <w:ind w:left="120" w:right="660"/>
        <w:spacing w:after="0" w:line="235" w:lineRule="auto"/>
        <w:rPr>
          <w:sz w:val="20"/>
          <w:szCs w:val="20"/>
          <w:color w:val="auto"/>
        </w:rPr>
      </w:pPr>
      <w:r>
        <w:rPr>
          <w:rFonts w:ascii="Arial" w:cs="Arial" w:eastAsia="Arial" w:hAnsi="Arial"/>
          <w:sz w:val="17"/>
          <w:szCs w:val="17"/>
          <w:color w:val="auto"/>
        </w:rPr>
        <w:t>Increase in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5299075" cy="155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Securitizations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5299075" cy="253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99075" cy="253365"/>
                    </a:xfrm>
                    <a:prstGeom prst="rect">
                      <a:avLst/>
                    </a:prstGeom>
                    <a:noFill/>
                  </pic:spPr>
                </pic:pic>
              </a:graphicData>
            </a:graphic>
          </wp:anchor>
        </w:drawing>
      </w:r>
    </w:p>
    <w:p>
      <w:pPr>
        <w:spacing w:after="0" w:line="16" w:lineRule="exact"/>
        <w:rPr>
          <w:sz w:val="20"/>
          <w:szCs w:val="20"/>
          <w:color w:val="auto"/>
        </w:rPr>
      </w:pPr>
    </w:p>
    <w:p>
      <w:pPr>
        <w:ind w:left="120" w:right="740"/>
        <w:spacing w:after="0" w:line="235" w:lineRule="auto"/>
        <w:rPr>
          <w:sz w:val="20"/>
          <w:szCs w:val="20"/>
          <w:color w:val="auto"/>
        </w:rPr>
      </w:pPr>
      <w:r>
        <w:rPr>
          <w:rFonts w:ascii="Arial" w:cs="Arial" w:eastAsia="Arial" w:hAnsi="Arial"/>
          <w:sz w:val="17"/>
          <w:szCs w:val="17"/>
          <w:color w:val="auto"/>
        </w:rPr>
        <w:t>Defaulted vacation ownership notes receivable repurchase activity</w:t>
      </w:r>
      <w:r>
        <w:rPr>
          <w:rFonts w:ascii="Arial" w:cs="Arial" w:eastAsia="Arial" w:hAnsi="Arial"/>
          <w:sz w:val="10"/>
          <w:szCs w:val="10"/>
          <w:color w:val="auto"/>
        </w:rPr>
        <w:t>(1)</w:t>
      </w:r>
    </w:p>
    <w:p>
      <w:pPr>
        <w:spacing w:after="0" w:line="29"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17"/>
          <w:szCs w:val="17"/>
          <w:color w:val="auto"/>
        </w:rPr>
        <w:t>Balance at March 31, 2023</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149</w:t>
            </w:r>
          </w:p>
        </w:tc>
        <w:tc>
          <w:tcPr>
            <w:tcW w:w="640" w:type="dxa"/>
            <w:vAlign w:val="bottom"/>
          </w:tcPr>
          <w:p>
            <w:pPr>
              <w:jc w:val="right"/>
              <w:ind w:right="4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213</w:t>
            </w:r>
          </w:p>
        </w:tc>
        <w:tc>
          <w:tcPr>
            <w:tcW w:w="12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362</w:t>
            </w:r>
          </w:p>
        </w:tc>
      </w:tr>
      <w:tr>
        <w:trPr>
          <w:trHeight w:val="399"/>
        </w:trPr>
        <w:tc>
          <w:tcPr>
            <w:tcW w:w="460" w:type="dxa"/>
            <w:vAlign w:val="bottom"/>
          </w:tcPr>
          <w:p>
            <w:pPr>
              <w:jc w:val="right"/>
              <w:ind w:right="114"/>
              <w:spacing w:after="0"/>
              <w:rPr>
                <w:sz w:val="20"/>
                <w:szCs w:val="20"/>
                <w:color w:val="auto"/>
              </w:rPr>
            </w:pPr>
            <w:r>
              <w:rPr>
                <w:rFonts w:ascii="Arial" w:cs="Arial" w:eastAsia="Arial" w:hAnsi="Arial"/>
                <w:sz w:val="17"/>
                <w:szCs w:val="17"/>
                <w:color w:val="auto"/>
              </w:rPr>
              <w:t>29</w:t>
            </w:r>
          </w:p>
        </w:tc>
        <w:tc>
          <w:tcPr>
            <w:tcW w:w="640" w:type="dxa"/>
            <w:vAlign w:val="bottom"/>
          </w:tcPr>
          <w:p>
            <w:pPr>
              <w:spacing w:after="0"/>
              <w:rPr>
                <w:sz w:val="24"/>
                <w:szCs w:val="24"/>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45"/>
        </w:trPr>
        <w:tc>
          <w:tcPr>
            <w:tcW w:w="460" w:type="dxa"/>
            <w:vAlign w:val="bottom"/>
          </w:tcPr>
          <w:p>
            <w:pPr>
              <w:jc w:val="right"/>
              <w:ind w:right="74"/>
              <w:spacing w:after="0"/>
              <w:rPr>
                <w:sz w:val="20"/>
                <w:szCs w:val="20"/>
                <w:color w:val="auto"/>
              </w:rPr>
            </w:pPr>
            <w:r>
              <w:rPr>
                <w:rFonts w:ascii="Arial" w:cs="Arial" w:eastAsia="Arial" w:hAnsi="Arial"/>
                <w:sz w:val="17"/>
                <w:szCs w:val="17"/>
                <w:color w:val="auto"/>
                <w:w w:val="92"/>
              </w:rPr>
              <w:t>(23)</w:t>
            </w:r>
          </w:p>
        </w:tc>
        <w:tc>
          <w:tcPr>
            <w:tcW w:w="6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460" w:type="dxa"/>
            <w:vAlign w:val="bottom"/>
          </w:tcPr>
          <w:p>
            <w:pPr>
              <w:jc w:val="right"/>
              <w:ind w:right="74"/>
              <w:spacing w:after="0"/>
              <w:rPr>
                <w:sz w:val="20"/>
                <w:szCs w:val="20"/>
                <w:color w:val="auto"/>
              </w:rPr>
            </w:pPr>
            <w:r>
              <w:rPr>
                <w:rFonts w:ascii="Arial" w:cs="Arial" w:eastAsia="Arial" w:hAnsi="Arial"/>
                <w:sz w:val="17"/>
                <w:szCs w:val="17"/>
                <w:color w:val="auto"/>
                <w:w w:val="92"/>
              </w:rPr>
              <w:t>(29)</w:t>
            </w:r>
          </w:p>
        </w:tc>
        <w:tc>
          <w:tcPr>
            <w:tcW w:w="6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99"/>
        </w:trPr>
        <w:tc>
          <w:tcPr>
            <w:tcW w:w="460" w:type="dxa"/>
            <w:vAlign w:val="bottom"/>
          </w:tcPr>
          <w:p>
            <w:pPr>
              <w:jc w:val="right"/>
              <w:ind w:right="114"/>
              <w:spacing w:after="0"/>
              <w:rPr>
                <w:sz w:val="20"/>
                <w:szCs w:val="20"/>
                <w:color w:val="auto"/>
              </w:rPr>
            </w:pPr>
            <w:r>
              <w:rPr>
                <w:rFonts w:ascii="Arial" w:cs="Arial" w:eastAsia="Arial" w:hAnsi="Arial"/>
                <w:sz w:val="17"/>
                <w:szCs w:val="17"/>
                <w:color w:val="auto"/>
              </w:rPr>
              <w:t>23</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149</w:t>
            </w:r>
          </w:p>
        </w:tc>
        <w:tc>
          <w:tcPr>
            <w:tcW w:w="6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222</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r>
      <w:tr>
        <w:trPr>
          <w:trHeight w:val="20"/>
        </w:trPr>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-32385</wp:posOffset>
            </wp:positionV>
            <wp:extent cx="9569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694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-7620</wp:posOffset>
            </wp:positionV>
            <wp:extent cx="9569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5694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-179070</wp:posOffset>
            </wp:positionV>
            <wp:extent cx="9569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6945"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4060" w:space="720"/>
            <w:col w:w="6460"/>
          </w:cols>
          <w:pgMar w:left="320" w:top="230" w:right="339" w:bottom="1440" w:gutter="0" w:footer="0" w:header="0"/>
          <w:type w:val="continuous"/>
        </w:sectPr>
      </w:pPr>
    </w:p>
    <w:p>
      <w:pPr>
        <w:jc w:val="both"/>
        <w:ind w:left="320" w:right="3580" w:hanging="300"/>
        <w:spacing w:after="0" w:line="234" w:lineRule="auto"/>
        <w:tabs>
          <w:tab w:leader="none" w:pos="3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show originated vacation ownership notes receivable, before reserves, by brand and FICO score.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gridSpan w:val="21"/>
          </w:tcPr>
          <w:p>
            <w:pPr>
              <w:jc w:val="center"/>
              <w:ind w:right="3140"/>
              <w:spacing w:after="0"/>
              <w:rPr>
                <w:sz w:val="20"/>
                <w:szCs w:val="20"/>
                <w:color w:val="auto"/>
              </w:rPr>
            </w:pPr>
            <w:r>
              <w:rPr>
                <w:rFonts w:ascii="Arial" w:cs="Arial" w:eastAsia="Arial" w:hAnsi="Arial"/>
                <w:sz w:val="15"/>
                <w:szCs w:val="15"/>
                <w:b w:val="1"/>
                <w:bCs w:val="1"/>
                <w:color w:val="auto"/>
                <w:w w:val="92"/>
              </w:rPr>
              <w:t>Originated Vacation Ownership Notes Receivable as of March 31, 2023</w:t>
            </w: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700 +</w:t>
            </w:r>
          </w:p>
        </w:tc>
        <w:tc>
          <w:tcPr>
            <w:tcW w:w="6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w w:val="97"/>
              </w:rPr>
              <w:t>600 - 699</w:t>
            </w:r>
          </w:p>
        </w:tc>
        <w:tc>
          <w:tcPr>
            <w:tcW w:w="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4"/>
              </w:rPr>
              <w:t>&lt; 600</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w w:val="97"/>
              </w:rPr>
              <w:t>No Score</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Total</w:t>
            </w:r>
          </w:p>
        </w:tc>
        <w:tc>
          <w:tcPr>
            <w:tcW w:w="2900" w:type="dxa"/>
            <w:vAlign w:val="bottom"/>
          </w:tcPr>
          <w:p>
            <w:pPr>
              <w:spacing w:after="0"/>
              <w:rPr>
                <w:sz w:val="17"/>
                <w:szCs w:val="17"/>
                <w:color w:val="auto"/>
              </w:rPr>
            </w:pPr>
          </w:p>
        </w:tc>
      </w:tr>
      <w:tr>
        <w:trPr>
          <w:trHeight w:val="227"/>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w:t>
            </w:r>
          </w:p>
        </w:tc>
        <w:tc>
          <w:tcPr>
            <w:tcW w:w="2900" w:type="dxa"/>
            <w:vAlign w:val="bottom"/>
          </w:tcPr>
          <w:p>
            <w:pPr>
              <w:spacing w:after="0"/>
              <w:rPr>
                <w:sz w:val="19"/>
                <w:szCs w:val="19"/>
                <w:color w:val="auto"/>
              </w:rPr>
            </w:pPr>
          </w:p>
        </w:tc>
      </w:tr>
      <w:tr>
        <w:trPr>
          <w:trHeight w:val="244"/>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2900" w:type="dxa"/>
            <w:vAlign w:val="bottom"/>
          </w:tcPr>
          <w:p>
            <w:pPr>
              <w:spacing w:after="0"/>
              <w:rPr>
                <w:sz w:val="21"/>
                <w:szCs w:val="21"/>
                <w:color w:val="auto"/>
              </w:rPr>
            </w:pPr>
          </w:p>
        </w:tc>
      </w:tr>
      <w:tr>
        <w:trPr>
          <w:trHeight w:val="232"/>
        </w:trPr>
        <w:tc>
          <w:tcPr>
            <w:tcW w:w="2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290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33"/>
        </w:trPr>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1"/>
          </w:tcPr>
          <w:p>
            <w:pPr>
              <w:ind w:left="280"/>
              <w:spacing w:after="0"/>
              <w:rPr>
                <w:sz w:val="20"/>
                <w:szCs w:val="20"/>
                <w:color w:val="auto"/>
              </w:rPr>
            </w:pPr>
            <w:r>
              <w:rPr>
                <w:rFonts w:ascii="Arial" w:cs="Arial" w:eastAsia="Arial" w:hAnsi="Arial"/>
                <w:sz w:val="15"/>
                <w:szCs w:val="15"/>
                <w:b w:val="1"/>
                <w:bCs w:val="1"/>
                <w:color w:val="auto"/>
              </w:rPr>
              <w:t>Originated Vacation Ownership Notes Receivable as of December 31, 2022</w:t>
            </w: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700 +</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5"/>
                <w:szCs w:val="15"/>
                <w:b w:val="1"/>
                <w:bCs w:val="1"/>
                <w:color w:val="auto"/>
              </w:rPr>
              <w:t>600 - 699</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4"/>
              </w:rPr>
              <w:t>&lt; 600</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rPr>
              <w:t>No Score</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Total</w:t>
            </w:r>
          </w:p>
        </w:tc>
        <w:tc>
          <w:tcPr>
            <w:tcW w:w="2900" w:type="dxa"/>
            <w:vAlign w:val="bottom"/>
          </w:tcPr>
          <w:p>
            <w:pPr>
              <w:spacing w:after="0"/>
              <w:rPr>
                <w:sz w:val="17"/>
                <w:szCs w:val="17"/>
                <w:color w:val="auto"/>
              </w:rPr>
            </w:pPr>
          </w:p>
        </w:tc>
      </w:tr>
      <w:tr>
        <w:trPr>
          <w:trHeight w:val="227"/>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2900" w:type="dxa"/>
            <w:vAlign w:val="bottom"/>
          </w:tcPr>
          <w:p>
            <w:pPr>
              <w:spacing w:after="0"/>
              <w:rPr>
                <w:sz w:val="19"/>
                <w:szCs w:val="19"/>
                <w:color w:val="auto"/>
              </w:rPr>
            </w:pPr>
          </w:p>
        </w:tc>
      </w:tr>
      <w:tr>
        <w:trPr>
          <w:trHeight w:val="244"/>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2900" w:type="dxa"/>
            <w:vAlign w:val="bottom"/>
          </w:tcPr>
          <w:p>
            <w:pPr>
              <w:spacing w:after="0"/>
              <w:rPr>
                <w:sz w:val="21"/>
                <w:szCs w:val="21"/>
                <w:color w:val="auto"/>
              </w:rPr>
            </w:pPr>
          </w:p>
        </w:tc>
      </w:tr>
      <w:tr>
        <w:trPr>
          <w:trHeight w:val="232"/>
        </w:trPr>
        <w:tc>
          <w:tcPr>
            <w:tcW w:w="24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3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w:t>
            </w:r>
          </w:p>
        </w:tc>
        <w:tc>
          <w:tcPr>
            <w:tcW w:w="2900" w:type="dxa"/>
            <w:vAlign w:val="bottom"/>
          </w:tcPr>
          <w:p>
            <w:pPr>
              <w:spacing w:after="0"/>
              <w:rPr>
                <w:sz w:val="20"/>
                <w:szCs w:val="20"/>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524"/>
        </w:trPr>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7"/>
                <w:szCs w:val="17"/>
                <w:color w:val="auto"/>
                <w:w w:val="84"/>
              </w:rPr>
              <w:t>14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5"/>
        </w:trPr>
        <w:tc>
          <w:tcPr>
            <w:tcW w:w="2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following tables detail the origination year of our originated vacation ownership notes receivable, before reserves, by brand and FICO score as of March 31, 2023, and gross write-offs by brand for the first quarter of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17"/>
          </w:tcPr>
          <w:p>
            <w:pPr>
              <w:jc w:val="center"/>
              <w:spacing w:after="0"/>
              <w:rPr>
                <w:sz w:val="20"/>
                <w:szCs w:val="20"/>
                <w:color w:val="auto"/>
              </w:rPr>
            </w:pPr>
            <w:r>
              <w:rPr>
                <w:rFonts w:ascii="Arial" w:cs="Arial" w:eastAsia="Arial" w:hAnsi="Arial"/>
                <w:sz w:val="15"/>
                <w:szCs w:val="15"/>
                <w:b w:val="1"/>
                <w:bCs w:val="1"/>
                <w:color w:val="auto"/>
                <w:w w:val="94"/>
              </w:rPr>
              <w:t>Originated Vacation Ownership Notes Receivable - Combined Marriott</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9"/>
        </w:trPr>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Total</w:t>
            </w:r>
          </w:p>
        </w:tc>
      </w:tr>
      <w:tr>
        <w:trPr>
          <w:trHeight w:val="227"/>
        </w:trPr>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700</w:t>
            </w:r>
          </w:p>
        </w:tc>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3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r>
      <w:tr>
        <w:trPr>
          <w:trHeight w:val="244"/>
        </w:trPr>
        <w:tc>
          <w:tcPr>
            <w:tcW w:w="280" w:type="dxa"/>
            <w:vAlign w:val="bottom"/>
          </w:tcPr>
          <w:p>
            <w:pPr>
              <w:ind w:left="20"/>
              <w:spacing w:after="0"/>
              <w:rPr>
                <w:sz w:val="20"/>
                <w:szCs w:val="20"/>
                <w:color w:val="auto"/>
              </w:rPr>
            </w:pPr>
            <w:r>
              <w:rPr>
                <w:rFonts w:ascii="Arial" w:cs="Arial" w:eastAsia="Arial" w:hAnsi="Arial"/>
                <w:sz w:val="15"/>
                <w:szCs w:val="15"/>
                <w:color w:val="auto"/>
                <w:w w:val="95"/>
              </w:rPr>
              <w:t>600</w:t>
            </w:r>
          </w:p>
        </w:tc>
        <w:tc>
          <w:tcPr>
            <w:tcW w:w="1200" w:type="dxa"/>
            <w:vAlign w:val="bottom"/>
          </w:tcPr>
          <w:p>
            <w:pPr>
              <w:ind w:left="20"/>
              <w:spacing w:after="0"/>
              <w:rPr>
                <w:sz w:val="20"/>
                <w:szCs w:val="20"/>
                <w:color w:val="auto"/>
              </w:rPr>
            </w:pPr>
            <w:r>
              <w:rPr>
                <w:rFonts w:ascii="Arial" w:cs="Arial" w:eastAsia="Arial" w:hAnsi="Arial"/>
                <w:sz w:val="15"/>
                <w:szCs w:val="15"/>
                <w:color w:val="auto"/>
              </w:rPr>
              <w:t>- 699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554</w:t>
            </w:r>
          </w:p>
        </w:tc>
      </w:tr>
      <w:tr>
        <w:trPr>
          <w:trHeight w:val="245"/>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44"/>
        </w:trPr>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 Score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r>
      <w:tr>
        <w:trPr>
          <w:trHeight w:val="232"/>
        </w:trPr>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3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w:t>
            </w:r>
          </w:p>
        </w:tc>
      </w:tr>
      <w:tr>
        <w:trPr>
          <w:trHeight w:val="20"/>
        </w:trPr>
        <w:tc>
          <w:tcPr>
            <w:tcW w:w="14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5"/>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525"/>
        </w:trPr>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6"/>
          </w:tcPr>
          <w:p>
            <w:pPr>
              <w:jc w:val="center"/>
              <w:ind w:right="40"/>
              <w:spacing w:after="0"/>
              <w:rPr>
                <w:sz w:val="20"/>
                <w:szCs w:val="20"/>
                <w:color w:val="auto"/>
              </w:rPr>
            </w:pPr>
            <w:r>
              <w:rPr>
                <w:rFonts w:ascii="Arial" w:cs="Arial" w:eastAsia="Arial" w:hAnsi="Arial"/>
                <w:sz w:val="15"/>
                <w:szCs w:val="15"/>
                <w:b w:val="1"/>
                <w:bCs w:val="1"/>
                <w:color w:val="auto"/>
                <w:w w:val="93"/>
              </w:rPr>
              <w:t>Originated Vacation Ownership Notes Receivable - Hyatt and Welk</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9"/>
        </w:trPr>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2019 &amp; Prior</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Total</w:t>
            </w:r>
          </w:p>
        </w:tc>
      </w:tr>
      <w:tr>
        <w:trPr>
          <w:trHeight w:val="227"/>
        </w:trPr>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700</w:t>
            </w:r>
          </w:p>
        </w:tc>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3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44"/>
        </w:trPr>
        <w:tc>
          <w:tcPr>
            <w:tcW w:w="280" w:type="dxa"/>
            <w:vAlign w:val="bottom"/>
          </w:tcPr>
          <w:p>
            <w:pPr>
              <w:ind w:left="20"/>
              <w:spacing w:after="0"/>
              <w:rPr>
                <w:sz w:val="20"/>
                <w:szCs w:val="20"/>
                <w:color w:val="auto"/>
              </w:rPr>
            </w:pPr>
            <w:r>
              <w:rPr>
                <w:rFonts w:ascii="Arial" w:cs="Arial" w:eastAsia="Arial" w:hAnsi="Arial"/>
                <w:sz w:val="15"/>
                <w:szCs w:val="15"/>
                <w:color w:val="auto"/>
                <w:w w:val="95"/>
              </w:rPr>
              <w:t>600</w:t>
            </w:r>
          </w:p>
        </w:tc>
        <w:tc>
          <w:tcPr>
            <w:tcW w:w="1200" w:type="dxa"/>
            <w:vAlign w:val="bottom"/>
          </w:tcPr>
          <w:p>
            <w:pPr>
              <w:ind w:left="20"/>
              <w:spacing w:after="0"/>
              <w:rPr>
                <w:sz w:val="20"/>
                <w:szCs w:val="20"/>
                <w:color w:val="auto"/>
              </w:rPr>
            </w:pPr>
            <w:r>
              <w:rPr>
                <w:rFonts w:ascii="Arial" w:cs="Arial" w:eastAsia="Arial" w:hAnsi="Arial"/>
                <w:sz w:val="15"/>
                <w:szCs w:val="15"/>
                <w:color w:val="auto"/>
              </w:rPr>
              <w:t>- 699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45"/>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4"/>
        </w:trPr>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 Score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2"/>
        </w:trPr>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0"/>
        </w:trPr>
        <w:tc>
          <w:tcPr>
            <w:tcW w:w="1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45"/>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Vacation Ownership Notes Receivable on Non-Accrual Status</w:t>
      </w:r>
    </w:p>
    <w:p>
      <w:pPr>
        <w:spacing w:after="0" w:line="11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For both non-securitized and securitized vacation ownership notes receivable, we estimated the average remaining default rates of 11.54% as of March 31, 2023 and 11.62% as of December 31, 2022. A 0.5 percentage point increase in the estimated default rate would have resulted in an increase in the related vacation ownership notes receivable reserve of $12 million as of both March 31, 2023 and December 31, 2022.</w:t>
      </w:r>
    </w:p>
    <w:p>
      <w:pPr>
        <w:spacing w:after="0" w:line="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240"/>
          </w:cols>
          <w:pgMar w:left="320" w:top="230" w:right="339" w:bottom="1440" w:gutter="0" w:footer="0" w:header="0"/>
        </w:sect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8" w:lineRule="exact"/>
        <w:rPr>
          <w:sz w:val="20"/>
          <w:szCs w:val="20"/>
          <w:color w:val="auto"/>
        </w:rPr>
      </w:pPr>
    </w:p>
    <w:p>
      <w:pPr>
        <w:ind w:left="20"/>
        <w:spacing w:after="0" w:line="277" w:lineRule="auto"/>
        <w:rPr>
          <w:sz w:val="20"/>
          <w:szCs w:val="20"/>
          <w:color w:val="auto"/>
        </w:rPr>
      </w:pPr>
      <w:r>
        <w:rPr>
          <w:rFonts w:ascii="Arial" w:cs="Arial" w:eastAsia="Arial" w:hAnsi="Arial"/>
          <w:sz w:val="15"/>
          <w:szCs w:val="15"/>
          <w:color w:val="auto"/>
        </w:rPr>
        <w:t>Investment in vacation ownership notes receivable on non-accrual status at March 31, 2023</w:t>
      </w:r>
    </w:p>
    <w:p>
      <w:pPr>
        <w:spacing w:after="0" w:line="1" w:lineRule="exact"/>
        <w:rPr>
          <w:sz w:val="20"/>
          <w:szCs w:val="20"/>
          <w:color w:val="auto"/>
        </w:rPr>
      </w:pPr>
    </w:p>
    <w:p>
      <w:pPr>
        <w:ind w:left="20"/>
        <w:spacing w:after="0" w:line="294" w:lineRule="auto"/>
        <w:rPr>
          <w:sz w:val="20"/>
          <w:szCs w:val="20"/>
          <w:color w:val="auto"/>
        </w:rPr>
      </w:pPr>
      <w:r>
        <w:rPr>
          <w:rFonts w:ascii="Arial" w:cs="Arial" w:eastAsia="Arial" w:hAnsi="Arial"/>
          <w:sz w:val="15"/>
          <w:szCs w:val="15"/>
          <w:color w:val="auto"/>
        </w:rPr>
        <w:t>Investment in vacation ownership notes receivable on non-accrual status at December 31, 2022</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Vacation Ownership Notes Receivable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Non-Securitized</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Securitized</w:t>
            </w: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Total</w:t>
            </w:r>
          </w:p>
        </w:tc>
      </w:tr>
      <w:tr>
        <w:trPr>
          <w:trHeight w:val="289"/>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40" w:type="dxa"/>
            <w:vAlign w:val="bottom"/>
          </w:tcPr>
          <w:p>
            <w:pPr>
              <w:spacing w:after="0"/>
              <w:rPr>
                <w:sz w:val="24"/>
                <w:szCs w:val="24"/>
                <w:color w:val="auto"/>
              </w:rPr>
            </w:pPr>
          </w:p>
        </w:tc>
        <w:tc>
          <w:tcPr>
            <w:tcW w:w="1180" w:type="dxa"/>
            <w:vAlign w:val="bottom"/>
            <w:tcBorders>
              <w:top w:val="single" w:sz="8" w:color="auto"/>
            </w:tcBorders>
          </w:tcPr>
          <w:p>
            <w:pPr>
              <w:jc w:val="right"/>
              <w:ind w:right="997"/>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24"/>
                <w:szCs w:val="24"/>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154</w:t>
            </w:r>
          </w:p>
        </w:tc>
      </w:tr>
      <w:tr>
        <w:trPr>
          <w:trHeight w:val="399"/>
        </w:trPr>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126</w:t>
            </w:r>
          </w:p>
        </w:tc>
        <w:tc>
          <w:tcPr>
            <w:tcW w:w="140" w:type="dxa"/>
            <w:vAlign w:val="bottom"/>
          </w:tcPr>
          <w:p>
            <w:pPr>
              <w:spacing w:after="0"/>
              <w:rPr>
                <w:sz w:val="24"/>
                <w:szCs w:val="24"/>
                <w:color w:val="auto"/>
              </w:rPr>
            </w:pPr>
          </w:p>
        </w:tc>
        <w:tc>
          <w:tcPr>
            <w:tcW w:w="1180" w:type="dxa"/>
            <w:vAlign w:val="bottom"/>
          </w:tcPr>
          <w:p>
            <w:pPr>
              <w:jc w:val="right"/>
              <w:ind w:right="997"/>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-448310</wp:posOffset>
            </wp:positionV>
            <wp:extent cx="5299075" cy="253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99075" cy="253365"/>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3500" w:space="100"/>
            <w:col w:w="7640"/>
          </w:cols>
          <w:pgMar w:left="320" w:top="230" w:right="339" w:bottom="1440" w:gutter="0" w:footer="0" w:header="0"/>
          <w:type w:val="continuous"/>
        </w:sectPr>
      </w:pPr>
    </w:p>
    <w:p>
      <w:pPr>
        <w:ind w:right="340"/>
        <w:spacing w:after="0" w:line="279" w:lineRule="auto"/>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 March 31, 2023 and December 31,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15"/>
                <w:szCs w:val="15"/>
                <w:b w:val="1"/>
                <w:bCs w:val="1"/>
                <w:color w:val="auto"/>
              </w:rPr>
              <w:t>As of March 31, 2023</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As of December 31, 2022</w:t>
            </w:r>
          </w:p>
        </w:tc>
        <w:tc>
          <w:tcPr>
            <w:tcW w:w="68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Non-</w:t>
            </w:r>
          </w:p>
        </w:tc>
        <w:tc>
          <w:tcPr>
            <w:tcW w:w="1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Securitized</w:t>
            </w:r>
          </w:p>
        </w:tc>
        <w:tc>
          <w:tcPr>
            <w:tcW w:w="200" w:type="dxa"/>
            <w:vAlign w:val="bottom"/>
          </w:tcPr>
          <w:p>
            <w:pPr>
              <w:spacing w:after="0"/>
              <w:rPr>
                <w:sz w:val="13"/>
                <w:szCs w:val="13"/>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9"/>
              </w:rPr>
              <w:t>Non-</w:t>
            </w:r>
          </w:p>
        </w:tc>
        <w:tc>
          <w:tcPr>
            <w:tcW w:w="1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Securitized</w:t>
            </w:r>
          </w:p>
        </w:tc>
        <w:tc>
          <w:tcPr>
            <w:tcW w:w="240" w:type="dxa"/>
            <w:vAlign w:val="bottom"/>
          </w:tcPr>
          <w:p>
            <w:pPr>
              <w:spacing w:after="0"/>
              <w:rPr>
                <w:sz w:val="13"/>
                <w:szCs w:val="13"/>
                <w:color w:val="auto"/>
              </w:rPr>
            </w:pPr>
          </w:p>
        </w:tc>
        <w:tc>
          <w:tcPr>
            <w:tcW w:w="36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Securitized</w:t>
            </w: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Securitized</w:t>
            </w: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31 – 90 days past due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60" w:type="dxa"/>
            <w:vAlign w:val="bottom"/>
          </w:tcPr>
          <w:p>
            <w:pPr>
              <w:ind w:left="20"/>
              <w:spacing w:after="0"/>
              <w:rPr>
                <w:sz w:val="20"/>
                <w:szCs w:val="20"/>
                <w:color w:val="auto"/>
              </w:rPr>
            </w:pPr>
            <w:r>
              <w:rPr>
                <w:rFonts w:ascii="Arial" w:cs="Arial" w:eastAsia="Arial" w:hAnsi="Arial"/>
                <w:sz w:val="17"/>
                <w:szCs w:val="17"/>
                <w:color w:val="auto"/>
              </w:rPr>
              <w:t>91 – 120 days past due</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w w:val="98"/>
              </w:rPr>
              <w:t>Greater than 120 days past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60" w:type="dxa"/>
            <w:vAlign w:val="bottom"/>
          </w:tcPr>
          <w:p>
            <w:pPr>
              <w:ind w:left="120"/>
              <w:spacing w:after="0"/>
              <w:rPr>
                <w:sz w:val="20"/>
                <w:szCs w:val="20"/>
                <w:color w:val="auto"/>
              </w:rPr>
            </w:pPr>
            <w:r>
              <w:rPr>
                <w:rFonts w:ascii="Arial" w:cs="Arial" w:eastAsia="Arial" w:hAnsi="Arial"/>
                <w:sz w:val="17"/>
                <w:szCs w:val="17"/>
                <w:color w:val="auto"/>
              </w:rPr>
              <w:t>Total past due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231</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1,953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60" w:type="dxa"/>
            <w:vAlign w:val="bottom"/>
          </w:tcPr>
          <w:p>
            <w:pPr>
              <w:ind w:left="120"/>
              <w:spacing w:after="0" w:line="161" w:lineRule="exact"/>
              <w:rPr>
                <w:sz w:val="20"/>
                <w:szCs w:val="20"/>
                <w:color w:val="auto"/>
              </w:rPr>
            </w:pPr>
            <w:r>
              <w:rPr>
                <w:rFonts w:ascii="Arial" w:cs="Arial" w:eastAsia="Arial" w:hAnsi="Arial"/>
                <w:sz w:val="17"/>
                <w:szCs w:val="17"/>
                <w:color w:val="auto"/>
              </w:rPr>
              <w:t>Total vacation ownership</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ind w:right="15"/>
              <w:spacing w:after="0"/>
              <w:rPr>
                <w:sz w:val="20"/>
                <w:szCs w:val="20"/>
                <w:color w:val="auto"/>
              </w:rPr>
            </w:pPr>
            <w:r>
              <w:rPr>
                <w:rFonts w:ascii="Arial" w:cs="Arial" w:eastAsia="Arial" w:hAnsi="Arial"/>
                <w:sz w:val="17"/>
                <w:szCs w:val="17"/>
                <w:color w:val="auto"/>
              </w:rPr>
              <w:t>2,032</w:t>
            </w:r>
          </w:p>
        </w:tc>
        <w:tc>
          <w:tcPr>
            <w:tcW w:w="100" w:type="dxa"/>
            <w:vAlign w:val="bottom"/>
          </w:tcPr>
          <w:p>
            <w:pPr>
              <w:spacing w:after="0"/>
              <w:rPr>
                <w:sz w:val="13"/>
                <w:szCs w:val="13"/>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2,617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566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3"/>
                <w:szCs w:val="13"/>
                <w:color w:val="auto"/>
              </w:rPr>
            </w:pPr>
          </w:p>
        </w:tc>
        <w:tc>
          <w:tcPr>
            <w:tcW w:w="240" w:type="dxa"/>
            <w:vAlign w:val="bottom"/>
            <w:vMerge w:val="restart"/>
          </w:tcPr>
          <w:p>
            <w:pPr>
              <w:jc w:val="right"/>
              <w:ind w:right="34"/>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2,589</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20"/>
              <w:spacing w:after="0" w:line="193" w:lineRule="exact"/>
              <w:rPr>
                <w:sz w:val="20"/>
                <w:szCs w:val="20"/>
                <w:color w:val="auto"/>
              </w:rPr>
            </w:pPr>
            <w:r>
              <w:rPr>
                <w:rFonts w:ascii="Arial" w:cs="Arial" w:eastAsia="Arial" w:hAnsi="Arial"/>
                <w:sz w:val="17"/>
                <w:szCs w:val="17"/>
                <w:color w:val="auto"/>
              </w:rPr>
              <w:t>notes receivable</w:t>
            </w: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97"/>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hanging="380"/>
        <w:spacing w:after="0"/>
        <w:tabs>
          <w:tab w:leader="none" w:pos="4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w:t>
      </w:r>
    </w:p>
    <w:p>
      <w:pPr>
        <w:spacing w:after="0" w:line="15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8"/>
          </w:tcPr>
          <w:p>
            <w:pPr>
              <w:ind w:left="420"/>
              <w:spacing w:after="0"/>
              <w:rPr>
                <w:sz w:val="20"/>
                <w:szCs w:val="20"/>
                <w:color w:val="auto"/>
              </w:rPr>
            </w:pPr>
            <w:r>
              <w:rPr>
                <w:rFonts w:ascii="Arial" w:cs="Arial" w:eastAsia="Arial" w:hAnsi="Arial"/>
                <w:sz w:val="15"/>
                <w:szCs w:val="15"/>
                <w:b w:val="1"/>
                <w:bCs w:val="1"/>
                <w:color w:val="auto"/>
              </w:rPr>
              <w:t>At March 31, 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5"/>
          </w:tcPr>
          <w:p>
            <w:pPr>
              <w:jc w:val="right"/>
              <w:ind w:right="416"/>
              <w:spacing w:after="0"/>
              <w:rPr>
                <w:sz w:val="20"/>
                <w:szCs w:val="20"/>
                <w:color w:val="auto"/>
              </w:rPr>
            </w:pPr>
            <w:r>
              <w:rPr>
                <w:rFonts w:ascii="Arial" w:cs="Arial" w:eastAsia="Arial" w:hAnsi="Arial"/>
                <w:sz w:val="15"/>
                <w:szCs w:val="15"/>
                <w:b w:val="1"/>
                <w:bCs w:val="1"/>
                <w:color w:val="auto"/>
              </w:rPr>
              <w:t>At December 31, 2022</w:t>
            </w:r>
          </w:p>
        </w:tc>
        <w:tc>
          <w:tcPr>
            <w:tcW w:w="0" w:type="dxa"/>
            <w:vAlign w:val="bottom"/>
          </w:tcPr>
          <w:p>
            <w:pPr>
              <w:spacing w:after="0"/>
              <w:rPr>
                <w:sz w:val="1"/>
                <w:szCs w:val="1"/>
                <w:color w:val="auto"/>
              </w:rPr>
            </w:pPr>
          </w:p>
        </w:tc>
      </w:tr>
      <w:tr>
        <w:trPr>
          <w:trHeight w:val="150"/>
        </w:trPr>
        <w:tc>
          <w:tcPr>
            <w:tcW w:w="33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400"/>
              <w:spacing w:after="0" w:line="150" w:lineRule="exact"/>
              <w:rPr>
                <w:sz w:val="20"/>
                <w:szCs w:val="20"/>
                <w:color w:val="auto"/>
              </w:rPr>
            </w:pPr>
            <w:r>
              <w:rPr>
                <w:rFonts w:ascii="Arial" w:cs="Arial" w:eastAsia="Arial" w:hAnsi="Arial"/>
                <w:sz w:val="15"/>
                <w:szCs w:val="15"/>
                <w:b w:val="1"/>
                <w:bCs w:val="1"/>
                <w:color w:val="auto"/>
              </w:rPr>
              <w:t>Carrying</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160"/>
              <w:spacing w:after="0" w:line="150" w:lineRule="exact"/>
              <w:rPr>
                <w:sz w:val="20"/>
                <w:szCs w:val="20"/>
                <w:color w:val="auto"/>
              </w:rPr>
            </w:pPr>
            <w:r>
              <w:rPr>
                <w:rFonts w:ascii="Arial" w:cs="Arial" w:eastAsia="Arial" w:hAnsi="Arial"/>
                <w:sz w:val="15"/>
                <w:szCs w:val="15"/>
                <w:b w:val="1"/>
                <w:bCs w:val="1"/>
                <w:color w:val="auto"/>
              </w:rPr>
              <w:t>Fair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right="340"/>
              <w:spacing w:after="0" w:line="150" w:lineRule="exact"/>
              <w:rPr>
                <w:sz w:val="20"/>
                <w:szCs w:val="20"/>
                <w:color w:val="auto"/>
              </w:rPr>
            </w:pPr>
            <w:r>
              <w:rPr>
                <w:rFonts w:ascii="Arial" w:cs="Arial" w:eastAsia="Arial" w:hAnsi="Arial"/>
                <w:sz w:val="15"/>
                <w:szCs w:val="15"/>
                <w:b w:val="1"/>
                <w:bCs w:val="1"/>
                <w:color w:val="auto"/>
                <w:w w:val="97"/>
              </w:rPr>
              <w:t>Carrying</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76"/>
              <w:spacing w:after="0" w:line="150"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ind w:left="120"/>
              <w:spacing w:after="0"/>
              <w:rPr>
                <w:sz w:val="20"/>
                <w:szCs w:val="20"/>
                <w:color w:val="auto"/>
              </w:rPr>
            </w:pPr>
            <w:r>
              <w:rPr>
                <w:rFonts w:ascii="Arial" w:cs="Arial" w:eastAsia="Arial" w:hAnsi="Arial"/>
                <w:sz w:val="15"/>
                <w:szCs w:val="15"/>
                <w:b w:val="1"/>
                <w:bCs w:val="1"/>
                <w:color w:val="auto"/>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95"/>
              </w:rPr>
              <w:t>Amount</w:t>
            </w:r>
          </w:p>
        </w:tc>
        <w:tc>
          <w:tcPr>
            <w:tcW w:w="260" w:type="dxa"/>
            <w:vAlign w:val="bottom"/>
          </w:tcPr>
          <w:p>
            <w:pPr>
              <w:spacing w:after="0"/>
              <w:rPr>
                <w:sz w:val="17"/>
                <w:szCs w:val="17"/>
                <w:color w:val="auto"/>
              </w:rPr>
            </w:pPr>
          </w:p>
        </w:tc>
        <w:tc>
          <w:tcPr>
            <w:tcW w:w="900" w:type="dxa"/>
            <w:vAlign w:val="bottom"/>
          </w:tcPr>
          <w:p>
            <w:pPr>
              <w:jc w:val="center"/>
              <w:ind w:right="176"/>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27"/>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2,283</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financial assets</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2,274</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w:t>
            </w:r>
          </w:p>
        </w:tc>
        <w:tc>
          <w:tcPr>
            <w:tcW w:w="0" w:type="dxa"/>
            <w:vAlign w:val="bottom"/>
          </w:tcPr>
          <w:p>
            <w:pPr>
              <w:spacing w:after="0"/>
              <w:rPr>
                <w:sz w:val="1"/>
                <w:szCs w:val="1"/>
                <w:color w:val="auto"/>
              </w:rPr>
            </w:pPr>
          </w:p>
        </w:tc>
      </w:tr>
      <w:tr>
        <w:trPr>
          <w:trHeight w:val="244"/>
        </w:trPr>
        <w:tc>
          <w:tcPr>
            <w:tcW w:w="3300" w:type="dxa"/>
            <w:vAlign w:val="bottom"/>
          </w:tcPr>
          <w:p>
            <w:pPr>
              <w:ind w:left="20"/>
              <w:spacing w:after="0"/>
              <w:rPr>
                <w:sz w:val="20"/>
                <w:szCs w:val="20"/>
                <w:color w:val="auto"/>
              </w:rPr>
            </w:pPr>
            <w:r>
              <w:rPr>
                <w:rFonts w:ascii="Arial" w:cs="Arial" w:eastAsia="Arial" w:hAnsi="Arial"/>
                <w:sz w:val="17"/>
                <w:szCs w:val="17"/>
                <w:color w:val="auto"/>
              </w:rPr>
              <w:t>2025 Notes, net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45"/>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 Notes, net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44"/>
        </w:trPr>
        <w:tc>
          <w:tcPr>
            <w:tcW w:w="3300" w:type="dxa"/>
            <w:vAlign w:val="bottom"/>
          </w:tcPr>
          <w:p>
            <w:pPr>
              <w:ind w:left="20"/>
              <w:spacing w:after="0"/>
              <w:rPr>
                <w:sz w:val="20"/>
                <w:szCs w:val="20"/>
                <w:color w:val="auto"/>
              </w:rPr>
            </w:pPr>
            <w:r>
              <w:rPr>
                <w:rFonts w:ascii="Arial" w:cs="Arial" w:eastAsia="Arial" w:hAnsi="Arial"/>
                <w:sz w:val="17"/>
                <w:szCs w:val="17"/>
                <w:color w:val="auto"/>
              </w:rPr>
              <w:t>2029 Notes, net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45"/>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net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44"/>
        </w:trPr>
        <w:tc>
          <w:tcPr>
            <w:tcW w:w="3300" w:type="dxa"/>
            <w:vAlign w:val="bottom"/>
          </w:tcPr>
          <w:p>
            <w:pPr>
              <w:ind w:left="20"/>
              <w:spacing w:after="0"/>
              <w:rPr>
                <w:sz w:val="20"/>
                <w:szCs w:val="20"/>
                <w:color w:val="auto"/>
              </w:rPr>
            </w:pPr>
            <w:r>
              <w:rPr>
                <w:rFonts w:ascii="Arial" w:cs="Arial" w:eastAsia="Arial" w:hAnsi="Arial"/>
                <w:sz w:val="17"/>
                <w:szCs w:val="17"/>
                <w:color w:val="auto"/>
              </w:rPr>
              <w:t>Revolving Corporate Credit Facility, net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 Convertible Notes, net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44"/>
        </w:trPr>
        <w:tc>
          <w:tcPr>
            <w:tcW w:w="3300" w:type="dxa"/>
            <w:vAlign w:val="bottom"/>
          </w:tcPr>
          <w:p>
            <w:pPr>
              <w:ind w:left="20"/>
              <w:spacing w:after="0"/>
              <w:rPr>
                <w:sz w:val="20"/>
                <w:szCs w:val="20"/>
                <w:color w:val="auto"/>
              </w:rPr>
            </w:pPr>
            <w:r>
              <w:rPr>
                <w:rFonts w:ascii="Arial" w:cs="Arial" w:eastAsia="Arial" w:hAnsi="Arial"/>
                <w:sz w:val="17"/>
                <w:szCs w:val="17"/>
                <w:color w:val="auto"/>
              </w:rPr>
              <w:t>2027 Convertible Notes, net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45"/>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Non-interest bearing note payable, net</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Arial" w:cs="Arial" w:eastAsia="Arial" w:hAnsi="Arial"/>
                <w:sz w:val="17"/>
                <w:szCs w:val="17"/>
                <w:color w:val="auto"/>
              </w:rPr>
              <w:t>Total financial liabilities</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(4,723)</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Vacation Ownership Notes Receivable</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3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8"/>
          </w:tcPr>
          <w:p>
            <w:pPr>
              <w:ind w:left="440"/>
              <w:spacing w:after="0"/>
              <w:rPr>
                <w:sz w:val="20"/>
                <w:szCs w:val="20"/>
                <w:color w:val="auto"/>
              </w:rPr>
            </w:pPr>
            <w:r>
              <w:rPr>
                <w:rFonts w:ascii="Arial" w:cs="Arial" w:eastAsia="Arial" w:hAnsi="Arial"/>
                <w:sz w:val="15"/>
                <w:szCs w:val="15"/>
                <w:b w:val="1"/>
                <w:bCs w:val="1"/>
                <w:color w:val="auto"/>
              </w:rPr>
              <w:t>At March 31, 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right"/>
              <w:ind w:right="416"/>
              <w:spacing w:after="0"/>
              <w:rPr>
                <w:sz w:val="20"/>
                <w:szCs w:val="20"/>
                <w:color w:val="auto"/>
              </w:rPr>
            </w:pPr>
            <w:r>
              <w:rPr>
                <w:rFonts w:ascii="Arial" w:cs="Arial" w:eastAsia="Arial" w:hAnsi="Arial"/>
                <w:sz w:val="15"/>
                <w:szCs w:val="15"/>
                <w:b w:val="1"/>
                <w:bCs w:val="1"/>
                <w:color w:val="auto"/>
              </w:rPr>
              <w:t>At December 31, 2022</w:t>
            </w:r>
          </w:p>
        </w:tc>
        <w:tc>
          <w:tcPr>
            <w:tcW w:w="0" w:type="dxa"/>
            <w:vAlign w:val="bottom"/>
          </w:tcPr>
          <w:p>
            <w:pPr>
              <w:spacing w:after="0"/>
              <w:rPr>
                <w:sz w:val="1"/>
                <w:szCs w:val="1"/>
                <w:color w:val="auto"/>
              </w:rPr>
            </w:pPr>
          </w:p>
        </w:tc>
      </w:tr>
      <w:tr>
        <w:trPr>
          <w:trHeight w:val="150"/>
        </w:trPr>
        <w:tc>
          <w:tcPr>
            <w:tcW w:w="3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ind w:left="120"/>
              <w:spacing w:after="0" w:line="150" w:lineRule="exact"/>
              <w:rPr>
                <w:sz w:val="20"/>
                <w:szCs w:val="20"/>
                <w:color w:val="auto"/>
              </w:rPr>
            </w:pPr>
            <w:r>
              <w:rPr>
                <w:rFonts w:ascii="Arial" w:cs="Arial" w:eastAsia="Arial" w:hAnsi="Arial"/>
                <w:sz w:val="15"/>
                <w:szCs w:val="15"/>
                <w:b w:val="1"/>
                <w:bCs w:val="1"/>
                <w:color w:val="auto"/>
              </w:rPr>
              <w:t>Carrying</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ind w:left="200"/>
              <w:spacing w:after="0" w:line="150" w:lineRule="exact"/>
              <w:rPr>
                <w:sz w:val="20"/>
                <w:szCs w:val="20"/>
                <w:color w:val="auto"/>
              </w:rPr>
            </w:pPr>
            <w:r>
              <w:rPr>
                <w:rFonts w:ascii="Arial" w:cs="Arial" w:eastAsia="Arial" w:hAnsi="Arial"/>
                <w:sz w:val="15"/>
                <w:szCs w:val="15"/>
                <w:b w:val="1"/>
                <w:bCs w:val="1"/>
                <w:color w:val="auto"/>
              </w:rPr>
              <w:t>Fair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right="300"/>
              <w:spacing w:after="0" w:line="150" w:lineRule="exact"/>
              <w:rPr>
                <w:sz w:val="20"/>
                <w:szCs w:val="20"/>
                <w:color w:val="auto"/>
              </w:rPr>
            </w:pPr>
            <w:r>
              <w:rPr>
                <w:rFonts w:ascii="Arial" w:cs="Arial" w:eastAsia="Arial" w:hAnsi="Arial"/>
                <w:sz w:val="15"/>
                <w:szCs w:val="15"/>
                <w:b w:val="1"/>
                <w:bCs w:val="1"/>
                <w:color w:val="auto"/>
                <w:w w:val="97"/>
              </w:rPr>
              <w:t>Carrying</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76"/>
              <w:spacing w:after="0" w:line="150"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ind w:left="160"/>
              <w:spacing w:after="0"/>
              <w:rPr>
                <w:sz w:val="20"/>
                <w:szCs w:val="20"/>
                <w:color w:val="auto"/>
              </w:rPr>
            </w:pPr>
            <w:r>
              <w:rPr>
                <w:rFonts w:ascii="Arial" w:cs="Arial" w:eastAsia="Arial" w:hAnsi="Arial"/>
                <w:sz w:val="15"/>
                <w:szCs w:val="15"/>
                <w:b w:val="1"/>
                <w:bCs w:val="1"/>
                <w:color w:val="auto"/>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95"/>
              </w:rPr>
              <w:t>Amount</w:t>
            </w:r>
          </w:p>
        </w:tc>
        <w:tc>
          <w:tcPr>
            <w:tcW w:w="260" w:type="dxa"/>
            <w:vAlign w:val="bottom"/>
          </w:tcPr>
          <w:p>
            <w:pPr>
              <w:spacing w:after="0"/>
              <w:rPr>
                <w:sz w:val="17"/>
                <w:szCs w:val="17"/>
                <w:color w:val="auto"/>
              </w:rPr>
            </w:pPr>
          </w:p>
        </w:tc>
        <w:tc>
          <w:tcPr>
            <w:tcW w:w="900" w:type="dxa"/>
            <w:vAlign w:val="bottom"/>
          </w:tcPr>
          <w:p>
            <w:pPr>
              <w:jc w:val="center"/>
              <w:ind w:right="156"/>
              <w:spacing w:after="0"/>
              <w:rPr>
                <w:sz w:val="20"/>
                <w:szCs w:val="20"/>
                <w:color w:val="auto"/>
              </w:rPr>
            </w:pPr>
            <w:r>
              <w:rPr>
                <w:rFonts w:ascii="Arial" w:cs="Arial" w:eastAsia="Arial" w:hAnsi="Arial"/>
                <w:sz w:val="15"/>
                <w:szCs w:val="15"/>
                <w:b w:val="1"/>
                <w:bCs w:val="1"/>
                <w:color w:val="auto"/>
                <w:w w:val="94"/>
              </w:rPr>
              <w:t>Value</w:t>
            </w:r>
          </w:p>
        </w:tc>
        <w:tc>
          <w:tcPr>
            <w:tcW w:w="0" w:type="dxa"/>
            <w:vAlign w:val="bottom"/>
          </w:tcPr>
          <w:p>
            <w:pPr>
              <w:spacing w:after="0"/>
              <w:rPr>
                <w:sz w:val="1"/>
                <w:szCs w:val="1"/>
                <w:color w:val="auto"/>
              </w:rPr>
            </w:pPr>
          </w:p>
        </w:tc>
      </w:tr>
      <w:tr>
        <w:trPr>
          <w:trHeight w:val="227"/>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00" w:type="dxa"/>
            <w:vAlign w:val="bottom"/>
          </w:tcPr>
          <w:p>
            <w:pPr>
              <w:ind w:left="220"/>
              <w:spacing w:after="0"/>
              <w:rPr>
                <w:sz w:val="20"/>
                <w:szCs w:val="20"/>
                <w:color w:val="auto"/>
              </w:rPr>
            </w:pPr>
            <w:r>
              <w:rPr>
                <w:rFonts w:ascii="Arial" w:cs="Arial" w:eastAsia="Arial" w:hAnsi="Arial"/>
                <w:sz w:val="17"/>
                <w:szCs w:val="17"/>
                <w:color w:val="auto"/>
              </w:rPr>
              <w:t>Securitized</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1,792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1,837</w:t>
            </w:r>
          </w:p>
        </w:tc>
        <w:tc>
          <w:tcPr>
            <w:tcW w:w="0" w:type="dxa"/>
            <w:vAlign w:val="bottom"/>
          </w:tcPr>
          <w:p>
            <w:pPr>
              <w:spacing w:after="0"/>
              <w:rPr>
                <w:sz w:val="1"/>
                <w:szCs w:val="1"/>
                <w:color w:val="auto"/>
              </w:rPr>
            </w:pPr>
          </w:p>
        </w:tc>
      </w:tr>
      <w:tr>
        <w:trPr>
          <w:trHeight w:val="258"/>
        </w:trPr>
        <w:tc>
          <w:tcPr>
            <w:tcW w:w="3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300" w:type="dxa"/>
            <w:vAlign w:val="bottom"/>
          </w:tcPr>
          <w:p>
            <w:pPr>
              <w:ind w:left="440"/>
              <w:spacing w:after="0"/>
              <w:rPr>
                <w:sz w:val="20"/>
                <w:szCs w:val="20"/>
                <w:color w:val="auto"/>
              </w:rPr>
            </w:pPr>
            <w:r>
              <w:rPr>
                <w:rFonts w:ascii="Arial" w:cs="Arial" w:eastAsia="Arial" w:hAnsi="Arial"/>
                <w:sz w:val="17"/>
                <w:szCs w:val="17"/>
                <w:color w:val="auto"/>
              </w:rPr>
              <w:t>Eligible for securitization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45"/>
        </w:trPr>
        <w:tc>
          <w:tcPr>
            <w:tcW w:w="3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Not eligible for securitization</w:t>
            </w: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25"/>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Non-securitized</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32"/>
        </w:trPr>
        <w:tc>
          <w:tcPr>
            <w:tcW w:w="33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5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may reflect investor demand in a securitization transaction or the cost to effectively securitize the vacation ownership notes receivable.</w:t>
      </w:r>
    </w:p>
    <w:p>
      <w:pPr>
        <w:spacing w:after="0" w:line="11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Other assets include $80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Securitized Debt</w:t>
      </w:r>
    </w:p>
    <w:p>
      <w:pPr>
        <w:spacing w:after="0" w:line="114"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4"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We estimate the fair value of our 2025 Notes, 2028 Notes, and 2029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14"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Corporate Credit Facility</w:t>
      </w:r>
    </w:p>
    <w:p>
      <w:pPr>
        <w:spacing w:after="0" w:line="11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1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Bearing Note Payable</w:t>
      </w:r>
    </w:p>
    <w:p>
      <w:pPr>
        <w:spacing w:after="0" w:line="114"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carrying value of our non-interest bearing note payable issued in connection with the acquisition of vacation ownership units located in Bali, Indonesia approximates fair value. We concluded that this fair value measurement should be categorized within Level 3.</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hanging="380"/>
        <w:spacing w:after="0"/>
        <w:tabs>
          <w:tab w:leader="none" w:pos="4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10"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5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our convertible notes are considered to be anti-dilutive and do not impact our calculation of diluted earnings per share attributable to common shareholders for any periods presented herein.</w:t>
      </w:r>
    </w:p>
    <w:p>
      <w:pPr>
        <w:spacing w:after="0" w:line="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table below illustrates the reconciliation of the earnings or loss and number of shares used in our calculation of basic earnings or loss per share attributable to common shareholders.</w:t>
      </w:r>
    </w:p>
    <w:p>
      <w:pPr>
        <w:spacing w:after="0" w:line="46"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7"/>
              </w:rPr>
              <w:t>March 31, 2022</w:t>
            </w:r>
          </w:p>
        </w:tc>
      </w:tr>
      <w:tr>
        <w:trPr>
          <w:trHeight w:val="226"/>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44"/>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for basic earnings per share</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w:t>
            </w:r>
          </w:p>
        </w:tc>
      </w:tr>
      <w:tr>
        <w:trPr>
          <w:trHeight w:val="23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table below illustrates the reconciliation of the earnings or loss and number of shares used in our calculation of diluted earnings or loss per share attributable to common shareholders.</w:t>
      </w:r>
    </w:p>
    <w:p>
      <w:pPr>
        <w:spacing w:after="0" w:line="46" w:lineRule="exact"/>
        <w:rPr>
          <w:sz w:val="20"/>
          <w:szCs w:val="20"/>
          <w:color w:val="auto"/>
        </w:rPr>
      </w:pPr>
    </w:p>
    <w:p>
      <w:pPr>
        <w:ind w:left="6120"/>
        <w:spacing w:after="0"/>
        <w:rPr>
          <w:sz w:val="20"/>
          <w:szCs w:val="20"/>
          <w:color w:val="auto"/>
        </w:rPr>
      </w:pPr>
      <w:r>
        <w:rPr>
          <w:rFonts w:ascii="Arial" w:cs="Arial" w:eastAsia="Arial" w:hAnsi="Arial"/>
          <w:sz w:val="15"/>
          <w:szCs w:val="15"/>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20"/>
              <w:spacing w:after="0" w:line="205" w:lineRule="exact"/>
              <w:rPr>
                <w:sz w:val="20"/>
                <w:szCs w:val="20"/>
                <w:color w:val="auto"/>
              </w:rPr>
            </w:pPr>
            <w:r>
              <w:rPr>
                <w:rFonts w:ascii="Arial" w:cs="Arial" w:eastAsia="Arial" w:hAnsi="Arial"/>
                <w:sz w:val="15"/>
                <w:szCs w:val="15"/>
                <w:b w:val="1"/>
                <w:bCs w:val="1"/>
                <w:color w:val="auto"/>
              </w:rPr>
              <w:t>March 31, 2023</w:t>
            </w:r>
            <w:r>
              <w:rPr>
                <w:rFonts w:ascii="Arial" w:cs="Arial" w:eastAsia="Arial" w:hAnsi="Arial"/>
                <w:sz w:val="20"/>
                <w:szCs w:val="20"/>
                <w:b w:val="1"/>
                <w:bCs w:val="1"/>
                <w:color w:val="auto"/>
                <w:vertAlign w:val="superscript"/>
              </w:rPr>
              <w:t>(1)</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55"/>
              <w:spacing w:after="0" w:line="205" w:lineRule="exact"/>
              <w:rPr>
                <w:sz w:val="20"/>
                <w:szCs w:val="20"/>
                <w:color w:val="auto"/>
              </w:rPr>
            </w:pPr>
            <w:r>
              <w:rPr>
                <w:rFonts w:ascii="Arial" w:cs="Arial" w:eastAsia="Arial" w:hAnsi="Arial"/>
                <w:sz w:val="15"/>
                <w:szCs w:val="15"/>
                <w:b w:val="1"/>
                <w:bCs w:val="1"/>
                <w:color w:val="auto"/>
                <w:w w:val="94"/>
              </w:rPr>
              <w:t>March 31, 2022</w:t>
            </w:r>
            <w:r>
              <w:rPr>
                <w:rFonts w:ascii="Arial" w:cs="Arial" w:eastAsia="Arial" w:hAnsi="Arial"/>
                <w:sz w:val="20"/>
                <w:szCs w:val="20"/>
                <w:b w:val="1"/>
                <w:bCs w:val="1"/>
                <w:color w:val="auto"/>
                <w:w w:val="94"/>
                <w:vertAlign w:val="superscript"/>
              </w:rPr>
              <w:t>(1)</w:t>
            </w:r>
          </w:p>
        </w:tc>
      </w:tr>
      <w:tr>
        <w:trPr>
          <w:trHeight w:val="225"/>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44"/>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Add back of interest expense related to convertible notes, net of tax</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 used to calculate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58"/>
        </w:trPr>
        <w:tc>
          <w:tcPr>
            <w:tcW w:w="5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5"/>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for basic earnings per share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r>
      <w:tr>
        <w:trPr>
          <w:trHeight w:val="244"/>
        </w:trPr>
        <w:tc>
          <w:tcPr>
            <w:tcW w:w="5300" w:type="dxa"/>
            <w:vAlign w:val="bottom"/>
          </w:tcPr>
          <w:p>
            <w:pPr>
              <w:ind w:left="20"/>
              <w:spacing w:after="0"/>
              <w:rPr>
                <w:sz w:val="20"/>
                <w:szCs w:val="20"/>
                <w:color w:val="auto"/>
              </w:rPr>
            </w:pPr>
            <w:r>
              <w:rPr>
                <w:rFonts w:ascii="Arial" w:cs="Arial" w:eastAsia="Arial" w:hAnsi="Arial"/>
                <w:sz w:val="17"/>
                <w:szCs w:val="17"/>
                <w:color w:val="auto"/>
              </w:rPr>
              <w:t>Effect of dilutive shares outstanding</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5"/>
        </w:trPr>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SARs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44"/>
        </w:trPr>
        <w:tc>
          <w:tcPr>
            <w:tcW w:w="5300" w:type="dxa"/>
            <w:vAlign w:val="bottom"/>
          </w:tcPr>
          <w:p>
            <w:pPr>
              <w:ind w:left="140"/>
              <w:spacing w:after="0"/>
              <w:rPr>
                <w:sz w:val="20"/>
                <w:szCs w:val="20"/>
                <w:color w:val="auto"/>
              </w:rPr>
            </w:pPr>
            <w:r>
              <w:rPr>
                <w:rFonts w:ascii="Arial" w:cs="Arial" w:eastAsia="Arial" w:hAnsi="Arial"/>
                <w:sz w:val="17"/>
                <w:szCs w:val="17"/>
                <w:color w:val="auto"/>
              </w:rPr>
              <w:t>Restricted stock units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45"/>
        </w:trPr>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2022 Convertible Notes ($230 million of principal)</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44"/>
        </w:trPr>
        <w:tc>
          <w:tcPr>
            <w:tcW w:w="5300" w:type="dxa"/>
            <w:vAlign w:val="bottom"/>
          </w:tcPr>
          <w:p>
            <w:pPr>
              <w:ind w:left="140"/>
              <w:spacing w:after="0"/>
              <w:rPr>
                <w:sz w:val="20"/>
                <w:szCs w:val="20"/>
                <w:color w:val="auto"/>
              </w:rPr>
            </w:pPr>
            <w:r>
              <w:rPr>
                <w:rFonts w:ascii="Arial" w:cs="Arial" w:eastAsia="Arial" w:hAnsi="Arial"/>
                <w:sz w:val="17"/>
                <w:szCs w:val="17"/>
                <w:color w:val="auto"/>
              </w:rPr>
              <w:t>2026 Convertible Notes ($575 million of principal)</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45"/>
        </w:trPr>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2027 Convertible Notes ($575 million of principal)</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for diluted earnings per share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right="20" w:hanging="317"/>
        <w:spacing w:after="0" w:line="280" w:lineRule="auto"/>
        <w:tabs>
          <w:tab w:leader="none" w:pos="308"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The computations of diluted earnings per share attributable to common shareholders exclude approximately 239,000 and 300,000 shares of common stock, the maximum number of shares issuable as of March 31, 2023 and March 31, 2022, respectively, upon the vesting of certain performance-based awards, because the performance conditions required to be met for the shares subject to such awards to vest were not achieved by the end of the reporting period.</w:t>
      </w:r>
    </w:p>
    <w:p>
      <w:pPr>
        <w:spacing w:after="0" w:line="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accordance with the applicable accounting guidance for calculating earnings per share, for the first quarter of 2023, we excluded from our calculation of diluted earnings per share 237,249 shares underlying stock appreciation rights (“SARs”) that may settle in shares of common stock because the exercise prices of such SARs, which ranged from $153.10 to $173.88, were greater than the average market price of our common stock for the applicable period.</w:t>
      </w:r>
    </w:p>
    <w:p>
      <w:pPr>
        <w:spacing w:after="0" w:line="22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348" w:lineRule="auto"/>
        <w:rPr>
          <w:sz w:val="20"/>
          <w:szCs w:val="20"/>
          <w:color w:val="auto"/>
        </w:rPr>
      </w:pPr>
      <w:r>
        <w:rPr>
          <w:rFonts w:ascii="Arial" w:cs="Arial" w:eastAsia="Arial" w:hAnsi="Arial"/>
          <w:sz w:val="15"/>
          <w:szCs w:val="15"/>
          <w:color w:val="auto"/>
        </w:rPr>
        <w:t>For the first quarter of 2022, we excluded from our calculation of diluted earnings per share 126,169 shares underlying SARs that may settle in shares of common stock because the exercise price of $173.88 of such SARs was greater than the average market price of our common stock for the applicable period.</w:t>
      </w:r>
    </w:p>
    <w:p>
      <w:pPr>
        <w:spacing w:after="0" w:line="189" w:lineRule="exact"/>
        <w:rPr>
          <w:sz w:val="20"/>
          <w:szCs w:val="20"/>
          <w:color w:val="auto"/>
        </w:rPr>
      </w:pPr>
    </w:p>
    <w:p>
      <w:pPr>
        <w:ind w:left="400" w:hanging="380"/>
        <w:spacing w:after="0"/>
        <w:tabs>
          <w:tab w:leader="none" w:pos="4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INVENTORY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our inventory balances: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5"/>
                <w:szCs w:val="15"/>
                <w:b w:val="1"/>
                <w:bCs w:val="1"/>
                <w:color w:val="auto"/>
              </w:rPr>
              <w:t>At March 31, 2023</w:t>
            </w:r>
          </w:p>
        </w:tc>
        <w:tc>
          <w:tcPr>
            <w:tcW w:w="120" w:type="dxa"/>
            <w:vAlign w:val="bottom"/>
          </w:tcPr>
          <w:p>
            <w:pPr>
              <w:spacing w:after="0"/>
              <w:rPr>
                <w:sz w:val="17"/>
                <w:szCs w:val="17"/>
                <w:color w:val="auto"/>
              </w:rPr>
            </w:pPr>
          </w:p>
        </w:tc>
        <w:tc>
          <w:tcPr>
            <w:tcW w:w="1640" w:type="dxa"/>
            <w:vAlign w:val="bottom"/>
          </w:tcPr>
          <w:p>
            <w:pPr>
              <w:jc w:val="right"/>
              <w:ind w:right="76"/>
              <w:spacing w:after="0"/>
              <w:rPr>
                <w:sz w:val="20"/>
                <w:szCs w:val="20"/>
                <w:color w:val="auto"/>
              </w:rPr>
            </w:pPr>
            <w:r>
              <w:rPr>
                <w:rFonts w:ascii="Arial" w:cs="Arial" w:eastAsia="Arial" w:hAnsi="Arial"/>
                <w:sz w:val="15"/>
                <w:szCs w:val="15"/>
                <w:b w:val="1"/>
                <w:bCs w:val="1"/>
                <w:color w:val="auto"/>
                <w:w w:val="94"/>
              </w:rPr>
              <w:t>At December 31, 2022</w:t>
            </w:r>
          </w:p>
        </w:tc>
      </w:tr>
      <w:tr>
        <w:trPr>
          <w:trHeight w:val="227"/>
        </w:trPr>
        <w:tc>
          <w:tcPr>
            <w:tcW w:w="4680" w:type="dxa"/>
            <w:vAlign w:val="bottom"/>
            <w:tcBorders>
              <w:top w:val="single" w:sz="8" w:color="CCEEFF"/>
            </w:tcBorders>
            <w:shd w:val="clear" w:color="auto" w:fill="CCEEFF"/>
          </w:tcPr>
          <w:p>
            <w:pPr>
              <w:ind w:left="20"/>
              <w:spacing w:after="0" w:line="227" w:lineRule="exact"/>
              <w:rPr>
                <w:sz w:val="20"/>
                <w:szCs w:val="20"/>
                <w:color w:val="auto"/>
              </w:rPr>
            </w:pPr>
            <w:r>
              <w:rPr>
                <w:rFonts w:ascii="Arial" w:cs="Arial" w:eastAsia="Arial" w:hAnsi="Arial"/>
                <w:sz w:val="17"/>
                <w:szCs w:val="17"/>
                <w:color w:val="auto"/>
              </w:rPr>
              <w:t>Real estate inventory</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w:t>
            </w:r>
          </w:p>
        </w:tc>
      </w:tr>
      <w:tr>
        <w:trPr>
          <w:trHeight w:val="24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37"/>
        </w:trPr>
        <w:tc>
          <w:tcPr>
            <w:tcW w:w="4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right="2980" w:hanging="300"/>
        <w:spacing w:after="0" w:line="238" w:lineRule="auto"/>
        <w:tabs>
          <w:tab w:leader="none" w:pos="30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completed inventory that is registered for sale as VOIs and vacation ownership inventory expected to be reacquired pursuant to estimated future defaults on originated vacation ownership notes receivable.</w:t>
      </w:r>
    </w:p>
    <w:p>
      <w:pPr>
        <w:spacing w:after="0" w:line="20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$11 million during the first quarter of 2023 and $7 million during the first quarter of 2022.</w:t>
      </w:r>
    </w:p>
    <w:p>
      <w:pPr>
        <w:spacing w:after="0" w:line="5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addition to the above, at March 31, 2023 and December 31, 2022, we had $392 million and $428 million, respectively, of completed vacation ownership units which are classified as a component of Property and equipment, net until the time at which they are available and legally registered for sale as vacation ownership products.</w:t>
      </w:r>
    </w:p>
    <w:p>
      <w:pPr>
        <w:spacing w:after="0" w:line="142" w:lineRule="exact"/>
        <w:rPr>
          <w:sz w:val="20"/>
          <w:szCs w:val="20"/>
          <w:color w:val="auto"/>
        </w:rPr>
      </w:pPr>
    </w:p>
    <w:p>
      <w:pPr>
        <w:ind w:left="480" w:hanging="460"/>
        <w:spacing w:after="0"/>
        <w:tabs>
          <w:tab w:leader="none" w:pos="48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 AND COMMITMENTS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Letters of Credit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2023, we had the following commitments outstanding:</w:t>
      </w:r>
    </w:p>
    <w:p>
      <w:pPr>
        <w:spacing w:after="0" w:line="114" w:lineRule="exact"/>
        <w:rPr>
          <w:sz w:val="20"/>
          <w:szCs w:val="20"/>
          <w:color w:val="auto"/>
        </w:rPr>
      </w:pPr>
    </w:p>
    <w:p>
      <w:pPr>
        <w:ind w:left="460" w:right="20" w:hanging="302"/>
        <w:spacing w:after="0" w:line="266" w:lineRule="auto"/>
        <w:tabs>
          <w:tab w:leader="none" w:pos="4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aggregate commitment under these contracts was $70 million, of which we expect $42 million, $16 million, $8 million, and $4 million will be paid in the remainder of 2023, 2024, 2025, and 2026, respectively.</w:t>
      </w:r>
    </w:p>
    <w:p>
      <w:pPr>
        <w:spacing w:after="0" w:line="71" w:lineRule="exact"/>
        <w:rPr>
          <w:rFonts w:ascii="Arial" w:cs="Arial" w:eastAsia="Arial" w:hAnsi="Arial"/>
          <w:sz w:val="17"/>
          <w:szCs w:val="17"/>
          <w:color w:val="auto"/>
        </w:rPr>
      </w:pPr>
    </w:p>
    <w:p>
      <w:pPr>
        <w:ind w:left="460" w:right="260" w:hanging="302"/>
        <w:spacing w:after="0" w:line="279" w:lineRule="auto"/>
        <w:tabs>
          <w:tab w:leader="none" w:pos="4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a commitment to acquire real estate for use in our Vacation Ownership segment via our involvement with a VIE. Refer to Footnote 15 “Variable Interest Entities” for additional information and our activities relating to the VIE involved in this transaction.</w:t>
      </w:r>
    </w:p>
    <w:p>
      <w:pPr>
        <w:spacing w:after="0" w:line="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Surety bonds issued as of March 31, 2023 totaled $127 million, the majority of which were requested by federal, state, or local governments in connection with our operations.</w:t>
      </w:r>
    </w:p>
    <w:p>
      <w:pPr>
        <w:spacing w:after="0" w:line="61"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As of March 31, 2023, we had $1 million of letters of credit outstanding under our Revolving Corporate Credit Facility (as defined in Footnote 12 “Debt”). In addition, as of March 31, 2023,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(if any) as our fee or we make up the deficit. At March 31, 2023, our maximum exposure under fixed dollar guarantees was $6 million, of which $1 million, $2 million, $1 million, $1 million, and $1 million relate to the remainder of 2023, 2024, 2025, 2026, and thereafter, respectively.</w:t>
      </w:r>
    </w:p>
    <w:p>
      <w:pPr>
        <w:spacing w:after="0" w:line="23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March 31, 2023, our expected commitment for the remainder of 2023 is $7 million.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1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with respect to which the plaintiff was granted leave to amend its complaint. The plaintiff filed an amended complaint and appealed the dismissal of the other claims. In November 2022, the Court granted our motion to dismiss the amended complaint and again granted plaintiff leave to amend. The appeal remains pending. We believe we have meritorious defenses to the claims in this matter and intend to vigorously defend against them.</w:t>
      </w:r>
    </w:p>
    <w:p>
      <w:pPr>
        <w:spacing w:after="0" w:line="8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We have not accrued for the pending matter described above and we cannot estimate a range of the potential liability associated with this pending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253" w:lineRule="exact"/>
        <w:rPr>
          <w:sz w:val="20"/>
          <w:szCs w:val="20"/>
          <w:color w:val="auto"/>
        </w:rPr>
      </w:pPr>
    </w:p>
    <w:p>
      <w:pPr>
        <w:ind w:left="480" w:hanging="460"/>
        <w:spacing w:after="0"/>
        <w:tabs>
          <w:tab w:leader="none" w:pos="48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SECURITIZED DEBT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 on our securitized debt, net of unamortized debt discount and issuance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5"/>
                <w:szCs w:val="15"/>
                <w:b w:val="1"/>
                <w:bCs w:val="1"/>
                <w:color w:val="auto"/>
              </w:rPr>
              <w:t>At March 31, 2023</w:t>
            </w:r>
          </w:p>
        </w:tc>
        <w:tc>
          <w:tcPr>
            <w:tcW w:w="140" w:type="dxa"/>
            <w:vAlign w:val="bottom"/>
          </w:tcPr>
          <w:p>
            <w:pPr>
              <w:spacing w:after="0"/>
              <w:rPr>
                <w:sz w:val="17"/>
                <w:szCs w:val="17"/>
                <w:color w:val="auto"/>
              </w:rPr>
            </w:pPr>
          </w:p>
        </w:tc>
        <w:tc>
          <w:tcPr>
            <w:tcW w:w="1620" w:type="dxa"/>
            <w:vAlign w:val="bottom"/>
          </w:tcPr>
          <w:p>
            <w:pPr>
              <w:jc w:val="right"/>
              <w:ind w:right="55"/>
              <w:spacing w:after="0"/>
              <w:rPr>
                <w:sz w:val="20"/>
                <w:szCs w:val="20"/>
                <w:color w:val="auto"/>
              </w:rPr>
            </w:pPr>
            <w:r>
              <w:rPr>
                <w:rFonts w:ascii="Arial" w:cs="Arial" w:eastAsia="Arial" w:hAnsi="Arial"/>
                <w:sz w:val="15"/>
                <w:szCs w:val="15"/>
                <w:b w:val="1"/>
                <w:bCs w:val="1"/>
                <w:color w:val="auto"/>
                <w:w w:val="94"/>
              </w:rPr>
              <w:t>At December 31, 2022</w:t>
            </w:r>
          </w:p>
        </w:tc>
      </w:tr>
      <w:tr>
        <w:trPr>
          <w:trHeight w:val="22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securitizations, gross</w:t>
            </w:r>
            <w:r>
              <w:rPr>
                <w:rFonts w:ascii="Arial" w:cs="Arial" w:eastAsia="Arial" w:hAnsi="Arial"/>
                <w:sz w:val="10"/>
                <w:szCs w:val="10"/>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w:t>
            </w:r>
          </w:p>
        </w:tc>
      </w:tr>
      <w:tr>
        <w:trPr>
          <w:trHeight w:val="24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discount and issuance costs</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25"/>
        </w:trPr>
        <w:tc>
          <w:tcPr>
            <w:tcW w:w="4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r>
      <w:tr>
        <w:trPr>
          <w:trHeight w:val="245"/>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5"/>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Facility, gross</w:t>
            </w:r>
            <w:r>
              <w:rPr>
                <w:rFonts w:ascii="Arial" w:cs="Arial" w:eastAsia="Arial" w:hAnsi="Arial"/>
                <w:sz w:val="10"/>
                <w:szCs w:val="10"/>
                <w:color w:val="auto"/>
              </w:rPr>
              <w:t>(2)</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4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issuance costs</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5"/>
        </w:trPr>
        <w:tc>
          <w:tcPr>
            <w:tcW w:w="4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45"/>
        </w:trPr>
        <w:tc>
          <w:tcPr>
            <w:tcW w:w="47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r>
      <w:tr>
        <w:trPr>
          <w:trHeight w:val="236"/>
        </w:trPr>
        <w:tc>
          <w:tcPr>
            <w:tcW w:w="4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00"/>
        <w:spacing w:after="0"/>
        <w:tabs>
          <w:tab w:leader="none" w:pos="32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Interest rates as of March 31, 2023 range from 1.5% to 6.6%, with a weighted average interest rate of 3.3%.</w:t>
      </w:r>
    </w:p>
    <w:p>
      <w:pPr>
        <w:spacing w:after="0" w:line="66" w:lineRule="exact"/>
        <w:rPr>
          <w:rFonts w:ascii="Arial" w:cs="Arial" w:eastAsia="Arial" w:hAnsi="Arial"/>
          <w:sz w:val="22"/>
          <w:szCs w:val="22"/>
          <w:color w:val="auto"/>
          <w:vertAlign w:val="superscript"/>
        </w:rPr>
      </w:pPr>
    </w:p>
    <w:p>
      <w:pPr>
        <w:ind w:left="320" w:hanging="300"/>
        <w:spacing w:after="0" w:line="229" w:lineRule="auto"/>
        <w:tabs>
          <w:tab w:leader="none" w:pos="32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Effective interest rate as of March 31, 2023 was 5.9%.</w:t>
      </w:r>
    </w:p>
    <w:p>
      <w:pPr>
        <w:spacing w:after="0" w:line="36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All of our securitized debt is non-recourse to MVWC. See Footnote 15 “Variable Interest Entities” for a discussion of the collateral for the non-recourse debt associated with our securitized debt.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anticipated future principal payments for our securitized debt as of March 31,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Vacation Ownership</w:t>
            </w:r>
          </w:p>
        </w:tc>
        <w:tc>
          <w:tcPr>
            <w:tcW w:w="200" w:type="dxa"/>
            <w:vAlign w:val="bottom"/>
          </w:tcPr>
          <w:p>
            <w:pPr>
              <w:spacing w:after="0"/>
              <w:rPr>
                <w:sz w:val="14"/>
                <w:szCs w:val="14"/>
                <w:color w:val="auto"/>
              </w:rPr>
            </w:pPr>
          </w:p>
        </w:tc>
        <w:tc>
          <w:tcPr>
            <w:tcW w:w="168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3"/>
              </w:rPr>
              <w:t>Warehouse Credit</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80"/>
              <w:spacing w:after="0" w:line="155" w:lineRule="exact"/>
              <w:rPr>
                <w:sz w:val="20"/>
                <w:szCs w:val="20"/>
                <w:color w:val="auto"/>
              </w:rPr>
            </w:pPr>
            <w:r>
              <w:rPr>
                <w:rFonts w:ascii="Arial" w:cs="Arial" w:eastAsia="Arial" w:hAnsi="Arial"/>
                <w:sz w:val="15"/>
                <w:szCs w:val="15"/>
                <w:b w:val="1"/>
                <w:bCs w:val="1"/>
                <w:color w:val="auto"/>
                <w:w w:val="90"/>
              </w:rPr>
              <w:t>Notes Receivable</w:t>
            </w:r>
          </w:p>
        </w:tc>
        <w:tc>
          <w:tcPr>
            <w:tcW w:w="2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restart"/>
          </w:tcPr>
          <w:p>
            <w:pPr>
              <w:jc w:val="right"/>
              <w:ind w:right="59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2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Securitizations</w:t>
            </w:r>
          </w:p>
        </w:tc>
        <w:tc>
          <w:tcPr>
            <w:tcW w:w="200" w:type="dxa"/>
            <w:vAlign w:val="bottom"/>
          </w:tcPr>
          <w:p>
            <w:pPr>
              <w:spacing w:after="0"/>
              <w:rPr>
                <w:sz w:val="17"/>
                <w:szCs w:val="17"/>
                <w:color w:val="auto"/>
              </w:rPr>
            </w:pPr>
          </w:p>
        </w:tc>
        <w:tc>
          <w:tcPr>
            <w:tcW w:w="1680" w:type="dxa"/>
            <w:vAlign w:val="bottom"/>
            <w:gridSpan w:val="2"/>
          </w:tcPr>
          <w:p>
            <w:pPr>
              <w:jc w:val="center"/>
              <w:ind w:right="340"/>
              <w:spacing w:after="0" w:line="207" w:lineRule="exact"/>
              <w:rPr>
                <w:sz w:val="20"/>
                <w:szCs w:val="20"/>
                <w:color w:val="auto"/>
              </w:rPr>
            </w:pPr>
            <w:r>
              <w:rPr>
                <w:rFonts w:ascii="Arial" w:cs="Arial" w:eastAsia="Arial" w:hAnsi="Arial"/>
                <w:sz w:val="15"/>
                <w:szCs w:val="15"/>
                <w:b w:val="1"/>
                <w:bCs w:val="1"/>
                <w:color w:val="auto"/>
                <w:w w:val="91"/>
              </w:rPr>
              <w:t>Facility</w:t>
            </w:r>
            <w:r>
              <w:rPr>
                <w:rFonts w:ascii="Arial" w:cs="Arial" w:eastAsia="Arial" w:hAnsi="Arial"/>
                <w:sz w:val="20"/>
                <w:szCs w:val="20"/>
                <w:b w:val="1"/>
                <w:bCs w:val="1"/>
                <w:color w:val="auto"/>
                <w:w w:val="91"/>
                <w:vertAlign w:val="superscript"/>
              </w:rPr>
              <w:t>(1)</w:t>
            </w:r>
          </w:p>
        </w:tc>
        <w:tc>
          <w:tcPr>
            <w:tcW w:w="4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Payments Year</w:t>
            </w: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80" w:type="dxa"/>
            <w:vAlign w:val="bottom"/>
          </w:tcPr>
          <w:p>
            <w:pPr>
              <w:ind w:left="220"/>
              <w:spacing w:after="0"/>
              <w:rPr>
                <w:sz w:val="20"/>
                <w:szCs w:val="20"/>
                <w:color w:val="auto"/>
              </w:rPr>
            </w:pPr>
            <w:r>
              <w:rPr>
                <w:rFonts w:ascii="Arial" w:cs="Arial" w:eastAsia="Arial" w:hAnsi="Arial"/>
                <w:sz w:val="17"/>
                <w:szCs w:val="17"/>
                <w:color w:val="auto"/>
              </w:rPr>
              <w:t>2023, remaining</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1"/>
                <w:szCs w:val="21"/>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45"/>
        </w:trPr>
        <w:tc>
          <w:tcPr>
            <w:tcW w:w="2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2024</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44"/>
        </w:trPr>
        <w:tc>
          <w:tcPr>
            <w:tcW w:w="2880" w:type="dxa"/>
            <w:vAlign w:val="bottom"/>
          </w:tcPr>
          <w:p>
            <w:pPr>
              <w:ind w:left="220"/>
              <w:spacing w:after="0"/>
              <w:rPr>
                <w:sz w:val="20"/>
                <w:szCs w:val="20"/>
                <w:color w:val="auto"/>
              </w:rPr>
            </w:pPr>
            <w:r>
              <w:rPr>
                <w:rFonts w:ascii="Arial" w:cs="Arial" w:eastAsia="Arial" w:hAnsi="Arial"/>
                <w:sz w:val="17"/>
                <w:szCs w:val="17"/>
                <w:color w:val="auto"/>
              </w:rPr>
              <w:t>2025</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271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45"/>
        </w:trPr>
        <w:tc>
          <w:tcPr>
            <w:tcW w:w="2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44"/>
        </w:trPr>
        <w:tc>
          <w:tcPr>
            <w:tcW w:w="2880" w:type="dxa"/>
            <w:vAlign w:val="bottom"/>
          </w:tcPr>
          <w:p>
            <w:pPr>
              <w:ind w:left="220"/>
              <w:spacing w:after="0"/>
              <w:rPr>
                <w:sz w:val="20"/>
                <w:szCs w:val="20"/>
                <w:color w:val="auto"/>
              </w:rPr>
            </w:pPr>
            <w:r>
              <w:rPr>
                <w:rFonts w:ascii="Arial" w:cs="Arial" w:eastAsia="Arial" w:hAnsi="Arial"/>
                <w:sz w:val="17"/>
                <w:szCs w:val="17"/>
                <w:color w:val="auto"/>
              </w:rPr>
              <w:t>2027</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45"/>
        </w:trPr>
        <w:tc>
          <w:tcPr>
            <w:tcW w:w="2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Thereafter</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hanging="300"/>
        <w:spacing w:after="0"/>
        <w:tabs>
          <w:tab w:leader="none" w:pos="32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Excludes future Warehouse Credit Facility renewals.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Vacation Ownership Notes Receivable Securitizations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2023, and as of March 31, 2023, we had 14 securitized vacation ownership notes receivable pools outstanding, none of which were out of compliance with their respective established parameters.</w:t>
      </w:r>
    </w:p>
    <w:p>
      <w:pPr>
        <w:spacing w:after="0" w:line="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3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On April 13, 2023, subsequent to the end of the first quarter of 2023, we securitized a pool of $388 million of vacation ownership notes receivable. In connection with the securitization, $380 million in vacation ownership loan backed notes were issued by MVW 2023-1 LLC (the “2023-1 LLC”) in a private placement. Four classes of vacation ownership loan backed notes were issued by the 2023-1 LLC: $237 million of Class A Notes, $65 million of Class B Notes, $48 million of Class C Notes, and $30 million of Class D Notes. The Class A Notes have an interest rate of 4.93%, the Class B Notes have an interest rate of 5.42%, the Class C Notes have an interest rate of 6.54%, and the Class D Notes have an interest rate of 8.83%. Investors purchased $369 million of the vacation ownership loan backed notes issued by the 2023-1 LLC on April 13, 2023, comprised of the Class A Notes, the Class B Notes, the Class C Notes, and a portion of the Class D Notes, of which we retained $11 million. Proceeds from the transaction, net of fees and a reserve, were used to repay the outstanding obligations on our warehouse credit facility (the “Warehouse Credit Facility”) and for other general corporate purposes.</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 w:hanging="460"/>
        <w:spacing w:after="0"/>
        <w:tabs>
          <w:tab w:leader="none" w:pos="4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 on our debt balances, net of unamortized debt discount and issuance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Arial" w:cs="Arial" w:eastAsia="Arial" w:hAnsi="Arial"/>
                <w:sz w:val="15"/>
                <w:szCs w:val="15"/>
                <w:b w:val="1"/>
                <w:bCs w:val="1"/>
                <w:color w:val="auto"/>
              </w:rPr>
              <w:t>At March 31, 2023</w:t>
            </w:r>
          </w:p>
        </w:tc>
        <w:tc>
          <w:tcPr>
            <w:tcW w:w="120" w:type="dxa"/>
            <w:vAlign w:val="bottom"/>
          </w:tcPr>
          <w:p>
            <w:pPr>
              <w:spacing w:after="0"/>
              <w:rPr>
                <w:sz w:val="17"/>
                <w:szCs w:val="17"/>
                <w:color w:val="auto"/>
              </w:rPr>
            </w:pPr>
          </w:p>
        </w:tc>
        <w:tc>
          <w:tcPr>
            <w:tcW w:w="1540" w:type="dxa"/>
            <w:vAlign w:val="bottom"/>
          </w:tcPr>
          <w:p>
            <w:pPr>
              <w:jc w:val="right"/>
              <w:ind w:right="15"/>
              <w:spacing w:after="0"/>
              <w:rPr>
                <w:sz w:val="20"/>
                <w:szCs w:val="20"/>
                <w:color w:val="auto"/>
              </w:rPr>
            </w:pPr>
            <w:r>
              <w:rPr>
                <w:rFonts w:ascii="Arial" w:cs="Arial" w:eastAsia="Arial" w:hAnsi="Arial"/>
                <w:sz w:val="15"/>
                <w:szCs w:val="15"/>
                <w:b w:val="1"/>
                <w:bCs w:val="1"/>
                <w:color w:val="auto"/>
                <w:w w:val="91"/>
              </w:rPr>
              <w:t>At December 31, 2022</w:t>
            </w:r>
          </w:p>
        </w:tc>
      </w:tr>
      <w:tr>
        <w:trPr>
          <w:trHeight w:val="227"/>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Senior Secured Notes</w:t>
            </w: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44"/>
        </w:trPr>
        <w:tc>
          <w:tcPr>
            <w:tcW w:w="4900" w:type="dxa"/>
            <w:vAlign w:val="bottom"/>
          </w:tcPr>
          <w:p>
            <w:pPr>
              <w:ind w:left="540"/>
              <w:spacing w:after="0"/>
              <w:rPr>
                <w:sz w:val="20"/>
                <w:szCs w:val="20"/>
                <w:color w:val="auto"/>
              </w:rPr>
            </w:pPr>
            <w:r>
              <w:rPr>
                <w:rFonts w:ascii="Arial" w:cs="Arial" w:eastAsia="Arial" w:hAnsi="Arial"/>
                <w:sz w:val="17"/>
                <w:szCs w:val="17"/>
                <w:color w:val="auto"/>
              </w:rPr>
              <w:t>2025 Notes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45"/>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discount and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5"/>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Senior Unsecured Notes</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4"/>
        </w:trPr>
        <w:tc>
          <w:tcPr>
            <w:tcW w:w="4900" w:type="dxa"/>
            <w:vAlign w:val="bottom"/>
          </w:tcPr>
          <w:p>
            <w:pPr>
              <w:ind w:left="540"/>
              <w:spacing w:after="0"/>
              <w:rPr>
                <w:sz w:val="20"/>
                <w:szCs w:val="20"/>
                <w:color w:val="auto"/>
              </w:rPr>
            </w:pPr>
            <w:r>
              <w:rPr>
                <w:rFonts w:ascii="Arial" w:cs="Arial" w:eastAsia="Arial" w:hAnsi="Arial"/>
                <w:sz w:val="17"/>
                <w:szCs w:val="17"/>
                <w:color w:val="auto"/>
              </w:rPr>
              <w:t>2028 Notes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45"/>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discount and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5"/>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347</w:t>
            </w:r>
          </w:p>
        </w:tc>
      </w:tr>
      <w:tr>
        <w:trPr>
          <w:trHeight w:val="245"/>
        </w:trPr>
        <w:tc>
          <w:tcPr>
            <w:tcW w:w="4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4"/>
        </w:trPr>
        <w:tc>
          <w:tcPr>
            <w:tcW w:w="4900" w:type="dxa"/>
            <w:vAlign w:val="bottom"/>
          </w:tcPr>
          <w:p>
            <w:pPr>
              <w:ind w:left="540"/>
              <w:spacing w:after="0"/>
              <w:rPr>
                <w:sz w:val="20"/>
                <w:szCs w:val="20"/>
                <w:color w:val="auto"/>
              </w:rPr>
            </w:pPr>
            <w:r>
              <w:rPr>
                <w:rFonts w:ascii="Arial" w:cs="Arial" w:eastAsia="Arial" w:hAnsi="Arial"/>
                <w:sz w:val="17"/>
                <w:szCs w:val="17"/>
                <w:color w:val="auto"/>
              </w:rPr>
              <w:t>2029 Notes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45"/>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discount and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5"/>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494</w:t>
            </w:r>
          </w:p>
        </w:tc>
      </w:tr>
      <w:tr>
        <w:trPr>
          <w:trHeight w:val="22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Corporate Credit Facility</w:t>
            </w:r>
          </w:p>
        </w:tc>
        <w:tc>
          <w:tcPr>
            <w:tcW w:w="1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r>
      <w:tr>
        <w:trPr>
          <w:trHeight w:val="244"/>
        </w:trPr>
        <w:tc>
          <w:tcPr>
            <w:tcW w:w="4900" w:type="dxa"/>
            <w:vAlign w:val="bottom"/>
          </w:tcPr>
          <w:p>
            <w:pPr>
              <w:ind w:left="540"/>
              <w:spacing w:after="0"/>
              <w:rPr>
                <w:sz w:val="20"/>
                <w:szCs w:val="20"/>
                <w:color w:val="auto"/>
              </w:rPr>
            </w:pPr>
            <w:r>
              <w:rPr>
                <w:rFonts w:ascii="Arial" w:cs="Arial" w:eastAsia="Arial" w:hAnsi="Arial"/>
                <w:sz w:val="17"/>
                <w:szCs w:val="17"/>
                <w:color w:val="auto"/>
              </w:rPr>
              <w:t>Term Loan</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784</w:t>
            </w:r>
          </w:p>
        </w:tc>
      </w:tr>
      <w:tr>
        <w:trPr>
          <w:trHeight w:val="245"/>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discount and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5"/>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778</w:t>
            </w:r>
          </w:p>
        </w:tc>
      </w:tr>
      <w:tr>
        <w:trPr>
          <w:trHeight w:val="245"/>
        </w:trPr>
        <w:tc>
          <w:tcPr>
            <w:tcW w:w="4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4"/>
        </w:trPr>
        <w:tc>
          <w:tcPr>
            <w:tcW w:w="4900" w:type="dxa"/>
            <w:vAlign w:val="bottom"/>
          </w:tcPr>
          <w:p>
            <w:pPr>
              <w:ind w:left="540"/>
              <w:spacing w:after="0"/>
              <w:rPr>
                <w:sz w:val="20"/>
                <w:szCs w:val="20"/>
                <w:color w:val="auto"/>
              </w:rPr>
            </w:pPr>
            <w:r>
              <w:rPr>
                <w:rFonts w:ascii="Arial" w:cs="Arial" w:eastAsia="Arial" w:hAnsi="Arial"/>
                <w:sz w:val="17"/>
                <w:szCs w:val="17"/>
                <w:color w:val="auto"/>
              </w:rPr>
              <w:t>Revolving Corporate Credit Facility</w:t>
            </w:r>
            <w:r>
              <w:rPr>
                <w:rFonts w:ascii="Arial" w:cs="Arial" w:eastAsia="Arial" w:hAnsi="Arial"/>
                <w:sz w:val="8"/>
                <w:szCs w:val="8"/>
                <w:color w:val="auto"/>
              </w:rPr>
              <w:t>(1)</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issuance costs</w:t>
            </w:r>
            <w:r>
              <w:rPr>
                <w:rFonts w:ascii="Arial" w:cs="Arial" w:eastAsia="Arial" w:hAnsi="Arial"/>
                <w:sz w:val="8"/>
                <w:szCs w:val="8"/>
                <w:color w:val="auto"/>
              </w:rPr>
              <w:t>(2)</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Convertible Notes</w:t>
            </w:r>
          </w:p>
        </w:tc>
        <w:tc>
          <w:tcPr>
            <w:tcW w:w="1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r>
      <w:tr>
        <w:trPr>
          <w:trHeight w:val="244"/>
        </w:trPr>
        <w:tc>
          <w:tcPr>
            <w:tcW w:w="4900" w:type="dxa"/>
            <w:vAlign w:val="bottom"/>
          </w:tcPr>
          <w:p>
            <w:pPr>
              <w:ind w:left="540"/>
              <w:spacing w:after="0"/>
              <w:rPr>
                <w:sz w:val="20"/>
                <w:szCs w:val="20"/>
                <w:color w:val="auto"/>
              </w:rPr>
            </w:pPr>
            <w:r>
              <w:rPr>
                <w:rFonts w:ascii="Arial" w:cs="Arial" w:eastAsia="Arial" w:hAnsi="Arial"/>
                <w:sz w:val="17"/>
                <w:szCs w:val="17"/>
                <w:color w:val="auto"/>
              </w:rPr>
              <w:t>2026 Convertible Notes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245"/>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5"/>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565</w:t>
            </w:r>
          </w:p>
        </w:tc>
      </w:tr>
      <w:tr>
        <w:trPr>
          <w:trHeight w:val="245"/>
        </w:trPr>
        <w:tc>
          <w:tcPr>
            <w:tcW w:w="4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4"/>
        </w:trPr>
        <w:tc>
          <w:tcPr>
            <w:tcW w:w="4900" w:type="dxa"/>
            <w:vAlign w:val="bottom"/>
          </w:tcPr>
          <w:p>
            <w:pPr>
              <w:ind w:left="540"/>
              <w:spacing w:after="0"/>
              <w:rPr>
                <w:sz w:val="20"/>
                <w:szCs w:val="20"/>
                <w:color w:val="auto"/>
              </w:rPr>
            </w:pPr>
            <w:r>
              <w:rPr>
                <w:rFonts w:ascii="Arial" w:cs="Arial" w:eastAsia="Arial" w:hAnsi="Arial"/>
                <w:sz w:val="17"/>
                <w:szCs w:val="17"/>
                <w:color w:val="auto"/>
              </w:rPr>
              <w:t>2027 Convertible Notes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245"/>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5"/>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560</w:t>
            </w:r>
          </w:p>
        </w:tc>
      </w:tr>
      <w:tr>
        <w:trPr>
          <w:trHeight w:val="245"/>
        </w:trPr>
        <w:tc>
          <w:tcPr>
            <w:tcW w:w="4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4"/>
        </w:trPr>
        <w:tc>
          <w:tcPr>
            <w:tcW w:w="490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Non-interest bearing note payable</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2"/>
        </w:trPr>
        <w:tc>
          <w:tcPr>
            <w:tcW w:w="49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3,088</w:t>
            </w: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hanging="300"/>
        <w:spacing w:after="0"/>
        <w:tabs>
          <w:tab w:leader="none" w:pos="32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Effective interest rate as of March 31, 2023 was 6.7%.</w:t>
      </w:r>
    </w:p>
    <w:p>
      <w:pPr>
        <w:spacing w:after="0" w:line="92" w:lineRule="exact"/>
        <w:rPr>
          <w:rFonts w:ascii="Arial" w:cs="Arial" w:eastAsia="Arial" w:hAnsi="Arial"/>
          <w:sz w:val="22"/>
          <w:szCs w:val="22"/>
          <w:color w:val="auto"/>
          <w:vertAlign w:val="superscript"/>
        </w:rPr>
      </w:pPr>
    </w:p>
    <w:p>
      <w:pPr>
        <w:ind w:left="320" w:right="2239" w:hanging="300"/>
        <w:spacing w:after="0" w:line="226" w:lineRule="auto"/>
        <w:tabs>
          <w:tab w:leader="none" w:pos="30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Excludes $5 million of unamortized debt issuance costs as of December 31, 2022, as no cash borrowings were outstanding under the Revolving Corporate Credit Facility at that time.</w:t>
      </w:r>
    </w:p>
    <w:p>
      <w:pPr>
        <w:spacing w:after="0" w:line="36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scheduled principal payments for our debt, excluding finance leases, as of March 31,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ind w:left="120"/>
              <w:spacing w:after="0"/>
              <w:rPr>
                <w:sz w:val="20"/>
                <w:szCs w:val="20"/>
                <w:color w:val="auto"/>
              </w:rPr>
            </w:pPr>
            <w:r>
              <w:rPr>
                <w:rFonts w:ascii="Arial" w:cs="Arial" w:eastAsia="Arial" w:hAnsi="Arial"/>
                <w:sz w:val="15"/>
                <w:szCs w:val="15"/>
                <w:b w:val="1"/>
                <w:bCs w:val="1"/>
                <w:color w:val="auto"/>
                <w:w w:val="89"/>
              </w:rPr>
              <w:t>Payments Year</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1060" w:type="dxa"/>
            <w:vAlign w:val="bottom"/>
            <w:gridSpan w:val="3"/>
          </w:tcPr>
          <w:p>
            <w:pPr>
              <w:ind w:left="100"/>
              <w:spacing w:after="0" w:line="150" w:lineRule="exact"/>
              <w:rPr>
                <w:sz w:val="20"/>
                <w:szCs w:val="20"/>
                <w:color w:val="auto"/>
              </w:rPr>
            </w:pPr>
            <w:r>
              <w:rPr>
                <w:rFonts w:ascii="Arial" w:cs="Arial" w:eastAsia="Arial" w:hAnsi="Arial"/>
                <w:sz w:val="15"/>
                <w:szCs w:val="15"/>
                <w:b w:val="1"/>
                <w:bCs w:val="1"/>
                <w:color w:val="auto"/>
              </w:rPr>
              <w:t>Remaining</w:t>
            </w:r>
          </w:p>
        </w:tc>
        <w:tc>
          <w:tcPr>
            <w:tcW w:w="160" w:type="dxa"/>
            <w:vAlign w:val="bottom"/>
          </w:tcPr>
          <w:p>
            <w:pPr>
              <w:spacing w:after="0"/>
              <w:rPr>
                <w:sz w:val="13"/>
                <w:szCs w:val="13"/>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2026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2027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5"/>
                <w:szCs w:val="15"/>
                <w:b w:val="1"/>
                <w:bCs w:val="1"/>
                <w:color w:val="auto"/>
                <w:w w:val="95"/>
              </w:rPr>
              <w:t>Thereafter</w:t>
            </w:r>
          </w:p>
        </w:tc>
        <w:tc>
          <w:tcPr>
            <w:tcW w:w="1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 Notes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44"/>
        </w:trPr>
        <w:tc>
          <w:tcPr>
            <w:tcW w:w="1580" w:type="dxa"/>
            <w:vAlign w:val="bottom"/>
          </w:tcPr>
          <w:p>
            <w:pPr>
              <w:ind w:left="20"/>
              <w:spacing w:after="0"/>
              <w:rPr>
                <w:sz w:val="20"/>
                <w:szCs w:val="20"/>
                <w:color w:val="auto"/>
              </w:rPr>
            </w:pPr>
            <w:r>
              <w:rPr>
                <w:rFonts w:ascii="Arial" w:cs="Arial" w:eastAsia="Arial" w:hAnsi="Arial"/>
                <w:sz w:val="17"/>
                <w:szCs w:val="17"/>
                <w:color w:val="auto"/>
              </w:rPr>
              <w:t>2029 Notes</w:t>
            </w:r>
          </w:p>
        </w:tc>
        <w:tc>
          <w:tcPr>
            <w:tcW w:w="20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45"/>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168"/>
        </w:trPr>
        <w:tc>
          <w:tcPr>
            <w:tcW w:w="1580" w:type="dxa"/>
            <w:vAlign w:val="bottom"/>
          </w:tcPr>
          <w:p>
            <w:pPr>
              <w:ind w:left="20"/>
              <w:spacing w:after="0" w:line="168" w:lineRule="exact"/>
              <w:rPr>
                <w:sz w:val="20"/>
                <w:szCs w:val="20"/>
                <w:color w:val="auto"/>
              </w:rPr>
            </w:pPr>
            <w:r>
              <w:rPr>
                <w:rFonts w:ascii="Arial" w:cs="Arial" w:eastAsia="Arial" w:hAnsi="Arial"/>
                <w:sz w:val="17"/>
                <w:szCs w:val="17"/>
                <w:color w:val="auto"/>
                <w:w w:val="99"/>
              </w:rPr>
              <w:t>Revolving Corporate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580" w:type="dxa"/>
            <w:vAlign w:val="bottom"/>
          </w:tcPr>
          <w:p>
            <w:pPr>
              <w:ind w:left="20"/>
              <w:spacing w:after="0"/>
              <w:rPr>
                <w:sz w:val="20"/>
                <w:szCs w:val="20"/>
                <w:color w:val="auto"/>
              </w:rPr>
            </w:pPr>
            <w:r>
              <w:rPr>
                <w:rFonts w:ascii="Arial" w:cs="Arial" w:eastAsia="Arial" w:hAnsi="Arial"/>
                <w:sz w:val="17"/>
                <w:szCs w:val="17"/>
                <w:color w:val="auto"/>
              </w:rPr>
              <w:t>Credit Facility</w:t>
            </w:r>
          </w:p>
        </w:tc>
        <w:tc>
          <w:tcPr>
            <w:tcW w:w="20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2026 Convertible</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68"/>
        </w:trPr>
        <w:tc>
          <w:tcPr>
            <w:tcW w:w="1580" w:type="dxa"/>
            <w:vAlign w:val="bottom"/>
          </w:tcPr>
          <w:p>
            <w:pPr>
              <w:ind w:left="20"/>
              <w:spacing w:after="0" w:line="168" w:lineRule="exact"/>
              <w:rPr>
                <w:sz w:val="20"/>
                <w:szCs w:val="20"/>
                <w:color w:val="auto"/>
              </w:rPr>
            </w:pPr>
            <w:r>
              <w:rPr>
                <w:rFonts w:ascii="Arial" w:cs="Arial" w:eastAsia="Arial" w:hAnsi="Arial"/>
                <w:sz w:val="17"/>
                <w:szCs w:val="17"/>
                <w:color w:val="auto"/>
              </w:rPr>
              <w:t>2027 Convertible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580" w:type="dxa"/>
            <w:vAlign w:val="bottom"/>
          </w:tcPr>
          <w:p>
            <w:pPr>
              <w:ind w:left="20"/>
              <w:spacing w:after="0"/>
              <w:rPr>
                <w:sz w:val="20"/>
                <w:szCs w:val="20"/>
                <w:color w:val="auto"/>
              </w:rPr>
            </w:pPr>
            <w:r>
              <w:rPr>
                <w:rFonts w:ascii="Arial" w:cs="Arial" w:eastAsia="Arial" w:hAnsi="Arial"/>
                <w:sz w:val="17"/>
                <w:szCs w:val="17"/>
                <w:color w:val="auto"/>
              </w:rPr>
              <w:t>Notes</w:t>
            </w:r>
          </w:p>
        </w:tc>
        <w:tc>
          <w:tcPr>
            <w:tcW w:w="20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8"/>
              </w:rPr>
              <w:t>Non-Interest Bearing</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 Payable</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2"/>
        </w:trPr>
        <w:tc>
          <w:tcPr>
            <w:tcW w:w="158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784</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775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850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Our senior notes include:</w:t>
      </w:r>
    </w:p>
    <w:p>
      <w:pPr>
        <w:spacing w:after="0" w:line="114" w:lineRule="exact"/>
        <w:rPr>
          <w:sz w:val="20"/>
          <w:szCs w:val="20"/>
          <w:color w:val="auto"/>
        </w:rPr>
      </w:pPr>
    </w:p>
    <w:p>
      <w:pPr>
        <w:ind w:left="320" w:right="20" w:hanging="317"/>
        <w:spacing w:after="0" w:line="226" w:lineRule="auto"/>
        <w:tabs>
          <w:tab w:leader="none" w:pos="307" w:val="left"/>
        </w:tabs>
        <w:numPr>
          <w:ilvl w:val="0"/>
          <w:numId w:val="24"/>
        </w:numPr>
        <w:rPr>
          <w:rFonts w:ascii="Arial" w:cs="Arial" w:eastAsia="Arial" w:hAnsi="Arial"/>
          <w:sz w:val="22"/>
          <w:szCs w:val="22"/>
          <w:b w:val="1"/>
          <w:bCs w:val="1"/>
          <w:i w:val="1"/>
          <w:iCs w:val="1"/>
          <w:color w:val="auto"/>
          <w:vertAlign w:val="superscript"/>
        </w:rPr>
      </w:pPr>
      <w:r>
        <w:rPr>
          <w:rFonts w:ascii="Arial" w:cs="Arial" w:eastAsia="Arial" w:hAnsi="Arial"/>
          <w:sz w:val="17"/>
          <w:szCs w:val="17"/>
          <w:color w:val="auto"/>
        </w:rPr>
        <w:t>$500 million aggregate principal amount of 6.125% Senior Secured Notes due 2025 issued in the second quarter of 2020 with a maturity date of September 15, 2025 (the “2025 Notes”), of which $250 million was outstanding as of December 31, 2022.</w:t>
      </w:r>
    </w:p>
    <w:p>
      <w:pPr>
        <w:spacing w:after="0" w:line="41" w:lineRule="exact"/>
        <w:rPr>
          <w:rFonts w:ascii="Arial" w:cs="Arial" w:eastAsia="Arial" w:hAnsi="Arial"/>
          <w:sz w:val="22"/>
          <w:szCs w:val="22"/>
          <w:b w:val="1"/>
          <w:bCs w:val="1"/>
          <w:i w:val="1"/>
          <w:iCs w:val="1"/>
          <w:color w:val="auto"/>
          <w:vertAlign w:val="superscript"/>
        </w:rPr>
      </w:pPr>
    </w:p>
    <w:p>
      <w:pPr>
        <w:ind w:left="320" w:right="80" w:hanging="317"/>
        <w:spacing w:after="0" w:line="279"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$350 million aggregate principal amount of 4.750% Senior Unsecured Notes due 2028 issued in the fourth quarter of 2019 with a maturity date of January 15, 2028 (the “2028 Notes”).</w:t>
      </w:r>
    </w:p>
    <w:p>
      <w:pPr>
        <w:spacing w:after="0" w:line="9" w:lineRule="exact"/>
        <w:rPr>
          <w:rFonts w:ascii="Arial" w:cs="Arial" w:eastAsia="Arial" w:hAnsi="Arial"/>
          <w:sz w:val="17"/>
          <w:szCs w:val="17"/>
          <w:color w:val="auto"/>
        </w:rPr>
      </w:pPr>
    </w:p>
    <w:p>
      <w:pPr>
        <w:ind w:left="320" w:right="240" w:hanging="317"/>
        <w:spacing w:after="0" w:line="279"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$500 million aggregate principal amount of 4.500% Senior Unsecured Notes due 2029 issued in the second quarter of 2021 with a maturity date of June 15, 2029 (the “2029 Notes”).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of Senior Secured Notes</w:t>
      </w:r>
    </w:p>
    <w:p>
      <w:pPr>
        <w:spacing w:after="0" w:line="11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During the first quarter of 2023, we redeemed, prior to maturity, the remaining $250 million of the 2025 Notes outstanding pursuant to a redemption notice issued in the fourth quarter of 2022 and the terms of the indenture governing the 2025 Notes. In connection with this redemption, we incurred charges of $10 million, inclusive of a redemption premium and the write-off of unamortized debt issuance costs, which was recorded in Gains and other income, net on our Income Statement for the three months ended March 31, 2023.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Credit Facility</w:t>
      </w:r>
    </w:p>
    <w:p>
      <w:pPr>
        <w:spacing w:after="0" w:line="114" w:lineRule="exact"/>
        <w:rPr>
          <w:sz w:val="20"/>
          <w:szCs w:val="20"/>
          <w:color w:val="auto"/>
        </w:rPr>
      </w:pPr>
    </w:p>
    <w:p>
      <w:pPr>
        <w:jc w:val="both"/>
        <w:ind w:right="260"/>
        <w:spacing w:after="0" w:line="290" w:lineRule="auto"/>
        <w:rPr>
          <w:sz w:val="20"/>
          <w:szCs w:val="20"/>
          <w:color w:val="auto"/>
        </w:rPr>
      </w:pPr>
      <w:r>
        <w:rPr>
          <w:rFonts w:ascii="Arial" w:cs="Arial" w:eastAsia="Arial" w:hAnsi="Arial"/>
          <w:sz w:val="16"/>
          <w:szCs w:val="16"/>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$750 million (the “Revolving Corporate Credit Facility”), including a letter of credit sub-facility of $75 million, that terminates on March 31, 2027.</w:t>
      </w:r>
    </w:p>
    <w:p>
      <w:pPr>
        <w:spacing w:after="0" w:line="54"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Subsequent to the end of the first quarter of 2023, we entered into an amendment to the Corporate Credit Facility (the “Amendment”), which modified the interest rate applicable to borrowings under the Term Loan. Beginning July 1, 2023, the Term Loan will reference the Secured Overnight Financing Rate (“SOFR”) and will be based on “Adjusted Term SOFR,” which is calculated as Term SOFR (as defined in the Amendment), plus a 0.10% adjustment for a one-month interest period, a 0.15% adjustment for a three-month interest period, or a 0.25% adjustment for a six-month interest period, subject to a 0.00% floor.</w:t>
      </w:r>
    </w:p>
    <w:p>
      <w:pPr>
        <w:spacing w:after="0" w:line="4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Prior to 2020, we entered into $250 million of interest rate swaps under which we pay a fixed rate of 2.9625% and receive a floating interest rate through September 2023 and $200 million of interest rate swaps under which we pay a fixed rate of 2.2480% and receive a floating interest rate through April 2024, in each case to hedge a portion of our interest rate risk on the Term Loan. We also entered into a $100 million interest rate collar with a cap strike rate of 2.5000% and a floor strike rate of 1.8810% through April 2024 to further hedge our interest rate risk on the Term Loan. Both the interest rate swaps and the interest rate collar have been designated and qualify as cash flow hedges of interest rate risk and are recorded in Other assets on our Balance Sheet as of March 31, 2023 and December 31, 2022. We characterize payments we make or receive in connection with these derivative instruments as interest expense and a reclassification of accumulated other comprehensive income or loss for presentation purposes.</w:t>
      </w:r>
    </w:p>
    <w:p>
      <w:pPr>
        <w:spacing w:after="0" w:line="2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following table reflects the activity in accumulated other comprehensive income or loss related to our derivative instruments during the first quarter of 2023 and 2022. There were no reclassifications to the Income Statement for either of the periods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b w:val="1"/>
                <w:bCs w:val="1"/>
                <w:color w:val="auto"/>
              </w:rPr>
              <w:t>2022</w:t>
            </w:r>
          </w:p>
        </w:tc>
      </w:tr>
      <w:tr>
        <w:trPr>
          <w:trHeight w:val="227"/>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January 1</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44"/>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comprehensive (loss) gain before reclassifications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25"/>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March 31</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Convertible Notes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During 2021, we issued $575 million aggregate principal amount of convertible senior notes (the “2026 Convertible Notes”) that bear interest at a rate of 0.00%.</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2026 Convertible Notes mature on January 15, 2026, unless repurchased or converted in accordance with their terms prior to that date.</w:t>
      </w:r>
    </w:p>
    <w:p>
      <w:pPr>
        <w:spacing w:after="0" w:line="103"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conversion rate is subject to adjustment for certain events as described in the indenture governing the notes, and was subject to adjustment as of March 31, 2023 to 6.0262 shares of common stock per $1,000 principal amount of 2026 Convertible Notes (equivalent to a conversion price of $165.94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March 31, 2023, the effective interest rate was 0.55%.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interest expense information related to the 2026 Convertible Notes.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Borders>
              <w:bottom w:val="single" w:sz="8" w:color="auto"/>
            </w:tcBorders>
          </w:tcPr>
          <w:p>
            <w:pPr>
              <w:spacing w:after="0"/>
              <w:rPr>
                <w:sz w:val="17"/>
                <w:szCs w:val="17"/>
                <w:color w:val="auto"/>
              </w:rPr>
            </w:pPr>
          </w:p>
        </w:tc>
      </w:tr>
      <w:tr>
        <w:trPr>
          <w:trHeight w:val="19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2023</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Borders>
              <w:bottom w:val="single" w:sz="8" w:color="auto"/>
            </w:tcBorders>
          </w:tcPr>
          <w:p>
            <w:pPr>
              <w:spacing w:after="0"/>
              <w:rPr>
                <w:sz w:val="17"/>
                <w:szCs w:val="17"/>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issuance costs</w:t>
            </w:r>
          </w:p>
        </w:tc>
        <w:tc>
          <w:tcPr>
            <w:tcW w:w="1280" w:type="dxa"/>
            <w:vAlign w:val="bottom"/>
            <w:shd w:val="clear" w:color="auto" w:fill="CCEEFF"/>
          </w:tcPr>
          <w:p>
            <w:pPr>
              <w:jc w:val="right"/>
              <w:ind w:right="1100"/>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8"/>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Convertible Note Hedges and Warrants</w:t>
      </w:r>
    </w:p>
    <w:p>
      <w:pPr>
        <w:spacing w:after="0" w:line="11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3.5 million shares of our common stock, and warrant transactions (the “2026 Warrants”), whereby we sold to the counterparties to the 2026 Convertible Note Hedges, warrants to acquire 3.5 million shares of our common stock. As of March 31, 2023, the strike prices of the 2026 Convertible Note Hedges and the 2026 Warrants were subject to adjustment to approximately $165.94 and $207.43, respectively, and no 2026 Convertible Note Hedges or 2026 Warrants have been exercised.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2027 Convertible Notes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During 2022, we issued $575 million aggregate principal amount of convertible senior notes (the “2027 Convertible Notes”) that bear interest at a rate of 3.25%.</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2027 Convertible Notes mature on December 15, 2027, unless earlier repurchased or converted in accordance with their terms prior to that date.</w:t>
      </w:r>
    </w:p>
    <w:p>
      <w:pPr>
        <w:spacing w:after="0" w:line="10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2027 Convertible Notes are convertible at a rate of 5.2729 shares of common stock per $1,000 principal amount of 2027 Convertible Notes (equivalent to a conversion price of $189.65 per share of our common stock) as of March 31, 2023. The conversion rate is subject to adjustment for certain events as described in the indenture governing the notes. Upon conversion, we will pay or deliver, as the case may be, cash, shares of our common stock, or a combination of cash and shares of our common stock, at our election. As of March 31, 2023, the effective interest rate was 3.88%.</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interest expense information related to the 2027 Convertible Notes.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5"/>
          </w:tcPr>
          <w:p>
            <w:pPr>
              <w:ind w:left="680"/>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March 31, 2023</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March 31, 2022</w:t>
            </w:r>
          </w:p>
        </w:tc>
        <w:tc>
          <w:tcPr>
            <w:tcW w:w="2900" w:type="dxa"/>
            <w:vAlign w:val="bottom"/>
          </w:tcPr>
          <w:p>
            <w:pPr>
              <w:spacing w:after="0"/>
              <w:rPr>
                <w:sz w:val="17"/>
                <w:szCs w:val="17"/>
                <w:color w:val="auto"/>
              </w:rPr>
            </w:pPr>
          </w:p>
        </w:tc>
      </w:tr>
      <w:tr>
        <w:trPr>
          <w:trHeight w:val="227"/>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19"/>
                <w:szCs w:val="19"/>
                <w:color w:val="auto"/>
              </w:rPr>
            </w:pPr>
          </w:p>
        </w:tc>
      </w:tr>
      <w:tr>
        <w:trPr>
          <w:trHeight w:val="244"/>
        </w:trPr>
        <w:tc>
          <w:tcPr>
            <w:tcW w:w="5280" w:type="dxa"/>
            <w:vAlign w:val="bottom"/>
          </w:tcPr>
          <w:p>
            <w:pPr>
              <w:ind w:left="2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0" w:type="dxa"/>
            <w:vAlign w:val="bottom"/>
            <w:gridSpan w:val="2"/>
          </w:tcPr>
          <w:p>
            <w:pPr>
              <w:ind w:left="1060"/>
              <w:spacing w:after="0"/>
              <w:rPr>
                <w:sz w:val="20"/>
                <w:szCs w:val="20"/>
                <w:color w:val="auto"/>
              </w:rPr>
            </w:pPr>
            <w:r>
              <w:rPr>
                <w:rFonts w:ascii="Arial" w:cs="Arial" w:eastAsia="Arial" w:hAnsi="Arial"/>
                <w:sz w:val="17"/>
                <w:szCs w:val="17"/>
                <w:color w:val="auto"/>
              </w:rPr>
              <w:t>—</w:t>
            </w:r>
          </w:p>
        </w:tc>
      </w:tr>
      <w:tr>
        <w:trPr>
          <w:trHeight w:val="237"/>
        </w:trPr>
        <w:tc>
          <w:tcPr>
            <w:tcW w:w="5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20"/>
                <w:szCs w:val="20"/>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524"/>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657"/>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5"/>
        </w:trPr>
        <w:tc>
          <w:tcPr>
            <w:tcW w:w="5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2027 Convertible Note Hedges and Warrants</w:t>
      </w:r>
    </w:p>
    <w:p>
      <w:pPr>
        <w:spacing w:after="0" w:line="11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As of March 31, 2023, the strike prices of the 2027 Convertible Note Hedges and the 2027 Warrants were $189.65 and $286.26, respectively, and no 2027 Convertible Note Hedges or 2027 Warrants have been exercised.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and Guarantees</w:t>
      </w:r>
    </w:p>
    <w:p>
      <w:pPr>
        <w:spacing w:after="0" w:line="11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2027 Convertible Notes, the 2028 Notes, and the 2029 Notes are guaranteed by MVWC and certain of our direct and indirect, existing and future, domestic subsidiaries, excluding certain bankruptcy remote special purpose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Lease</w:t>
      </w:r>
    </w:p>
    <w:p>
      <w:pPr>
        <w:spacing w:after="0" w:line="11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During 2020, we entered into a finance lease arrangement, which was amended in 2021, for our new global headquarters office building in Orlando, Florida. The lease for the new building commenced for accounting purposes during the first quarter of 2023, upon the substantial completion of construction. The lease includes a 26-year lease term, consisting of a 16-year initial term plus two five-year renewal options. As of March 31, 2023, the present value of the future lease payments, net of lease incentives, was $80 million, with a corresponding lease liability of $97 million. We record right-of-use assets for our finance leases in Property and equipment, net. Our total payments under this lease are $247 million, of which we expect $1 million, $7 million, $8 million, $8 million, $9 million, and $214 million will be paid in 2023, 2024, 2025, 2026, 2027, and thereafter respectively.</w:t>
      </w:r>
    </w:p>
    <w:p>
      <w:pPr>
        <w:spacing w:after="0" w:line="253" w:lineRule="exact"/>
        <w:rPr>
          <w:sz w:val="20"/>
          <w:szCs w:val="20"/>
          <w:color w:val="auto"/>
        </w:rPr>
      </w:pPr>
    </w:p>
    <w:p>
      <w:pPr>
        <w:ind w:left="480" w:hanging="460"/>
        <w:spacing w:after="0"/>
        <w:tabs>
          <w:tab w:leader="none" w:pos="4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March 31, 2023, there were 75,805,974 shares of Marriott Vacations Worldwide common stock issued, of which 37,074,453 shares were outstanding and 38,731,521 shares were held as treasury stock. At December 31, 2022, there were 75,744,524 shares of Marriott Vacations Worldwide common stock issued, of which 37,481,082 shares were outstanding and 38,263,442 shares were held as treasury stock. Marriott Vacations Worldwide has 2,000,000 authorized shares of preferred stock, par value of $0.01 per share, none of which were issued or outstanding as of March 31, 2023 or December 31, 2022.</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From time to time, with the approval of our Board of Directors, we may undertake programs to purchase shares of our common stock (each, a “Share Repurchase Program” and collectively, the “Share Repurchase Programs”). During the third quarter of 2021, our Board of Directors authorized us to purchase shares of our common stock under a Share Repurchase Program for an aggregate purchase price not to exceed $250 million, prior to December 31, 2022. During the first quarter of 2022, our Board of Directors authorized the purchase of up to an additional $300 million of our common stock under this program, and extended the term of this program to March 31, 2023. During the third quarter of 2022, our Board of Directors authorized the purchase of up to an additional $500 million of our common stock under this program, and extended the term of this program to June 30, 2023. As of March 31, 2023, approximately $191 million remained available for share repurchases under the Share Repurchase Program.</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78" w:lineRule="exact"/>
        <w:rPr>
          <w:sz w:val="20"/>
          <w:szCs w:val="20"/>
          <w:color w:val="auto"/>
        </w:rPr>
      </w:pPr>
    </w:p>
    <w:p>
      <w:pPr>
        <w:ind w:right="500"/>
        <w:spacing w:after="0" w:line="290" w:lineRule="auto"/>
        <w:rPr>
          <w:sz w:val="20"/>
          <w:szCs w:val="20"/>
          <w:color w:val="auto"/>
        </w:rPr>
      </w:pPr>
      <w:r>
        <w:rPr>
          <w:rFonts w:ascii="Arial" w:cs="Arial" w:eastAsia="Arial" w:hAnsi="Arial"/>
          <w:sz w:val="16"/>
          <w:szCs w:val="16"/>
          <w:color w:val="auto"/>
        </w:rPr>
        <w:t>The Inflation Reduction Act of 2022, which was enacted in August 2022, imposes a 1% excise tax on the net value of certain stock repurchases made after December 31, 2022. In the first quarter of 2023, we reflected the applicable excise tax in treasury stock as part of the cost basis of the stock repurchased and recorded a corresponding liability for the excise taxes payable in Accrued liabilities on our Balance Sheet.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repurchase activity under our Share Repurchase Programs: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5"/>
                <w:szCs w:val="15"/>
                <w:b w:val="1"/>
                <w:bCs w:val="1"/>
                <w:color w:val="auto"/>
              </w:rPr>
              <w:t>Number of Shares</w:t>
            </w:r>
          </w:p>
        </w:tc>
        <w:tc>
          <w:tcPr>
            <w:tcW w:w="160" w:type="dxa"/>
            <w:vAlign w:val="bottom"/>
          </w:tcPr>
          <w:p>
            <w:pPr>
              <w:spacing w:after="0"/>
              <w:rPr>
                <w:sz w:val="14"/>
                <w:szCs w:val="14"/>
                <w:color w:val="auto"/>
              </w:rPr>
            </w:pPr>
          </w:p>
        </w:tc>
        <w:tc>
          <w:tcPr>
            <w:tcW w:w="1600" w:type="dxa"/>
            <w:vAlign w:val="bottom"/>
          </w:tcPr>
          <w:p>
            <w:pPr>
              <w:jc w:val="right"/>
              <w:ind w:right="138"/>
              <w:spacing w:after="0"/>
              <w:rPr>
                <w:sz w:val="20"/>
                <w:szCs w:val="20"/>
                <w:color w:val="auto"/>
              </w:rPr>
            </w:pPr>
            <w:r>
              <w:rPr>
                <w:rFonts w:ascii="Arial" w:cs="Arial" w:eastAsia="Arial" w:hAnsi="Arial"/>
                <w:sz w:val="15"/>
                <w:szCs w:val="15"/>
                <w:b w:val="1"/>
                <w:bCs w:val="1"/>
                <w:color w:val="auto"/>
                <w:w w:val="90"/>
              </w:rPr>
              <w:t>Cost Basis 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18"/>
              <w:spacing w:after="0"/>
              <w:rPr>
                <w:sz w:val="20"/>
                <w:szCs w:val="20"/>
                <w:color w:val="auto"/>
              </w:rPr>
            </w:pPr>
            <w:r>
              <w:rPr>
                <w:rFonts w:ascii="Arial" w:cs="Arial" w:eastAsia="Arial" w:hAnsi="Arial"/>
                <w:sz w:val="15"/>
                <w:szCs w:val="15"/>
                <w:b w:val="1"/>
                <w:bCs w:val="1"/>
                <w:color w:val="auto"/>
              </w:rPr>
              <w:t>Average Price</w:t>
            </w:r>
          </w:p>
        </w:tc>
      </w:tr>
      <w:tr>
        <w:trPr>
          <w:trHeight w:val="204"/>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70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Repurchased</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Paid per Share</w:t>
            </w:r>
          </w:p>
        </w:tc>
      </w:tr>
      <w:tr>
        <w:trPr>
          <w:trHeight w:val="227"/>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December 31, 2022</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22,773,218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93.06</w:t>
            </w:r>
          </w:p>
        </w:tc>
      </w:tr>
      <w:tr>
        <w:trPr>
          <w:trHeight w:val="244"/>
        </w:trPr>
        <w:tc>
          <w:tcPr>
            <w:tcW w:w="2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 the first quarter of 2023</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522,422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153.71</w:t>
            </w: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March 31,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23,295,640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94.42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declared cash dividends to holders of common stock during the first quarter of 2023 as follows. Any future dividend payments will be subject to the restrictions imposed under the agreements covering our debt, and Board approval. There can be no assurance that we will pay dividends in the future.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Declaration Date</w:t>
            </w: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Shareholder Record Date</w:t>
            </w: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Distribution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Dividend per Share</w:t>
            </w:r>
          </w:p>
        </w:tc>
      </w:tr>
      <w:tr>
        <w:trPr>
          <w:trHeight w:val="227"/>
        </w:trPr>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February 16, 2023</w:t>
            </w:r>
          </w:p>
        </w:tc>
        <w:tc>
          <w:tcPr>
            <w:tcW w:w="21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March 2, 2023</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March 16, 2023</w:t>
            </w:r>
          </w:p>
        </w:tc>
        <w:tc>
          <w:tcPr>
            <w:tcW w:w="198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$0.72</w:t>
            </w:r>
          </w:p>
        </w:tc>
      </w:tr>
    </w:tbl>
    <w:p>
      <w:pPr>
        <w:spacing w:after="0" w:line="355" w:lineRule="exact"/>
        <w:rPr>
          <w:sz w:val="20"/>
          <w:szCs w:val="20"/>
          <w:color w:val="auto"/>
        </w:rPr>
      </w:pPr>
    </w:p>
    <w:p>
      <w:pPr>
        <w:ind w:left="480" w:hanging="460"/>
        <w:spacing w:after="0"/>
        <w:tabs>
          <w:tab w:leader="none" w:pos="4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1.8 million shares are authorized for issuance pursuant to grants under the MVW Equity Plan. As of March 31, 2023, approximately 0.8 million shares were available for grants under the MVW Equity Plan.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share-based compensation expense related to award grants to our officers, directors, and employees: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60" w:type="dxa"/>
            <w:vAlign w:val="bottom"/>
            <w:gridSpan w:val="5"/>
          </w:tcPr>
          <w:p>
            <w:pPr>
              <w:ind w:left="820"/>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4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March 31, 2023</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March 31, 2022</w:t>
            </w:r>
          </w:p>
        </w:tc>
        <w:tc>
          <w:tcPr>
            <w:tcW w:w="2900" w:type="dxa"/>
            <w:vAlign w:val="bottom"/>
          </w:tcPr>
          <w:p>
            <w:pPr>
              <w:spacing w:after="0"/>
              <w:rPr>
                <w:sz w:val="17"/>
                <w:szCs w:val="17"/>
                <w:color w:val="auto"/>
              </w:rPr>
            </w:pPr>
          </w:p>
        </w:tc>
      </w:tr>
      <w:tr>
        <w:trPr>
          <w:trHeight w:val="227"/>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Service-based RSUs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900" w:type="dxa"/>
            <w:vAlign w:val="bottom"/>
          </w:tcPr>
          <w:p>
            <w:pPr>
              <w:spacing w:after="0"/>
              <w:rPr>
                <w:sz w:val="19"/>
                <w:szCs w:val="19"/>
                <w:color w:val="auto"/>
              </w:rPr>
            </w:pPr>
          </w:p>
        </w:tc>
      </w:tr>
      <w:tr>
        <w:trPr>
          <w:trHeight w:val="244"/>
        </w:trPr>
        <w:tc>
          <w:tcPr>
            <w:tcW w:w="4880" w:type="dxa"/>
            <w:vAlign w:val="bottom"/>
          </w:tcPr>
          <w:p>
            <w:pPr>
              <w:ind w:left="20"/>
              <w:spacing w:after="0"/>
              <w:rPr>
                <w:sz w:val="20"/>
                <w:szCs w:val="20"/>
                <w:color w:val="auto"/>
              </w:rPr>
            </w:pPr>
            <w:r>
              <w:rPr>
                <w:rFonts w:ascii="Arial" w:cs="Arial" w:eastAsia="Arial" w:hAnsi="Arial"/>
                <w:sz w:val="17"/>
                <w:szCs w:val="17"/>
                <w:color w:val="auto"/>
              </w:rPr>
              <w:t>Performance-based RSUs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60" w:type="dxa"/>
            <w:vAlign w:val="bottom"/>
            <w:gridSpan w:val="2"/>
          </w:tcPr>
          <w:p>
            <w:pPr>
              <w:jc w:val="right"/>
              <w:ind w:right="2980"/>
              <w:spacing w:after="0"/>
              <w:rPr>
                <w:sz w:val="20"/>
                <w:szCs w:val="20"/>
                <w:color w:val="auto"/>
              </w:rPr>
            </w:pPr>
            <w:r>
              <w:rPr>
                <w:rFonts w:ascii="Arial" w:cs="Arial" w:eastAsia="Arial" w:hAnsi="Arial"/>
                <w:sz w:val="17"/>
                <w:szCs w:val="17"/>
                <w:color w:val="auto"/>
              </w:rPr>
              <w:t>—</w:t>
            </w:r>
          </w:p>
        </w:tc>
      </w:tr>
      <w:tr>
        <w:trPr>
          <w:trHeight w:val="225"/>
        </w:trPr>
        <w:tc>
          <w:tcPr>
            <w:tcW w:w="48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900" w:type="dxa"/>
            <w:vAlign w:val="bottom"/>
          </w:tcPr>
          <w:p>
            <w:pPr>
              <w:spacing w:after="0"/>
              <w:rPr>
                <w:sz w:val="19"/>
                <w:szCs w:val="19"/>
                <w:color w:val="auto"/>
              </w:rPr>
            </w:pPr>
          </w:p>
        </w:tc>
      </w:tr>
      <w:tr>
        <w:trPr>
          <w:trHeight w:val="244"/>
        </w:trPr>
        <w:tc>
          <w:tcPr>
            <w:tcW w:w="4880" w:type="dxa"/>
            <w:vAlign w:val="bottom"/>
          </w:tcPr>
          <w:p>
            <w:pPr>
              <w:ind w:left="20"/>
              <w:spacing w:after="0"/>
              <w:rPr>
                <w:sz w:val="20"/>
                <w:szCs w:val="20"/>
                <w:color w:val="auto"/>
              </w:rPr>
            </w:pPr>
            <w:r>
              <w:rPr>
                <w:rFonts w:ascii="Arial" w:cs="Arial" w:eastAsia="Arial" w:hAnsi="Arial"/>
                <w:sz w:val="17"/>
                <w:szCs w:val="17"/>
                <w:color w:val="auto"/>
              </w:rPr>
              <w:t>SARs</w:t>
            </w:r>
          </w:p>
        </w:tc>
        <w:tc>
          <w:tcPr>
            <w:tcW w:w="2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w:t>
            </w:r>
          </w:p>
        </w:tc>
        <w:tc>
          <w:tcPr>
            <w:tcW w:w="2900" w:type="dxa"/>
            <w:vAlign w:val="bottom"/>
          </w:tcPr>
          <w:p>
            <w:pPr>
              <w:spacing w:after="0"/>
              <w:rPr>
                <w:sz w:val="21"/>
                <w:szCs w:val="21"/>
                <w:color w:val="auto"/>
              </w:rPr>
            </w:pPr>
          </w:p>
        </w:tc>
      </w:tr>
      <w:tr>
        <w:trPr>
          <w:trHeight w:val="237"/>
        </w:trPr>
        <w:tc>
          <w:tcPr>
            <w:tcW w:w="4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900" w:type="dxa"/>
            <w:vAlign w:val="bottom"/>
          </w:tcPr>
          <w:p>
            <w:pPr>
              <w:spacing w:after="0"/>
              <w:rPr>
                <w:sz w:val="20"/>
                <w:szCs w:val="20"/>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524"/>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436"/>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5"/>
        </w:trPr>
        <w:tc>
          <w:tcPr>
            <w:tcW w:w="4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deferred compensation costs related to unvested awards: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b w:val="1"/>
                <w:bCs w:val="1"/>
                <w:color w:val="auto"/>
              </w:rPr>
              <w:t>At March 31, 2023</w:t>
            </w:r>
          </w:p>
        </w:tc>
        <w:tc>
          <w:tcPr>
            <w:tcW w:w="120" w:type="dxa"/>
            <w:vAlign w:val="bottom"/>
          </w:tcPr>
          <w:p>
            <w:pPr>
              <w:spacing w:after="0"/>
              <w:rPr>
                <w:sz w:val="17"/>
                <w:szCs w:val="17"/>
                <w:color w:val="auto"/>
              </w:rPr>
            </w:pPr>
          </w:p>
        </w:tc>
        <w:tc>
          <w:tcPr>
            <w:tcW w:w="1560" w:type="dxa"/>
            <w:vAlign w:val="bottom"/>
          </w:tcPr>
          <w:p>
            <w:pPr>
              <w:jc w:val="right"/>
              <w:ind w:right="36"/>
              <w:spacing w:after="0"/>
              <w:rPr>
                <w:sz w:val="20"/>
                <w:szCs w:val="20"/>
                <w:color w:val="auto"/>
              </w:rPr>
            </w:pPr>
            <w:r>
              <w:rPr>
                <w:rFonts w:ascii="Arial" w:cs="Arial" w:eastAsia="Arial" w:hAnsi="Arial"/>
                <w:sz w:val="15"/>
                <w:szCs w:val="15"/>
                <w:b w:val="1"/>
                <w:bCs w:val="1"/>
                <w:color w:val="auto"/>
                <w:w w:val="91"/>
              </w:rPr>
              <w:t>At December 31, 2022</w:t>
            </w:r>
          </w:p>
        </w:tc>
      </w:tr>
      <w:tr>
        <w:trPr>
          <w:trHeight w:val="227"/>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Service-based RSUs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44"/>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Performance-based RSUs</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5"/>
        </w:trPr>
        <w:tc>
          <w:tcPr>
            <w:tcW w:w="4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44"/>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SARs</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7"/>
        </w:trPr>
        <w:tc>
          <w:tcPr>
            <w:tcW w:w="4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4"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We granted 180,842 service-based RSUs, which are subject to time-based vesting conditions, with a weighted average grant-date fair value of $146.11, to our employees and non-employee directors during the first quarter of 2023. During the first quarter of 2023, we also granted performance-based RSUs, which are subject to performance-based vesting conditions, to members of management. A maximum of 114,602 RSUs may be earned under the performance-based RSU awards granted during the first quarter of 2023.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granted 37,436 SARs, with a weighted average grant-date fair value of $58.50 and a weighted average exercise price of $153.10, to members of management during the first quarter of 2023.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assumptions used to estimate the fair value of grants during the first quarter of 2023:</w:t>
      </w:r>
    </w:p>
    <w:p>
      <w:pPr>
        <w:spacing w:after="0" w:line="152" w:lineRule="exact"/>
        <w:rPr>
          <w:sz w:val="20"/>
          <w:szCs w:val="20"/>
          <w:color w:val="auto"/>
        </w:rPr>
      </w:pPr>
    </w:p>
    <w:tbl>
      <w:tblPr>
        <w:tblLayout w:type="fixed"/>
        <w:tblInd w:w="1860" w:type="dxa"/>
        <w:tblCellMar>
          <w:top w:w="0" w:type="dxa"/>
          <w:left w:w="0" w:type="dxa"/>
          <w:bottom w:w="0" w:type="dxa"/>
          <w:right w:w="0" w:type="dxa"/>
        </w:tblCellMar>
      </w:tblPr>
      <w:tr>
        <w:trPr>
          <w:trHeight w:val="245"/>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2020" w:type="dxa"/>
            <w:vAlign w:val="bottom"/>
            <w:shd w:val="clear" w:color="auto" w:fill="CCEEFF"/>
          </w:tcPr>
          <w:p>
            <w:pPr>
              <w:jc w:val="center"/>
              <w:ind w:left="334"/>
              <w:spacing w:after="0"/>
              <w:rPr>
                <w:sz w:val="20"/>
                <w:szCs w:val="20"/>
                <w:color w:val="auto"/>
              </w:rPr>
            </w:pPr>
            <w:r>
              <w:rPr>
                <w:rFonts w:ascii="Arial" w:cs="Arial" w:eastAsia="Arial" w:hAnsi="Arial"/>
                <w:sz w:val="17"/>
                <w:szCs w:val="17"/>
                <w:color w:val="auto"/>
                <w:w w:val="90"/>
              </w:rPr>
              <w:t>40.47%</w:t>
            </w:r>
          </w:p>
        </w:tc>
      </w:tr>
      <w:tr>
        <w:trPr>
          <w:trHeight w:val="244"/>
        </w:trPr>
        <w:tc>
          <w:tcPr>
            <w:tcW w:w="266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020" w:type="dxa"/>
            <w:vAlign w:val="bottom"/>
          </w:tcPr>
          <w:p>
            <w:pPr>
              <w:jc w:val="center"/>
              <w:ind w:left="334"/>
              <w:spacing w:after="0"/>
              <w:rPr>
                <w:sz w:val="20"/>
                <w:szCs w:val="20"/>
                <w:color w:val="auto"/>
              </w:rPr>
            </w:pPr>
            <w:r>
              <w:rPr>
                <w:rFonts w:ascii="Arial" w:cs="Arial" w:eastAsia="Arial" w:hAnsi="Arial"/>
                <w:sz w:val="17"/>
                <w:szCs w:val="17"/>
                <w:color w:val="auto"/>
                <w:w w:val="91"/>
              </w:rPr>
              <w:t>1.87%</w:t>
            </w:r>
          </w:p>
        </w:tc>
      </w:tr>
      <w:tr>
        <w:trPr>
          <w:trHeight w:val="245"/>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2020" w:type="dxa"/>
            <w:vAlign w:val="bottom"/>
            <w:shd w:val="clear" w:color="auto" w:fill="CCEEFF"/>
          </w:tcPr>
          <w:p>
            <w:pPr>
              <w:jc w:val="center"/>
              <w:ind w:left="334"/>
              <w:spacing w:after="0"/>
              <w:rPr>
                <w:sz w:val="20"/>
                <w:szCs w:val="20"/>
                <w:color w:val="auto"/>
              </w:rPr>
            </w:pPr>
            <w:r>
              <w:rPr>
                <w:rFonts w:ascii="Arial" w:cs="Arial" w:eastAsia="Arial" w:hAnsi="Arial"/>
                <w:sz w:val="17"/>
                <w:szCs w:val="17"/>
                <w:color w:val="auto"/>
                <w:w w:val="91"/>
              </w:rPr>
              <w:t>4.07%</w:t>
            </w:r>
          </w:p>
        </w:tc>
      </w:tr>
      <w:tr>
        <w:trPr>
          <w:trHeight w:val="243"/>
        </w:trPr>
        <w:tc>
          <w:tcPr>
            <w:tcW w:w="266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2020" w:type="dxa"/>
            <w:vAlign w:val="bottom"/>
          </w:tcPr>
          <w:p>
            <w:pPr>
              <w:jc w:val="center"/>
              <w:ind w:left="334"/>
              <w:spacing w:after="0"/>
              <w:rPr>
                <w:sz w:val="20"/>
                <w:szCs w:val="20"/>
                <w:color w:val="auto"/>
              </w:rPr>
            </w:pPr>
            <w:r>
              <w:rPr>
                <w:rFonts w:ascii="Arial" w:cs="Arial" w:eastAsia="Arial" w:hAnsi="Arial"/>
                <w:sz w:val="17"/>
                <w:szCs w:val="17"/>
                <w:color w:val="auto"/>
                <w:w w:val="96"/>
              </w:rPr>
              <w:t>6.25</w:t>
            </w:r>
          </w:p>
        </w:tc>
      </w:tr>
    </w:tbl>
    <w:p>
      <w:pPr>
        <w:spacing w:after="0" w:line="357" w:lineRule="exact"/>
        <w:rPr>
          <w:sz w:val="20"/>
          <w:szCs w:val="20"/>
          <w:color w:val="auto"/>
        </w:rPr>
      </w:pPr>
    </w:p>
    <w:p>
      <w:pPr>
        <w:ind w:left="480" w:hanging="460"/>
        <w:spacing w:after="0"/>
        <w:tabs>
          <w:tab w:leader="none" w:pos="48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 Related to Our Vacation Ownership Notes Receivable Securitizations</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general corporate purposes.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all or a portion of the securities that are issued, and certain residual interests.</w:t>
      </w:r>
    </w:p>
    <w:p>
      <w:pPr>
        <w:spacing w:after="0" w:line="7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consolidated assets, which are collateral for the obligations of these VIEs, and consolidated liabilities included on our Balance Sheet at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March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Vacation Ownership</w:t>
            </w:r>
          </w:p>
        </w:tc>
        <w:tc>
          <w:tcPr>
            <w:tcW w:w="18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1"/>
              </w:rPr>
              <w:t>Warehouse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260"/>
              <w:spacing w:after="0" w:line="155" w:lineRule="exact"/>
              <w:rPr>
                <w:sz w:val="20"/>
                <w:szCs w:val="20"/>
                <w:color w:val="auto"/>
              </w:rPr>
            </w:pPr>
            <w:r>
              <w:rPr>
                <w:rFonts w:ascii="Arial" w:cs="Arial" w:eastAsia="Arial" w:hAnsi="Arial"/>
                <w:sz w:val="15"/>
                <w:szCs w:val="15"/>
                <w:b w:val="1"/>
                <w:bCs w:val="1"/>
                <w:color w:val="auto"/>
                <w:w w:val="90"/>
              </w:rPr>
              <w:t>Notes Receivable</w:t>
            </w:r>
          </w:p>
        </w:tc>
        <w:tc>
          <w:tcPr>
            <w:tcW w:w="1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Securitizations</w:t>
            </w:r>
          </w:p>
        </w:tc>
        <w:tc>
          <w:tcPr>
            <w:tcW w:w="18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6"/>
              </w:rPr>
              <w:t>Credit Facility</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Assets</w:t>
            </w: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line="180" w:lineRule="exact"/>
              <w:rPr>
                <w:sz w:val="20"/>
                <w:szCs w:val="20"/>
                <w:color w:val="auto"/>
              </w:rPr>
            </w:pPr>
            <w:r>
              <w:rPr>
                <w:rFonts w:ascii="Arial" w:cs="Arial" w:eastAsia="Arial" w:hAnsi="Arial"/>
                <w:sz w:val="17"/>
                <w:szCs w:val="17"/>
                <w:color w:val="auto"/>
              </w:rPr>
              <w:t>Vacation ownership notes receivable, net of</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reserves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1,481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receivable</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Consolidated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Securitized debt</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1,957</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VIEs during the first quarter of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Vacation Ownership</w:t>
            </w:r>
          </w:p>
        </w:tc>
        <w:tc>
          <w:tcPr>
            <w:tcW w:w="200" w:type="dxa"/>
            <w:vAlign w:val="bottom"/>
          </w:tcPr>
          <w:p>
            <w:pPr>
              <w:spacing w:after="0"/>
              <w:rPr>
                <w:sz w:val="14"/>
                <w:szCs w:val="14"/>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1"/>
              </w:rPr>
              <w:t>Warehouse</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260"/>
              <w:spacing w:after="0" w:line="155" w:lineRule="exact"/>
              <w:rPr>
                <w:sz w:val="20"/>
                <w:szCs w:val="20"/>
                <w:color w:val="auto"/>
              </w:rPr>
            </w:pPr>
            <w:r>
              <w:rPr>
                <w:rFonts w:ascii="Arial" w:cs="Arial" w:eastAsia="Arial" w:hAnsi="Arial"/>
                <w:sz w:val="15"/>
                <w:szCs w:val="15"/>
                <w:b w:val="1"/>
                <w:bCs w:val="1"/>
                <w:color w:val="auto"/>
                <w:w w:val="90"/>
              </w:rPr>
              <w:t>Notes Receivable</w:t>
            </w:r>
          </w:p>
        </w:tc>
        <w:tc>
          <w:tcPr>
            <w:tcW w:w="2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3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Securitizations</w:t>
            </w:r>
          </w:p>
        </w:tc>
        <w:tc>
          <w:tcPr>
            <w:tcW w:w="20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Credit Facility</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44"/>
        </w:trPr>
        <w:tc>
          <w:tcPr>
            <w:tcW w:w="3240" w:type="dxa"/>
            <w:vAlign w:val="bottom"/>
          </w:tcPr>
          <w:p>
            <w:pPr>
              <w:ind w:left="20"/>
              <w:spacing w:after="0"/>
              <w:rPr>
                <w:sz w:val="20"/>
                <w:szCs w:val="20"/>
                <w:color w:val="auto"/>
              </w:rPr>
            </w:pPr>
            <w:r>
              <w:rPr>
                <w:rFonts w:ascii="Arial" w:cs="Arial" w:eastAsia="Arial" w:hAnsi="Arial"/>
                <w:sz w:val="17"/>
                <w:szCs w:val="17"/>
                <w:color w:val="auto"/>
              </w:rPr>
              <w:t>Interest expense to investors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45"/>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cash flows between us and the vacation ownership notes receivable securitization VIEs:</w:t>
      </w:r>
    </w:p>
    <w:p>
      <w:pPr>
        <w:sectPr>
          <w:pgSz w:w="11900" w:h="16838" w:orient="portrait"/>
          <w:cols w:equalWidth="0" w:num="1">
            <w:col w:w="11220"/>
          </w:cols>
          <w:pgMar w:left="320" w:top="230" w:right="359" w:bottom="1440" w:gutter="0" w:footer="0" w:header="0"/>
        </w:sect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5299075" cy="155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Cash Inflows</w:t>
      </w:r>
    </w:p>
    <w:p>
      <w:pPr>
        <w:spacing w:after="0" w:line="42" w:lineRule="exact"/>
        <w:rPr>
          <w:sz w:val="20"/>
          <w:szCs w:val="20"/>
          <w:color w:val="auto"/>
        </w:rPr>
      </w:pPr>
    </w:p>
    <w:p>
      <w:pPr>
        <w:ind w:left="220" w:right="180"/>
        <w:spacing w:after="0" w:line="235" w:lineRule="auto"/>
        <w:rPr>
          <w:sz w:val="20"/>
          <w:szCs w:val="20"/>
          <w:color w:val="auto"/>
        </w:rPr>
      </w:pPr>
      <w:r>
        <w:rPr>
          <w:rFonts w:ascii="Arial" w:cs="Arial" w:eastAsia="Arial" w:hAnsi="Arial"/>
          <w:sz w:val="17"/>
          <w:szCs w:val="17"/>
          <w:color w:val="auto"/>
        </w:rPr>
        <w:t>Net proceeds from vacation ownership notes receivable securitizations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5299075" cy="155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Principal receipts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Interest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5299075" cy="155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Reserve release</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5299075" cy="155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Cash Outflows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March 31, 2023</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March 31, 2022</w:t>
            </w:r>
          </w:p>
        </w:tc>
      </w:tr>
      <w:tr>
        <w:trPr>
          <w:trHeight w:val="624"/>
        </w:trPr>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45"/>
        </w:trPr>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45"/>
        </w:trPr>
        <w:tc>
          <w:tcPr>
            <w:tcW w:w="2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5"/>
        </w:trPr>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w:t>
            </w:r>
          </w:p>
        </w:tc>
      </w:tr>
    </w:tbl>
    <w:p>
      <w:pPr>
        <w:spacing w:after="0" w:line="244" w:lineRule="exact"/>
        <w:rPr>
          <w:sz w:val="20"/>
          <w:szCs w:val="20"/>
          <w:color w:val="auto"/>
        </w:rPr>
      </w:pPr>
    </w:p>
    <w:p>
      <w:pPr>
        <w:sectPr>
          <w:pgSz w:w="11900" w:h="16838" w:orient="portrait"/>
          <w:cols w:equalWidth="0" w:num="2">
            <w:col w:w="4200" w:space="720"/>
            <w:col w:w="6300"/>
          </w:cols>
          <w:pgMar w:left="320" w:top="230" w:right="35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4920" w:type="dxa"/>
            <w:vAlign w:val="bottom"/>
          </w:tcPr>
          <w:p>
            <w:pPr>
              <w:ind w:left="220"/>
              <w:spacing w:after="0"/>
              <w:rPr>
                <w:sz w:val="20"/>
                <w:szCs w:val="20"/>
                <w:color w:val="auto"/>
              </w:rPr>
            </w:pPr>
            <w:r>
              <w:rPr>
                <w:rFonts w:ascii="Arial" w:cs="Arial" w:eastAsia="Arial" w:hAnsi="Arial"/>
                <w:sz w:val="17"/>
                <w:szCs w:val="17"/>
                <w:color w:val="auto"/>
              </w:rPr>
              <w:t>Principal to investors</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169"/>
        </w:trPr>
        <w:tc>
          <w:tcPr>
            <w:tcW w:w="49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Voluntary repurchases of defaulted vacation ownership notes</w:t>
            </w: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1"/>
        </w:trPr>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receivable</w:t>
            </w:r>
          </w:p>
        </w:tc>
        <w:tc>
          <w:tcPr>
            <w:tcW w:w="6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44"/>
        </w:trPr>
        <w:tc>
          <w:tcPr>
            <w:tcW w:w="4920" w:type="dxa"/>
            <w:vAlign w:val="bottom"/>
          </w:tcPr>
          <w:p>
            <w:pPr>
              <w:ind w:left="220"/>
              <w:spacing w:after="0"/>
              <w:rPr>
                <w:sz w:val="20"/>
                <w:szCs w:val="20"/>
                <w:color w:val="auto"/>
              </w:rPr>
            </w:pPr>
            <w:r>
              <w:rPr>
                <w:rFonts w:ascii="Arial" w:cs="Arial" w:eastAsia="Arial" w:hAnsi="Arial"/>
                <w:sz w:val="17"/>
                <w:szCs w:val="17"/>
                <w:color w:val="auto"/>
              </w:rPr>
              <w:t>Interest to investors</w:t>
            </w:r>
          </w:p>
        </w:tc>
        <w:tc>
          <w:tcPr>
            <w:tcW w:w="6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45"/>
        </w:trPr>
        <w:tc>
          <w:tcPr>
            <w:tcW w:w="4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6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11"/>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Net Cash Flows</w:t>
            </w:r>
          </w:p>
        </w:tc>
        <w:tc>
          <w:tcPr>
            <w:tcW w:w="6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0"/>
        </w:trPr>
        <w:tc>
          <w:tcPr>
            <w:tcW w:w="4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cash flows between us and the Warehouse Credit Facility VIE: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5"/>
                <w:szCs w:val="15"/>
                <w:b w:val="1"/>
                <w:bCs w:val="1"/>
                <w:color w:val="auto"/>
              </w:rPr>
              <w:t>Three Months Ended</w:t>
            </w:r>
          </w:p>
        </w:tc>
      </w:tr>
      <w:tr>
        <w:trPr>
          <w:trHeight w:val="225"/>
        </w:trPr>
        <w:tc>
          <w:tcPr>
            <w:tcW w:w="4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2023</w:t>
            </w:r>
          </w:p>
        </w:tc>
        <w:tc>
          <w:tcPr>
            <w:tcW w:w="200" w:type="dxa"/>
            <w:vAlign w:val="bottom"/>
          </w:tcPr>
          <w:p>
            <w:pPr>
              <w:spacing w:after="0"/>
              <w:rPr>
                <w:sz w:val="19"/>
                <w:szCs w:val="19"/>
                <w:color w:val="auto"/>
              </w:rPr>
            </w:pPr>
          </w:p>
        </w:tc>
        <w:tc>
          <w:tcPr>
            <w:tcW w:w="1440" w:type="dxa"/>
            <w:vAlign w:val="bottom"/>
          </w:tcPr>
          <w:p>
            <w:pPr>
              <w:jc w:val="right"/>
              <w:ind w:right="215"/>
              <w:spacing w:after="0"/>
              <w:rPr>
                <w:sz w:val="20"/>
                <w:szCs w:val="20"/>
                <w:color w:val="auto"/>
              </w:rPr>
            </w:pPr>
            <w:r>
              <w:rPr>
                <w:rFonts w:ascii="Arial" w:cs="Arial" w:eastAsia="Arial" w:hAnsi="Arial"/>
                <w:sz w:val="15"/>
                <w:szCs w:val="15"/>
                <w:b w:val="1"/>
                <w:bCs w:val="1"/>
                <w:color w:val="auto"/>
              </w:rPr>
              <w:t>March 31, 2022</w:t>
            </w:r>
          </w:p>
        </w:tc>
      </w:tr>
      <w:tr>
        <w:trPr>
          <w:trHeight w:val="207"/>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Inflows</w:t>
            </w: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44"/>
        </w:trPr>
        <w:tc>
          <w:tcPr>
            <w:tcW w:w="4920" w:type="dxa"/>
            <w:vAlign w:val="bottom"/>
          </w:tcPr>
          <w:p>
            <w:pPr>
              <w:ind w:left="220"/>
              <w:spacing w:after="0"/>
              <w:rPr>
                <w:sz w:val="20"/>
                <w:szCs w:val="20"/>
                <w:color w:val="auto"/>
              </w:rPr>
            </w:pPr>
            <w:r>
              <w:rPr>
                <w:rFonts w:ascii="Arial" w:cs="Arial" w:eastAsia="Arial" w:hAnsi="Arial"/>
                <w:sz w:val="17"/>
                <w:szCs w:val="17"/>
                <w:color w:val="auto"/>
                <w:w w:val="93"/>
              </w:rPr>
              <w:t>Proceeds from vacation ownership notes receivable securitizations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45"/>
        </w:trPr>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receipts</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44"/>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Interest receipts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25"/>
        </w:trPr>
        <w:tc>
          <w:tcPr>
            <w:tcW w:w="4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03"/>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Cash Outflows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5"/>
        </w:trPr>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to investors</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4920" w:type="dxa"/>
            <w:vAlign w:val="bottom"/>
          </w:tcPr>
          <w:p>
            <w:pPr>
              <w:ind w:left="220"/>
              <w:spacing w:after="0"/>
              <w:rPr>
                <w:sz w:val="20"/>
                <w:szCs w:val="20"/>
                <w:color w:val="auto"/>
              </w:rPr>
            </w:pPr>
            <w:r>
              <w:rPr>
                <w:rFonts w:ascii="Arial" w:cs="Arial" w:eastAsia="Arial" w:hAnsi="Arial"/>
                <w:sz w:val="17"/>
                <w:szCs w:val="17"/>
                <w:color w:val="auto"/>
              </w:rPr>
              <w:t>Interest to investors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Funding of restricted cash</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5"/>
        </w:trPr>
        <w:tc>
          <w:tcPr>
            <w:tcW w:w="49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Flows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Variable Interest Entities</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during construction. Further, our purchase commitment is generally contingent upon the property being redeveloped to our brand standards. Accordingly, we have not consolidated the VIE. We expect to acquire the property over time and as of March 31, 2023, we expect to make payments for the property as follows: $112 million in 2024, $81 million in 2025 and $41 million in 2026. As of March 31, 2023, our Balance Sheet reflected $1 million in Accounts Receivable, including a note receivable of approximately $1 million, $1 million in Property and Equipment, and $1 million in Accrued Liabilities. We believe that our maximum exposure to loss as a result of our involvement with this VIE is approximately $1 million as of March 31, 2023.</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11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consolidate the liabilities of the Marriott Vacations Worldwide Deferred Compensation Plan and the related assets, which consist of the COLI policies held in a rabbi trust. The rabbi trust is considered a VIE. We are considered the primary beneficiary of the rabbi trust because we direct the activities of the trust and are the beneficiary of the trust. At March 31, 2023, the value of the assets held in the rabbi trust was $80 million, which is included in the Other line within assets on our Balance Sheets.</w:t>
      </w:r>
    </w:p>
    <w:p>
      <w:pPr>
        <w:spacing w:after="0" w:line="251" w:lineRule="exact"/>
        <w:rPr>
          <w:sz w:val="20"/>
          <w:szCs w:val="20"/>
          <w:color w:val="auto"/>
        </w:rPr>
      </w:pPr>
    </w:p>
    <w:p>
      <w:pPr>
        <w:ind w:left="480" w:hanging="460"/>
        <w:spacing w:after="0"/>
        <w:tabs>
          <w:tab w:leader="none" w:pos="4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SEGMENTS</w:t>
      </w:r>
    </w:p>
    <w:p>
      <w:pPr>
        <w:spacing w:after="0" w:line="210" w:lineRule="exact"/>
        <w:rPr>
          <w:sz w:val="20"/>
          <w:szCs w:val="20"/>
          <w:color w:val="auto"/>
        </w:rPr>
      </w:pPr>
    </w:p>
    <w:p>
      <w:pPr>
        <w:ind w:right="240"/>
        <w:spacing w:after="0" w:line="348" w:lineRule="auto"/>
        <w:rPr>
          <w:sz w:val="20"/>
          <w:szCs w:val="20"/>
          <w:color w:val="auto"/>
        </w:rPr>
      </w:pPr>
      <w:r>
        <w:rPr>
          <w:rFonts w:ascii="Arial" w:cs="Arial" w:eastAsia="Arial" w:hAnsi="Arial"/>
          <w:sz w:val="15"/>
          <w:szCs w:val="15"/>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15" w:lineRule="exact"/>
        <w:rPr>
          <w:sz w:val="20"/>
          <w:szCs w:val="20"/>
          <w:color w:val="auto"/>
        </w:rPr>
      </w:pPr>
    </w:p>
    <w:p>
      <w:pPr>
        <w:ind w:left="320" w:hanging="317"/>
        <w:spacing w:after="0" w:line="299" w:lineRule="auto"/>
        <w:tabs>
          <w:tab w:leader="none" w:pos="3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of the Marriott Vacation Club brand. We are also the exclusive worldwide developer, marketer, and seller of vacation ownership and related products under The Ritz-Carlton Club brand, we have the non-exclusive right to develop, market, and sell whole ownership residential products under The Ritz-Carlton Residences brand and have a license to use the St. Regis brand for specified fractional ownership resorts.</w:t>
      </w:r>
    </w:p>
    <w:p>
      <w:pPr>
        <w:spacing w:after="0" w:line="49" w:lineRule="exact"/>
        <w:rPr>
          <w:rFonts w:ascii="Arial" w:cs="Arial" w:eastAsia="Arial" w:hAnsi="Arial"/>
          <w:sz w:val="15"/>
          <w:szCs w:val="15"/>
          <w:color w:val="auto"/>
        </w:rPr>
      </w:pPr>
    </w:p>
    <w:p>
      <w:pPr>
        <w:ind w:left="320" w:right="100" w:hanging="317"/>
        <w:spacing w:after="0" w:line="348" w:lineRule="auto"/>
        <w:tabs>
          <w:tab w:leader="none" w:pos="3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4" w:lineRule="exact"/>
        <w:rPr>
          <w:rFonts w:ascii="Arial" w:cs="Arial" w:eastAsia="Arial" w:hAnsi="Arial"/>
          <w:sz w:val="15"/>
          <w:szCs w:val="15"/>
          <w:color w:val="auto"/>
        </w:rPr>
      </w:pPr>
    </w:p>
    <w:p>
      <w:pPr>
        <w:ind w:left="320" w:right="80" w:hanging="317"/>
        <w:spacing w:after="0" w:line="266" w:lineRule="auto"/>
        <w:tabs>
          <w:tab w:leader="none" w:pos="3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w:t>
      </w: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based and derived from membership, exchange and rental transactions, property and owners’ association management, and other related products and services.</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 Americas was part of the Exchange &amp; Third-Party Management segment through the date of sale in April 2022.</w:t>
      </w:r>
    </w:p>
    <w:p>
      <w:pPr>
        <w:spacing w:after="0" w:line="10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4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Our CODM uses Adjusted Earnings before Interest Expense, Taxes, Depreciation and Amortization (“Adjusted EBITDA”) to evaluate the profitability of our operating segments, and the components of net income or loss attributable to common shareholders excluded from Adjusted EBITDA are not separately evaluated. Adjusted EBITDA is defined as net income or loss attributable to common shareholders,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or loss attributable to common shareholders is presented below.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7"/>
          </w:tcPr>
          <w:p>
            <w:pPr>
              <w:jc w:val="right"/>
              <w:ind w:right="715"/>
              <w:spacing w:after="0"/>
              <w:rPr>
                <w:sz w:val="20"/>
                <w:szCs w:val="20"/>
                <w:color w:val="auto"/>
              </w:rPr>
            </w:pPr>
            <w:r>
              <w:rPr>
                <w:rFonts w:ascii="Arial" w:cs="Arial" w:eastAsia="Arial" w:hAnsi="Arial"/>
                <w:sz w:val="15"/>
                <w:szCs w:val="15"/>
                <w:b w:val="1"/>
                <w:bCs w:val="1"/>
                <w:color w:val="auto"/>
              </w:rPr>
              <w:t>Three Months Ended</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w w:val="99"/>
              </w:rPr>
              <w:t>March 31, 2023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w w:val="97"/>
              </w:rPr>
              <w:t>March 31, 2022</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71</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revenues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and other</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gridSpan w:val="3"/>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080" w:type="dxa"/>
            <w:vAlign w:val="bottom"/>
            <w:gridSpan w:val="10"/>
          </w:tcPr>
          <w:p>
            <w:pPr>
              <w:spacing w:after="0"/>
              <w:rPr>
                <w:sz w:val="20"/>
                <w:szCs w:val="20"/>
                <w:color w:val="auto"/>
              </w:rPr>
            </w:pPr>
            <w:r>
              <w:rPr>
                <w:rFonts w:ascii="Arial" w:cs="Arial" w:eastAsia="Arial" w:hAnsi="Arial"/>
                <w:sz w:val="17"/>
                <w:szCs w:val="17"/>
                <w:b w:val="1"/>
                <w:bCs w:val="1"/>
                <w:i w:val="1"/>
                <w:iCs w:val="1"/>
                <w:color w:val="auto"/>
                <w:w w:val="89"/>
              </w:rPr>
              <w:t>Adjusted EBITDA and Reconciliation to Net Income or Loss Attributable to Common Shareholders</w:t>
            </w: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gridSpan w:val="8"/>
          </w:tcPr>
          <w:p>
            <w:pPr>
              <w:jc w:val="right"/>
              <w:ind w:right="3700"/>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w w:val="99"/>
              </w:rPr>
              <w:t>March 31, 2023</w:t>
            </w: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w w:val="97"/>
              </w:rPr>
              <w:t>March 31, 2022</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Vacation Ownership</w:t>
            </w: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00" w:type="dxa"/>
            <w:vAlign w:val="bottom"/>
          </w:tcPr>
          <w:p>
            <w:pPr>
              <w:ind w:left="20"/>
              <w:spacing w:after="0"/>
              <w:rPr>
                <w:sz w:val="20"/>
                <w:szCs w:val="20"/>
                <w:color w:val="auto"/>
              </w:rPr>
            </w:pPr>
            <w:r>
              <w:rPr>
                <w:rFonts w:ascii="Arial" w:cs="Arial" w:eastAsia="Arial" w:hAnsi="Arial"/>
                <w:sz w:val="17"/>
                <w:szCs w:val="17"/>
                <w:color w:val="auto"/>
              </w:rPr>
              <w:t>Adjusted EBITDA Exchange &amp; Third-Party Management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Reconciling items: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00" w:type="dxa"/>
            <w:vAlign w:val="bottom"/>
          </w:tcPr>
          <w:p>
            <w:pPr>
              <w:ind w:left="220"/>
              <w:spacing w:after="0"/>
              <w:rPr>
                <w:sz w:val="20"/>
                <w:szCs w:val="20"/>
                <w:color w:val="auto"/>
              </w:rPr>
            </w:pPr>
            <w:r>
              <w:rPr>
                <w:rFonts w:ascii="Arial" w:cs="Arial" w:eastAsia="Arial" w:hAnsi="Arial"/>
                <w:sz w:val="17"/>
                <w:szCs w:val="17"/>
                <w:color w:val="auto"/>
              </w:rPr>
              <w:t>Corporate and other</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00" w:type="dxa"/>
            <w:vAlign w:val="bottom"/>
          </w:tcPr>
          <w:p>
            <w:pPr>
              <w:ind w:left="220"/>
              <w:spacing w:after="0"/>
              <w:rPr>
                <w:sz w:val="20"/>
                <w:szCs w:val="20"/>
                <w:color w:val="auto"/>
              </w:rPr>
            </w:pPr>
            <w:r>
              <w:rPr>
                <w:rFonts w:ascii="Arial" w:cs="Arial" w:eastAsia="Arial" w:hAnsi="Arial"/>
                <w:sz w:val="17"/>
                <w:szCs w:val="17"/>
                <w:color w:val="auto"/>
              </w:rPr>
              <w:t>Tax provision</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00" w:type="dxa"/>
            <w:vAlign w:val="bottom"/>
          </w:tcPr>
          <w:p>
            <w:pPr>
              <w:ind w:left="220"/>
              <w:spacing w:after="0"/>
              <w:rPr>
                <w:sz w:val="20"/>
                <w:szCs w:val="20"/>
                <w:color w:val="auto"/>
              </w:rPr>
            </w:pPr>
            <w:r>
              <w:rPr>
                <w:rFonts w:ascii="Arial" w:cs="Arial" w:eastAsia="Arial" w:hAnsi="Arial"/>
                <w:sz w:val="17"/>
                <w:szCs w:val="17"/>
                <w:color w:val="auto"/>
              </w:rPr>
              <w:t>Share-based compensation expense</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Certain items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Assets</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4"/>
                <w:szCs w:val="24"/>
                <w:color w:val="auto"/>
              </w:rPr>
            </w:pPr>
          </w:p>
        </w:tc>
        <w:tc>
          <w:tcPr>
            <w:tcW w:w="1620" w:type="dxa"/>
            <w:vAlign w:val="bottom"/>
            <w:gridSpan w:val="4"/>
          </w:tcPr>
          <w:p>
            <w:pPr>
              <w:jc w:val="right"/>
              <w:ind w:right="340"/>
              <w:spacing w:after="0"/>
              <w:rPr>
                <w:sz w:val="20"/>
                <w:szCs w:val="20"/>
                <w:color w:val="auto"/>
              </w:rPr>
            </w:pPr>
            <w:r>
              <w:rPr>
                <w:rFonts w:ascii="Arial" w:cs="Arial" w:eastAsia="Arial" w:hAnsi="Arial"/>
                <w:sz w:val="15"/>
                <w:szCs w:val="15"/>
                <w:b w:val="1"/>
                <w:bCs w:val="1"/>
                <w:color w:val="auto"/>
                <w:w w:val="99"/>
              </w:rPr>
              <w:t>At March 31, 2023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5"/>
                <w:szCs w:val="15"/>
                <w:b w:val="1"/>
                <w:bCs w:val="1"/>
                <w:color w:val="auto"/>
              </w:rPr>
              <w:t>At December 31, 2022</w:t>
            </w:r>
          </w:p>
        </w:tc>
        <w:tc>
          <w:tcPr>
            <w:tcW w:w="0" w:type="dxa"/>
            <w:vAlign w:val="bottom"/>
          </w:tcPr>
          <w:p>
            <w:pPr>
              <w:spacing w:after="0"/>
              <w:rPr>
                <w:sz w:val="1"/>
                <w:szCs w:val="1"/>
                <w:color w:val="auto"/>
              </w:rPr>
            </w:pPr>
          </w:p>
        </w:tc>
      </w:tr>
      <w:tr>
        <w:trPr>
          <w:trHeight w:val="227"/>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8,037</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8,902</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and other</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456"/>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 Excluding Cost Reimbursements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5"/>
                <w:szCs w:val="15"/>
                <w:b w:val="1"/>
                <w:bCs w:val="1"/>
                <w:color w:val="auto"/>
              </w:rPr>
              <w:t>Three Months Ended</w:t>
            </w:r>
          </w:p>
        </w:tc>
      </w:tr>
      <w:tr>
        <w:trPr>
          <w:trHeight w:val="225"/>
        </w:trPr>
        <w:tc>
          <w:tcPr>
            <w:tcW w:w="4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2023</w:t>
            </w:r>
          </w:p>
        </w:tc>
        <w:tc>
          <w:tcPr>
            <w:tcW w:w="200" w:type="dxa"/>
            <w:vAlign w:val="bottom"/>
          </w:tcPr>
          <w:p>
            <w:pPr>
              <w:spacing w:after="0"/>
              <w:rPr>
                <w:sz w:val="19"/>
                <w:szCs w:val="19"/>
                <w:color w:val="auto"/>
              </w:rPr>
            </w:pPr>
          </w:p>
        </w:tc>
        <w:tc>
          <w:tcPr>
            <w:tcW w:w="1440" w:type="dxa"/>
            <w:vAlign w:val="bottom"/>
          </w:tcPr>
          <w:p>
            <w:pPr>
              <w:jc w:val="right"/>
              <w:ind w:right="216"/>
              <w:spacing w:after="0"/>
              <w:rPr>
                <w:sz w:val="20"/>
                <w:szCs w:val="20"/>
                <w:color w:val="auto"/>
              </w:rPr>
            </w:pPr>
            <w:r>
              <w:rPr>
                <w:rFonts w:ascii="Arial" w:cs="Arial" w:eastAsia="Arial" w:hAnsi="Arial"/>
                <w:sz w:val="15"/>
                <w:szCs w:val="15"/>
                <w:b w:val="1"/>
                <w:bCs w:val="1"/>
                <w:color w:val="auto"/>
              </w:rPr>
              <w:t>March 31, 2022</w:t>
            </w:r>
          </w:p>
        </w:tc>
      </w:tr>
      <w:tr>
        <w:trPr>
          <w:trHeight w:val="227"/>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700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w:t>
            </w:r>
          </w:p>
        </w:tc>
      </w:tr>
      <w:tr>
        <w:trPr>
          <w:trHeight w:val="244"/>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countries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804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financial condition and leverage; dividend payments; business strategies, such as our plans to continue to increase our focus on sales of vacation ownership products to first-time buyers and our expectations that we will continue to offer financing incentives; financing plans; competitive position; potential growth opportunities; potential operating performance improvements, including the expectations that contract sales, resort management, resort occupancies, and tour flow will continue to remain strong in 2023; our expectation that interest income will increase in 2023; our expectations regarding availability of inventory for Getaways and exchange transactions; indemnification; taxes; dilution related to convertible notes; inventory spending; the effects of competition; and any effects of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the effects of the COVID-19 pandemic or future health crises, including their short and longer-term impact on consumer confidence and demand for travel, and the pace of recovery following a future health crisis; variations in demand for vacation ownership and exchange products and services; worker absenteeism; price and wage inflation; global supply chain disruptions; volatility in the international and national economy and credit markets; impact of the current or a future banking crisis; the ongoing war between Russia and Ukraine and related sanctions and other measures; our ability to attract and retain our global workforce; competitive conditions; the availability of capital to finance growth; the impact of rising interest rates; political or social strife; difficulties associated with implementing new or maintaining existing technology; changes in privacy laws and other matters referred to under the heading “Risk Factors” contained herein and also in our most recent Annual Report on Form 10-K, and which may be updated in our future periodic filings with the U.S. Securities and Exchange Commission (the “SEC”).</w:t>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All forward-looking statements in this Quarterly Report on Form 10-Q apply only as of the date of this Quarterly Report on Form 10-Q or as of the date they were made or as otherwise specified herein. We do not undertake any obligation to publicly update or revise any forward-looking statement, whether as a result of new information, future events, or otherwise, except as required by law.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Financial Statements (as defined below), which we discuss below, reflect our historical financial condition, results of operations and cash flows. However,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that we include in the Financial Statements of this Quarterly Report on Form 10-Q.</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2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38"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Club brand, we have the non-exclusive right to develop, market and sell whole ownership residential products under The Ritz-Carlton Residences brand and we have a license to use the St. Regis brand for specified fractional ownership resorts.</w:t>
      </w:r>
    </w:p>
    <w:p>
      <w:pPr>
        <w:spacing w:after="0" w:line="65" w:lineRule="exact"/>
        <w:rPr>
          <w:sz w:val="20"/>
          <w:szCs w:val="20"/>
          <w:color w:val="auto"/>
        </w:rPr>
      </w:pPr>
    </w:p>
    <w:p>
      <w:pPr>
        <w:ind w:right="240"/>
        <w:spacing w:after="0" w:line="348" w:lineRule="auto"/>
        <w:rPr>
          <w:sz w:val="20"/>
          <w:szCs w:val="20"/>
          <w:color w:val="auto"/>
        </w:rPr>
      </w:pPr>
      <w:r>
        <w:rPr>
          <w:rFonts w:ascii="Arial" w:cs="Arial" w:eastAsia="Arial" w:hAnsi="Arial"/>
          <w:sz w:val="15"/>
          <w:szCs w:val="15"/>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5"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Since May 2022, we provide these services through our Interval International and Aqua-Aston businesses. In April 2022, we disposed of VRI Americas after determining that the business was not a core component of our future growth strategy and operating model. This business was a component of our Exchange and Third-Party Management segment through the date of the sale.</w:t>
      </w:r>
    </w:p>
    <w:p>
      <w:pPr>
        <w:spacing w:after="0" w:line="78"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color w:val="auto"/>
        </w:rPr>
        <w:t>Corporate and other represents that portion of our results that are not allocable to our segments, including those relating to consolidated property owners’ associations (“Consolidated Property Owners’ Associations”).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Integration of Marriott-, Sheraton- and Westin- Branded Vacation Ownership Products</w:t>
      </w:r>
    </w:p>
    <w:p>
      <w:pPr>
        <w:spacing w:after="0" w:line="11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In 2016, Marriott International purchased Starwood Hotels and Resorts Worldwide, Inc., which at the time exclusively licensed the Sheraton and Westin vacation ownership brands to Legacy-ILG. Part of the rationale for our acquisition of ILG in 2018 was to achieve operating efficiencies and business growth by leveraging the brands then licensed by Marriott International and its subsidiaries to us and to ILG. In August 2022, we launched Abound by Marriott Vacations, a new owner benefit and exchange program which affiliates the Marriott, Sheraton and Westin vacation ownership brands to offer similar benefits to owners of our products under these brands. Under this program, owners of Marriott-, Sheraton- and Westin-branded VOIs can access over 90 resorts under the Marriott Vacation Club, Sheraton Vacation Club and Westin Vacation Club brands using a common currency. The program also harmonizes fee structures and owner benefit levels and has allowed us to transition most of our Legacy-ILG sales galleries to sell our Marriott Vacation Club Destinations product. Further, in late 2022, we added certain Sheraton- and Westin- branded VOIs to the Marriott Vacation Club Destinations product.</w:t>
      </w:r>
    </w:p>
    <w:p>
      <w:pPr>
        <w:spacing w:after="0" w:line="7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recognize revenues from the sale of vacation ownership products (also referred to as VOIs) when control of the vacation ownership product is transferred to the customer and the transaction price is deemed collectible. Based upon the different terms of our contracts with the customer and business practices, control of the vacation ownership product has historically transferred to the customer at different points in time for each brand of VOIs. In the third quarter of 2022, we aligned our business practices and contract terms, resulting in the prospective change in the timing of the transfer of control to the customer for Marriott-branded VOIs. Prior to these changes, control transfer occurred at closing for Marriott-branded vacation ownership products. Subsequent to this alignment, transfer of control of Marriott-branded vacation ownership products occurs at expiration of the statutory rescission period, consistent with the historical timing of Sheraton-, Westin- and Hyatt- branded transactions. Marriott-branded VOI sales contracts executed prior to these modifications have been accounted for with transfer of control of the VOI occurring at closing. Control transfer for Legacy-Welk VOIs continues to occur at closing.</w:t>
      </w:r>
    </w:p>
    <w:p>
      <w:pPr>
        <w:spacing w:after="0" w:line="7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As a result of the unification of our Marriott-, Sheraton- and Westin- branded vacation ownership products under the Abound by Marriott Vacations program and stabilization of default rates following the initial impact of the COVID-19 pandemic, in the third quarter of 2022, we combined and aligned our reserve methodology for vacation ownership notes receivable for our Marriott, Sheraton and Westin brands.</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Measures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measure operating performance using the key metrics described below:</w:t>
      </w:r>
    </w:p>
    <w:p>
      <w:pPr>
        <w:spacing w:after="0" w:line="114" w:lineRule="exact"/>
        <w:rPr>
          <w:sz w:val="20"/>
          <w:szCs w:val="20"/>
          <w:color w:val="auto"/>
        </w:rPr>
      </w:pPr>
    </w:p>
    <w:p>
      <w:pPr>
        <w:ind w:left="320" w:right="40" w:hanging="317"/>
        <w:spacing w:after="0" w:line="257" w:lineRule="auto"/>
        <w:tabs>
          <w:tab w:leader="none" w:pos="31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Contract sales from the sale of vacation ownership products, </w:t>
      </w:r>
      <w:r>
        <w:rPr>
          <w:rFonts w:ascii="Arial" w:cs="Arial" w:eastAsia="Arial" w:hAnsi="Arial"/>
          <w:sz w:val="17"/>
          <w:szCs w:val="17"/>
          <w:color w:val="auto"/>
        </w:rPr>
        <w:t>which consists of the total amount of vacation ownership product sales under contracts signed</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80" w:lineRule="exact"/>
        <w:rPr>
          <w:rFonts w:ascii="Arial" w:cs="Arial" w:eastAsia="Arial" w:hAnsi="Arial"/>
          <w:sz w:val="17"/>
          <w:szCs w:val="17"/>
          <w:color w:val="auto"/>
        </w:rPr>
      </w:pPr>
    </w:p>
    <w:p>
      <w:pPr>
        <w:ind w:left="620" w:hanging="308"/>
        <w:spacing w:after="0"/>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Total contract sales include contract sales from the sale of vacation ownership products including non-consolidated joint ventures.</w:t>
      </w:r>
    </w:p>
    <w:p>
      <w:pPr>
        <w:spacing w:after="0" w:line="113" w:lineRule="exact"/>
        <w:rPr>
          <w:rFonts w:ascii="Arial" w:cs="Arial" w:eastAsia="Arial" w:hAnsi="Arial"/>
          <w:sz w:val="17"/>
          <w:szCs w:val="17"/>
          <w:color w:val="auto"/>
        </w:rPr>
      </w:pPr>
    </w:p>
    <w:p>
      <w:pPr>
        <w:ind w:left="620" w:hanging="308"/>
        <w:spacing w:after="0"/>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Consolidated contract sales exclude contracts sales from the sale of vacation ownership products for non-consolidated joint ventures.</w:t>
      </w:r>
    </w:p>
    <w:p>
      <w:pPr>
        <w:spacing w:after="0" w:line="113" w:lineRule="exact"/>
        <w:rPr>
          <w:rFonts w:ascii="Arial" w:cs="Arial" w:eastAsia="Arial" w:hAnsi="Arial"/>
          <w:sz w:val="17"/>
          <w:szCs w:val="17"/>
          <w:color w:val="auto"/>
        </w:rPr>
      </w:pPr>
    </w:p>
    <w:p>
      <w:pPr>
        <w:ind w:left="320" w:right="20" w:hanging="317"/>
        <w:spacing w:after="0" w:line="261" w:lineRule="auto"/>
        <w:tabs>
          <w:tab w:leader="none" w:pos="316"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Volume per guest </w:t>
      </w:r>
      <w:r>
        <w:rPr>
          <w:rFonts w:ascii="Arial" w:cs="Arial" w:eastAsia="Arial" w:hAnsi="Arial"/>
          <w:sz w:val="17"/>
          <w:szCs w:val="17"/>
          <w:color w:val="auto"/>
        </w:rPr>
        <w:t>(“VPG”) is calculated by dividing consolidated vacation ownership contract sales, excluding fractional sales, telesales, resales,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76" w:lineRule="exact"/>
        <w:rPr>
          <w:rFonts w:ascii="Arial" w:cs="Arial" w:eastAsia="Arial" w:hAnsi="Arial"/>
          <w:sz w:val="17"/>
          <w:szCs w:val="17"/>
          <w:i w:val="1"/>
          <w:iCs w:val="1"/>
          <w:color w:val="auto"/>
        </w:rPr>
      </w:pPr>
    </w:p>
    <w:p>
      <w:pPr>
        <w:ind w:left="320" w:hanging="317"/>
        <w:spacing w:after="0" w:line="290" w:lineRule="auto"/>
        <w:tabs>
          <w:tab w:leader="none" w:pos="31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Development profit margin </w:t>
      </w:r>
      <w:r>
        <w:rPr>
          <w:rFonts w:ascii="Arial" w:cs="Arial" w:eastAsia="Arial" w:hAnsi="Arial"/>
          <w:sz w:val="16"/>
          <w:szCs w:val="16"/>
          <w:color w:val="auto"/>
        </w:rPr>
        <w:t>is calculated by dividing Development profit by revenues from the sale of vacation ownership products. We refer to revenues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vacation ownership products less the cost of vacation ownership products and marketing and sales costs as Development profit. We believe that Development profit margin is an important measure of the profitability of our development and marketing and sales of VOIs.</w:t>
      </w:r>
    </w:p>
    <w:p>
      <w:pPr>
        <w:spacing w:after="0" w:line="54" w:lineRule="exact"/>
        <w:rPr>
          <w:rFonts w:ascii="Arial" w:cs="Arial" w:eastAsia="Arial" w:hAnsi="Arial"/>
          <w:sz w:val="16"/>
          <w:szCs w:val="16"/>
          <w:color w:val="auto"/>
        </w:rPr>
      </w:pPr>
    </w:p>
    <w:p>
      <w:pPr>
        <w:ind w:left="320" w:hanging="317"/>
        <w:spacing w:after="0" w:line="311" w:lineRule="auto"/>
        <w:tabs>
          <w:tab w:leader="none" w:pos="31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Total active members </w:t>
      </w:r>
      <w:r>
        <w:rPr>
          <w:rFonts w:ascii="Arial" w:cs="Arial" w:eastAsia="Arial" w:hAnsi="Arial"/>
          <w:sz w:val="16"/>
          <w:szCs w:val="16"/>
          <w:color w:val="auto"/>
        </w:rPr>
        <w:t>is the number of Interval International network active members at the end of the applicable period. We consider active members to be an</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metric because it represents the population of owners eligible to book transactions using the Interval International network.</w:t>
      </w:r>
    </w:p>
    <w:p>
      <w:pPr>
        <w:spacing w:after="0" w:line="38" w:lineRule="exact"/>
        <w:rPr>
          <w:rFonts w:ascii="Arial" w:cs="Arial" w:eastAsia="Arial" w:hAnsi="Arial"/>
          <w:sz w:val="16"/>
          <w:szCs w:val="16"/>
          <w:color w:val="auto"/>
        </w:rPr>
      </w:pPr>
    </w:p>
    <w:p>
      <w:pPr>
        <w:ind w:left="320" w:right="220" w:hanging="317"/>
        <w:spacing w:after="0" w:line="290" w:lineRule="auto"/>
        <w:tabs>
          <w:tab w:leader="none" w:pos="31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Average revenue per member </w:t>
      </w:r>
      <w:r>
        <w:rPr>
          <w:rFonts w:ascii="Arial" w:cs="Arial" w:eastAsia="Arial" w:hAnsi="Arial"/>
          <w:sz w:val="16"/>
          <w:szCs w:val="16"/>
          <w:color w:val="auto"/>
        </w:rPr>
        <w:t>is calculated by dividing membership fee revenue, transaction revenue, rental revenue, and other member revenue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Interval International network by the monthly weighted average number of Interval International network active members during the applicable period. We believe this metric is valuable in measuring the overall engagement of our Interval International network active members.</w:t>
      </w:r>
    </w:p>
    <w:p>
      <w:pPr>
        <w:spacing w:after="0" w:line="54" w:lineRule="exact"/>
        <w:rPr>
          <w:rFonts w:ascii="Arial" w:cs="Arial" w:eastAsia="Arial" w:hAnsi="Arial"/>
          <w:sz w:val="16"/>
          <w:szCs w:val="16"/>
          <w:color w:val="auto"/>
        </w:rPr>
      </w:pPr>
    </w:p>
    <w:p>
      <w:pPr>
        <w:ind w:left="320" w:right="40" w:hanging="317"/>
        <w:spacing w:after="0" w:line="317" w:lineRule="auto"/>
        <w:tabs>
          <w:tab w:leader="none" w:pos="316"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Segment financial results attributable to common shareholders </w:t>
      </w:r>
      <w:r>
        <w:rPr>
          <w:rFonts w:ascii="Arial" w:cs="Arial" w:eastAsia="Arial" w:hAnsi="Arial"/>
          <w:sz w:val="15"/>
          <w:szCs w:val="15"/>
          <w:color w:val="auto"/>
        </w:rPr>
        <w:t>represents revenues less expenses directly attributable to each applicable reportable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(Vacation Ownership and Exchange &amp; Third-Party Management). We consider this measure to be important in evaluating the performance of our reportable business segments. See Footnote 16 “Business Segments” to our Financial Statements for further information on our reportable business segments.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8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5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Pr>
          <w:p>
            <w:pPr>
              <w:spacing w:after="0"/>
              <w:rPr>
                <w:sz w:val="17"/>
                <w:szCs w:val="17"/>
                <w:color w:val="auto"/>
              </w:rPr>
            </w:pPr>
          </w:p>
        </w:tc>
        <w:tc>
          <w:tcPr>
            <w:tcW w:w="1140" w:type="dxa"/>
            <w:vAlign w:val="bottom"/>
          </w:tcPr>
          <w:p>
            <w:pPr>
              <w:jc w:val="right"/>
              <w:ind w:right="34"/>
              <w:spacing w:after="0"/>
              <w:rPr>
                <w:sz w:val="20"/>
                <w:szCs w:val="20"/>
                <w:color w:val="auto"/>
              </w:rPr>
            </w:pPr>
            <w:r>
              <w:rPr>
                <w:rFonts w:ascii="Arial" w:cs="Arial" w:eastAsia="Arial" w:hAnsi="Arial"/>
                <w:sz w:val="15"/>
                <w:szCs w:val="15"/>
                <w:b w:val="1"/>
                <w:bCs w:val="1"/>
                <w:color w:val="auto"/>
                <w:w w:val="93"/>
              </w:rPr>
              <w:t>March 31, 2022</w:t>
            </w:r>
          </w:p>
        </w:tc>
      </w:tr>
      <w:tr>
        <w:trPr>
          <w:trHeight w:val="227"/>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310</w:t>
            </w: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44"/>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r>
      <w:tr>
        <w:trPr>
          <w:trHeight w:val="225"/>
        </w:trPr>
        <w:tc>
          <w:tcPr>
            <w:tcW w:w="57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w:t>
            </w:r>
          </w:p>
        </w:tc>
      </w:tr>
      <w:tr>
        <w:trPr>
          <w:trHeight w:val="224"/>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Marketing and sales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Litigation charges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Royalty fee</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Impairment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224"/>
        </w:trPr>
        <w:tc>
          <w:tcPr>
            <w:tcW w:w="5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EXPENSES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w:t>
            </w:r>
          </w:p>
        </w:tc>
      </w:tr>
      <w:tr>
        <w:trPr>
          <w:trHeight w:val="22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Gains and other income, net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and integration costs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155"/>
        </w:trPr>
        <w:tc>
          <w:tcPr>
            <w:tcW w:w="5700" w:type="dxa"/>
            <w:vAlign w:val="bottom"/>
          </w:tcPr>
          <w:p>
            <w:pPr>
              <w:ind w:left="20"/>
              <w:spacing w:after="0" w:line="154" w:lineRule="exact"/>
              <w:rPr>
                <w:sz w:val="20"/>
                <w:szCs w:val="20"/>
                <w:color w:val="auto"/>
              </w:rPr>
            </w:pPr>
            <w:r>
              <w:rPr>
                <w:rFonts w:ascii="Arial" w:cs="Arial" w:eastAsia="Arial" w:hAnsi="Arial"/>
                <w:sz w:val="17"/>
                <w:szCs w:val="17"/>
                <w:b w:val="1"/>
                <w:bCs w:val="1"/>
                <w:color w:val="auto"/>
              </w:rPr>
              <w:t>INCOME BEFORE INCOME TAXES AND NONCONTROLLING</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4"/>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INTERESTS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45"/>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4"/>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45"/>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Statistics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34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2023</w:t>
            </w:r>
          </w:p>
        </w:tc>
        <w:tc>
          <w:tcPr>
            <w:tcW w:w="12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5"/>
                <w:szCs w:val="15"/>
                <w:b w:val="1"/>
                <w:bCs w:val="1"/>
                <w:color w:val="auto"/>
              </w:rPr>
              <w:t>Change</w:t>
            </w:r>
          </w:p>
        </w:tc>
        <w:tc>
          <w:tcPr>
            <w:tcW w:w="3780" w:type="dxa"/>
            <w:vAlign w:val="bottom"/>
            <w:gridSpan w:val="2"/>
          </w:tcPr>
          <w:p>
            <w:pPr>
              <w:ind w:left="100"/>
              <w:spacing w:after="0"/>
              <w:rPr>
                <w:sz w:val="20"/>
                <w:szCs w:val="20"/>
                <w:color w:val="auto"/>
              </w:rPr>
            </w:pPr>
            <w:r>
              <w:rPr>
                <w:rFonts w:ascii="Arial" w:cs="Arial" w:eastAsia="Arial" w:hAnsi="Arial"/>
                <w:sz w:val="15"/>
                <w:szCs w:val="15"/>
                <w:b w:val="1"/>
                <w:bCs w:val="1"/>
                <w:color w:val="auto"/>
              </w:rPr>
              <w:t>% Change</w:t>
            </w:r>
          </w:p>
        </w:tc>
      </w:tr>
      <w:tr>
        <w:trPr>
          <w:trHeight w:val="227"/>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Vacation Ownership</w:t>
            </w: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900" w:type="dxa"/>
            <w:vAlign w:val="bottom"/>
          </w:tcPr>
          <w:p>
            <w:pPr>
              <w:spacing w:after="0"/>
              <w:rPr>
                <w:sz w:val="19"/>
                <w:szCs w:val="19"/>
                <w:color w:val="auto"/>
              </w:rPr>
            </w:pPr>
          </w:p>
        </w:tc>
      </w:tr>
      <w:tr>
        <w:trPr>
          <w:trHeight w:val="244"/>
        </w:trPr>
        <w:tc>
          <w:tcPr>
            <w:tcW w:w="3700" w:type="dxa"/>
            <w:vAlign w:val="bottom"/>
          </w:tcPr>
          <w:p>
            <w:pPr>
              <w:ind w:left="220"/>
              <w:spacing w:after="0"/>
              <w:rPr>
                <w:sz w:val="20"/>
                <w:szCs w:val="20"/>
                <w:color w:val="auto"/>
              </w:rPr>
            </w:pPr>
            <w:r>
              <w:rPr>
                <w:rFonts w:ascii="Arial" w:cs="Arial" w:eastAsia="Arial" w:hAnsi="Arial"/>
                <w:sz w:val="17"/>
                <w:szCs w:val="17"/>
                <w:color w:val="auto"/>
              </w:rPr>
              <w:t>Total contract sales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444</w:t>
            </w:r>
          </w:p>
        </w:tc>
        <w:tc>
          <w:tcPr>
            <w:tcW w:w="140" w:type="dxa"/>
            <w:vAlign w:val="bottom"/>
          </w:tcPr>
          <w:p>
            <w:pPr>
              <w:spacing w:after="0"/>
              <w:rPr>
                <w:sz w:val="21"/>
                <w:szCs w:val="21"/>
                <w:color w:val="auto"/>
              </w:rPr>
            </w:pPr>
          </w:p>
        </w:tc>
        <w:tc>
          <w:tcPr>
            <w:tcW w:w="700" w:type="dxa"/>
            <w:vAlign w:val="bottom"/>
          </w:tcPr>
          <w:p>
            <w:pPr>
              <w:jc w:val="right"/>
              <w:ind w:right="516"/>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403</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10%</w:t>
            </w:r>
          </w:p>
        </w:tc>
        <w:tc>
          <w:tcPr>
            <w:tcW w:w="2900" w:type="dxa"/>
            <w:vAlign w:val="bottom"/>
          </w:tcPr>
          <w:p>
            <w:pPr>
              <w:spacing w:after="0"/>
              <w:rPr>
                <w:sz w:val="21"/>
                <w:szCs w:val="21"/>
                <w:color w:val="auto"/>
              </w:rPr>
            </w:pPr>
          </w:p>
        </w:tc>
      </w:tr>
      <w:tr>
        <w:trPr>
          <w:trHeight w:val="245"/>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contract sales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w:t>
            </w:r>
          </w:p>
        </w:tc>
        <w:tc>
          <w:tcPr>
            <w:tcW w:w="2900" w:type="dxa"/>
            <w:vAlign w:val="bottom"/>
          </w:tcPr>
          <w:p>
            <w:pPr>
              <w:spacing w:after="0"/>
              <w:rPr>
                <w:sz w:val="21"/>
                <w:szCs w:val="21"/>
                <w:color w:val="auto"/>
              </w:rPr>
            </w:pPr>
          </w:p>
        </w:tc>
      </w:tr>
      <w:tr>
        <w:trPr>
          <w:trHeight w:val="244"/>
        </w:trPr>
        <w:tc>
          <w:tcPr>
            <w:tcW w:w="3700" w:type="dxa"/>
            <w:vAlign w:val="bottom"/>
          </w:tcPr>
          <w:p>
            <w:pPr>
              <w:ind w:left="220"/>
              <w:spacing w:after="0"/>
              <w:rPr>
                <w:sz w:val="20"/>
                <w:szCs w:val="20"/>
                <w:color w:val="auto"/>
              </w:rPr>
            </w:pPr>
            <w:r>
              <w:rPr>
                <w:rFonts w:ascii="Arial" w:cs="Arial" w:eastAsia="Arial" w:hAnsi="Arial"/>
                <w:sz w:val="17"/>
                <w:szCs w:val="17"/>
                <w:color w:val="auto"/>
              </w:rPr>
              <w:t>Joint venture contract sales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1"/>
                <w:szCs w:val="21"/>
                <w:color w:val="auto"/>
              </w:rPr>
            </w:pPr>
          </w:p>
        </w:tc>
        <w:tc>
          <w:tcPr>
            <w:tcW w:w="700" w:type="dxa"/>
            <w:vAlign w:val="bottom"/>
          </w:tcPr>
          <w:p>
            <w:pPr>
              <w:jc w:val="right"/>
              <w:ind w:right="516"/>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7%</w:t>
            </w:r>
          </w:p>
        </w:tc>
        <w:tc>
          <w:tcPr>
            <w:tcW w:w="2900" w:type="dxa"/>
            <w:vAlign w:val="bottom"/>
          </w:tcPr>
          <w:p>
            <w:pPr>
              <w:spacing w:after="0"/>
              <w:rPr>
                <w:sz w:val="21"/>
                <w:szCs w:val="21"/>
                <w:color w:val="auto"/>
              </w:rPr>
            </w:pPr>
          </w:p>
        </w:tc>
      </w:tr>
      <w:tr>
        <w:trPr>
          <w:trHeight w:val="245"/>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VPG</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4,358</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4,706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w:t>
            </w:r>
          </w:p>
        </w:tc>
        <w:tc>
          <w:tcPr>
            <w:tcW w:w="2900" w:type="dxa"/>
            <w:vAlign w:val="bottom"/>
          </w:tcPr>
          <w:p>
            <w:pPr>
              <w:spacing w:after="0"/>
              <w:rPr>
                <w:sz w:val="21"/>
                <w:szCs w:val="21"/>
                <w:color w:val="auto"/>
              </w:rPr>
            </w:pPr>
          </w:p>
        </w:tc>
      </w:tr>
      <w:tr>
        <w:trPr>
          <w:trHeight w:val="244"/>
        </w:trPr>
        <w:tc>
          <w:tcPr>
            <w:tcW w:w="3700" w:type="dxa"/>
            <w:vAlign w:val="bottom"/>
          </w:tcPr>
          <w:p>
            <w:pPr>
              <w:ind w:left="20"/>
              <w:spacing w:after="0"/>
              <w:rPr>
                <w:sz w:val="20"/>
                <w:szCs w:val="20"/>
                <w:color w:val="auto"/>
              </w:rPr>
            </w:pPr>
            <w:r>
              <w:rPr>
                <w:rFonts w:ascii="Arial" w:cs="Arial" w:eastAsia="Arial" w:hAnsi="Arial"/>
                <w:sz w:val="17"/>
                <w:szCs w:val="17"/>
                <w:b w:val="1"/>
                <w:bCs w:val="1"/>
                <w:color w:val="auto"/>
              </w:rPr>
              <w:t>Exchange &amp; Third-Party Management</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45"/>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active members at end of period (000's)</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1,606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w:t>
            </w:r>
          </w:p>
        </w:tc>
        <w:tc>
          <w:tcPr>
            <w:tcW w:w="2900" w:type="dxa"/>
            <w:vAlign w:val="bottom"/>
          </w:tcPr>
          <w:p>
            <w:pPr>
              <w:spacing w:after="0"/>
              <w:rPr>
                <w:sz w:val="21"/>
                <w:szCs w:val="2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7"/>
                <w:szCs w:val="17"/>
                <w:color w:val="auto"/>
              </w:rPr>
              <w:t>Average revenue per member</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42.07</w:t>
            </w:r>
          </w:p>
        </w:tc>
        <w:tc>
          <w:tcPr>
            <w:tcW w:w="140" w:type="dxa"/>
            <w:vAlign w:val="bottom"/>
          </w:tcPr>
          <w:p>
            <w:pPr>
              <w:spacing w:after="0"/>
              <w:rPr>
                <w:sz w:val="21"/>
                <w:szCs w:val="21"/>
                <w:color w:val="auto"/>
              </w:rPr>
            </w:pPr>
          </w:p>
        </w:tc>
        <w:tc>
          <w:tcPr>
            <w:tcW w:w="700" w:type="dxa"/>
            <w:vAlign w:val="bottom"/>
          </w:tcPr>
          <w:p>
            <w:pPr>
              <w:jc w:val="right"/>
              <w:ind w:right="516"/>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44.33</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(5%)</w:t>
            </w:r>
          </w:p>
        </w:tc>
        <w:tc>
          <w:tcPr>
            <w:tcW w:w="2900" w:type="dxa"/>
            <w:vAlign w:val="bottom"/>
          </w:tcPr>
          <w:p>
            <w:pPr>
              <w:spacing w:after="0"/>
              <w:rPr>
                <w:sz w:val="21"/>
                <w:szCs w:val="21"/>
                <w:color w:val="auto"/>
              </w:rPr>
            </w:pPr>
          </w:p>
        </w:tc>
      </w:tr>
      <w:tr>
        <w:trPr>
          <w:trHeight w:val="554"/>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jc w:val="right"/>
              <w:ind w:right="154"/>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5"/>
        </w:trPr>
        <w:tc>
          <w:tcPr>
            <w:tcW w:w="3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5"/>
                <w:szCs w:val="15"/>
                <w:b w:val="1"/>
                <w:bCs w:val="1"/>
                <w:color w:val="auto"/>
              </w:rPr>
              <w:t>March 31, 2023</w:t>
            </w:r>
          </w:p>
        </w:tc>
        <w:tc>
          <w:tcPr>
            <w:tcW w:w="1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 Change</w:t>
            </w:r>
          </w:p>
        </w:tc>
      </w:tr>
      <w:tr>
        <w:trPr>
          <w:trHeight w:val="240"/>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141</w:t>
            </w:r>
          </w:p>
        </w:tc>
        <w:tc>
          <w:tcPr>
            <w:tcW w:w="100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15%</w:t>
            </w:r>
          </w:p>
        </w:tc>
      </w:tr>
      <w:tr>
        <w:trPr>
          <w:trHeight w:val="257"/>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(13)</w:t>
            </w:r>
          </w:p>
        </w:tc>
        <w:tc>
          <w:tcPr>
            <w:tcW w:w="1000" w:type="dxa"/>
            <w:vAlign w:val="bottom"/>
            <w:tcBorders>
              <w:bottom w:val="single" w:sz="8" w:color="CCEEFF"/>
            </w:tcBorders>
            <w:gridSpan w:val="2"/>
          </w:tcPr>
          <w:p>
            <w:pPr>
              <w:jc w:val="right"/>
              <w:ind w:right="143"/>
              <w:spacing w:after="0"/>
              <w:rPr>
                <w:sz w:val="20"/>
                <w:szCs w:val="20"/>
                <w:color w:val="auto"/>
              </w:rPr>
            </w:pPr>
            <w:r>
              <w:rPr>
                <w:rFonts w:ascii="Arial" w:cs="Arial" w:eastAsia="Arial" w:hAnsi="Arial"/>
                <w:sz w:val="17"/>
                <w:szCs w:val="17"/>
                <w:color w:val="auto"/>
              </w:rPr>
              <w:t>(16%)</w:t>
            </w:r>
          </w:p>
        </w:tc>
      </w:tr>
      <w:tr>
        <w:trPr>
          <w:trHeight w:val="238"/>
        </w:trPr>
        <w:tc>
          <w:tcPr>
            <w:tcW w:w="3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Revenues</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1,040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128</w:t>
            </w:r>
          </w:p>
        </w:tc>
        <w:tc>
          <w:tcPr>
            <w:tcW w:w="100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12%</w:t>
            </w:r>
          </w:p>
        </w:tc>
      </w:tr>
      <w:tr>
        <w:trPr>
          <w:trHeight w:val="257"/>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Consolidated Property Owners’ Associations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99"/>
              </w:rPr>
              <w:t>(11)</w:t>
            </w:r>
          </w:p>
        </w:tc>
        <w:tc>
          <w:tcPr>
            <w:tcW w:w="1000" w:type="dxa"/>
            <w:vAlign w:val="bottom"/>
            <w:tcBorders>
              <w:bottom w:val="single" w:sz="8" w:color="CCEEFF"/>
            </w:tcBorders>
            <w:gridSpan w:val="2"/>
          </w:tcPr>
          <w:p>
            <w:pPr>
              <w:jc w:val="right"/>
              <w:ind w:right="143"/>
              <w:spacing w:after="0"/>
              <w:rPr>
                <w:sz w:val="20"/>
                <w:szCs w:val="20"/>
                <w:color w:val="auto"/>
              </w:rPr>
            </w:pPr>
            <w:r>
              <w:rPr>
                <w:rFonts w:ascii="Arial" w:cs="Arial" w:eastAsia="Arial" w:hAnsi="Arial"/>
                <w:sz w:val="17"/>
                <w:szCs w:val="17"/>
                <w:color w:val="auto"/>
              </w:rPr>
              <w:t>(89%)</w:t>
            </w:r>
          </w:p>
        </w:tc>
      </w:tr>
      <w:tr>
        <w:trPr>
          <w:trHeight w:val="23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1,052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117</w:t>
            </w:r>
          </w:p>
        </w:tc>
        <w:tc>
          <w:tcPr>
            <w:tcW w:w="1000" w:type="dxa"/>
            <w:vAlign w:val="bottom"/>
            <w:tcBorders>
              <w:bottom w:val="single" w:sz="8" w:color="CCEEFF"/>
            </w:tcBorders>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Before Interest Expense, Taxes, Depreciation and Amortization (“EBITDA”) and Adjusted EBITDA</w:t>
      </w:r>
    </w:p>
    <w:p>
      <w:pPr>
        <w:spacing w:after="0" w:line="12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shareholders,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shareholders.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7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shareholders, which is the most directly comparable GAAP financial measure.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5"/>
                <w:szCs w:val="15"/>
                <w:b w:val="1"/>
                <w:bCs w:val="1"/>
                <w:color w:val="auto"/>
              </w:rPr>
              <w:t>Three Months Ended</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 Change</w:t>
            </w:r>
          </w:p>
        </w:tc>
        <w:tc>
          <w:tcPr>
            <w:tcW w:w="2900" w:type="dxa"/>
            <w:vAlign w:val="bottom"/>
          </w:tcPr>
          <w:p>
            <w:pPr>
              <w:spacing w:after="0"/>
              <w:rPr>
                <w:sz w:val="17"/>
                <w:szCs w:val="17"/>
                <w:color w:val="auto"/>
              </w:rPr>
            </w:pPr>
          </w:p>
        </w:tc>
      </w:tr>
      <w:tr>
        <w:trPr>
          <w:trHeight w:val="227"/>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50%</w:t>
            </w:r>
          </w:p>
        </w:tc>
        <w:tc>
          <w:tcPr>
            <w:tcW w:w="2900" w:type="dxa"/>
            <w:vAlign w:val="bottom"/>
          </w:tcPr>
          <w:p>
            <w:pPr>
              <w:spacing w:after="0"/>
              <w:rPr>
                <w:sz w:val="19"/>
                <w:szCs w:val="19"/>
                <w:color w:val="auto"/>
              </w:rPr>
            </w:pPr>
          </w:p>
        </w:tc>
      </w:tr>
      <w:tr>
        <w:trPr>
          <w:trHeight w:val="244"/>
        </w:trPr>
        <w:tc>
          <w:tcPr>
            <w:tcW w:w="372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27%</w:t>
            </w:r>
          </w:p>
        </w:tc>
        <w:tc>
          <w:tcPr>
            <w:tcW w:w="2900" w:type="dxa"/>
            <w:vAlign w:val="bottom"/>
          </w:tcPr>
          <w:p>
            <w:pPr>
              <w:spacing w:after="0"/>
              <w:rPr>
                <w:sz w:val="21"/>
                <w:szCs w:val="21"/>
                <w:color w:val="auto"/>
              </w:rPr>
            </w:pP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30%</w:t>
            </w:r>
          </w:p>
        </w:tc>
        <w:tc>
          <w:tcPr>
            <w:tcW w:w="2900" w:type="dxa"/>
            <w:vAlign w:val="bottom"/>
          </w:tcPr>
          <w:p>
            <w:pPr>
              <w:spacing w:after="0"/>
              <w:rPr>
                <w:sz w:val="21"/>
                <w:szCs w:val="21"/>
                <w:color w:val="auto"/>
              </w:rPr>
            </w:pPr>
          </w:p>
        </w:tc>
      </w:tr>
      <w:tr>
        <w:trPr>
          <w:trHeight w:val="24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0" w:type="dxa"/>
            <w:vAlign w:val="bottom"/>
            <w:tcBorders>
              <w:bottom w:val="single" w:sz="8" w:color="CCEEFF"/>
            </w:tcBorders>
            <w:gridSpan w:val="2"/>
          </w:tcPr>
          <w:p>
            <w:pPr>
              <w:jc w:val="center"/>
              <w:ind w:left="54"/>
              <w:spacing w:after="0"/>
              <w:rPr>
                <w:sz w:val="20"/>
                <w:szCs w:val="20"/>
                <w:color w:val="auto"/>
              </w:rPr>
            </w:pPr>
            <w:r>
              <w:rPr>
                <w:rFonts w:ascii="Arial" w:cs="Arial" w:eastAsia="Arial" w:hAnsi="Arial"/>
                <w:sz w:val="17"/>
                <w:szCs w:val="17"/>
                <w:color w:val="auto"/>
                <w:w w:val="94"/>
              </w:rPr>
              <w:t>(2%)</w:t>
            </w:r>
          </w:p>
        </w:tc>
        <w:tc>
          <w:tcPr>
            <w:tcW w:w="2900" w:type="dxa"/>
            <w:vAlign w:val="bottom"/>
          </w:tcPr>
          <w:p>
            <w:pPr>
              <w:spacing w:after="0"/>
              <w:rPr>
                <w:sz w:val="21"/>
                <w:szCs w:val="21"/>
                <w:color w:val="auto"/>
              </w:rPr>
            </w:pP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EBITDA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30%</w:t>
            </w:r>
          </w:p>
        </w:tc>
        <w:tc>
          <w:tcPr>
            <w:tcW w:w="2900" w:type="dxa"/>
            <w:vAlign w:val="bottom"/>
          </w:tcPr>
          <w:p>
            <w:pPr>
              <w:spacing w:after="0"/>
              <w:rPr>
                <w:sz w:val="19"/>
                <w:szCs w:val="19"/>
                <w:color w:val="auto"/>
              </w:rPr>
            </w:pPr>
          </w:p>
        </w:tc>
      </w:tr>
      <w:tr>
        <w:trPr>
          <w:trHeight w:val="244"/>
        </w:trPr>
        <w:tc>
          <w:tcPr>
            <w:tcW w:w="372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(10%)</w:t>
            </w:r>
          </w:p>
        </w:tc>
        <w:tc>
          <w:tcPr>
            <w:tcW w:w="2900" w:type="dxa"/>
            <w:vAlign w:val="bottom"/>
          </w:tcPr>
          <w:p>
            <w:pPr>
              <w:spacing w:after="0"/>
              <w:rPr>
                <w:sz w:val="21"/>
                <w:szCs w:val="21"/>
                <w:color w:val="auto"/>
              </w:rPr>
            </w:pP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Certain items</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(97%)</w:t>
            </w:r>
          </w:p>
        </w:tc>
        <w:tc>
          <w:tcPr>
            <w:tcW w:w="2900" w:type="dxa"/>
            <w:vAlign w:val="bottom"/>
          </w:tcPr>
          <w:p>
            <w:pPr>
              <w:spacing w:after="0"/>
              <w:rPr>
                <w:sz w:val="21"/>
                <w:szCs w:val="21"/>
                <w:color w:val="auto"/>
              </w:rPr>
            </w:pPr>
          </w:p>
        </w:tc>
      </w:tr>
      <w:tr>
        <w:trPr>
          <w:trHeight w:val="213"/>
        </w:trPr>
        <w:tc>
          <w:tcPr>
            <w:tcW w:w="372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8%</w:t>
            </w:r>
          </w:p>
        </w:tc>
        <w:tc>
          <w:tcPr>
            <w:tcW w:w="2900" w:type="dxa"/>
            <w:vAlign w:val="bottom"/>
          </w:tcPr>
          <w:p>
            <w:pPr>
              <w:spacing w:after="0"/>
              <w:rPr>
                <w:sz w:val="18"/>
                <w:szCs w:val="18"/>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 pts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900" w:type="dxa"/>
            <w:vAlign w:val="bottom"/>
          </w:tcPr>
          <w:p>
            <w:pPr>
              <w:spacing w:after="0"/>
              <w:rPr>
                <w:sz w:val="18"/>
                <w:szCs w:val="18"/>
                <w:color w:val="auto"/>
              </w:rPr>
            </w:pPr>
          </w:p>
        </w:tc>
      </w:tr>
      <w:tr>
        <w:trPr>
          <w:trHeight w:val="552"/>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jc w:val="right"/>
              <w:ind w:right="174"/>
              <w:spacing w:after="0"/>
              <w:rPr>
                <w:sz w:val="20"/>
                <w:szCs w:val="20"/>
                <w:color w:val="auto"/>
              </w:rPr>
            </w:pPr>
            <w:r>
              <w:rPr>
                <w:rFonts w:ascii="Arial" w:cs="Arial" w:eastAsia="Arial" w:hAnsi="Arial"/>
                <w:sz w:val="17"/>
                <w:szCs w:val="17"/>
                <w:color w:val="auto"/>
                <w:w w:val="84"/>
              </w:rPr>
              <w:t>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5"/>
        </w:trPr>
        <w:tc>
          <w:tcPr>
            <w:tcW w:w="3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5"/>
                <w:szCs w:val="15"/>
                <w:b w:val="1"/>
                <w:bCs w:val="1"/>
                <w:color w:val="auto"/>
                <w:w w:val="97"/>
              </w:rPr>
              <w:t>Three Months Ended</w:t>
            </w:r>
          </w:p>
        </w:tc>
        <w:tc>
          <w:tcPr>
            <w:tcW w:w="340" w:type="dxa"/>
            <w:vAlign w:val="bottom"/>
            <w:tcBorders>
              <w:bottom w:val="single" w:sz="8" w:color="auto"/>
            </w:tcBorders>
          </w:tcPr>
          <w:p>
            <w:pPr>
              <w:spacing w:after="0"/>
              <w:rPr>
                <w:sz w:val="17"/>
                <w:szCs w:val="17"/>
                <w:color w:val="auto"/>
              </w:rPr>
            </w:pPr>
          </w:p>
        </w:tc>
      </w:tr>
      <w:tr>
        <w:trPr>
          <w:trHeight w:val="19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March 31, 2022</w:t>
            </w:r>
          </w:p>
        </w:tc>
        <w:tc>
          <w:tcPr>
            <w:tcW w:w="340" w:type="dxa"/>
            <w:vAlign w:val="bottom"/>
            <w:tcBorders>
              <w:bottom w:val="single" w:sz="8" w:color="auto"/>
            </w:tcBorders>
          </w:tcPr>
          <w:p>
            <w:pPr>
              <w:spacing w:after="0"/>
              <w:rPr>
                <w:sz w:val="17"/>
                <w:szCs w:val="17"/>
                <w:color w:val="auto"/>
              </w:rPr>
            </w:pPr>
          </w:p>
        </w:tc>
      </w:tr>
      <w:tr>
        <w:trPr>
          <w:trHeight w:val="227"/>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ILG integration</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44"/>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Welk acquisition and integration</w:t>
            </w: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44"/>
        </w:trPr>
        <w:tc>
          <w:tcPr>
            <w:tcW w:w="4500" w:type="dxa"/>
            <w:vAlign w:val="bottom"/>
          </w:tcPr>
          <w:p>
            <w:pPr>
              <w:ind w:left="20"/>
              <w:spacing w:after="0"/>
              <w:rPr>
                <w:sz w:val="20"/>
                <w:szCs w:val="20"/>
                <w:color w:val="auto"/>
              </w:rPr>
            </w:pPr>
            <w:r>
              <w:rPr>
                <w:rFonts w:ascii="Arial" w:cs="Arial" w:eastAsia="Arial" w:hAnsi="Arial"/>
                <w:sz w:val="17"/>
                <w:szCs w:val="17"/>
                <w:color w:val="auto"/>
              </w:rPr>
              <w:t>Purchase accounting adjustments</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4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44"/>
        </w:trPr>
        <w:tc>
          <w:tcPr>
            <w:tcW w:w="450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Early redemption of senior secured notes</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r>
      <w:tr>
        <w:trPr>
          <w:trHeight w:val="244"/>
        </w:trPr>
        <w:tc>
          <w:tcPr>
            <w:tcW w:w="4500" w:type="dxa"/>
            <w:vAlign w:val="bottom"/>
          </w:tcPr>
          <w:p>
            <w:pPr>
              <w:ind w:left="220"/>
              <w:spacing w:after="0"/>
              <w:rPr>
                <w:sz w:val="20"/>
                <w:szCs w:val="20"/>
                <w:color w:val="auto"/>
              </w:rPr>
            </w:pPr>
            <w:r>
              <w:rPr>
                <w:rFonts w:ascii="Arial" w:cs="Arial" w:eastAsia="Arial" w:hAnsi="Arial"/>
                <w:sz w:val="17"/>
                <w:szCs w:val="17"/>
                <w:color w:val="auto"/>
              </w:rPr>
              <w:t>Foreign currency translation</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5"/>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Insurance proceeds</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4"/>
        </w:trPr>
        <w:tc>
          <w:tcPr>
            <w:tcW w:w="4500" w:type="dxa"/>
            <w:vAlign w:val="bottom"/>
          </w:tcPr>
          <w:p>
            <w:pPr>
              <w:ind w:left="220"/>
              <w:spacing w:after="0"/>
              <w:rPr>
                <w:sz w:val="20"/>
                <w:szCs w:val="20"/>
                <w:color w:val="auto"/>
              </w:rPr>
            </w:pPr>
            <w:r>
              <w:rPr>
                <w:rFonts w:ascii="Arial" w:cs="Arial" w:eastAsia="Arial" w:hAnsi="Arial"/>
                <w:sz w:val="17"/>
                <w:szCs w:val="17"/>
                <w:color w:val="auto"/>
              </w:rPr>
              <w:t>Change in indemnification asset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r>
      <w:tr>
        <w:trPr>
          <w:trHeight w:val="245"/>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7"/>
                <w:szCs w:val="17"/>
                <w:color w:val="auto"/>
              </w:rPr>
              <w:t>Gains and other income, net</w:t>
            </w: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4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500" w:type="dxa"/>
            <w:vAlign w:val="bottom"/>
          </w:tcPr>
          <w:p>
            <w:pPr>
              <w:ind w:left="20"/>
              <w:spacing w:after="0"/>
              <w:rPr>
                <w:sz w:val="20"/>
                <w:szCs w:val="20"/>
                <w:color w:val="auto"/>
              </w:rPr>
            </w:pPr>
            <w:r>
              <w:rPr>
                <w:rFonts w:ascii="Arial" w:cs="Arial" w:eastAsia="Arial" w:hAnsi="Arial"/>
                <w:sz w:val="17"/>
                <w:szCs w:val="17"/>
                <w:color w:val="auto"/>
              </w:rPr>
              <w:t>Total Certain items</w:t>
            </w:r>
          </w:p>
        </w:tc>
        <w:tc>
          <w:tcPr>
            <w:tcW w:w="2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EBITDA</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5"/>
                <w:szCs w:val="15"/>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 Change</w:t>
            </w:r>
          </w:p>
        </w:tc>
      </w:tr>
      <w:tr>
        <w:trPr>
          <w:trHeight w:val="227"/>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30</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15%</w:t>
            </w:r>
          </w:p>
        </w:tc>
      </w:tr>
      <w:tr>
        <w:trPr>
          <w:trHeight w:val="24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(6)</w:t>
            </w:r>
          </w:p>
        </w:tc>
        <w:tc>
          <w:tcPr>
            <w:tcW w:w="100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6"/>
              </w:rPr>
              <w:t>(13%)</w:t>
            </w: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Segment adjusted EBITDA</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24</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10%</w:t>
            </w:r>
          </w:p>
        </w:tc>
      </w:tr>
      <w:tr>
        <w:trPr>
          <w:trHeight w:val="24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(9)</w:t>
            </w:r>
          </w:p>
        </w:tc>
        <w:tc>
          <w:tcPr>
            <w:tcW w:w="100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6"/>
              </w:rPr>
              <w:t>(15%)</w:t>
            </w:r>
          </w:p>
        </w:tc>
      </w:tr>
      <w:tr>
        <w:trPr>
          <w:trHeight w:val="23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Adjusted EBITDA</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15</w:t>
            </w: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7"/>
              </w:rPr>
              <w:t>8%</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segment financial results attributable to common shareholders reconciled to segment Adjusted EBITDA.</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5"/>
                <w:szCs w:val="15"/>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7"/>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19%</w:t>
            </w:r>
          </w:p>
        </w:tc>
      </w:tr>
      <w:tr>
        <w:trPr>
          <w:trHeight w:val="244"/>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2%</w:t>
            </w: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30%</w:t>
            </w:r>
          </w:p>
        </w:tc>
      </w:tr>
      <w:tr>
        <w:trPr>
          <w:trHeight w:val="244"/>
        </w:trPr>
        <w:tc>
          <w:tcPr>
            <w:tcW w:w="3720" w:type="dxa"/>
            <w:vAlign w:val="bottom"/>
          </w:tcPr>
          <w:p>
            <w:pPr>
              <w:ind w:left="20"/>
              <w:spacing w:after="0"/>
              <w:rPr>
                <w:sz w:val="20"/>
                <w:szCs w:val="20"/>
                <w:color w:val="auto"/>
              </w:rPr>
            </w:pPr>
            <w:r>
              <w:rPr>
                <w:rFonts w:ascii="Arial" w:cs="Arial" w:eastAsia="Arial" w:hAnsi="Arial"/>
                <w:sz w:val="17"/>
                <w:szCs w:val="17"/>
                <w:color w:val="auto"/>
              </w:rPr>
              <w:t>Certain items</w:t>
            </w: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3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0" w:type="dxa"/>
            <w:vAlign w:val="bottom"/>
            <w:tcBorders>
              <w:top w:val="single" w:sz="8" w:color="CCEEFF"/>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15%</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5"/>
                <w:szCs w:val="15"/>
                <w:b w:val="1"/>
                <w:bCs w:val="1"/>
                <w:color w:val="auto"/>
                <w:w w:val="98"/>
              </w:rPr>
              <w:t>Three Months Ended</w:t>
            </w:r>
          </w:p>
        </w:tc>
        <w:tc>
          <w:tcPr>
            <w:tcW w:w="32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r>
      <w:tr>
        <w:trPr>
          <w:trHeight w:val="19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5"/>
                <w:szCs w:val="15"/>
                <w:b w:val="1"/>
                <w:bCs w:val="1"/>
                <w:color w:val="auto"/>
              </w:rPr>
              <w:t>March 31, 2023</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ind w:left="380"/>
              <w:spacing w:after="0"/>
              <w:rPr>
                <w:sz w:val="20"/>
                <w:szCs w:val="20"/>
                <w:color w:val="auto"/>
              </w:rPr>
            </w:pPr>
            <w:r>
              <w:rPr>
                <w:rFonts w:ascii="Arial" w:cs="Arial" w:eastAsia="Arial" w:hAnsi="Arial"/>
                <w:sz w:val="15"/>
                <w:szCs w:val="15"/>
                <w:b w:val="1"/>
                <w:bCs w:val="1"/>
                <w:color w:val="auto"/>
              </w:rPr>
              <w:t>March 31, 2022</w:t>
            </w:r>
          </w:p>
        </w:tc>
        <w:tc>
          <w:tcPr>
            <w:tcW w:w="32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accounting adjustments</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20" w:type="dxa"/>
            <w:vAlign w:val="bottom"/>
            <w:gridSpan w:val="4"/>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19"/>
                <w:szCs w:val="19"/>
                <w:color w:val="auto"/>
              </w:rPr>
            </w:pPr>
          </w:p>
        </w:tc>
      </w:tr>
      <w:tr>
        <w:trPr>
          <w:trHeight w:val="244"/>
        </w:trPr>
        <w:tc>
          <w:tcPr>
            <w:tcW w:w="4580" w:type="dxa"/>
            <w:vAlign w:val="bottom"/>
          </w:tcPr>
          <w:p>
            <w:pPr>
              <w:ind w:left="20"/>
              <w:spacing w:after="0"/>
              <w:rPr>
                <w:sz w:val="20"/>
                <w:szCs w:val="20"/>
                <w:color w:val="auto"/>
              </w:rPr>
            </w:pPr>
            <w:r>
              <w:rPr>
                <w:rFonts w:ascii="Arial" w:cs="Arial" w:eastAsia="Arial" w:hAnsi="Arial"/>
                <w:sz w:val="17"/>
                <w:szCs w:val="17"/>
                <w:color w:val="auto"/>
              </w:rPr>
              <w:t>Litigation charges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21"/>
                <w:szCs w:val="21"/>
                <w:color w:val="auto"/>
              </w:rPr>
            </w:pPr>
          </w:p>
        </w:tc>
      </w:tr>
      <w:tr>
        <w:trPr>
          <w:trHeight w:val="24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21"/>
                <w:szCs w:val="21"/>
                <w:color w:val="auto"/>
              </w:rPr>
            </w:pPr>
          </w:p>
        </w:tc>
      </w:tr>
      <w:tr>
        <w:trPr>
          <w:trHeight w:val="244"/>
        </w:trPr>
        <w:tc>
          <w:tcPr>
            <w:tcW w:w="4580" w:type="dxa"/>
            <w:vAlign w:val="bottom"/>
          </w:tcPr>
          <w:p>
            <w:pPr>
              <w:ind w:left="220"/>
              <w:spacing w:after="0"/>
              <w:rPr>
                <w:sz w:val="20"/>
                <w:szCs w:val="20"/>
                <w:color w:val="auto"/>
              </w:rPr>
            </w:pPr>
            <w:r>
              <w:rPr>
                <w:rFonts w:ascii="Arial" w:cs="Arial" w:eastAsia="Arial" w:hAnsi="Arial"/>
                <w:sz w:val="17"/>
                <w:szCs w:val="17"/>
                <w:color w:val="auto"/>
              </w:rPr>
              <w:t>Insurance proceeds</w:t>
            </w: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gridSpan w:val="2"/>
          </w:tcPr>
          <w:p>
            <w:pPr>
              <w:ind w:left="7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45"/>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indemnification asset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2900" w:type="dxa"/>
            <w:vAlign w:val="bottom"/>
          </w:tcPr>
          <w:p>
            <w:pPr>
              <w:spacing w:after="0"/>
              <w:rPr>
                <w:sz w:val="21"/>
                <w:szCs w:val="21"/>
                <w:color w:val="auto"/>
              </w:rPr>
            </w:pPr>
          </w:p>
        </w:tc>
      </w:tr>
      <w:tr>
        <w:trPr>
          <w:trHeight w:val="244"/>
        </w:trPr>
        <w:tc>
          <w:tcPr>
            <w:tcW w:w="4580" w:type="dxa"/>
            <w:vAlign w:val="bottom"/>
          </w:tcPr>
          <w:p>
            <w:pPr>
              <w:ind w:left="220"/>
              <w:spacing w:after="0"/>
              <w:rPr>
                <w:sz w:val="20"/>
                <w:szCs w:val="20"/>
                <w:color w:val="auto"/>
              </w:rPr>
            </w:pPr>
            <w:r>
              <w:rPr>
                <w:rFonts w:ascii="Arial" w:cs="Arial" w:eastAsia="Arial" w:hAnsi="Arial"/>
                <w:sz w:val="17"/>
                <w:szCs w:val="17"/>
                <w:color w:val="auto"/>
              </w:rPr>
              <w:t>Other</w:t>
            </w: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ind w:left="5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25"/>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19"/>
                <w:szCs w:val="19"/>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7"/>
                <w:szCs w:val="17"/>
                <w:color w:val="auto"/>
              </w:rPr>
              <w:t>Total Certain items</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4"/>
          </w:tcPr>
          <w:p>
            <w:pPr>
              <w:jc w:val="right"/>
              <w:ind w:right="44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544"/>
        </w:trPr>
        <w:tc>
          <w:tcPr>
            <w:tcW w:w="4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95"/>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5"/>
        </w:trPr>
        <w:tc>
          <w:tcPr>
            <w:tcW w:w="45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&amp; Third-Party Management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5"/>
                <w:szCs w:val="15"/>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 Change</w:t>
            </w:r>
          </w:p>
        </w:tc>
      </w:tr>
      <w:tr>
        <w:trPr>
          <w:trHeight w:val="227"/>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(5)</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(16%)</w:t>
            </w:r>
          </w:p>
        </w:tc>
      </w:tr>
      <w:tr>
        <w:trPr>
          <w:trHeight w:val="244"/>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ind w:left="540"/>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(2%)</w:t>
            </w: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(25%)</w:t>
            </w:r>
          </w:p>
        </w:tc>
      </w:tr>
      <w:tr>
        <w:trPr>
          <w:trHeight w:val="213"/>
        </w:trPr>
        <w:tc>
          <w:tcPr>
            <w:tcW w:w="3720" w:type="dxa"/>
            <w:vAlign w:val="bottom"/>
          </w:tcPr>
          <w:p>
            <w:pPr>
              <w:ind w:left="20"/>
              <w:spacing w:after="0"/>
              <w:rPr>
                <w:sz w:val="20"/>
                <w:szCs w:val="20"/>
                <w:color w:val="auto"/>
              </w:rPr>
            </w:pPr>
            <w:r>
              <w:rPr>
                <w:rFonts w:ascii="Arial" w:cs="Arial" w:eastAsia="Arial" w:hAnsi="Arial"/>
                <w:sz w:val="17"/>
                <w:szCs w:val="17"/>
                <w:color w:val="auto"/>
              </w:rPr>
              <w:t>Segment adjusted EBITDA</w:t>
            </w: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(6)</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(13%)</w:t>
            </w:r>
          </w:p>
        </w:tc>
      </w:tr>
      <w:tr>
        <w:trPr>
          <w:trHeight w:val="20"/>
        </w:trPr>
        <w:tc>
          <w:tcPr>
            <w:tcW w:w="3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0"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Our business is grouped into two reportable business segments: Vacation Ownership and Exchange &amp; Third-Party Management. See Footnote 16 “Business Segments” to our Financial Statements for further information on our segments.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gridSpan w:val="5"/>
          </w:tcPr>
          <w:p>
            <w:pPr>
              <w:ind w:left="520"/>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5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5"/>
                <w:szCs w:val="15"/>
                <w:b w:val="1"/>
                <w:bCs w:val="1"/>
                <w:color w:val="auto"/>
                <w:w w:val="93"/>
              </w:rPr>
              <w:t>March 31, 2022</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310</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Marketing and sales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Litigation charges</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Royalty fee</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Impairment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EXPENSES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Gains and other income, net</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SEGMENT FINANCIAL RESULTS BEFORE NONCONTROLLING</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1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4040" w:type="dxa"/>
            <w:vAlign w:val="bottom"/>
            <w:gridSpan w:val="2"/>
          </w:tcPr>
          <w:p>
            <w:pPr>
              <w:jc w:val="right"/>
              <w:ind w:right="2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5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SEGMENT FINANCIAL RESULTS ATTRIBUTABLE TO COMMON</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SHAREHOLDERS</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855"/>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Vacation Ownership Products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0" w:lineRule="exact"/>
              <w:rPr>
                <w:sz w:val="20"/>
                <w:szCs w:val="20"/>
                <w:color w:val="auto"/>
              </w:rPr>
            </w:pPr>
            <w:r>
              <w:rPr>
                <w:rFonts w:ascii="Arial" w:cs="Arial" w:eastAsia="Arial" w:hAnsi="Arial"/>
                <w:sz w:val="15"/>
                <w:szCs w:val="15"/>
                <w:b w:val="1"/>
                <w:bCs w:val="1"/>
                <w:color w:val="auto"/>
              </w:rPr>
              <w:t>% of</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5" w:lineRule="exact"/>
              <w:rPr>
                <w:sz w:val="20"/>
                <w:szCs w:val="20"/>
                <w:color w:val="auto"/>
              </w:rPr>
            </w:pPr>
            <w:r>
              <w:rPr>
                <w:rFonts w:ascii="Arial" w:cs="Arial" w:eastAsia="Arial" w:hAnsi="Arial"/>
                <w:sz w:val="15"/>
                <w:szCs w:val="15"/>
                <w:b w:val="1"/>
                <w:bCs w:val="1"/>
                <w:color w:val="auto"/>
                <w:w w:val="92"/>
              </w:rPr>
              <w:t>Consolidated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w w:val="90"/>
              </w:rPr>
              <w:t>Consolidated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March 31,</w:t>
            </w: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5" w:lineRule="exact"/>
              <w:rPr>
                <w:sz w:val="20"/>
                <w:szCs w:val="20"/>
                <w:color w:val="auto"/>
              </w:rPr>
            </w:pPr>
            <w:r>
              <w:rPr>
                <w:rFonts w:ascii="Arial" w:cs="Arial" w:eastAsia="Arial" w:hAnsi="Arial"/>
                <w:sz w:val="15"/>
                <w:szCs w:val="15"/>
                <w:b w:val="1"/>
                <w:bCs w:val="1"/>
                <w:color w:val="auto"/>
                <w:w w:val="97"/>
              </w:rPr>
              <w:t>Contract</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w w:val="93"/>
              </w:rPr>
              <w:t>Contract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5" w:lineRule="exact"/>
              <w:rPr>
                <w:sz w:val="20"/>
                <w:szCs w:val="20"/>
                <w:color w:val="auto"/>
              </w:rPr>
            </w:pPr>
            <w:r>
              <w:rPr>
                <w:rFonts w:ascii="Arial" w:cs="Arial" w:eastAsia="Arial" w:hAnsi="Arial"/>
                <w:sz w:val="15"/>
                <w:szCs w:val="15"/>
                <w:b w:val="1"/>
                <w:bCs w:val="1"/>
                <w:color w:val="auto"/>
                <w:w w:val="88"/>
              </w:rPr>
              <w:t>Sales, Net of</w:t>
            </w: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w w:val="91"/>
              </w:rPr>
              <w:t>Sales, Net of</w:t>
            </w:r>
          </w:p>
        </w:tc>
        <w:tc>
          <w:tcPr>
            <w:tcW w:w="140" w:type="dxa"/>
            <w:vAlign w:val="bottom"/>
          </w:tcPr>
          <w:p>
            <w:pPr>
              <w:spacing w:after="0"/>
              <w:rPr>
                <w:sz w:val="13"/>
                <w:szCs w:val="13"/>
                <w:color w:val="auto"/>
              </w:rPr>
            </w:pPr>
          </w:p>
        </w:tc>
        <w:tc>
          <w:tcPr>
            <w:tcW w:w="680" w:type="dxa"/>
            <w:vAlign w:val="bottom"/>
            <w:vMerge w:val="restart"/>
          </w:tcPr>
          <w:p>
            <w:pPr>
              <w:jc w:val="right"/>
              <w:ind w:right="75"/>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3"/>
                <w:szCs w:val="13"/>
                <w:color w:val="auto"/>
              </w:rPr>
            </w:pPr>
          </w:p>
        </w:tc>
        <w:tc>
          <w:tcPr>
            <w:tcW w:w="76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Resales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Resales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Total consolidated contract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8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10%</w:t>
            </w: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Joint venture contract sales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8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7"/>
              </w:rPr>
              <w:t>7%</w:t>
            </w: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contract sales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8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10%</w:t>
            </w:r>
          </w:p>
        </w:tc>
        <w:tc>
          <w:tcPr>
            <w:tcW w:w="0" w:type="dxa"/>
            <w:vAlign w:val="bottom"/>
          </w:tcPr>
          <w:p>
            <w:pPr>
              <w:spacing w:after="0"/>
              <w:rPr>
                <w:sz w:val="1"/>
                <w:szCs w:val="1"/>
                <w:color w:val="auto"/>
              </w:rPr>
            </w:pPr>
          </w:p>
        </w:tc>
      </w:tr>
      <w:tr>
        <w:trPr>
          <w:trHeight w:val="244"/>
        </w:trPr>
        <w:tc>
          <w:tcPr>
            <w:tcW w:w="2500" w:type="dxa"/>
            <w:vAlign w:val="bottom"/>
          </w:tcPr>
          <w:p>
            <w:pPr>
              <w:ind w:left="20"/>
              <w:spacing w:after="0"/>
              <w:rPr>
                <w:sz w:val="20"/>
                <w:szCs w:val="20"/>
                <w:color w:val="auto"/>
              </w:rPr>
            </w:pPr>
            <w:r>
              <w:rPr>
                <w:rFonts w:ascii="Arial" w:cs="Arial" w:eastAsia="Arial" w:hAnsi="Arial"/>
                <w:sz w:val="17"/>
                <w:szCs w:val="17"/>
                <w:color w:val="auto"/>
              </w:rPr>
              <w:t>Less: resales contract sales</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Less: joint venture contract sales</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20"/>
              <w:spacing w:after="0" w:line="161" w:lineRule="exact"/>
              <w:rPr>
                <w:sz w:val="20"/>
                <w:szCs w:val="20"/>
                <w:color w:val="auto"/>
              </w:rPr>
            </w:pPr>
            <w:r>
              <w:rPr>
                <w:rFonts w:ascii="Arial" w:cs="Arial" w:eastAsia="Arial" w:hAnsi="Arial"/>
                <w:sz w:val="17"/>
                <w:szCs w:val="17"/>
                <w:color w:val="auto"/>
                <w:w w:val="94"/>
              </w:rPr>
              <w:t>Consolidated contract sales, net of</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500" w:type="dxa"/>
            <w:vAlign w:val="bottom"/>
          </w:tcPr>
          <w:p>
            <w:pPr>
              <w:ind w:left="20"/>
              <w:spacing w:after="0"/>
              <w:rPr>
                <w:sz w:val="20"/>
                <w:szCs w:val="20"/>
                <w:color w:val="auto"/>
              </w:rPr>
            </w:pPr>
            <w:r>
              <w:rPr>
                <w:rFonts w:ascii="Arial" w:cs="Arial" w:eastAsia="Arial" w:hAnsi="Arial"/>
                <w:sz w:val="17"/>
                <w:szCs w:val="17"/>
                <w:color w:val="auto"/>
              </w:rPr>
              <w:t>resales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Plus:</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220"/>
              <w:spacing w:after="0"/>
              <w:rPr>
                <w:sz w:val="20"/>
                <w:szCs w:val="20"/>
                <w:color w:val="auto"/>
              </w:rPr>
            </w:pPr>
            <w:r>
              <w:rPr>
                <w:rFonts w:ascii="Arial" w:cs="Arial" w:eastAsia="Arial" w:hAnsi="Arial"/>
                <w:sz w:val="17"/>
                <w:szCs w:val="17"/>
                <w:color w:val="auto"/>
              </w:rPr>
              <w:t>Settlement revenue</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w:t>
            </w:r>
          </w:p>
        </w:tc>
        <w:tc>
          <w:tcPr>
            <w:tcW w:w="112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w:t>
            </w:r>
          </w:p>
        </w:tc>
        <w:tc>
          <w:tcPr>
            <w:tcW w:w="112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Resales revenue</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1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7"/>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20"/>
              <w:spacing w:after="0"/>
              <w:rPr>
                <w:sz w:val="20"/>
                <w:szCs w:val="20"/>
                <w:color w:val="auto"/>
              </w:rPr>
            </w:pPr>
            <w:r>
              <w:rPr>
                <w:rFonts w:ascii="Arial" w:cs="Arial" w:eastAsia="Arial" w:hAnsi="Arial"/>
                <w:sz w:val="17"/>
                <w:szCs w:val="17"/>
                <w:color w:val="auto"/>
                <w:w w:val="95"/>
              </w:rPr>
              <w:t>Revenue recognition adjustments: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Reportability</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9"/>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220"/>
              <w:spacing w:after="0"/>
              <w:rPr>
                <w:sz w:val="20"/>
                <w:szCs w:val="20"/>
                <w:color w:val="auto"/>
              </w:rPr>
            </w:pPr>
            <w:r>
              <w:rPr>
                <w:rFonts w:ascii="Arial" w:cs="Arial" w:eastAsia="Arial" w:hAnsi="Arial"/>
                <w:sz w:val="17"/>
                <w:szCs w:val="17"/>
                <w:color w:val="auto"/>
              </w:rPr>
              <w:t>Sales reserve</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w:t>
            </w:r>
          </w:p>
        </w:tc>
        <w:tc>
          <w:tcPr>
            <w:tcW w:w="112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w:t>
            </w:r>
          </w:p>
        </w:tc>
        <w:tc>
          <w:tcPr>
            <w:tcW w:w="112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500" w:type="dxa"/>
            <w:vAlign w:val="bottom"/>
            <w:shd w:val="clear" w:color="auto" w:fill="CCEEFF"/>
          </w:tcPr>
          <w:p>
            <w:pPr>
              <w:ind w:left="220"/>
              <w:spacing w:after="0" w:line="245"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20"/>
              <w:spacing w:after="0" w:line="161" w:lineRule="exact"/>
              <w:rPr>
                <w:sz w:val="20"/>
                <w:szCs w:val="20"/>
                <w:color w:val="auto"/>
              </w:rPr>
            </w:pPr>
            <w:r>
              <w:rPr>
                <w:rFonts w:ascii="Arial" w:cs="Arial" w:eastAsia="Arial" w:hAnsi="Arial"/>
                <w:sz w:val="17"/>
                <w:szCs w:val="17"/>
                <w:color w:val="auto"/>
              </w:rPr>
              <w:t>Sale of vacation ownership</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00" w:type="dxa"/>
            <w:vAlign w:val="bottom"/>
          </w:tcPr>
          <w:p>
            <w:pPr>
              <w:ind w:left="20"/>
              <w:spacing w:after="0" w:line="193" w:lineRule="exact"/>
              <w:rPr>
                <w:sz w:val="20"/>
                <w:szCs w:val="20"/>
                <w:color w:val="auto"/>
              </w:rPr>
            </w:pPr>
            <w:r>
              <w:rPr>
                <w:rFonts w:ascii="Arial" w:cs="Arial" w:eastAsia="Arial" w:hAnsi="Arial"/>
                <w:sz w:val="17"/>
                <w:szCs w:val="17"/>
                <w:color w:val="auto"/>
              </w:rPr>
              <w:t>products</w:t>
            </w:r>
          </w:p>
        </w:tc>
        <w:tc>
          <w:tcPr>
            <w:tcW w:w="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20" w:type="dxa"/>
            <w:vAlign w:val="bottom"/>
            <w:gridSpan w:val="2"/>
          </w:tcPr>
          <w:p>
            <w:pPr>
              <w:jc w:val="center"/>
              <w:ind w:left="34"/>
              <w:spacing w:after="0" w:line="193" w:lineRule="exact"/>
              <w:rPr>
                <w:sz w:val="20"/>
                <w:szCs w:val="20"/>
                <w:color w:val="auto"/>
              </w:rPr>
            </w:pPr>
            <w:r>
              <w:rPr>
                <w:rFonts w:ascii="Arial" w:cs="Arial" w:eastAsia="Arial" w:hAnsi="Arial"/>
                <w:sz w:val="17"/>
                <w:szCs w:val="17"/>
                <w:color w:val="auto"/>
                <w:w w:val="93"/>
              </w:rPr>
              <w:t>88%</w:t>
            </w: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20" w:type="dxa"/>
            <w:vAlign w:val="bottom"/>
            <w:gridSpan w:val="2"/>
          </w:tcPr>
          <w:p>
            <w:pPr>
              <w:jc w:val="center"/>
              <w:ind w:left="14"/>
              <w:spacing w:after="0" w:line="193" w:lineRule="exact"/>
              <w:rPr>
                <w:sz w:val="20"/>
                <w:szCs w:val="20"/>
                <w:color w:val="auto"/>
              </w:rPr>
            </w:pPr>
            <w:r>
              <w:rPr>
                <w:rFonts w:ascii="Arial" w:cs="Arial" w:eastAsia="Arial" w:hAnsi="Arial"/>
                <w:sz w:val="17"/>
                <w:szCs w:val="17"/>
                <w:color w:val="auto"/>
                <w:w w:val="88"/>
              </w:rPr>
              <w:t>80%</w:t>
            </w: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80" w:type="dxa"/>
            <w:vAlign w:val="bottom"/>
            <w:gridSpan w:val="2"/>
          </w:tcPr>
          <w:p>
            <w:pPr>
              <w:jc w:val="center"/>
              <w:ind w:left="34"/>
              <w:spacing w:after="0" w:line="193" w:lineRule="exact"/>
              <w:rPr>
                <w:sz w:val="20"/>
                <w:szCs w:val="20"/>
                <w:color w:val="auto"/>
              </w:rPr>
            </w:pPr>
            <w:r>
              <w:rPr>
                <w:rFonts w:ascii="Arial" w:cs="Arial" w:eastAsia="Arial" w:hAnsi="Arial"/>
                <w:sz w:val="17"/>
                <w:szCs w:val="17"/>
                <w:color w:val="auto"/>
                <w:w w:val="93"/>
              </w:rPr>
              <w:t>21%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20" w:right="700" w:hanging="317"/>
        <w:spacing w:after="0" w:line="226" w:lineRule="auto"/>
        <w:tabs>
          <w:tab w:leader="none" w:pos="308"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Adjustment for sales incentives that will not be recognized as Sale of vacation ownership products revenue and other adjustments to Sale of vacation ownership products revenue.</w:t>
      </w:r>
    </w:p>
    <w:p>
      <w:pPr>
        <w:spacing w:after="0" w:line="9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higher contract sales performance reflects tour growth of 18% compared to the 2022 first quarter, resulting from strong package and in-house sales channel results as well as the rebound of leisure travel in Asia Pacific, partially offset by a decline in VPG of 7% attributed to the strong first quarter 2022 performance. We expect contract sales for the remainder of 2023 to exceed 2022 results.</w:t>
      </w:r>
    </w:p>
    <w:p>
      <w:pPr>
        <w:spacing w:after="0" w:line="71"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Financing propensity was 54% in the first quarter of 2023 and 50% in the first quarter of 2022. We expect to continue offering financing incentive programs in 2023. The average FICO score of customers who were U.S. citizens or residents who financed a vacation ownership purchase was 738 and 736 for the three months ended March 31, 2023 and March 31, 2022, respectively.</w:t>
      </w:r>
    </w:p>
    <w:p>
      <w:pPr>
        <w:spacing w:after="0" w:line="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increase in the sales reserve as a percentage of Consolidated contract sales, net of resales is attributed to the increase in reportability (65 basis points) and financing propensity (65 basis points), and a higher reserve rate (25 basis points).</w:t>
      </w:r>
    </w:p>
    <w:p>
      <w:pPr>
        <w:spacing w:after="0" w:line="6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Historical default rates as a percentage of each year’s beginning gross vacation ownership notes receivable balance increased to 1.5% in the 2023 first quarter from 1.1% in the 2022 first quarter. Excluding the impact of defaults on loans financing the purchase of Legacy-Welk vacation ownership products, historical default rates as a percentage of each year’s beginning gross vacation ownership notes receivable increased 20bps.</w:t>
      </w: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Profit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00" w:type="dxa"/>
            <w:vAlign w:val="bottom"/>
          </w:tcPr>
          <w:p>
            <w:pPr>
              <w:spacing w:after="0"/>
              <w:rPr>
                <w:sz w:val="13"/>
                <w:szCs w:val="13"/>
                <w:color w:val="auto"/>
              </w:rPr>
            </w:pPr>
          </w:p>
        </w:tc>
        <w:tc>
          <w:tcPr>
            <w:tcW w:w="880" w:type="dxa"/>
            <w:vAlign w:val="bottom"/>
            <w:gridSpan w:val="2"/>
          </w:tcPr>
          <w:p>
            <w:pPr>
              <w:jc w:val="right"/>
              <w:ind w:right="16"/>
              <w:spacing w:after="0" w:line="150" w:lineRule="exact"/>
              <w:rPr>
                <w:sz w:val="20"/>
                <w:szCs w:val="20"/>
                <w:color w:val="auto"/>
              </w:rPr>
            </w:pPr>
            <w:r>
              <w:rPr>
                <w:rFonts w:ascii="Arial" w:cs="Arial" w:eastAsia="Arial" w:hAnsi="Arial"/>
                <w:sz w:val="15"/>
                <w:szCs w:val="15"/>
                <w:b w:val="1"/>
                <w:bCs w:val="1"/>
                <w:color w:val="auto"/>
              </w:rPr>
              <w:t>March 31,</w:t>
            </w:r>
          </w:p>
        </w:tc>
        <w:tc>
          <w:tcPr>
            <w:tcW w:w="120" w:type="dxa"/>
            <w:vAlign w:val="bottom"/>
          </w:tcPr>
          <w:p>
            <w:pPr>
              <w:spacing w:after="0"/>
              <w:rPr>
                <w:sz w:val="13"/>
                <w:szCs w:val="13"/>
                <w:color w:val="auto"/>
              </w:rPr>
            </w:pPr>
          </w:p>
        </w:tc>
        <w:tc>
          <w:tcPr>
            <w:tcW w:w="1080" w:type="dxa"/>
            <w:vAlign w:val="bottom"/>
            <w:gridSpan w:val="3"/>
          </w:tcPr>
          <w:p>
            <w:pPr>
              <w:jc w:val="center"/>
              <w:ind w:right="240"/>
              <w:spacing w:after="0" w:line="150" w:lineRule="exact"/>
              <w:rPr>
                <w:sz w:val="20"/>
                <w:szCs w:val="20"/>
                <w:color w:val="auto"/>
              </w:rPr>
            </w:pPr>
            <w:r>
              <w:rPr>
                <w:rFonts w:ascii="Arial" w:cs="Arial" w:eastAsia="Arial" w:hAnsi="Arial"/>
                <w:sz w:val="15"/>
                <w:szCs w:val="15"/>
                <w:b w:val="1"/>
                <w:bCs w:val="1"/>
                <w:color w:val="auto"/>
              </w:rPr>
              <w:t>% of</w:t>
            </w:r>
          </w:p>
        </w:tc>
        <w:tc>
          <w:tcPr>
            <w:tcW w:w="780" w:type="dxa"/>
            <w:vAlign w:val="bottom"/>
          </w:tcPr>
          <w:p>
            <w:pPr>
              <w:jc w:val="right"/>
              <w:ind w:right="17"/>
              <w:spacing w:after="0" w:line="150" w:lineRule="exact"/>
              <w:rPr>
                <w:sz w:val="20"/>
                <w:szCs w:val="20"/>
                <w:color w:val="auto"/>
              </w:rPr>
            </w:pPr>
            <w:r>
              <w:rPr>
                <w:rFonts w:ascii="Arial" w:cs="Arial" w:eastAsia="Arial" w:hAnsi="Arial"/>
                <w:sz w:val="15"/>
                <w:szCs w:val="15"/>
                <w:b w:val="1"/>
                <w:bCs w:val="1"/>
                <w:color w:val="auto"/>
                <w:w w:val="95"/>
              </w:rPr>
              <w:t>March 31,</w:t>
            </w:r>
          </w:p>
        </w:tc>
        <w:tc>
          <w:tcPr>
            <w:tcW w:w="120" w:type="dxa"/>
            <w:vAlign w:val="bottom"/>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260" w:type="dxa"/>
            <w:vAlign w:val="bottom"/>
            <w:gridSpan w:val="2"/>
          </w:tcPr>
          <w:p>
            <w:pPr>
              <w:spacing w:after="0"/>
              <w:rPr>
                <w:sz w:val="13"/>
                <w:szCs w:val="13"/>
                <w:color w:val="auto"/>
              </w:rPr>
            </w:pPr>
          </w:p>
        </w:tc>
        <w:tc>
          <w:tcPr>
            <w:tcW w:w="740" w:type="dxa"/>
            <w:vAlign w:val="bottom"/>
            <w:vMerge w:val="restart"/>
          </w:tcPr>
          <w:p>
            <w:pPr>
              <w:jc w:val="right"/>
              <w:ind w:right="9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720" w:type="dxa"/>
            <w:vAlign w:val="bottom"/>
          </w:tcPr>
          <w:p>
            <w:pPr>
              <w:jc w:val="right"/>
              <w:ind w:right="19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Revenue</w:t>
            </w:r>
          </w:p>
        </w:tc>
        <w:tc>
          <w:tcPr>
            <w:tcW w:w="780" w:type="dxa"/>
            <w:vAlign w:val="bottom"/>
          </w:tcPr>
          <w:p>
            <w:pPr>
              <w:jc w:val="right"/>
              <w:ind w:right="197"/>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9"/>
              </w:rPr>
              <w:t>Revenue</w:t>
            </w: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50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7"/>
                <w:szCs w:val="17"/>
                <w:color w:val="auto"/>
              </w:rPr>
              <w:t>Sale of vacation ownership</w:t>
            </w: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98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3"/>
              </w:rPr>
              <w:t>21%</w:t>
            </w:r>
          </w:p>
        </w:tc>
        <w:tc>
          <w:tcPr>
            <w:tcW w:w="0" w:type="dxa"/>
            <w:vAlign w:val="bottom"/>
          </w:tcPr>
          <w:p>
            <w:pPr>
              <w:spacing w:after="0"/>
              <w:rPr>
                <w:sz w:val="1"/>
                <w:szCs w:val="1"/>
                <w:color w:val="auto"/>
              </w:rPr>
            </w:pPr>
          </w:p>
        </w:tc>
      </w:tr>
      <w:tr>
        <w:trPr>
          <w:trHeight w:val="181"/>
        </w:trPr>
        <w:tc>
          <w:tcPr>
            <w:tcW w:w="2500" w:type="dxa"/>
            <w:vAlign w:val="bottom"/>
          </w:tcPr>
          <w:p>
            <w:pPr>
              <w:ind w:left="20"/>
              <w:spacing w:after="0" w:line="180" w:lineRule="exact"/>
              <w:rPr>
                <w:sz w:val="20"/>
                <w:szCs w:val="20"/>
                <w:color w:val="auto"/>
              </w:rPr>
            </w:pPr>
            <w:r>
              <w:rPr>
                <w:rFonts w:ascii="Arial" w:cs="Arial" w:eastAsia="Arial" w:hAnsi="Arial"/>
                <w:sz w:val="17"/>
                <w:szCs w:val="17"/>
                <w:color w:val="auto"/>
              </w:rPr>
              <w:t>Cost of vacation ownership</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00" w:type="dxa"/>
            <w:vAlign w:val="bottom"/>
          </w:tcPr>
          <w:p>
            <w:pPr>
              <w:ind w:left="20"/>
              <w:spacing w:after="0"/>
              <w:rPr>
                <w:sz w:val="20"/>
                <w:szCs w:val="20"/>
                <w:color w:val="auto"/>
              </w:rPr>
            </w:pPr>
            <w:r>
              <w:rPr>
                <w:rFonts w:ascii="Arial" w:cs="Arial" w:eastAsia="Arial" w:hAnsi="Arial"/>
                <w:sz w:val="17"/>
                <w:szCs w:val="17"/>
                <w:color w:val="auto"/>
              </w:rPr>
              <w:t>products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w:t>
            </w:r>
          </w:p>
        </w:tc>
        <w:tc>
          <w:tcPr>
            <w:tcW w:w="980" w:type="dxa"/>
            <w:vAlign w:val="bottom"/>
            <w:gridSpan w:val="2"/>
          </w:tcPr>
          <w:p>
            <w:pPr>
              <w:jc w:val="center"/>
              <w:ind w:left="14"/>
              <w:spacing w:after="0"/>
              <w:rPr>
                <w:sz w:val="20"/>
                <w:szCs w:val="20"/>
                <w:color w:val="auto"/>
              </w:rPr>
            </w:pPr>
            <w:r>
              <w:rPr>
                <w:rFonts w:ascii="Arial" w:cs="Arial" w:eastAsia="Arial" w:hAnsi="Arial"/>
                <w:sz w:val="17"/>
                <w:szCs w:val="17"/>
                <w:color w:val="auto"/>
                <w:w w:val="96"/>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w:t>
            </w:r>
          </w:p>
        </w:tc>
        <w:tc>
          <w:tcPr>
            <w:tcW w:w="100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3%</w:t>
            </w:r>
          </w:p>
        </w:tc>
        <w:tc>
          <w:tcPr>
            <w:tcW w:w="0" w:type="dxa"/>
            <w:vAlign w:val="bottom"/>
          </w:tcPr>
          <w:p>
            <w:pPr>
              <w:spacing w:after="0"/>
              <w:rPr>
                <w:sz w:val="1"/>
                <w:szCs w:val="1"/>
                <w:color w:val="auto"/>
              </w:rPr>
            </w:pPr>
          </w:p>
        </w:tc>
      </w:tr>
      <w:tr>
        <w:trPr>
          <w:trHeight w:val="245"/>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Marketing and sales</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98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6"/>
              </w:rPr>
              <w:t>(56%)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(59%)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98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(15%)</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7"/>
                <w:szCs w:val="17"/>
                <w:color w:val="auto"/>
              </w:rPr>
              <w:t>Development profit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107</w:t>
            </w: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68</w:t>
            </w:r>
          </w:p>
        </w:tc>
        <w:tc>
          <w:tcPr>
            <w:tcW w:w="126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w:t>
            </w:r>
          </w:p>
        </w:tc>
        <w:tc>
          <w:tcPr>
            <w:tcW w:w="980" w:type="dxa"/>
            <w:vAlign w:val="bottom"/>
            <w:gridSpan w:val="2"/>
          </w:tcPr>
          <w:p>
            <w:pPr>
              <w:jc w:val="center"/>
              <w:ind w:left="54"/>
              <w:spacing w:after="0"/>
              <w:rPr>
                <w:sz w:val="20"/>
                <w:szCs w:val="20"/>
                <w:color w:val="auto"/>
              </w:rPr>
            </w:pPr>
            <w:r>
              <w:rPr>
                <w:rFonts w:ascii="Arial" w:cs="Arial" w:eastAsia="Arial" w:hAnsi="Arial"/>
                <w:sz w:val="17"/>
                <w:szCs w:val="17"/>
                <w:color w:val="auto"/>
                <w:w w:val="93"/>
              </w:rPr>
              <w:t>58%</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profit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99"/>
              </w:rPr>
              <w:t>28.5%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97"/>
              </w:rPr>
              <w:t>6.7 pts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The increase in Development profit reflects $24 million from favorable revenue reportability, $5 million benefit of higher contract sales volumes and $11 million of favorable product cost, due mainly to the sale of lower cost inventory and, to a lesser extent, a $4 million favorable product cost true-up, partially offset by $5 million related to higher sales reserves. We expect development profit margins for the remainder of 2023 to be above the 2023 first quarter results.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Resort Management and Other Services Revenues, Expenses and Profit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Three Months Ended</w:t>
      </w:r>
    </w:p>
    <w:p>
      <w:pPr>
        <w:sectPr>
          <w:pgSz w:w="11900" w:h="16838" w:orient="portrait"/>
          <w:cols w:equalWidth="0" w:num="1">
            <w:col w:w="11060"/>
          </w:cols>
          <w:pgMar w:left="320" w:top="230" w:right="51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Management fee revenues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Ancillary revenues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management and exchange revenues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Resort management and other services revenues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Resort management and other services expenses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Resort management and other services profit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Resort management and other services profit margin</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Resort occupancy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2023</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94"/>
              </w:rPr>
              <w:t>Change</w:t>
            </w:r>
          </w:p>
        </w:tc>
        <w:tc>
          <w:tcPr>
            <w:tcW w:w="120" w:type="dxa"/>
            <w:vAlign w:val="bottom"/>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37"/>
        </w:trPr>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20"/>
                <w:szCs w:val="20"/>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7%</w:t>
            </w:r>
          </w:p>
        </w:tc>
        <w:tc>
          <w:tcPr>
            <w:tcW w:w="0" w:type="dxa"/>
            <w:vAlign w:val="bottom"/>
          </w:tcPr>
          <w:p>
            <w:pPr>
              <w:spacing w:after="0"/>
              <w:rPr>
                <w:sz w:val="1"/>
                <w:szCs w:val="1"/>
                <w:color w:val="auto"/>
              </w:rPr>
            </w:pPr>
          </w:p>
        </w:tc>
      </w:tr>
      <w:tr>
        <w:trPr>
          <w:trHeight w:val="258"/>
        </w:trPr>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13%</w:t>
            </w:r>
          </w:p>
        </w:tc>
        <w:tc>
          <w:tcPr>
            <w:tcW w:w="0" w:type="dxa"/>
            <w:vAlign w:val="bottom"/>
          </w:tcPr>
          <w:p>
            <w:pPr>
              <w:spacing w:after="0"/>
              <w:rPr>
                <w:sz w:val="1"/>
                <w:szCs w:val="1"/>
                <w:color w:val="auto"/>
              </w:rPr>
            </w:pPr>
          </w:p>
        </w:tc>
      </w:tr>
      <w:tr>
        <w:trPr>
          <w:trHeight w:val="258"/>
        </w:trPr>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(2%)</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7%</w:t>
            </w:r>
          </w:p>
        </w:tc>
        <w:tc>
          <w:tcPr>
            <w:tcW w:w="0" w:type="dxa"/>
            <w:vAlign w:val="bottom"/>
          </w:tcPr>
          <w:p>
            <w:pPr>
              <w:spacing w:after="0"/>
              <w:rPr>
                <w:sz w:val="1"/>
                <w:szCs w:val="1"/>
                <w:color w:val="auto"/>
              </w:rPr>
            </w:pPr>
          </w:p>
        </w:tc>
      </w:tr>
      <w:tr>
        <w:trPr>
          <w:trHeight w:val="258"/>
        </w:trPr>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(20%)</w:t>
            </w:r>
          </w:p>
        </w:tc>
        <w:tc>
          <w:tcPr>
            <w:tcW w:w="0" w:type="dxa"/>
            <w:vAlign w:val="bottom"/>
          </w:tcPr>
          <w:p>
            <w:pPr>
              <w:spacing w:after="0"/>
              <w:rPr>
                <w:sz w:val="1"/>
                <w:szCs w:val="1"/>
                <w:color w:val="auto"/>
              </w:rPr>
            </w:pPr>
          </w:p>
        </w:tc>
      </w:tr>
      <w:tr>
        <w:trPr>
          <w:trHeight w:val="213"/>
        </w:trPr>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(2%)</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gridSpan w:val="2"/>
            <w:vMerge w:val="restart"/>
          </w:tcPr>
          <w:p>
            <w:pPr>
              <w:jc w:val="center"/>
              <w:ind w:left="54"/>
              <w:spacing w:after="0"/>
              <w:rPr>
                <w:sz w:val="20"/>
                <w:szCs w:val="20"/>
                <w:color w:val="auto"/>
              </w:rPr>
            </w:pPr>
            <w:r>
              <w:rPr>
                <w:rFonts w:ascii="Arial" w:cs="Arial" w:eastAsia="Arial" w:hAnsi="Arial"/>
                <w:sz w:val="17"/>
                <w:szCs w:val="17"/>
                <w:color w:val="auto"/>
                <w:w w:val="94"/>
              </w:rPr>
              <w:t>(8%)</w:t>
            </w: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960" w:type="dxa"/>
            <w:vAlign w:val="bottom"/>
          </w:tcPr>
          <w:p>
            <w:pPr>
              <w:jc w:val="right"/>
              <w:ind w:right="294"/>
              <w:spacing w:after="0"/>
              <w:rPr>
                <w:sz w:val="20"/>
                <w:szCs w:val="20"/>
                <w:color w:val="auto"/>
              </w:rPr>
            </w:pPr>
            <w:r>
              <w:rPr>
                <w:rFonts w:ascii="Arial" w:cs="Arial" w:eastAsia="Arial" w:hAnsi="Arial"/>
                <w:sz w:val="17"/>
                <w:szCs w:val="17"/>
                <w:color w:val="auto"/>
              </w:rPr>
              <w:t>52.7%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94"/>
              <w:spacing w:after="0"/>
              <w:rPr>
                <w:sz w:val="20"/>
                <w:szCs w:val="20"/>
                <w:color w:val="auto"/>
              </w:rPr>
            </w:pPr>
            <w:r>
              <w:rPr>
                <w:rFonts w:ascii="Arial" w:cs="Arial" w:eastAsia="Arial" w:hAnsi="Arial"/>
                <w:sz w:val="17"/>
                <w:szCs w:val="17"/>
                <w:color w:val="auto"/>
              </w:rPr>
              <w:t>57.5%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89"/>
              </w:rPr>
              <w:t>(4.8 pts)</w:t>
            </w: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960" w:type="dxa"/>
            <w:vAlign w:val="bottom"/>
          </w:tcPr>
          <w:p>
            <w:pPr>
              <w:jc w:val="right"/>
              <w:ind w:right="294"/>
              <w:spacing w:after="0"/>
              <w:rPr>
                <w:sz w:val="20"/>
                <w:szCs w:val="20"/>
                <w:color w:val="auto"/>
              </w:rPr>
            </w:pPr>
            <w:r>
              <w:rPr>
                <w:rFonts w:ascii="Arial" w:cs="Arial" w:eastAsia="Arial" w:hAnsi="Arial"/>
                <w:sz w:val="17"/>
                <w:szCs w:val="17"/>
                <w:color w:val="auto"/>
              </w:rPr>
              <w:t>88.9%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94"/>
              <w:spacing w:after="0"/>
              <w:rPr>
                <w:sz w:val="20"/>
                <w:szCs w:val="20"/>
                <w:color w:val="auto"/>
              </w:rPr>
            </w:pPr>
            <w:r>
              <w:rPr>
                <w:rFonts w:ascii="Arial" w:cs="Arial" w:eastAsia="Arial" w:hAnsi="Arial"/>
                <w:sz w:val="17"/>
                <w:szCs w:val="17"/>
                <w:color w:val="auto"/>
              </w:rPr>
              <w:t>87.6%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86"/>
              </w:rPr>
              <w:t>1.3 pts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-1290320</wp:posOffset>
            </wp:positionV>
            <wp:extent cx="5299075" cy="163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99075" cy="163830"/>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-963295</wp:posOffset>
            </wp:positionV>
            <wp:extent cx="5299075" cy="163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99075" cy="163830"/>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-636270</wp:posOffset>
            </wp:positionV>
            <wp:extent cx="5299075" cy="163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99075" cy="163830"/>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-309245</wp:posOffset>
            </wp:positionV>
            <wp:extent cx="5299075" cy="155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3620" w:space="100"/>
            <w:col w:w="7340"/>
          </w:cols>
          <w:pgMar w:left="320" w:top="230" w:right="519" w:bottom="1440" w:gutter="0" w:footer="0" w:header="0"/>
          <w:type w:val="continuous"/>
        </w:sectPr>
      </w:pPr>
    </w:p>
    <w:p>
      <w:pPr>
        <w:ind w:left="320" w:right="2820" w:hanging="300"/>
        <w:spacing w:after="0" w:line="205" w:lineRule="auto"/>
        <w:tabs>
          <w:tab w:leader="none" w:pos="308"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Resort occupancy represents all transient, previews, and owner keys divided by total keys available, net of keys out of service.</w:t>
      </w:r>
    </w:p>
    <w:p>
      <w:pPr>
        <w:spacing w:after="0" w:line="196"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Resort management and other services revenues reflect higher ancillary revenues, including revenues from food and beverage and golf offerings, as a result of a 13% increase in revenue per occupied key, and a 1% increase in occupied keys at resorts with ancillary businesses, as well as higher management fees, partially offset by $1 million of lower refurbishment project revenues.</w:t>
      </w:r>
    </w:p>
    <w:p>
      <w:pPr>
        <w:spacing w:after="0" w:line="71" w:lineRule="exact"/>
        <w:rPr>
          <w:sz w:val="20"/>
          <w:szCs w:val="20"/>
          <w:color w:val="auto"/>
        </w:rPr>
      </w:pPr>
    </w:p>
    <w:p>
      <w:pPr>
        <w:ind w:right="260"/>
        <w:spacing w:after="0" w:line="348" w:lineRule="auto"/>
        <w:rPr>
          <w:sz w:val="20"/>
          <w:szCs w:val="20"/>
          <w:color w:val="auto"/>
        </w:rPr>
      </w:pPr>
      <w:r>
        <w:rPr>
          <w:rFonts w:ascii="Arial" w:cs="Arial" w:eastAsia="Arial" w:hAnsi="Arial"/>
          <w:sz w:val="15"/>
          <w:szCs w:val="15"/>
          <w:color w:val="auto"/>
        </w:rPr>
        <w:t>The $1 million decrease in resort management and other services profit reflects a $1 million decrease in ancillary profit, timing of club dues, higher customer services and exchange company expenses due to wage increases and improvements in service levels, partially offset by higher management fee revenues.</w:t>
      </w:r>
    </w:p>
    <w:p>
      <w:pPr>
        <w:spacing w:after="0" w:line="16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 Expenses and Profit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5"/>
                <w:szCs w:val="15"/>
                <w:b w:val="1"/>
                <w:bCs w:val="1"/>
                <w:color w:val="auto"/>
              </w:rPr>
              <w:t>March 31, 2023</w:t>
            </w:r>
          </w:p>
        </w:tc>
        <w:tc>
          <w:tcPr>
            <w:tcW w:w="1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27"/>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w:t>
            </w:r>
          </w:p>
        </w:tc>
        <w:tc>
          <w:tcPr>
            <w:tcW w:w="100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Rental expenses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(90)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0" w:type="dxa"/>
            <w:vAlign w:val="bottom"/>
            <w:tcBorders>
              <w:bottom w:val="single" w:sz="8" w:color="CCEEFF"/>
            </w:tcBorders>
            <w:gridSpan w:val="2"/>
          </w:tcPr>
          <w:p>
            <w:pPr>
              <w:jc w:val="right"/>
              <w:ind w:right="143"/>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Rental profit</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Rental profit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296"/>
              <w:spacing w:after="0" w:line="189" w:lineRule="exact"/>
              <w:rPr>
                <w:sz w:val="20"/>
                <w:szCs w:val="20"/>
                <w:color w:val="auto"/>
              </w:rPr>
            </w:pPr>
            <w:r>
              <w:rPr>
                <w:rFonts w:ascii="Arial" w:cs="Arial" w:eastAsia="Arial" w:hAnsi="Arial"/>
                <w:sz w:val="17"/>
                <w:szCs w:val="17"/>
                <w:color w:val="auto"/>
              </w:rPr>
              <w:t>17.9%</w:t>
            </w: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25.8%</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16"/>
              <w:spacing w:after="0" w:line="189" w:lineRule="exact"/>
              <w:rPr>
                <w:sz w:val="20"/>
                <w:szCs w:val="20"/>
                <w:color w:val="auto"/>
              </w:rPr>
            </w:pPr>
            <w:r>
              <w:rPr>
                <w:rFonts w:ascii="Arial" w:cs="Arial" w:eastAsia="Arial" w:hAnsi="Arial"/>
                <w:sz w:val="17"/>
                <w:szCs w:val="17"/>
                <w:color w:val="auto"/>
                <w:w w:val="92"/>
              </w:rPr>
              <w:t>(7.9 pts)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30"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Transient keys rented</w:t>
      </w:r>
      <w:r>
        <w:rPr>
          <w:rFonts w:ascii="Arial" w:cs="Arial" w:eastAsia="Arial" w:hAnsi="Arial"/>
          <w:sz w:val="9"/>
          <w:szCs w:val="9"/>
          <w:color w:val="auto"/>
        </w:rPr>
        <w:t>(1)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transient rate</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Rental occupancy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2640" w:type="dxa"/>
            <w:vAlign w:val="bottom"/>
            <w:gridSpan w:val="5"/>
          </w:tcPr>
          <w:p>
            <w:pPr>
              <w:ind w:left="50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5"/>
                <w:szCs w:val="15"/>
                <w:b w:val="1"/>
                <w:bCs w:val="1"/>
                <w:color w:val="auto"/>
                <w:w w:val="93"/>
              </w:rPr>
              <w:t>March 31, 2022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Change</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5"/>
        </w:trPr>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547,540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539,559</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7,981</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7"/>
              </w:rPr>
              <w:t>1%</w:t>
            </w:r>
          </w:p>
        </w:tc>
      </w:tr>
      <w:tr>
        <w:trPr>
          <w:trHeight w:val="245"/>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286.82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275.49</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11.33</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4%</w:t>
            </w:r>
          </w:p>
        </w:tc>
      </w:tr>
      <w:tr>
        <w:trPr>
          <w:trHeight w:val="232"/>
        </w:trPr>
        <w:tc>
          <w:tcPr>
            <w:tcW w:w="100" w:type="dxa"/>
            <w:vAlign w:val="bottom"/>
          </w:tcPr>
          <w:p>
            <w:pPr>
              <w:spacing w:after="0"/>
              <w:rPr>
                <w:sz w:val="20"/>
                <w:szCs w:val="20"/>
                <w:color w:val="auto"/>
              </w:rPr>
            </w:pPr>
          </w:p>
        </w:tc>
        <w:tc>
          <w:tcPr>
            <w:tcW w:w="1140" w:type="dxa"/>
            <w:vAlign w:val="bottom"/>
          </w:tcPr>
          <w:p>
            <w:pPr>
              <w:jc w:val="right"/>
              <w:ind w:right="318"/>
              <w:spacing w:after="0"/>
              <w:rPr>
                <w:sz w:val="20"/>
                <w:szCs w:val="20"/>
                <w:color w:val="auto"/>
              </w:rPr>
            </w:pPr>
            <w:r>
              <w:rPr>
                <w:rFonts w:ascii="Arial" w:cs="Arial" w:eastAsia="Arial" w:hAnsi="Arial"/>
                <w:sz w:val="17"/>
                <w:szCs w:val="17"/>
                <w:color w:val="auto"/>
              </w:rPr>
              <w:t>70.4%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6"/>
              <w:spacing w:after="0"/>
              <w:rPr>
                <w:sz w:val="20"/>
                <w:szCs w:val="20"/>
                <w:color w:val="auto"/>
              </w:rPr>
            </w:pPr>
            <w:r>
              <w:rPr>
                <w:rFonts w:ascii="Arial" w:cs="Arial" w:eastAsia="Arial" w:hAnsi="Arial"/>
                <w:sz w:val="17"/>
                <w:szCs w:val="17"/>
                <w:color w:val="auto"/>
              </w:rPr>
              <w:t>67.0%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7"/>
                <w:szCs w:val="17"/>
                <w:color w:val="auto"/>
                <w:w w:val="86"/>
              </w:rPr>
              <w:t>3.4 pts</w:t>
            </w: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-456565</wp:posOffset>
            </wp:positionV>
            <wp:extent cx="5299075" cy="155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99075" cy="15557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-145415</wp:posOffset>
            </wp:positionV>
            <wp:extent cx="5299075" cy="155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2940" w:space="720"/>
            <w:col w:w="7560"/>
          </w:cols>
          <w:pgMar w:left="320" w:top="230" w:right="359" w:bottom="1440" w:gutter="0" w:footer="0" w:header="0"/>
          <w:type w:val="continuous"/>
        </w:sectPr>
      </w:pPr>
    </w:p>
    <w:p>
      <w:pPr>
        <w:ind w:left="300" w:hanging="297"/>
        <w:spacing w:after="0"/>
        <w:tabs>
          <w:tab w:leader="none" w:pos="300"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Transient keys rented exclude those occupied through the use of plus points and preview stays.</w:t>
      </w:r>
    </w:p>
    <w:p>
      <w:pPr>
        <w:spacing w:after="0" w:line="54"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33"/>
        </w:numPr>
        <w:rPr>
          <w:rFonts w:ascii="Arial" w:cs="Arial" w:eastAsia="Arial" w:hAnsi="Arial"/>
          <w:sz w:val="10"/>
          <w:szCs w:val="10"/>
          <w:color w:val="auto"/>
        </w:rPr>
      </w:pPr>
      <w:r>
        <w:rPr>
          <w:rFonts w:ascii="Arial" w:cs="Arial" w:eastAsia="Arial" w:hAnsi="Arial"/>
          <w:sz w:val="17"/>
          <w:szCs w:val="17"/>
          <w:color w:val="auto"/>
        </w:rPr>
        <w:t>Rental occupancy represents transient and preview keys divided by keys available to rent, which is total available keys excluding owner usage.</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Rental profit for transient keys, including plus points and excluding keys from owned hotels, declined by $5 million due to a $13 million increase in unsold maintenance fees associated with developer owned inventory and $6 million of increased costs associated with higher owner utilization of third-party vacation and other offerings. These decreases were partially offset by $6 million of higher profit from the increase in keys rented and 4% higher average transient rate, net of tidy and variable costs, $3 million of higher plus points revenue, a $3 million reduction of rental costs recorded as marketing and sales expense for marketing purposes costs and $2 million of lower hotel loyalty and other costs.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Rental profit for our owned hotels decreased by $2 million (43%) due to the disposition of our Puerto Vallarta hotel in 2022.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Revenues, Expenses and Profit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March 31, 2023</w:t>
            </w:r>
          </w:p>
        </w:tc>
        <w:tc>
          <w:tcPr>
            <w:tcW w:w="1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March 31, 2022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4"/>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 Change</w:t>
            </w:r>
          </w:p>
        </w:tc>
      </w:tr>
      <w:tr>
        <w:trPr>
          <w:trHeight w:val="227"/>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revenues</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center"/>
              <w:ind w:left="555"/>
              <w:spacing w:after="0"/>
              <w:rPr>
                <w:sz w:val="20"/>
                <w:szCs w:val="20"/>
                <w:color w:val="auto"/>
              </w:rPr>
            </w:pPr>
            <w:r>
              <w:rPr>
                <w:rFonts w:ascii="Arial" w:cs="Arial" w:eastAsia="Arial" w:hAnsi="Arial"/>
                <w:sz w:val="17"/>
                <w:szCs w:val="17"/>
                <w:color w:val="auto"/>
                <w:w w:val="84"/>
              </w:rPr>
              <w:t>78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84"/>
              </w:rPr>
              <w:t>7</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10%</w:t>
            </w:r>
          </w:p>
        </w:tc>
      </w:tr>
      <w:tr>
        <w:trPr>
          <w:trHeight w:val="244"/>
        </w:trPr>
        <w:tc>
          <w:tcPr>
            <w:tcW w:w="3680" w:type="dxa"/>
            <w:vAlign w:val="bottom"/>
          </w:tcPr>
          <w:p>
            <w:pPr>
              <w:ind w:left="20"/>
              <w:spacing w:after="0"/>
              <w:rPr>
                <w:sz w:val="20"/>
                <w:szCs w:val="20"/>
                <w:color w:val="auto"/>
              </w:rPr>
            </w:pPr>
            <w:r>
              <w:rPr>
                <w:rFonts w:ascii="Arial" w:cs="Arial" w:eastAsia="Arial" w:hAnsi="Arial"/>
                <w:sz w:val="17"/>
                <w:szCs w:val="17"/>
                <w:color w:val="auto"/>
              </w:rPr>
              <w:t>Financing expenses</w:t>
            </w:r>
          </w:p>
        </w:tc>
        <w:tc>
          <w:tcPr>
            <w:tcW w:w="260" w:type="dxa"/>
            <w:vAlign w:val="bottom"/>
          </w:tcPr>
          <w:p>
            <w:pPr>
              <w:spacing w:after="0"/>
              <w:rPr>
                <w:sz w:val="21"/>
                <w:szCs w:val="21"/>
                <w:color w:val="auto"/>
              </w:rPr>
            </w:pPr>
          </w:p>
        </w:tc>
        <w:tc>
          <w:tcPr>
            <w:tcW w:w="960" w:type="dxa"/>
            <w:vAlign w:val="bottom"/>
          </w:tcPr>
          <w:p>
            <w:pPr>
              <w:jc w:val="center"/>
              <w:ind w:left="535"/>
              <w:spacing w:after="0"/>
              <w:rPr>
                <w:sz w:val="20"/>
                <w:szCs w:val="20"/>
                <w:color w:val="auto"/>
              </w:rPr>
            </w:pPr>
            <w:r>
              <w:rPr>
                <w:rFonts w:ascii="Arial" w:cs="Arial" w:eastAsia="Arial" w:hAnsi="Arial"/>
                <w:sz w:val="17"/>
                <w:szCs w:val="17"/>
                <w:color w:val="auto"/>
                <w:w w:val="99"/>
              </w:rPr>
              <w:t>(10)</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ind w:left="436"/>
              <w:spacing w:after="0"/>
              <w:rPr>
                <w:sz w:val="20"/>
                <w:szCs w:val="20"/>
                <w:color w:val="auto"/>
              </w:rPr>
            </w:pPr>
            <w:r>
              <w:rPr>
                <w:rFonts w:ascii="Arial" w:cs="Arial" w:eastAsia="Arial" w:hAnsi="Arial"/>
                <w:sz w:val="17"/>
                <w:szCs w:val="17"/>
                <w:color w:val="auto"/>
                <w:w w:val="96"/>
              </w:rPr>
              <w:t>(1)</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(13%)</w:t>
            </w:r>
          </w:p>
        </w:tc>
      </w:tr>
      <w:tr>
        <w:trPr>
          <w:trHeight w:val="245"/>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financing interest expense</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7"/>
                <w:szCs w:val="17"/>
                <w:color w:val="auto"/>
                <w:w w:val="99"/>
              </w:rPr>
              <w:t>(16)</w:t>
            </w:r>
          </w:p>
        </w:tc>
        <w:tc>
          <w:tcPr>
            <w:tcW w:w="14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436"/>
              <w:spacing w:after="0"/>
              <w:rPr>
                <w:sz w:val="20"/>
                <w:szCs w:val="20"/>
                <w:color w:val="auto"/>
              </w:rPr>
            </w:pPr>
            <w:r>
              <w:rPr>
                <w:rFonts w:ascii="Arial" w:cs="Arial" w:eastAsia="Arial" w:hAnsi="Arial"/>
                <w:sz w:val="17"/>
                <w:szCs w:val="17"/>
                <w:color w:val="auto"/>
                <w:w w:val="96"/>
              </w:rPr>
              <w:t>(4)</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(37%)</w:t>
            </w:r>
          </w:p>
        </w:tc>
      </w:tr>
      <w:tr>
        <w:trPr>
          <w:trHeight w:val="212"/>
        </w:trPr>
        <w:tc>
          <w:tcPr>
            <w:tcW w:w="3680" w:type="dxa"/>
            <w:vAlign w:val="bottom"/>
          </w:tcPr>
          <w:p>
            <w:pPr>
              <w:ind w:left="20"/>
              <w:spacing w:after="0"/>
              <w:rPr>
                <w:sz w:val="20"/>
                <w:szCs w:val="20"/>
                <w:color w:val="auto"/>
              </w:rPr>
            </w:pPr>
            <w:r>
              <w:rPr>
                <w:rFonts w:ascii="Arial" w:cs="Arial" w:eastAsia="Arial" w:hAnsi="Arial"/>
                <w:sz w:val="17"/>
                <w:szCs w:val="17"/>
                <w:color w:val="auto"/>
              </w:rPr>
              <w:t>Financing profit</w:t>
            </w: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center"/>
              <w:ind w:left="555"/>
              <w:spacing w:after="0"/>
              <w:rPr>
                <w:sz w:val="20"/>
                <w:szCs w:val="20"/>
                <w:color w:val="auto"/>
              </w:rPr>
            </w:pPr>
            <w:r>
              <w:rPr>
                <w:rFonts w:ascii="Arial" w:cs="Arial" w:eastAsia="Arial" w:hAnsi="Arial"/>
                <w:sz w:val="17"/>
                <w:szCs w:val="17"/>
                <w:color w:val="auto"/>
                <w:w w:val="84"/>
              </w:rPr>
              <w:t>52</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center"/>
              <w:ind w:left="436"/>
              <w:spacing w:after="0"/>
              <w:rPr>
                <w:sz w:val="20"/>
                <w:szCs w:val="20"/>
                <w:color w:val="auto"/>
              </w:rPr>
            </w:pPr>
            <w:r>
              <w:rPr>
                <w:rFonts w:ascii="Arial" w:cs="Arial" w:eastAsia="Arial" w:hAnsi="Arial"/>
                <w:sz w:val="17"/>
                <w:szCs w:val="17"/>
                <w:color w:val="auto"/>
                <w:w w:val="84"/>
              </w:rPr>
              <w:t>2</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2%</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profit margin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1"/>
              </w:rPr>
              <w:t>65.7%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5"/>
              </w:rPr>
              <w:t>70.3%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9"/>
              </w:rPr>
              <w:t>(4.6 pts)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Financing propensity</w:t>
            </w:r>
          </w:p>
        </w:tc>
        <w:tc>
          <w:tcPr>
            <w:tcW w:w="260" w:type="dxa"/>
            <w:vAlign w:val="bottom"/>
          </w:tcPr>
          <w:p>
            <w:pPr>
              <w:spacing w:after="0"/>
              <w:rPr>
                <w:sz w:val="21"/>
                <w:szCs w:val="21"/>
                <w:color w:val="auto"/>
              </w:rPr>
            </w:pPr>
          </w:p>
        </w:tc>
        <w:tc>
          <w:tcPr>
            <w:tcW w:w="960" w:type="dxa"/>
            <w:vAlign w:val="bottom"/>
          </w:tcPr>
          <w:p>
            <w:pPr>
              <w:jc w:val="center"/>
              <w:ind w:right="155"/>
              <w:spacing w:after="0"/>
              <w:rPr>
                <w:sz w:val="20"/>
                <w:szCs w:val="20"/>
                <w:color w:val="auto"/>
              </w:rPr>
            </w:pPr>
            <w:r>
              <w:rPr>
                <w:rFonts w:ascii="Arial" w:cs="Arial" w:eastAsia="Arial" w:hAnsi="Arial"/>
                <w:sz w:val="17"/>
                <w:szCs w:val="17"/>
                <w:color w:val="auto"/>
                <w:w w:val="91"/>
              </w:rPr>
              <w:t>54.2%</w:t>
            </w:r>
          </w:p>
        </w:tc>
        <w:tc>
          <w:tcPr>
            <w:tcW w:w="140" w:type="dxa"/>
            <w:vAlign w:val="bottom"/>
          </w:tcPr>
          <w:p>
            <w:pPr>
              <w:spacing w:after="0"/>
              <w:rPr>
                <w:sz w:val="21"/>
                <w:szCs w:val="21"/>
                <w:color w:val="auto"/>
              </w:rPr>
            </w:pPr>
          </w:p>
        </w:tc>
        <w:tc>
          <w:tcPr>
            <w:tcW w:w="860" w:type="dxa"/>
            <w:vAlign w:val="bottom"/>
          </w:tcPr>
          <w:p>
            <w:pPr>
              <w:jc w:val="center"/>
              <w:ind w:left="276"/>
              <w:spacing w:after="0"/>
              <w:rPr>
                <w:sz w:val="20"/>
                <w:szCs w:val="20"/>
                <w:color w:val="auto"/>
              </w:rPr>
            </w:pPr>
            <w:r>
              <w:rPr>
                <w:rFonts w:ascii="Arial" w:cs="Arial" w:eastAsia="Arial" w:hAnsi="Arial"/>
                <w:sz w:val="17"/>
                <w:szCs w:val="17"/>
                <w:color w:val="auto"/>
                <w:w w:val="95"/>
              </w:rPr>
              <w:t>50.3%</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Financing revenues reflect $8 million of higher interest income as a result of a higher average notes receivable balance partially offset by $1 million of lower plus point financing incentive costs. The higher average notes receivable balance was the result of new loan originations in excess of the amount of the continued pay-down of the existing vacation ownership notes receivable portfolio. We expect the average notes receivable balance, and resulting interest income, to continue to increase during the remainder of 2023 as a result of the expected growth in contract sales and loan originations. Financing expenses increased $1 million due to timing of certain expenses.</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increase in consumer financing interest expense is attributable to the higher average securitized debt at a higher average interest rate for the more recent term securitization transactions. We expect consumer financing interest expense to continue to remain elevated over our average outstanding interest rates on existing securitization transactions as a result of rising interest rates. We do not adjust interest rates on consumer financing offerings at the same pace as, or in lock-step with, broader market interest rates; thus we expect our financing profit margin to continue to decrease in 2023, as we repay existing securitization transactions with historically low interest rates and enter into new securitization transactions with higher interest rates.</w:t>
      </w:r>
    </w:p>
    <w:p>
      <w:pPr>
        <w:spacing w:after="0" w:line="23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Fee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5"/>
                <w:szCs w:val="15"/>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4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2023</w:t>
            </w:r>
          </w:p>
        </w:tc>
        <w:tc>
          <w:tcPr>
            <w:tcW w:w="12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7"/>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Royalty fee</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8"/>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7"/>
                <w:szCs w:val="17"/>
                <w:color w:val="auto"/>
              </w:rPr>
              <w:t>7%</w:t>
            </w:r>
          </w:p>
        </w:tc>
      </w:tr>
    </w:tbl>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increase in royalty fee expense in the first quarter of 2023 included $1 million from an increase in the dollar volume of closings and $1 million relating to variable royalty fees paid to Hyatt, which commenced in the fourth quarter of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and Other Income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4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2023</w:t>
            </w:r>
          </w:p>
        </w:tc>
        <w:tc>
          <w:tcPr>
            <w:tcW w:w="12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7"/>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NM</w:t>
            </w:r>
          </w:p>
        </w:tc>
      </w:tr>
    </w:tbl>
    <w:p>
      <w:pPr>
        <w:spacing w:after="0" w:line="18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During the first quarter of 2023, we recorded a $4 million gain associated with the earn out of additional proceeds from the 2019 disposition of a land parcel in Cancun, Mexico, $3 million of non-income tax adjustments, and $2 million related to receipt of business interruption insurance proceeds.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&amp; Third-Party Management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5"/>
          </w:tcPr>
          <w:p>
            <w:pPr>
              <w:ind w:left="100"/>
              <w:spacing w:after="0"/>
              <w:rPr>
                <w:sz w:val="20"/>
                <w:szCs w:val="20"/>
                <w:color w:val="auto"/>
              </w:rPr>
            </w:pPr>
            <w:r>
              <w:rPr>
                <w:rFonts w:ascii="Arial" w:cs="Arial" w:eastAsia="Arial" w:hAnsi="Arial"/>
                <w:sz w:val="15"/>
                <w:szCs w:val="15"/>
                <w:b w:val="1"/>
                <w:bCs w:val="1"/>
                <w:color w:val="auto"/>
              </w:rPr>
              <w:t>March 31, 2023</w:t>
            </w:r>
          </w:p>
        </w:tc>
        <w:tc>
          <w:tcPr>
            <w:tcW w:w="100" w:type="dxa"/>
            <w:vAlign w:val="bottom"/>
          </w:tcPr>
          <w:p>
            <w:pPr>
              <w:spacing w:after="0"/>
              <w:rPr>
                <w:sz w:val="17"/>
                <w:szCs w:val="17"/>
                <w:color w:val="auto"/>
              </w:rPr>
            </w:pPr>
          </w:p>
        </w:tc>
        <w:tc>
          <w:tcPr>
            <w:tcW w:w="1160" w:type="dxa"/>
            <w:vAlign w:val="bottom"/>
          </w:tcPr>
          <w:p>
            <w:pPr>
              <w:jc w:val="right"/>
              <w:ind w:right="35"/>
              <w:spacing w:after="0"/>
              <w:rPr>
                <w:sz w:val="20"/>
                <w:szCs w:val="20"/>
                <w:color w:val="auto"/>
              </w:rPr>
            </w:pPr>
            <w:r>
              <w:rPr>
                <w:rFonts w:ascii="Arial" w:cs="Arial" w:eastAsia="Arial" w:hAnsi="Arial"/>
                <w:sz w:val="15"/>
                <w:szCs w:val="15"/>
                <w:b w:val="1"/>
                <w:bCs w:val="1"/>
                <w:color w:val="auto"/>
                <w:w w:val="95"/>
              </w:rPr>
              <w:t>March 31, 2022</w:t>
            </w:r>
          </w:p>
        </w:tc>
        <w:tc>
          <w:tcPr>
            <w:tcW w:w="0" w:type="dxa"/>
            <w:vAlign w:val="bottom"/>
          </w:tcPr>
          <w:p>
            <w:pPr>
              <w:spacing w:after="0"/>
              <w:rPr>
                <w:sz w:val="1"/>
                <w:szCs w:val="1"/>
                <w:color w:val="auto"/>
              </w:rPr>
            </w:pPr>
          </w:p>
        </w:tc>
      </w:tr>
      <w:tr>
        <w:trPr>
          <w:trHeight w:val="227"/>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220"/>
              <w:spacing w:after="0"/>
              <w:rPr>
                <w:sz w:val="20"/>
                <w:szCs w:val="20"/>
                <w:color w:val="auto"/>
              </w:rPr>
            </w:pPr>
            <w:r>
              <w:rPr>
                <w:rFonts w:ascii="Arial" w:cs="Arial" w:eastAsia="Arial" w:hAnsi="Arial"/>
                <w:sz w:val="17"/>
                <w:szCs w:val="17"/>
                <w:color w:val="auto"/>
              </w:rPr>
              <w:t>Management and exchange</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2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4"/>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and exchange</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44"/>
        </w:trPr>
        <w:tc>
          <w:tcPr>
            <w:tcW w:w="314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4"/>
        </w:trPr>
        <w:tc>
          <w:tcPr>
            <w:tcW w:w="314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EXPENSES</w:t>
            </w: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48"/>
        </w:trPr>
        <w:tc>
          <w:tcPr>
            <w:tcW w:w="534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SEGMENT FINANCIAL RESULTS ATTRIBUTABLE TO COMMON</w:t>
            </w:r>
          </w:p>
        </w:tc>
        <w:tc>
          <w:tcPr>
            <w:tcW w:w="34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6"/>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SHAREHOLDERS</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Management and Exchange Profit</w:t>
            </w: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140" w:type="dxa"/>
            <w:vAlign w:val="bottom"/>
          </w:tcPr>
          <w:p>
            <w:pPr>
              <w:spacing w:after="0"/>
              <w:rPr>
                <w:sz w:val="20"/>
                <w:szCs w:val="20"/>
                <w:color w:val="auto"/>
              </w:rPr>
            </w:pPr>
            <w:r>
              <w:rPr>
                <w:rFonts w:ascii="Arial" w:cs="Arial" w:eastAsia="Arial" w:hAnsi="Arial"/>
                <w:sz w:val="17"/>
                <w:szCs w:val="17"/>
                <w:i w:val="1"/>
                <w:iCs w:val="1"/>
                <w:color w:val="auto"/>
              </w:rPr>
              <w:t>2023 First Quarter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5"/>
                <w:szCs w:val="15"/>
                <w:b w:val="1"/>
                <w:bCs w:val="1"/>
                <w:color w:val="auto"/>
              </w:rPr>
              <w:t>Three Months Ended</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March 31, 2023</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March 31, 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0"/>
              </w:rPr>
              <w:t>Change</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exchange revenue</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center"/>
              <w:ind w:left="556"/>
              <w:spacing w:after="0"/>
              <w:rPr>
                <w:sz w:val="20"/>
                <w:szCs w:val="20"/>
                <w:color w:val="auto"/>
              </w:rPr>
            </w:pPr>
            <w:r>
              <w:rPr>
                <w:rFonts w:ascii="Arial" w:cs="Arial" w:eastAsia="Arial" w:hAnsi="Arial"/>
                <w:sz w:val="17"/>
                <w:szCs w:val="17"/>
                <w:color w:val="auto"/>
                <w:w w:val="94"/>
              </w:rPr>
              <w:t>56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64</w:t>
            </w: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center"/>
              <w:ind w:left="635"/>
              <w:spacing w:after="0"/>
              <w:rPr>
                <w:sz w:val="20"/>
                <w:szCs w:val="20"/>
                <w:color w:val="auto"/>
              </w:rPr>
            </w:pPr>
            <w:r>
              <w:rPr>
                <w:rFonts w:ascii="Arial" w:cs="Arial" w:eastAsia="Arial" w:hAnsi="Arial"/>
                <w:sz w:val="17"/>
                <w:szCs w:val="17"/>
                <w:color w:val="auto"/>
                <w:w w:val="96"/>
              </w:rPr>
              <w:t>(8)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(12%)</w:t>
            </w: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Management and exchange expense</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536"/>
              <w:spacing w:after="0"/>
              <w:rPr>
                <w:sz w:val="20"/>
                <w:szCs w:val="20"/>
                <w:color w:val="auto"/>
              </w:rPr>
            </w:pPr>
            <w:r>
              <w:rPr>
                <w:rFonts w:ascii="Arial" w:cs="Arial" w:eastAsia="Arial" w:hAnsi="Arial"/>
                <w:sz w:val="17"/>
                <w:szCs w:val="17"/>
                <w:color w:val="auto"/>
                <w:w w:val="92"/>
              </w:rPr>
              <w:t>(30)</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(33)</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left="675"/>
              <w:spacing w:after="0"/>
              <w:rPr>
                <w:sz w:val="20"/>
                <w:szCs w:val="20"/>
                <w:color w:val="auto"/>
              </w:rPr>
            </w:pPr>
            <w:r>
              <w:rPr>
                <w:rFonts w:ascii="Arial" w:cs="Arial" w:eastAsia="Arial" w:hAnsi="Arial"/>
                <w:sz w:val="17"/>
                <w:szCs w:val="17"/>
                <w:color w:val="auto"/>
                <w:w w:val="84"/>
              </w:rPr>
              <w:t>3</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7"/>
              </w:rPr>
              <w:t>9%</w:t>
            </w:r>
          </w:p>
        </w:tc>
        <w:tc>
          <w:tcPr>
            <w:tcW w:w="0" w:type="dxa"/>
            <w:vAlign w:val="bottom"/>
          </w:tcPr>
          <w:p>
            <w:pPr>
              <w:spacing w:after="0"/>
              <w:rPr>
                <w:sz w:val="1"/>
                <w:szCs w:val="1"/>
                <w:color w:val="auto"/>
              </w:rPr>
            </w:pPr>
          </w:p>
        </w:tc>
      </w:tr>
      <w:tr>
        <w:trPr>
          <w:trHeight w:val="23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Management and exchange profit</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center"/>
              <w:ind w:left="556"/>
              <w:spacing w:after="0"/>
              <w:rPr>
                <w:sz w:val="20"/>
                <w:szCs w:val="20"/>
                <w:color w:val="auto"/>
              </w:rPr>
            </w:pPr>
            <w:r>
              <w:rPr>
                <w:rFonts w:ascii="Arial" w:cs="Arial" w:eastAsia="Arial" w:hAnsi="Arial"/>
                <w:sz w:val="17"/>
                <w:szCs w:val="17"/>
                <w:color w:val="auto"/>
                <w:w w:val="94"/>
              </w:rPr>
              <w:t>26</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31</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gridSpan w:val="2"/>
            <w:shd w:val="clear" w:color="auto" w:fill="CCEEFF"/>
          </w:tcPr>
          <w:p>
            <w:pPr>
              <w:jc w:val="center"/>
              <w:ind w:left="635"/>
              <w:spacing w:after="0"/>
              <w:rPr>
                <w:sz w:val="20"/>
                <w:szCs w:val="20"/>
                <w:color w:val="auto"/>
              </w:rPr>
            </w:pPr>
            <w:r>
              <w:rPr>
                <w:rFonts w:ascii="Arial" w:cs="Arial" w:eastAsia="Arial" w:hAnsi="Arial"/>
                <w:sz w:val="17"/>
                <w:szCs w:val="17"/>
                <w:color w:val="auto"/>
                <w:w w:val="96"/>
              </w:rPr>
              <w:t>(5)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(14%)</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20"/>
              <w:spacing w:after="0"/>
              <w:rPr>
                <w:sz w:val="20"/>
                <w:szCs w:val="20"/>
                <w:color w:val="auto"/>
              </w:rPr>
            </w:pPr>
            <w:r>
              <w:rPr>
                <w:rFonts w:ascii="Arial" w:cs="Arial" w:eastAsia="Arial" w:hAnsi="Arial"/>
                <w:sz w:val="17"/>
                <w:szCs w:val="17"/>
                <w:color w:val="auto"/>
              </w:rPr>
              <w:t>Management and exchange profit margin</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96"/>
              <w:spacing w:after="0" w:line="189" w:lineRule="exact"/>
              <w:rPr>
                <w:sz w:val="20"/>
                <w:szCs w:val="20"/>
                <w:color w:val="auto"/>
              </w:rPr>
            </w:pPr>
            <w:r>
              <w:rPr>
                <w:rFonts w:ascii="Arial" w:cs="Arial" w:eastAsia="Arial" w:hAnsi="Arial"/>
                <w:sz w:val="17"/>
                <w:szCs w:val="17"/>
                <w:color w:val="auto"/>
              </w:rPr>
              <w:t>47.1%</w:t>
            </w: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48.6%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center"/>
              <w:ind w:right="260"/>
              <w:spacing w:after="0" w:line="189" w:lineRule="exact"/>
              <w:rPr>
                <w:sz w:val="20"/>
                <w:szCs w:val="20"/>
                <w:color w:val="auto"/>
              </w:rPr>
            </w:pPr>
            <w:r>
              <w:rPr>
                <w:rFonts w:ascii="Arial" w:cs="Arial" w:eastAsia="Arial" w:hAnsi="Arial"/>
                <w:sz w:val="17"/>
                <w:szCs w:val="17"/>
                <w:color w:val="auto"/>
                <w:w w:val="92"/>
              </w:rPr>
              <w:t>(1.5 pts)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decrease in management and exchange revenue reflects $8 million of lower revenue due to the disposition of our VRI Americas business during the second quarter of 2022.</w:t>
      </w:r>
    </w:p>
    <w:p>
      <w:pPr>
        <w:spacing w:after="0" w:line="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and exchange profit and profit margin, excluding the impact of the disposition of VRI Americas, would have decreased by $3 million or 9% in the first quarter of 2023, due to higher wage and benefits costs.</w:t>
      </w: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230" w:right="59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5"/>
                <w:szCs w:val="15"/>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3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6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2023</w:t>
            </w:r>
          </w:p>
        </w:tc>
        <w:tc>
          <w:tcPr>
            <w:tcW w:w="12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7"/>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8"/>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rPr>
              <w:t>(10%)</w:t>
            </w:r>
          </w:p>
        </w:tc>
      </w:tr>
    </w:tbl>
    <w:p>
      <w:pPr>
        <w:spacing w:after="0" w:line="23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Results reflect a $1 million decrease in gross Getaway revenues, which resulted from a 10% decrease in transactions driven by lower inventory availability, partially offset by a 2% increase in the average Getaway fee. Rental inventory procurement costs, which are recorded net within Rental revenues, were in line with the prior year.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w:t>
      </w:r>
    </w:p>
    <w:p>
      <w:pPr>
        <w:spacing w:after="0" w:line="120"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gridSpan w:val="5"/>
          </w:tcPr>
          <w:p>
            <w:pPr>
              <w:ind w:left="520"/>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5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5"/>
                <w:szCs w:val="15"/>
                <w:b w:val="1"/>
                <w:bCs w:val="1"/>
                <w:color w:val="auto"/>
                <w:w w:val="93"/>
              </w:rPr>
              <w:t>March 31, 2022</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REVENUES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61</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EXPENSES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20"/>
              <w:spacing w:after="0"/>
              <w:rPr>
                <w:sz w:val="20"/>
                <w:szCs w:val="20"/>
                <w:color w:val="auto"/>
              </w:rPr>
            </w:pPr>
            <w:r>
              <w:rPr>
                <w:rFonts w:ascii="Arial" w:cs="Arial" w:eastAsia="Arial" w:hAnsi="Arial"/>
                <w:sz w:val="17"/>
                <w:szCs w:val="17"/>
                <w:color w:val="auto"/>
              </w:rPr>
              <w:t>Gains and other income, net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Transaction and integration costs</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FINANCIAL RESULTS BEFORE INCOME TAXES AND</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5700" w:type="dxa"/>
            <w:vAlign w:val="bottom"/>
          </w:tcPr>
          <w:p>
            <w:pPr>
              <w:ind w:left="20"/>
              <w:spacing w:after="0" w:line="147" w:lineRule="exact"/>
              <w:rPr>
                <w:sz w:val="20"/>
                <w:szCs w:val="20"/>
                <w:color w:val="auto"/>
              </w:rPr>
            </w:pPr>
            <w:r>
              <w:rPr>
                <w:rFonts w:ascii="Arial" w:cs="Arial" w:eastAsia="Arial" w:hAnsi="Arial"/>
                <w:sz w:val="17"/>
                <w:szCs w:val="17"/>
                <w:b w:val="1"/>
                <w:bCs w:val="1"/>
                <w:color w:val="auto"/>
              </w:rPr>
              <w:t>FINANCIAL RESULTS ATTRIBUTABLE TO COMMON</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(148)</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SHAREHOLDERS</w:t>
            </w:r>
          </w:p>
        </w:tc>
        <w:tc>
          <w:tcPr>
            <w:tcW w:w="1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855"/>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Property Owners’ Associations</w:t>
      </w:r>
    </w:p>
    <w:p>
      <w:pPr>
        <w:spacing w:after="0" w:line="1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illustrates the impact of certain Consolidated Property Owners’ Associations under the relevant accounting guidance and the changes attributed to the deconsolidation of individual Consolidated Property Owners’ Associations.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535"/>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gridSpan w:val="5"/>
          </w:tcPr>
          <w:p>
            <w:pPr>
              <w:ind w:left="120"/>
              <w:spacing w:after="0"/>
              <w:rPr>
                <w:sz w:val="20"/>
                <w:szCs w:val="20"/>
                <w:color w:val="auto"/>
              </w:rPr>
            </w:pPr>
            <w:r>
              <w:rPr>
                <w:rFonts w:ascii="Arial" w:cs="Arial" w:eastAsia="Arial" w:hAnsi="Arial"/>
                <w:sz w:val="15"/>
                <w:szCs w:val="15"/>
                <w:b w:val="1"/>
                <w:bCs w:val="1"/>
                <w:color w:val="auto"/>
              </w:rPr>
              <w:t>March 31, 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Arial" w:cs="Arial" w:eastAsia="Arial" w:hAnsi="Arial"/>
                <w:sz w:val="15"/>
                <w:szCs w:val="15"/>
                <w:b w:val="1"/>
                <w:bCs w:val="1"/>
                <w:color w:val="auto"/>
                <w:w w:val="93"/>
              </w:rPr>
              <w:t>March 31, 2022</w:t>
            </w:r>
          </w:p>
        </w:tc>
        <w:tc>
          <w:tcPr>
            <w:tcW w:w="0" w:type="dxa"/>
            <w:vAlign w:val="bottom"/>
          </w:tcPr>
          <w:p>
            <w:pPr>
              <w:spacing w:after="0"/>
              <w:rPr>
                <w:sz w:val="1"/>
                <w:szCs w:val="1"/>
                <w:color w:val="auto"/>
              </w:rPr>
            </w:pPr>
          </w:p>
        </w:tc>
      </w:tr>
      <w:tr>
        <w:trPr>
          <w:trHeight w:val="227"/>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4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220"/>
              <w:spacing w:after="0"/>
              <w:rPr>
                <w:sz w:val="20"/>
                <w:szCs w:val="20"/>
                <w:color w:val="auto"/>
              </w:rPr>
            </w:pPr>
            <w:r>
              <w:rPr>
                <w:rFonts w:ascii="Arial" w:cs="Arial" w:eastAsia="Arial" w:hAnsi="Arial"/>
                <w:sz w:val="17"/>
                <w:szCs w:val="17"/>
                <w:color w:val="auto"/>
                <w:w w:val="97"/>
              </w:rPr>
              <w:t>Resort management and other services</w:t>
            </w: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4"/>
        </w:trPr>
        <w:tc>
          <w:tcPr>
            <w:tcW w:w="314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REVENUES</w:t>
            </w:r>
          </w:p>
        </w:tc>
        <w:tc>
          <w:tcPr>
            <w:tcW w:w="4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220"/>
              <w:spacing w:after="0"/>
              <w:rPr>
                <w:sz w:val="20"/>
                <w:szCs w:val="20"/>
                <w:color w:val="auto"/>
              </w:rPr>
            </w:pPr>
            <w:r>
              <w:rPr>
                <w:rFonts w:ascii="Arial" w:cs="Arial" w:eastAsia="Arial" w:hAnsi="Arial"/>
                <w:sz w:val="17"/>
                <w:szCs w:val="17"/>
                <w:color w:val="auto"/>
                <w:w w:val="97"/>
              </w:rPr>
              <w:t>Resort management and other services</w:t>
            </w: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4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EXPENSES</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5"/>
        </w:trPr>
        <w:tc>
          <w:tcPr>
            <w:tcW w:w="3140" w:type="dxa"/>
            <w:vAlign w:val="bottom"/>
          </w:tcPr>
          <w:p>
            <w:pPr>
              <w:ind w:left="220"/>
              <w:spacing w:after="0"/>
              <w:rPr>
                <w:sz w:val="20"/>
                <w:szCs w:val="20"/>
                <w:color w:val="auto"/>
              </w:rPr>
            </w:pPr>
            <w:r>
              <w:rPr>
                <w:rFonts w:ascii="Arial" w:cs="Arial" w:eastAsia="Arial" w:hAnsi="Arial"/>
                <w:sz w:val="17"/>
                <w:szCs w:val="17"/>
                <w:color w:val="auto"/>
              </w:rPr>
              <w:t>Losses and other expense, net</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55"/>
        </w:trPr>
        <w:tc>
          <w:tcPr>
            <w:tcW w:w="4480" w:type="dxa"/>
            <w:vAlign w:val="bottom"/>
            <w:tcBorders>
              <w:top w:val="single" w:sz="8" w:color="CCEEFF"/>
            </w:tcBorders>
            <w:gridSpan w:val="4"/>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FINANCIAL RESULTS BEFORE INCOME TAXES AND</w:t>
            </w:r>
          </w:p>
        </w:tc>
        <w:tc>
          <w:tcPr>
            <w:tcW w:w="8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314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5"/>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Net income attributable to noncontrolling interests</w:t>
            </w: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4480" w:type="dxa"/>
            <w:vAlign w:val="bottom"/>
            <w:gridSpan w:val="4"/>
          </w:tcPr>
          <w:p>
            <w:pPr>
              <w:ind w:left="20"/>
              <w:spacing w:after="0" w:line="154" w:lineRule="exact"/>
              <w:rPr>
                <w:sz w:val="20"/>
                <w:szCs w:val="20"/>
                <w:color w:val="auto"/>
              </w:rPr>
            </w:pPr>
            <w:r>
              <w:rPr>
                <w:rFonts w:ascii="Arial" w:cs="Arial" w:eastAsia="Arial" w:hAnsi="Arial"/>
                <w:sz w:val="17"/>
                <w:szCs w:val="17"/>
                <w:b w:val="1"/>
                <w:bCs w:val="1"/>
                <w:color w:val="auto"/>
              </w:rPr>
              <w:t>FINANCIAL RESULTS ATTRIBUTABLE TO COMMON</w:t>
            </w: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SHAREHOLDERS</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7"/>
                <w:szCs w:val="17"/>
                <w:b w:val="1"/>
                <w:bCs w:val="1"/>
                <w:color w:val="auto"/>
              </w:rPr>
              <w:t>General and Administrative</w:t>
            </w: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1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140" w:type="dxa"/>
            <w:vAlign w:val="bottom"/>
          </w:tcPr>
          <w:p>
            <w:pPr>
              <w:spacing w:after="0"/>
              <w:rPr>
                <w:sz w:val="20"/>
                <w:szCs w:val="20"/>
                <w:color w:val="auto"/>
              </w:rPr>
            </w:pPr>
            <w:r>
              <w:rPr>
                <w:rFonts w:ascii="Arial" w:cs="Arial" w:eastAsia="Arial" w:hAnsi="Arial"/>
                <w:sz w:val="17"/>
                <w:szCs w:val="17"/>
                <w:i w:val="1"/>
                <w:iCs w:val="1"/>
                <w:color w:val="auto"/>
              </w:rPr>
              <w:t>2023 First Quarter</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5"/>
                <w:szCs w:val="15"/>
                <w:b w:val="1"/>
                <w:bCs w:val="1"/>
                <w:color w:val="auto"/>
              </w:rPr>
              <w:t>Three Months Ended</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millions)</w:t>
            </w:r>
          </w:p>
        </w:tc>
        <w:tc>
          <w:tcPr>
            <w:tcW w:w="12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5"/>
                <w:szCs w:val="15"/>
                <w:b w:val="1"/>
                <w:bCs w:val="1"/>
                <w:color w:val="auto"/>
              </w:rPr>
              <w:t>March 31, 2023</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5"/>
                <w:szCs w:val="15"/>
                <w:b w:val="1"/>
                <w:bCs w:val="1"/>
                <w:color w:val="auto"/>
              </w:rPr>
              <w:t>Change</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General and administrative expenses increased $5 million for costs related to the implementation of technology associated with the integration of Legacy-ILG, $5 million of incremental costs primarily related to compliance activities and new product development initiatives, and a $1 million increase in insurance expense, partially offset by a $4 million decrease in compensation related costs due to lower bonus expense partially offset by an increase in wages. We expect General and administrative expenses for the remainder of 2023 to increase due the continued impact of increased wages and additional investment in upgrading and implementing technology.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and Other Income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5"/>
                <w:szCs w:val="15"/>
                <w:b w:val="1"/>
                <w:bCs w:val="1"/>
                <w:color w:val="auto"/>
              </w:rPr>
              <w:t>Three Months Ended</w:t>
            </w:r>
          </w:p>
        </w:tc>
        <w:tc>
          <w:tcPr>
            <w:tcW w:w="3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6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2023</w:t>
            </w:r>
          </w:p>
        </w:tc>
        <w:tc>
          <w:tcPr>
            <w:tcW w:w="12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7"/>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8"/>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NM</w:t>
            </w:r>
          </w:p>
        </w:tc>
      </w:tr>
    </w:tbl>
    <w:p>
      <w:pPr>
        <w:spacing w:after="0" w:line="21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the first quarter of 2023, we recorded a $20 million increase in our receivable from Marriott International for indemnified tax matters (the true-up to the offsetting accrual is included in the Provision for income taxes line) and $2 million of foreign currency translation gains, partially offset by $10 million attributed to the redemption premium and write-off of unamortized debt issuance costs attributed to the early redemption of our senior secured notes.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2022, we recorded $1 million of foreign currency translation gains.</w:t>
      </w:r>
    </w:p>
    <w:p>
      <w:pPr>
        <w:spacing w:after="0" w:line="28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5"/>
                <w:szCs w:val="15"/>
                <w:b w:val="1"/>
                <w:bCs w:val="1"/>
                <w:color w:val="auto"/>
              </w:rPr>
              <w:t>Three Months Ended</w:t>
            </w: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3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4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2023</w:t>
            </w:r>
          </w:p>
        </w:tc>
        <w:tc>
          <w:tcPr>
            <w:tcW w:w="12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7"/>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rPr>
              <w:t>(27%)</w:t>
            </w:r>
          </w:p>
        </w:tc>
      </w:tr>
    </w:tbl>
    <w:p>
      <w:pPr>
        <w:spacing w:after="0" w:line="23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increase in Interest expense, net is attributed to $5 million associated with higher borrowings on the Warehouse Credit Facility and Revolving Corporate Credit Facility, including the impact of the increase in the variable interest rate on the Revolving Corporate Credit Facility, $3 million of higher variable interest expense on the Term Loan, $4 million of higher interest expense associated with our convertible notes, and $1 million of interest expense related to leased assets. This was partially offset by $4 million of lower interest expense associated with the early redemption of our senior secured notes, $1 million of lower interest on non-income tax related items and $1 million of interest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Quarter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5"/>
                <w:szCs w:val="15"/>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3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6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2023</w:t>
            </w:r>
          </w:p>
        </w:tc>
        <w:tc>
          <w:tcPr>
            <w:tcW w:w="12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7"/>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rPr>
              <w:t>(30%)</w:t>
            </w:r>
          </w:p>
        </w:tc>
      </w:tr>
    </w:tbl>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interim effective tax rate was 32.3% and 35.6% for the three months ended March 31, 2023 and March 31, 2022, respectively. The decrease in the effective tax rate is predominately attributable to an increase in Income Before Income Taxes and Noncontrolling Interests and a net increase in discrete items, including a net increase in the reserve for uncertain tax benefits of $16 million, partially offset by an increase in our share-based compensation benefit of $5 million and a $4 million increase in favorable foreign income tax adjustments. See Footnote 5 “Income Taxes” to our Financial Statements for further information on our uncertain tax benefits and corresponding indemnification.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Typically, our capital needs are supported by cash on hand, cash generated from operations, our ability to raise capital through securitizations in the ABS market, our ability to issue new debt and refinance existing debt, and, to the extent necessary, our ability to access funds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We continuously monitor the capital markets to evaluate the effect that changes in market conditions may have on our ability to fund our liquidity needs.</w:t>
      </w:r>
    </w:p>
    <w:p>
      <w:pPr>
        <w:spacing w:after="0" w:line="6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corporate debt, net of cash and equivalents, to Adjusted EBITDA ratio was 3.1 at March 31, 2023, roughly in-line with our targeted leverage range of 2.5x to 3.0x, and we expect to be within the range by the end of 2023. We have no material maturities of corporate debt until 2025.</w:t>
      </w:r>
    </w:p>
    <w:p>
      <w:pPr>
        <w:spacing w:after="0" w:line="61" w:lineRule="exact"/>
        <w:rPr>
          <w:sz w:val="20"/>
          <w:szCs w:val="20"/>
          <w:color w:val="auto"/>
        </w:rPr>
      </w:pPr>
    </w:p>
    <w:p>
      <w:pPr>
        <w:jc w:val="both"/>
        <w:ind w:right="360"/>
        <w:spacing w:after="0" w:line="266" w:lineRule="auto"/>
        <w:rPr>
          <w:sz w:val="20"/>
          <w:szCs w:val="20"/>
          <w:color w:val="auto"/>
        </w:rPr>
      </w:pPr>
      <w:r>
        <w:rPr>
          <w:rFonts w:ascii="Arial" w:cs="Arial" w:eastAsia="Arial" w:hAnsi="Arial"/>
          <w:sz w:val="17"/>
          <w:szCs w:val="17"/>
          <w:color w:val="auto"/>
        </w:rPr>
        <w:t>At the end of the first quarter of 2023, the interest rate applicable to approximately 85% of our total corporate debt, excluding finance leases and including the impact of interest rate hedges, was effectively fixed. The weighted average interest rate of our total corporate debt, excluding finance leases and including the impact of interest rate hedges, was 3.7% as of March 31, 2023.</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Liquidity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from Operations</w:t>
      </w:r>
    </w:p>
    <w:p>
      <w:pPr>
        <w:spacing w:after="0" w:line="11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 Securitizations</w:t>
      </w:r>
    </w:p>
    <w:p>
      <w:pPr>
        <w:spacing w:after="0" w:line="114" w:lineRule="exact"/>
        <w:rPr>
          <w:sz w:val="20"/>
          <w:szCs w:val="20"/>
          <w:color w:val="auto"/>
        </w:rPr>
      </w:pPr>
    </w:p>
    <w:p>
      <w:pPr>
        <w:jc w:val="both"/>
        <w:ind w:right="20"/>
        <w:spacing w:after="0" w:line="317" w:lineRule="auto"/>
        <w:rPr>
          <w:sz w:val="20"/>
          <w:szCs w:val="20"/>
          <w:color w:val="auto"/>
        </w:rPr>
      </w:pPr>
      <w:r>
        <w:rPr>
          <w:rFonts w:ascii="Arial" w:cs="Arial" w:eastAsia="Arial" w:hAnsi="Arial"/>
          <w:sz w:val="15"/>
          <w:szCs w:val="15"/>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w:t>
      </w:r>
    </w:p>
    <w:p>
      <w:pPr>
        <w:spacing w:after="0" w:line="19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by a special purpose entity are generally collateralized by a single tranche of transferred assets, which consist of vacation ownership notes receivable. In connection with each vacation ownership notes receivable securitization, we may retain all or a portion of the securities that are issued. 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w:t>
      </w:r>
    </w:p>
    <w:p>
      <w:pPr>
        <w:spacing w:after="0" w:line="64"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2023, and as of March 31, 2023, we had 14 term securitization transactions outstanding, all of which were in compliance with their respective required parameters. Since 2000, we have issued approximately $8.1 billion of debt securities in securitization transactions in the term ABS market, excluding amounts securitized through warehouse credit facilities or private bank transactions. See Footnote 11 “Securitized Debt” to our Financial Statements for further information related to our recent securitization transaction, completed subsequent to the end of the first quarter of 2023.</w:t>
      </w:r>
    </w:p>
    <w:p>
      <w:pPr>
        <w:spacing w:after="0" w:line="5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at least once per year. Our Warehouse Credit Facility provides for up to $425 million of aggregate borrowings through July 28, 2024, and at March 31, 2023, we had $296 million of borrowings outstanding.</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2023, $120 million of gross vacation ownership notes receivable were eligible for securitization.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Corporate Credit Facility</w:t>
      </w:r>
    </w:p>
    <w:p>
      <w:pPr>
        <w:spacing w:after="0" w:line="11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Our Revolving Corporate Credit Facility, which expires on March 31, 2027, provides for up to $750 million of aggregate borrowings for general corporate needs, including working capital, capital expenditures, letters of credit, and acquisitions. At March 31, 2023, $200 million of borrowings were outstanding on our Revolving Corporate Credit Facility, and $1 million of letters of credit were outstanding.</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Senior Secured Notes</w:t>
      </w:r>
    </w:p>
    <w:p>
      <w:pPr>
        <w:spacing w:after="0" w:line="11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During the first quarter of 2023, we redeemed, prior to maturity, the remaining $250 million of the 2025 Notes outstanding pursuant to a redemption notice issued in the fourth quarter of 2022 and the terms of the indenture governing the 2025 Notes. In connection with this redemption, we incurred charges of $10 million, including a redemption premium and the write-off of unamortized debt issuance costs, which were recorded in Gains and other income, net on our Income Statement for the three months ended March 31, 2023.</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Uses of Cash</w:t>
      </w:r>
    </w:p>
    <w:p>
      <w:pPr>
        <w:spacing w:after="0" w:line="120" w:lineRule="exact"/>
        <w:rPr>
          <w:sz w:val="20"/>
          <w:szCs w:val="20"/>
          <w:color w:val="auto"/>
        </w:rPr>
      </w:pPr>
    </w:p>
    <w:p>
      <w:pPr>
        <w:ind w:right="200"/>
        <w:spacing w:after="0" w:line="307" w:lineRule="auto"/>
        <w:rPr>
          <w:sz w:val="20"/>
          <w:szCs w:val="20"/>
          <w:color w:val="auto"/>
        </w:rPr>
      </w:pPr>
      <w:r>
        <w:rPr>
          <w:rFonts w:ascii="Arial" w:cs="Arial" w:eastAsia="Arial" w:hAnsi="Arial"/>
          <w:sz w:val="15"/>
          <w:szCs w:val="15"/>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4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Cash and cash equivalents on hand at March 31, 2023 totaled $306 million, a decrease of $218 million from December 31, 2022, primarily reflecting the redemption of senior notes of $250 million, the repurchase of common stock of $80 million, payment of dividends of $54 million, capital expenditures for property and equipment (excluding inventory) of $37 million, $9 million for payment of withholding taxes on vesting of restricted stock units, and repayments of securitized debt in excess of new borrowings of $3 million, partially offset by other debt borrowings in excess of repayments of $194 million, $12 million associated with net cash and cash equivalents provided by operating activities, $8 million of finance lease incentives in excess of payments, and $1 million due to the effect of changes in exchange rates.</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w:t>
      </w:r>
    </w:p>
    <w:p>
      <w:pPr>
        <w:spacing w:after="0" w:line="11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 in either the fourth quarter or the first quarter of each year. Generally, cash outflows related to our payment of maintenance fees associated with unsold inventory occurs in the fourth quarter for our points products, and in the first quarter for our weeks-based products. In addition, significant compensation-related cash outflows occur in the first quarter of each year associated with payment of annual bonuses and the payment of two quarterly dividends (December and February dividend declarations).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net income or loss and adjustments for non-cash items, the following are key drivers of our cash flow from operating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Spending Less Than Cost of Sales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ind w:left="700"/>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5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2023</w:t>
            </w:r>
          </w:p>
        </w:tc>
        <w:tc>
          <w:tcPr>
            <w:tcW w:w="180" w:type="dxa"/>
            <w:vAlign w:val="bottom"/>
          </w:tcPr>
          <w:p>
            <w:pPr>
              <w:spacing w:after="0"/>
              <w:rPr>
                <w:sz w:val="17"/>
                <w:szCs w:val="17"/>
                <w:color w:val="auto"/>
              </w:rPr>
            </w:pPr>
          </w:p>
        </w:tc>
        <w:tc>
          <w:tcPr>
            <w:tcW w:w="1340" w:type="dxa"/>
            <w:vAlign w:val="bottom"/>
          </w:tcPr>
          <w:p>
            <w:pPr>
              <w:ind w:left="80"/>
              <w:spacing w:after="0"/>
              <w:rPr>
                <w:sz w:val="20"/>
                <w:szCs w:val="20"/>
                <w:color w:val="auto"/>
              </w:rPr>
            </w:pPr>
            <w:r>
              <w:rPr>
                <w:rFonts w:ascii="Arial" w:cs="Arial" w:eastAsia="Arial" w:hAnsi="Arial"/>
                <w:sz w:val="15"/>
                <w:szCs w:val="15"/>
                <w:b w:val="1"/>
                <w:bCs w:val="1"/>
                <w:color w:val="auto"/>
              </w:rPr>
              <w:t>March 31, 2022</w:t>
            </w:r>
          </w:p>
        </w:tc>
      </w:tr>
      <w:tr>
        <w:trPr>
          <w:trHeight w:val="227"/>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 spending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center"/>
              <w:ind w:left="897"/>
              <w:spacing w:after="0"/>
              <w:rPr>
                <w:sz w:val="20"/>
                <w:szCs w:val="20"/>
                <w:color w:val="auto"/>
              </w:rPr>
            </w:pPr>
            <w:r>
              <w:rPr>
                <w:rFonts w:ascii="Arial" w:cs="Arial" w:eastAsia="Arial" w:hAnsi="Arial"/>
                <w:sz w:val="17"/>
                <w:szCs w:val="17"/>
                <w:color w:val="auto"/>
                <w:w w:val="92"/>
              </w:rPr>
              <w:t>(30)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center"/>
              <w:ind w:left="896"/>
              <w:spacing w:after="0"/>
              <w:rPr>
                <w:sz w:val="20"/>
                <w:szCs w:val="20"/>
                <w:color w:val="auto"/>
              </w:rPr>
            </w:pPr>
            <w:r>
              <w:rPr>
                <w:rFonts w:ascii="Arial" w:cs="Arial" w:eastAsia="Arial" w:hAnsi="Arial"/>
                <w:sz w:val="17"/>
                <w:szCs w:val="17"/>
                <w:color w:val="auto"/>
                <w:w w:val="92"/>
              </w:rPr>
              <w:t>(22)</w:t>
            </w:r>
          </w:p>
        </w:tc>
      </w:tr>
      <w:tr>
        <w:trPr>
          <w:trHeight w:val="244"/>
        </w:trPr>
        <w:tc>
          <w:tcPr>
            <w:tcW w:w="5180" w:type="dxa"/>
            <w:vAlign w:val="bottom"/>
          </w:tcPr>
          <w:p>
            <w:pPr>
              <w:ind w:left="20"/>
              <w:spacing w:after="0"/>
              <w:rPr>
                <w:sz w:val="20"/>
                <w:szCs w:val="20"/>
                <w:color w:val="auto"/>
              </w:rPr>
            </w:pPr>
            <w:r>
              <w:rPr>
                <w:rFonts w:ascii="Arial" w:cs="Arial" w:eastAsia="Arial" w:hAnsi="Arial"/>
                <w:sz w:val="17"/>
                <w:szCs w:val="17"/>
                <w:color w:val="auto"/>
              </w:rPr>
              <w:t>Purchase of vacation ownership units for future transfer to inventory</w:t>
            </w:r>
          </w:p>
        </w:tc>
        <w:tc>
          <w:tcPr>
            <w:tcW w:w="180" w:type="dxa"/>
            <w:vAlign w:val="bottom"/>
          </w:tcPr>
          <w:p>
            <w:pPr>
              <w:spacing w:after="0"/>
              <w:rPr>
                <w:sz w:val="21"/>
                <w:szCs w:val="21"/>
                <w:color w:val="auto"/>
              </w:rPr>
            </w:pPr>
          </w:p>
        </w:tc>
        <w:tc>
          <w:tcPr>
            <w:tcW w:w="1460" w:type="dxa"/>
            <w:vAlign w:val="bottom"/>
            <w:gridSpan w:val="2"/>
          </w:tcPr>
          <w:p>
            <w:pPr>
              <w:jc w:val="center"/>
              <w:ind w:left="79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340" w:type="dxa"/>
            <w:vAlign w:val="bottom"/>
          </w:tcPr>
          <w:p>
            <w:pPr>
              <w:jc w:val="center"/>
              <w:ind w:left="896"/>
              <w:spacing w:after="0"/>
              <w:rPr>
                <w:sz w:val="20"/>
                <w:szCs w:val="20"/>
                <w:color w:val="auto"/>
              </w:rPr>
            </w:pPr>
            <w:r>
              <w:rPr>
                <w:rFonts w:ascii="Arial" w:cs="Arial" w:eastAsia="Arial" w:hAnsi="Arial"/>
                <w:sz w:val="17"/>
                <w:szCs w:val="17"/>
                <w:color w:val="auto"/>
                <w:w w:val="92"/>
              </w:rPr>
              <w:t>(12)</w:t>
            </w:r>
          </w:p>
        </w:tc>
      </w:tr>
      <w:tr>
        <w:trPr>
          <w:trHeight w:val="245"/>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 costs</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left="917"/>
              <w:spacing w:after="0"/>
              <w:rPr>
                <w:sz w:val="20"/>
                <w:szCs w:val="20"/>
                <w:color w:val="auto"/>
              </w:rPr>
            </w:pPr>
            <w:r>
              <w:rPr>
                <w:rFonts w:ascii="Arial" w:cs="Arial" w:eastAsia="Arial" w:hAnsi="Arial"/>
                <w:sz w:val="17"/>
                <w:szCs w:val="17"/>
                <w:color w:val="auto"/>
                <w:w w:val="94"/>
              </w:rPr>
              <w:t>46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left="936"/>
              <w:spacing w:after="0"/>
              <w:rPr>
                <w:sz w:val="20"/>
                <w:szCs w:val="20"/>
                <w:color w:val="auto"/>
              </w:rPr>
            </w:pPr>
            <w:r>
              <w:rPr>
                <w:rFonts w:ascii="Arial" w:cs="Arial" w:eastAsia="Arial" w:hAnsi="Arial"/>
                <w:sz w:val="17"/>
                <w:szCs w:val="17"/>
                <w:color w:val="auto"/>
                <w:w w:val="84"/>
              </w:rPr>
              <w:t>50</w:t>
            </w:r>
          </w:p>
        </w:tc>
      </w:tr>
      <w:tr>
        <w:trPr>
          <w:trHeight w:val="211"/>
        </w:trPr>
        <w:tc>
          <w:tcPr>
            <w:tcW w:w="5180" w:type="dxa"/>
            <w:vAlign w:val="bottom"/>
          </w:tcPr>
          <w:p>
            <w:pPr>
              <w:ind w:left="220"/>
              <w:spacing w:after="0"/>
              <w:rPr>
                <w:sz w:val="20"/>
                <w:szCs w:val="20"/>
                <w:color w:val="auto"/>
              </w:rPr>
            </w:pPr>
            <w:r>
              <w:rPr>
                <w:rFonts w:ascii="Arial" w:cs="Arial" w:eastAsia="Arial" w:hAnsi="Arial"/>
                <w:sz w:val="17"/>
                <w:szCs w:val="17"/>
                <w:color w:val="auto"/>
              </w:rPr>
              <w:t>Inventory spending less than cost of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center"/>
              <w:ind w:left="917"/>
              <w:spacing w:after="0"/>
              <w:rPr>
                <w:sz w:val="20"/>
                <w:szCs w:val="20"/>
                <w:color w:val="auto"/>
              </w:rPr>
            </w:pPr>
            <w:r>
              <w:rPr>
                <w:rFonts w:ascii="Arial" w:cs="Arial" w:eastAsia="Arial" w:hAnsi="Arial"/>
                <w:sz w:val="17"/>
                <w:szCs w:val="17"/>
                <w:color w:val="auto"/>
                <w:w w:val="94"/>
              </w:rPr>
              <w:t>16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center"/>
              <w:ind w:left="936"/>
              <w:spacing w:after="0"/>
              <w:rPr>
                <w:sz w:val="20"/>
                <w:szCs w:val="20"/>
                <w:color w:val="auto"/>
              </w:rPr>
            </w:pPr>
            <w:r>
              <w:rPr>
                <w:rFonts w:ascii="Arial" w:cs="Arial" w:eastAsia="Arial" w:hAnsi="Arial"/>
                <w:sz w:val="17"/>
                <w:szCs w:val="17"/>
                <w:color w:val="auto"/>
                <w:w w:val="84"/>
              </w:rPr>
              <w:t>16</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Although we have significant excess inventory on hand, we intend to continue selectively pursuing growth opportunities by targeting high-quality inventory that allows us to add desirable new destinations to our systems with new on-site sales locations. Where possible, we will structure transactions that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in key markets where opportunities generate acceptable risk adjusted returns.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Through our existing VOI repurchase program, we proactively acquire previously sold VOIs from owners’ associations and individual owners at lower costs than would be required to develop new inventory. Among other reasons, by repurchasing inventory, we expect to be able to help stabilize the future cost of our vacation ownership products.</w:t>
      </w:r>
    </w:p>
    <w:p>
      <w:pPr>
        <w:spacing w:after="0" w:line="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Our spending for real estate inventory in the first quarter of 2023 was lower than cost of sales and was primarily related to our VOI repurchase programs. We expect inventory spending to be less than cost of sales for 2023.</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 Collections Less Than Originations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5"/>
                <w:szCs w:val="15"/>
                <w:b w:val="1"/>
                <w:bCs w:val="1"/>
                <w:color w:val="auto"/>
              </w:rPr>
              <w:t>Three Months Ended</w:t>
            </w:r>
          </w:p>
        </w:tc>
      </w:tr>
      <w:tr>
        <w:trPr>
          <w:trHeight w:val="199"/>
        </w:trPr>
        <w:tc>
          <w:tcPr>
            <w:tcW w:w="5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2023</w:t>
            </w:r>
          </w:p>
        </w:tc>
        <w:tc>
          <w:tcPr>
            <w:tcW w:w="180" w:type="dxa"/>
            <w:vAlign w:val="bottom"/>
          </w:tcPr>
          <w:p>
            <w:pPr>
              <w:spacing w:after="0"/>
              <w:rPr>
                <w:sz w:val="17"/>
                <w:szCs w:val="17"/>
                <w:color w:val="auto"/>
              </w:rPr>
            </w:pPr>
          </w:p>
        </w:tc>
        <w:tc>
          <w:tcPr>
            <w:tcW w:w="1340" w:type="dxa"/>
            <w:vAlign w:val="bottom"/>
          </w:tcPr>
          <w:p>
            <w:pPr>
              <w:jc w:val="right"/>
              <w:ind w:right="156"/>
              <w:spacing w:after="0"/>
              <w:rPr>
                <w:sz w:val="20"/>
                <w:szCs w:val="20"/>
                <w:color w:val="auto"/>
              </w:rPr>
            </w:pPr>
            <w:r>
              <w:rPr>
                <w:rFonts w:ascii="Arial" w:cs="Arial" w:eastAsia="Arial" w:hAnsi="Arial"/>
                <w:sz w:val="15"/>
                <w:szCs w:val="15"/>
                <w:b w:val="1"/>
                <w:bCs w:val="1"/>
                <w:color w:val="auto"/>
              </w:rPr>
              <w:t>March 31, 2022</w:t>
            </w:r>
          </w:p>
        </w:tc>
      </w:tr>
      <w:tr>
        <w:trPr>
          <w:trHeight w:val="227"/>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collections — non-securitized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44"/>
        </w:trPr>
        <w:tc>
          <w:tcPr>
            <w:tcW w:w="5200" w:type="dxa"/>
            <w:vAlign w:val="bottom"/>
          </w:tcPr>
          <w:p>
            <w:pPr>
              <w:ind w:left="20"/>
              <w:spacing w:after="0"/>
              <w:rPr>
                <w:sz w:val="20"/>
                <w:szCs w:val="20"/>
                <w:color w:val="auto"/>
              </w:rPr>
            </w:pPr>
            <w:r>
              <w:rPr>
                <w:rFonts w:ascii="Arial" w:cs="Arial" w:eastAsia="Arial" w:hAnsi="Arial"/>
                <w:sz w:val="17"/>
                <w:szCs w:val="17"/>
                <w:color w:val="auto"/>
              </w:rPr>
              <w:t>Vacation ownership notes receivable collections — securitized</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originations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11"/>
        </w:trPr>
        <w:tc>
          <w:tcPr>
            <w:tcW w:w="5200" w:type="dxa"/>
            <w:vAlign w:val="bottom"/>
          </w:tcPr>
          <w:p>
            <w:pPr>
              <w:ind w:left="220"/>
              <w:spacing w:after="0"/>
              <w:rPr>
                <w:sz w:val="20"/>
                <w:szCs w:val="20"/>
                <w:color w:val="auto"/>
              </w:rPr>
            </w:pPr>
            <w:r>
              <w:rPr>
                <w:rFonts w:ascii="Arial" w:cs="Arial" w:eastAsia="Arial" w:hAnsi="Arial"/>
                <w:sz w:val="17"/>
                <w:szCs w:val="17"/>
                <w:color w:val="auto"/>
                <w:w w:val="94"/>
              </w:rPr>
              <w:t>Vacation ownership notes receivable collections less than originations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Vacation ownership notes receivable collections were less than originations due to the growth of sales of VOIs in the 2023 first quarter and 2022.</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 of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repurchase activity under our current share repurchase program:</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Number of Shares</w:t>
            </w:r>
          </w:p>
        </w:tc>
        <w:tc>
          <w:tcPr>
            <w:tcW w:w="16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7"/>
              </w:rPr>
              <w:t>Cost Basis of Shares</w:t>
            </w:r>
          </w:p>
        </w:tc>
        <w:tc>
          <w:tcPr>
            <w:tcW w:w="180" w:type="dxa"/>
            <w:vAlign w:val="bottom"/>
          </w:tcPr>
          <w:p>
            <w:pPr>
              <w:spacing w:after="0"/>
              <w:rPr>
                <w:sz w:val="15"/>
                <w:szCs w:val="15"/>
                <w:color w:val="auto"/>
              </w:rPr>
            </w:pPr>
          </w:p>
        </w:tc>
        <w:tc>
          <w:tcPr>
            <w:tcW w:w="1300" w:type="dxa"/>
            <w:vAlign w:val="bottom"/>
          </w:tcPr>
          <w:p>
            <w:pPr>
              <w:jc w:val="right"/>
              <w:ind w:right="198"/>
              <w:spacing w:after="0"/>
              <w:rPr>
                <w:sz w:val="20"/>
                <w:szCs w:val="20"/>
                <w:color w:val="auto"/>
              </w:rPr>
            </w:pPr>
            <w:r>
              <w:rPr>
                <w:rFonts w:ascii="Arial" w:cs="Arial" w:eastAsia="Arial" w:hAnsi="Arial"/>
                <w:sz w:val="15"/>
                <w:szCs w:val="15"/>
                <w:b w:val="1"/>
                <w:bCs w:val="1"/>
                <w:color w:val="auto"/>
                <w:w w:val="99"/>
              </w:rPr>
              <w:t>Average Price</w:t>
            </w:r>
          </w:p>
        </w:tc>
      </w:tr>
      <w:tr>
        <w:trPr>
          <w:trHeight w:val="204"/>
        </w:trPr>
        <w:tc>
          <w:tcPr>
            <w:tcW w:w="3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5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Repurchased</w:t>
            </w: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Repurchased</w:t>
            </w:r>
          </w:p>
        </w:tc>
        <w:tc>
          <w:tcPr>
            <w:tcW w:w="180" w:type="dxa"/>
            <w:vAlign w:val="bottom"/>
          </w:tcPr>
          <w:p>
            <w:pPr>
              <w:spacing w:after="0"/>
              <w:rPr>
                <w:sz w:val="17"/>
                <w:szCs w:val="17"/>
                <w:color w:val="auto"/>
              </w:rPr>
            </w:pPr>
          </w:p>
        </w:tc>
        <w:tc>
          <w:tcPr>
            <w:tcW w:w="1300" w:type="dxa"/>
            <w:vAlign w:val="bottom"/>
          </w:tcPr>
          <w:p>
            <w:pPr>
              <w:jc w:val="right"/>
              <w:ind w:right="158"/>
              <w:spacing w:after="0"/>
              <w:rPr>
                <w:sz w:val="20"/>
                <w:szCs w:val="20"/>
                <w:color w:val="auto"/>
              </w:rPr>
            </w:pPr>
            <w:r>
              <w:rPr>
                <w:rFonts w:ascii="Arial" w:cs="Arial" w:eastAsia="Arial" w:hAnsi="Arial"/>
                <w:sz w:val="15"/>
                <w:szCs w:val="15"/>
                <w:b w:val="1"/>
                <w:bCs w:val="1"/>
                <w:color w:val="auto"/>
                <w:w w:val="98"/>
              </w:rPr>
              <w:t>Paid per Share</w:t>
            </w:r>
          </w:p>
        </w:tc>
      </w:tr>
      <w:tr>
        <w:trPr>
          <w:trHeight w:val="227"/>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2022</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22,773,218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93.06</w:t>
            </w:r>
          </w:p>
        </w:tc>
      </w:tr>
      <w:tr>
        <w:trPr>
          <w:trHeight w:val="244"/>
        </w:trPr>
        <w:tc>
          <w:tcPr>
            <w:tcW w:w="36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 the first quarter of 2023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522,422</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153.71</w:t>
            </w: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March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23,295,640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See Footnote 13 “Shareholders' Equity” to our Financial Statements for further information related to our current share repurchase program.</w:t>
      </w:r>
    </w:p>
    <w:p>
      <w:pPr>
        <w:spacing w:after="0" w:line="28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Payment of Dividends to Common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distributed cash dividends to holders of common stock during the first quarter of 2023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Declaration Date</w:t>
            </w:r>
          </w:p>
        </w:tc>
        <w:tc>
          <w:tcPr>
            <w:tcW w:w="16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Shareholder Record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Distribution Date</w:t>
            </w:r>
          </w:p>
        </w:tc>
        <w:tc>
          <w:tcPr>
            <w:tcW w:w="16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Dividend per Share</w:t>
            </w:r>
          </w:p>
        </w:tc>
      </w:tr>
      <w:tr>
        <w:trPr>
          <w:trHeight w:val="227"/>
        </w:trPr>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0"/>
              </w:rPr>
              <w:t>December 1, 2022</w:t>
            </w:r>
          </w:p>
        </w:tc>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9"/>
              </w:rPr>
              <w:t>December 22, 2022</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0"/>
              </w:rPr>
              <w:t>January 5, 2023</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$0.72</w:t>
            </w:r>
          </w:p>
        </w:tc>
      </w:tr>
      <w:tr>
        <w:trPr>
          <w:trHeight w:val="230"/>
        </w:trPr>
        <w:tc>
          <w:tcPr>
            <w:tcW w:w="212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February 16, 2023</w:t>
            </w:r>
          </w:p>
        </w:tc>
        <w:tc>
          <w:tcPr>
            <w:tcW w:w="2120" w:type="dxa"/>
            <w:vAlign w:val="bottom"/>
            <w:gridSpan w:val="2"/>
          </w:tcPr>
          <w:p>
            <w:pPr>
              <w:jc w:val="center"/>
              <w:ind w:right="160"/>
              <w:spacing w:after="0"/>
              <w:rPr>
                <w:sz w:val="20"/>
                <w:szCs w:val="20"/>
                <w:color w:val="auto"/>
              </w:rPr>
            </w:pPr>
            <w:r>
              <w:rPr>
                <w:rFonts w:ascii="Arial" w:cs="Arial" w:eastAsia="Arial" w:hAnsi="Arial"/>
                <w:sz w:val="17"/>
                <w:szCs w:val="17"/>
                <w:color w:val="auto"/>
                <w:w w:val="91"/>
              </w:rPr>
              <w:t>March 2, 2023</w:t>
            </w:r>
          </w:p>
        </w:tc>
        <w:tc>
          <w:tcPr>
            <w:tcW w:w="214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March 16, 2023</w:t>
            </w:r>
          </w:p>
        </w:tc>
        <w:tc>
          <w:tcPr>
            <w:tcW w:w="1960" w:type="dxa"/>
            <w:vAlign w:val="bottom"/>
          </w:tcPr>
          <w:p>
            <w:pPr>
              <w:jc w:val="center"/>
              <w:spacing w:after="0"/>
              <w:rPr>
                <w:sz w:val="20"/>
                <w:szCs w:val="20"/>
                <w:color w:val="auto"/>
              </w:rPr>
            </w:pPr>
            <w:r>
              <w:rPr>
                <w:rFonts w:ascii="Arial" w:cs="Arial" w:eastAsia="Arial" w:hAnsi="Arial"/>
                <w:sz w:val="17"/>
                <w:szCs w:val="17"/>
                <w:color w:val="auto"/>
                <w:w w:val="93"/>
              </w:rPr>
              <w:t>$0.72</w:t>
            </w:r>
          </w:p>
        </w:tc>
      </w:tr>
    </w:tbl>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currently expect to pay quarterly dividends in the future, but any future dividend payments will be subject to Board of Directors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Cash Requirements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future material cash requirements from known contractual or other obligations as of March 31,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6"/>
          </w:tcPr>
          <w:p>
            <w:pPr>
              <w:ind w:left="80"/>
              <w:spacing w:after="0"/>
              <w:rPr>
                <w:sz w:val="20"/>
                <w:szCs w:val="20"/>
                <w:color w:val="auto"/>
              </w:rPr>
            </w:pPr>
            <w:r>
              <w:rPr>
                <w:rFonts w:ascii="Arial" w:cs="Arial" w:eastAsia="Arial" w:hAnsi="Arial"/>
                <w:sz w:val="15"/>
                <w:szCs w:val="15"/>
                <w:b w:val="1"/>
                <w:bCs w:val="1"/>
                <w:color w:val="auto"/>
                <w:w w:val="97"/>
              </w:rPr>
              <w:t>Payments Due by Period</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Total</w:t>
            </w:r>
          </w:p>
        </w:tc>
        <w:tc>
          <w:tcPr>
            <w:tcW w:w="10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Remainder</w:t>
            </w:r>
          </w:p>
        </w:tc>
        <w:tc>
          <w:tcPr>
            <w:tcW w:w="16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ind w:right="155"/>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2027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15"/>
              <w:spacing w:after="0"/>
              <w:rPr>
                <w:sz w:val="20"/>
                <w:szCs w:val="20"/>
                <w:color w:val="auto"/>
              </w:rPr>
            </w:pPr>
            <w:r>
              <w:rPr>
                <w:rFonts w:ascii="Arial" w:cs="Arial" w:eastAsia="Arial" w:hAnsi="Arial"/>
                <w:sz w:val="15"/>
                <w:szCs w:val="15"/>
                <w:b w:val="1"/>
                <w:bCs w:val="1"/>
                <w:color w:val="auto"/>
                <w:w w:val="92"/>
              </w:rPr>
              <w:t>Thereafter</w:t>
            </w: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of 2023</w:t>
            </w: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Contractual Obligations</w:t>
            </w: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880" w:type="dxa"/>
            <w:vAlign w:val="bottom"/>
          </w:tcPr>
          <w:p>
            <w:pPr>
              <w:ind w:left="100"/>
              <w:spacing w:after="0" w:line="245" w:lineRule="exact"/>
              <w:rPr>
                <w:sz w:val="20"/>
                <w:szCs w:val="20"/>
                <w:color w:val="auto"/>
              </w:rPr>
            </w:pPr>
            <w:r>
              <w:rPr>
                <w:rFonts w:ascii="Arial" w:cs="Arial" w:eastAsia="Arial" w:hAnsi="Arial"/>
                <w:sz w:val="17"/>
                <w:szCs w:val="17"/>
                <w:color w:val="auto"/>
              </w:rPr>
              <w:t>Debt</w:t>
            </w:r>
            <w:r>
              <w:rPr>
                <w:rFonts w:ascii="Arial" w:cs="Arial" w:eastAsia="Arial" w:hAnsi="Arial"/>
                <w:sz w:val="22"/>
                <w:szCs w:val="22"/>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3,431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833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45"/>
        </w:trPr>
        <w:tc>
          <w:tcPr>
            <w:tcW w:w="1880" w:type="dxa"/>
            <w:vAlign w:val="bottom"/>
            <w:shd w:val="clear" w:color="auto" w:fill="CCEEFF"/>
          </w:tcPr>
          <w:p>
            <w:pPr>
              <w:ind w:left="100"/>
              <w:spacing w:after="0" w:line="245" w:lineRule="exact"/>
              <w:rPr>
                <w:sz w:val="20"/>
                <w:szCs w:val="20"/>
                <w:color w:val="auto"/>
              </w:rPr>
            </w:pPr>
            <w:r>
              <w:rPr>
                <w:rFonts w:ascii="Arial" w:cs="Arial" w:eastAsia="Arial" w:hAnsi="Arial"/>
                <w:sz w:val="17"/>
                <w:szCs w:val="17"/>
                <w:color w:val="auto"/>
              </w:rPr>
              <w:t>Securitized debt</w:t>
            </w:r>
            <w:r>
              <w:rPr>
                <w:rFonts w:ascii="Arial" w:cs="Arial" w:eastAsia="Arial" w:hAnsi="Arial"/>
                <w:sz w:val="22"/>
                <w:szCs w:val="22"/>
                <w:color w:val="auto"/>
                <w:vertAlign w:val="superscript"/>
              </w:rPr>
              <w:t>(1)(2)</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0" w:type="dxa"/>
            <w:vAlign w:val="bottom"/>
          </w:tcPr>
          <w:p>
            <w:pPr>
              <w:spacing w:after="0"/>
              <w:rPr>
                <w:sz w:val="1"/>
                <w:szCs w:val="1"/>
                <w:color w:val="auto"/>
              </w:rPr>
            </w:pPr>
          </w:p>
        </w:tc>
      </w:tr>
      <w:tr>
        <w:trPr>
          <w:trHeight w:val="245"/>
        </w:trPr>
        <w:tc>
          <w:tcPr>
            <w:tcW w:w="1880" w:type="dxa"/>
            <w:vAlign w:val="bottom"/>
          </w:tcPr>
          <w:p>
            <w:pPr>
              <w:ind w:left="100"/>
              <w:spacing w:after="0" w:line="245"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(3)</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68"/>
        </w:trPr>
        <w:tc>
          <w:tcPr>
            <w:tcW w:w="1880" w:type="dxa"/>
            <w:vAlign w:val="bottom"/>
            <w:shd w:val="clear" w:color="auto" w:fill="CCEEFF"/>
          </w:tcPr>
          <w:p>
            <w:pPr>
              <w:ind w:left="100"/>
              <w:spacing w:after="0" w:line="168" w:lineRule="exact"/>
              <w:rPr>
                <w:sz w:val="20"/>
                <w:szCs w:val="20"/>
                <w:color w:val="auto"/>
              </w:rPr>
            </w:pPr>
            <w:r>
              <w:rPr>
                <w:rFonts w:ascii="Arial" w:cs="Arial" w:eastAsia="Arial" w:hAnsi="Arial"/>
                <w:sz w:val="17"/>
                <w:szCs w:val="17"/>
                <w:color w:val="auto"/>
              </w:rPr>
              <w:t>Operating lease</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880" w:type="dxa"/>
            <w:vAlign w:val="bottom"/>
            <w:shd w:val="clear" w:color="auto" w:fill="CCEEFF"/>
          </w:tcPr>
          <w:p>
            <w:pPr>
              <w:ind w:left="100"/>
              <w:spacing w:after="0" w:line="231" w:lineRule="exact"/>
              <w:rPr>
                <w:sz w:val="20"/>
                <w:szCs w:val="20"/>
                <w:color w:val="auto"/>
              </w:rPr>
            </w:pPr>
            <w:r>
              <w:rPr>
                <w:rFonts w:ascii="Arial" w:cs="Arial" w:eastAsia="Arial" w:hAnsi="Arial"/>
                <w:sz w:val="17"/>
                <w:szCs w:val="17"/>
                <w:color w:val="auto"/>
              </w:rPr>
              <w:t>obligations</w:t>
            </w:r>
            <w:r>
              <w:rPr>
                <w:rFonts w:ascii="Arial" w:cs="Arial" w:eastAsia="Arial" w:hAnsi="Arial"/>
                <w:sz w:val="22"/>
                <w:szCs w:val="22"/>
                <w:color w:val="auto"/>
                <w:vertAlign w:val="superscript"/>
              </w:rPr>
              <w:t>(4)</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68"/>
        </w:trPr>
        <w:tc>
          <w:tcPr>
            <w:tcW w:w="1880" w:type="dxa"/>
            <w:vAlign w:val="bottom"/>
          </w:tcPr>
          <w:p>
            <w:pPr>
              <w:ind w:left="100"/>
              <w:spacing w:after="0" w:line="168" w:lineRule="exact"/>
              <w:rPr>
                <w:sz w:val="20"/>
                <w:szCs w:val="20"/>
                <w:color w:val="auto"/>
              </w:rPr>
            </w:pPr>
            <w:r>
              <w:rPr>
                <w:rFonts w:ascii="Arial" w:cs="Arial" w:eastAsia="Arial" w:hAnsi="Arial"/>
                <w:sz w:val="17"/>
                <w:szCs w:val="17"/>
                <w:color w:val="auto"/>
              </w:rPr>
              <w:t>Finance lease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880" w:type="dxa"/>
            <w:vAlign w:val="bottom"/>
          </w:tcPr>
          <w:p>
            <w:pPr>
              <w:ind w:left="100"/>
              <w:spacing w:after="0" w:line="231" w:lineRule="exact"/>
              <w:rPr>
                <w:sz w:val="20"/>
                <w:szCs w:val="20"/>
                <w:color w:val="auto"/>
              </w:rPr>
            </w:pPr>
            <w:r>
              <w:rPr>
                <w:rFonts w:ascii="Arial" w:cs="Arial" w:eastAsia="Arial" w:hAnsi="Arial"/>
                <w:sz w:val="17"/>
                <w:szCs w:val="17"/>
                <w:color w:val="auto"/>
              </w:rPr>
              <w:t>obligations</w:t>
            </w:r>
            <w:r>
              <w:rPr>
                <w:rFonts w:ascii="Arial" w:cs="Arial" w:eastAsia="Arial" w:hAnsi="Arial"/>
                <w:sz w:val="22"/>
                <w:szCs w:val="22"/>
                <w:color w:val="auto"/>
                <w:vertAlign w:val="superscript"/>
              </w:rPr>
              <w:t>(4)(5)</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168"/>
        </w:trPr>
        <w:tc>
          <w:tcPr>
            <w:tcW w:w="1880" w:type="dxa"/>
            <w:vAlign w:val="bottom"/>
            <w:shd w:val="clear" w:color="auto" w:fill="CCEEFF"/>
          </w:tcPr>
          <w:p>
            <w:pPr>
              <w:ind w:left="100"/>
              <w:spacing w:after="0" w:line="168" w:lineRule="exact"/>
              <w:rPr>
                <w:sz w:val="20"/>
                <w:szCs w:val="20"/>
                <w:color w:val="auto"/>
              </w:rPr>
            </w:pPr>
            <w:r>
              <w:rPr>
                <w:rFonts w:ascii="Arial" w:cs="Arial" w:eastAsia="Arial" w:hAnsi="Arial"/>
                <w:sz w:val="17"/>
                <w:szCs w:val="17"/>
                <w:color w:val="auto"/>
              </w:rPr>
              <w:t>Other long-term</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880" w:type="dxa"/>
            <w:vAlign w:val="bottom"/>
            <w:shd w:val="clear" w:color="auto" w:fill="CCEEFF"/>
          </w:tcPr>
          <w:p>
            <w:pPr>
              <w:ind w:left="100"/>
              <w:spacing w:after="0" w:line="231" w:lineRule="exact"/>
              <w:rPr>
                <w:sz w:val="20"/>
                <w:szCs w:val="20"/>
                <w:color w:val="auto"/>
              </w:rPr>
            </w:pPr>
            <w:r>
              <w:rPr>
                <w:rFonts w:ascii="Arial" w:cs="Arial" w:eastAsia="Arial" w:hAnsi="Arial"/>
                <w:sz w:val="17"/>
                <w:szCs w:val="17"/>
                <w:color w:val="auto"/>
              </w:rPr>
              <w:t>obligations</w:t>
            </w:r>
            <w:r>
              <w:rPr>
                <w:rFonts w:ascii="Arial" w:cs="Arial" w:eastAsia="Arial" w:hAnsi="Arial"/>
                <w:sz w:val="22"/>
                <w:szCs w:val="22"/>
                <w:color w:val="auto"/>
                <w:vertAlign w:val="superscript"/>
              </w:rPr>
              <w:t>(6)</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1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11120"/>
          </w:cols>
          <w:pgMar w:left="320" w:top="230" w:right="45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principal as well as interest payments and excludes unamortized debt discount and issuance costs.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Payments based on estimated timing of cash flow associated with securitized notes receivable.</w:t>
      </w:r>
    </w:p>
    <w:p>
      <w:pPr>
        <w:spacing w:after="0" w:line="62" w:lineRule="exact"/>
        <w:rPr>
          <w:sz w:val="20"/>
          <w:szCs w:val="20"/>
          <w:color w:val="auto"/>
        </w:rPr>
      </w:pPr>
    </w:p>
    <w:p>
      <w:pPr>
        <w:ind w:left="20" w:right="120" w:hanging="11"/>
        <w:spacing w:after="0" w:line="290" w:lineRule="auto"/>
        <w:rPr>
          <w:sz w:val="20"/>
          <w:szCs w:val="20"/>
          <w:color w:val="auto"/>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Includes interest.</w:t>
      </w:r>
    </w:p>
    <w:p>
      <w:pPr>
        <w:spacing w:after="0" w:line="62" w:lineRule="exact"/>
        <w:rPr>
          <w:sz w:val="20"/>
          <w:szCs w:val="20"/>
          <w:color w:val="auto"/>
        </w:rPr>
      </w:pPr>
    </w:p>
    <w:p>
      <w:pPr>
        <w:ind w:left="20" w:hanging="11"/>
        <w:spacing w:after="0" w:line="266" w:lineRule="auto"/>
        <w:rPr>
          <w:sz w:val="20"/>
          <w:szCs w:val="20"/>
          <w:color w:val="auto"/>
        </w:rPr>
      </w:pPr>
      <w:r>
        <w:rPr>
          <w:rFonts w:ascii="Arial" w:cs="Arial" w:eastAsia="Arial" w:hAnsi="Arial"/>
          <w:sz w:val="17"/>
          <w:szCs w:val="17"/>
          <w:color w:val="auto"/>
        </w:rPr>
        <w:t>The lease term of the finance lease arrangement for our new global headquarters office building located in Orlando, Florida commenced for accounting purposes during the first quarter of 2023, upon substantial completion of construction. See Footnote 12 “Debt” to our Financial Statements for additional information on this lease.</w:t>
      </w:r>
    </w:p>
    <w:p>
      <w:pPr>
        <w:spacing w:after="0" w:line="20" w:lineRule="exact"/>
        <w:rPr>
          <w:sz w:val="20"/>
          <w:szCs w:val="20"/>
          <w:color w:val="auto"/>
        </w:rPr>
      </w:pPr>
    </w:p>
    <w:p>
      <w:pPr>
        <w:ind w:left="20" w:right="120" w:hanging="11"/>
        <w:spacing w:after="0" w:line="266" w:lineRule="auto"/>
        <w:rPr>
          <w:sz w:val="20"/>
          <w:szCs w:val="20"/>
          <w:color w:val="auto"/>
        </w:rPr>
      </w:pPr>
      <w:r>
        <w:rPr>
          <w:rFonts w:ascii="Arial" w:cs="Arial" w:eastAsia="Arial" w:hAnsi="Arial"/>
          <w:sz w:val="17"/>
          <w:szCs w:val="17"/>
          <w:color w:val="auto"/>
        </w:rPr>
        <w:t>Primarily relates to future guaranteed purchases of rental inventory of $6 million and our commitment to an owners’ association that we manage to pay for any shortfall between the actual expenses incurred by the owners’ association and the income received by the owners’ association, in lieu of maintenance fees, of $7 million.</w:t>
      </w:r>
    </w:p>
    <w:p>
      <w:pPr>
        <w:spacing w:after="0" w:line="71" w:lineRule="exact"/>
        <w:rPr>
          <w:sz w:val="20"/>
          <w:szCs w:val="20"/>
          <w:color w:val="auto"/>
        </w:rPr>
      </w:pPr>
    </w:p>
    <w:p>
      <w:pPr>
        <w:sectPr>
          <w:pgSz w:w="11900" w:h="16838" w:orient="portrait"/>
          <w:cols w:equalWidth="0" w:num="2">
            <w:col w:w="140" w:space="460"/>
            <w:col w:w="10520"/>
          </w:cols>
          <w:pgMar w:left="320" w:top="230" w:right="459" w:bottom="1440" w:gutter="0" w:footer="0" w:header="0"/>
          <w:type w:val="continuous"/>
        </w:sectPr>
      </w:pPr>
    </w:p>
    <w:p>
      <w:pPr>
        <w:ind w:right="20"/>
        <w:spacing w:after="0" w:line="266" w:lineRule="auto"/>
        <w:rPr>
          <w:sz w:val="20"/>
          <w:szCs w:val="20"/>
          <w:color w:val="auto"/>
        </w:rPr>
      </w:pPr>
      <w:r>
        <w:rPr>
          <w:rFonts w:ascii="Arial" w:cs="Arial" w:eastAsia="Arial" w:hAnsi="Arial"/>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resorts, these obligations have minimal impact on our net income and cash flow. These purchase commitments are excluded from the table above.</w:t>
      </w: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Supplemental Guarantor Information</w:t>
      </w:r>
    </w:p>
    <w:p>
      <w:pPr>
        <w:spacing w:after="0" w:line="114" w:lineRule="exact"/>
        <w:rPr>
          <w:sz w:val="20"/>
          <w:szCs w:val="20"/>
          <w:color w:val="auto"/>
        </w:rPr>
      </w:pPr>
    </w:p>
    <w:p>
      <w:pPr>
        <w:jc w:val="both"/>
        <w:ind w:right="140"/>
        <w:spacing w:after="0" w:line="317" w:lineRule="auto"/>
        <w:rPr>
          <w:sz w:val="20"/>
          <w:szCs w:val="20"/>
          <w:color w:val="auto"/>
        </w:rPr>
      </w:pPr>
      <w:r>
        <w:rPr>
          <w:rFonts w:ascii="Arial" w:cs="Arial" w:eastAsia="Arial" w:hAnsi="Arial"/>
          <w:sz w:val="15"/>
          <w:szCs w:val="15"/>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3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following tables present consolidating financial information as of March 31, 2023 and December 31, 2022, and for the three months ended March 31, 2023 for MVWC and MORI on a stand-alone basis (collectively, the “Issuers”), the Senior Notes Guarantors, the combined non-guarantor subsidiaries of MVWC, and MVW on a consolidated basis.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Condensed Consolidating Balance Sheet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5"/>
                <w:szCs w:val="15"/>
                <w:b w:val="1"/>
                <w:bCs w:val="1"/>
                <w:color w:val="auto"/>
              </w:rPr>
              <w:t>As of March 31, 2023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Issuers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Non-</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line="135" w:lineRule="exact"/>
              <w:rPr>
                <w:sz w:val="20"/>
                <w:szCs w:val="20"/>
                <w:color w:val="auto"/>
              </w:rPr>
            </w:pPr>
            <w:r>
              <w:rPr>
                <w:rFonts w:ascii="Arial" w:cs="Arial" w:eastAsia="Arial" w:hAnsi="Arial"/>
                <w:sz w:val="15"/>
                <w:szCs w:val="15"/>
                <w:b w:val="1"/>
                <w:bCs w:val="1"/>
                <w:color w:val="auto"/>
                <w:w w:val="90"/>
              </w:rPr>
              <w:t>Senior Notes</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5"/>
                <w:szCs w:val="15"/>
                <w:b w:val="1"/>
                <w:bCs w:val="1"/>
                <w:color w:val="auto"/>
                <w:w w:val="99"/>
              </w:rPr>
              <w:t>Guarantor</w:t>
            </w:r>
          </w:p>
        </w:tc>
        <w:tc>
          <w:tcPr>
            <w:tcW w:w="220" w:type="dxa"/>
            <w:vAlign w:val="bottom"/>
          </w:tcPr>
          <w:p>
            <w:pPr>
              <w:spacing w:after="0"/>
              <w:rPr>
                <w:sz w:val="12"/>
                <w:szCs w:val="12"/>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5"/>
                <w:szCs w:val="15"/>
                <w:b w:val="1"/>
                <w:bCs w:val="1"/>
                <w:color w:val="auto"/>
              </w:rPr>
              <w:t>Total</w:t>
            </w:r>
          </w:p>
        </w:tc>
        <w:tc>
          <w:tcPr>
            <w:tcW w:w="200" w:type="dxa"/>
            <w:vAlign w:val="bottom"/>
          </w:tcPr>
          <w:p>
            <w:pPr>
              <w:spacing w:after="0"/>
              <w:rPr>
                <w:sz w:val="12"/>
                <w:szCs w:val="12"/>
                <w:color w:val="auto"/>
              </w:rPr>
            </w:pPr>
          </w:p>
        </w:tc>
        <w:tc>
          <w:tcPr>
            <w:tcW w:w="3740" w:type="dxa"/>
            <w:vAlign w:val="bottom"/>
            <w:gridSpan w:val="2"/>
          </w:tcPr>
          <w:p>
            <w:pPr>
              <w:jc w:val="center"/>
              <w:ind w:right="3100"/>
              <w:spacing w:after="0" w:line="135" w:lineRule="exact"/>
              <w:rPr>
                <w:sz w:val="20"/>
                <w:szCs w:val="20"/>
                <w:color w:val="auto"/>
              </w:rPr>
            </w:pPr>
            <w:r>
              <w:rPr>
                <w:rFonts w:ascii="Arial" w:cs="Arial" w:eastAsia="Arial" w:hAnsi="Arial"/>
                <w:sz w:val="15"/>
                <w:szCs w:val="15"/>
                <w:b w:val="1"/>
                <w:bCs w:val="1"/>
                <w:color w:val="auto"/>
              </w:rPr>
              <w:t>MVW</w:t>
            </w:r>
          </w:p>
        </w:tc>
        <w:tc>
          <w:tcPr>
            <w:tcW w:w="0" w:type="dxa"/>
            <w:vAlign w:val="bottom"/>
          </w:tcPr>
          <w:p>
            <w:pPr>
              <w:spacing w:after="0"/>
              <w:rPr>
                <w:sz w:val="1"/>
                <w:szCs w:val="1"/>
                <w:color w:val="auto"/>
              </w:rPr>
            </w:pPr>
          </w:p>
        </w:tc>
      </w:tr>
      <w:tr>
        <w:trPr>
          <w:trHeight w:val="197"/>
        </w:trPr>
        <w:tc>
          <w:tcPr>
            <w:tcW w:w="1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MVWC</w:t>
            </w:r>
          </w:p>
        </w:tc>
        <w:tc>
          <w:tcPr>
            <w:tcW w:w="2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MORI</w:t>
            </w: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Guarantors</w:t>
            </w: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1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Eliminations</w:t>
            </w:r>
          </w:p>
        </w:tc>
        <w:tc>
          <w:tcPr>
            <w:tcW w:w="3940" w:type="dxa"/>
            <w:vAlign w:val="bottom"/>
            <w:gridSpan w:val="3"/>
          </w:tcPr>
          <w:p>
            <w:pPr>
              <w:jc w:val="center"/>
              <w:ind w:right="2900"/>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63"/>
        </w:trPr>
        <w:tc>
          <w:tcPr>
            <w:tcW w:w="176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7"/>
                <w:szCs w:val="17"/>
                <w:color w:val="auto"/>
              </w:rPr>
              <w:t>Cash and cash</w:t>
            </w: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268</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w w:val="97"/>
              </w:rPr>
              <w:t>Accounts and contracts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 net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line="180" w:lineRule="exact"/>
              <w:rPr>
                <w:sz w:val="20"/>
                <w:szCs w:val="20"/>
                <w:color w:val="auto"/>
              </w:rPr>
            </w:pPr>
            <w:r>
              <w:rPr>
                <w:rFonts w:ascii="Arial" w:cs="Arial" w:eastAsia="Arial" w:hAnsi="Arial"/>
                <w:sz w:val="17"/>
                <w:szCs w:val="17"/>
                <w:color w:val="auto"/>
              </w:rPr>
              <w:t>Vacation ownership</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760" w:type="dxa"/>
            <w:vAlign w:val="bottom"/>
          </w:tcPr>
          <w:p>
            <w:pPr>
              <w:ind w:left="20"/>
              <w:spacing w:after="0"/>
              <w:rPr>
                <w:sz w:val="20"/>
                <w:szCs w:val="20"/>
                <w:color w:val="auto"/>
              </w:rPr>
            </w:pPr>
            <w:r>
              <w:rPr>
                <w:rFonts w:ascii="Arial" w:cs="Arial" w:eastAsia="Arial" w:hAnsi="Arial"/>
                <w:sz w:val="17"/>
                <w:szCs w:val="17"/>
                <w:color w:val="auto"/>
              </w:rPr>
              <w:t>notes receivable, net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1,886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2,220</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line="180" w:lineRule="exact"/>
              <w:rPr>
                <w:sz w:val="20"/>
                <w:szCs w:val="20"/>
                <w:color w:val="auto"/>
              </w:rPr>
            </w:pPr>
            <w:r>
              <w:rPr>
                <w:rFonts w:ascii="Arial" w:cs="Arial" w:eastAsia="Arial" w:hAnsi="Arial"/>
                <w:sz w:val="17"/>
                <w:szCs w:val="17"/>
                <w:color w:val="auto"/>
                <w:w w:val="92"/>
              </w:rPr>
              <w:t>Property and equipment,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20"/>
              <w:spacing w:after="0"/>
              <w:rPr>
                <w:sz w:val="20"/>
                <w:szCs w:val="20"/>
                <w:color w:val="auto"/>
              </w:rPr>
            </w:pPr>
            <w:r>
              <w:rPr>
                <w:rFonts w:ascii="Arial" w:cs="Arial" w:eastAsia="Arial" w:hAnsi="Arial"/>
                <w:sz w:val="17"/>
                <w:szCs w:val="17"/>
                <w:color w:val="auto"/>
              </w:rPr>
              <w:t>net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1,215</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866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898</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Investments in</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subsidiaries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9,602</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Advance deposits</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178</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448</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Payroll and benefits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line="180" w:lineRule="exact"/>
              <w:rPr>
                <w:sz w:val="20"/>
                <w:szCs w:val="20"/>
                <w:color w:val="auto"/>
              </w:rPr>
            </w:pPr>
            <w:r>
              <w:rPr>
                <w:rFonts w:ascii="Arial" w:cs="Arial" w:eastAsia="Arial" w:hAnsi="Arial"/>
                <w:sz w:val="17"/>
                <w:szCs w:val="17"/>
                <w:color w:val="auto"/>
                <w:w w:val="97"/>
              </w:rPr>
              <w:t>Deferred compensation</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20"/>
              <w:spacing w:after="0"/>
              <w:rPr>
                <w:sz w:val="20"/>
                <w:szCs w:val="20"/>
                <w:color w:val="auto"/>
              </w:rPr>
            </w:pPr>
            <w:r>
              <w:rPr>
                <w:rFonts w:ascii="Arial" w:cs="Arial" w:eastAsia="Arial" w:hAnsi="Arial"/>
                <w:sz w:val="17"/>
                <w:szCs w:val="17"/>
                <w:color w:val="auto"/>
              </w:rPr>
              <w:t>liability</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147</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Debt, net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1,127</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3,129</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339</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MVW shareholders'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2,478</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w w:val="96"/>
              </w:rPr>
              <w:t>Noncontrolling interests</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176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7"/>
                <w:szCs w:val="17"/>
                <w:color w:val="auto"/>
              </w:rPr>
              <w:t>Total liabilities and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5,015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5,885</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2,821</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(7,756)</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9,602</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equity</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15"/>
                <w:szCs w:val="15"/>
                <w:b w:val="1"/>
                <w:bCs w:val="1"/>
                <w:color w:val="auto"/>
                <w:w w:val="92"/>
              </w:rPr>
              <w:t>As of December 31, 2022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5"/>
                <w:szCs w:val="15"/>
                <w:b w:val="1"/>
                <w:bCs w:val="1"/>
                <w:color w:val="auto"/>
              </w:rPr>
              <w:t>Issuers</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Non-</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5"/>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center"/>
              <w:ind w:right="140"/>
              <w:spacing w:after="0" w:line="135" w:lineRule="exact"/>
              <w:rPr>
                <w:sz w:val="20"/>
                <w:szCs w:val="20"/>
                <w:color w:val="auto"/>
              </w:rPr>
            </w:pPr>
            <w:r>
              <w:rPr>
                <w:rFonts w:ascii="Arial" w:cs="Arial" w:eastAsia="Arial" w:hAnsi="Arial"/>
                <w:sz w:val="15"/>
                <w:szCs w:val="15"/>
                <w:b w:val="1"/>
                <w:bCs w:val="1"/>
                <w:color w:val="auto"/>
                <w:w w:val="90"/>
              </w:rPr>
              <w:t>Senior Notes</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5"/>
                <w:szCs w:val="15"/>
                <w:b w:val="1"/>
                <w:bCs w:val="1"/>
                <w:color w:val="auto"/>
                <w:w w:val="99"/>
              </w:rPr>
              <w:t>Guarantor</w:t>
            </w:r>
          </w:p>
        </w:tc>
        <w:tc>
          <w:tcPr>
            <w:tcW w:w="260" w:type="dxa"/>
            <w:vAlign w:val="bottom"/>
          </w:tcPr>
          <w:p>
            <w:pPr>
              <w:spacing w:after="0"/>
              <w:rPr>
                <w:sz w:val="12"/>
                <w:szCs w:val="12"/>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5"/>
                <w:szCs w:val="15"/>
                <w:b w:val="1"/>
                <w:bCs w:val="1"/>
                <w:color w:val="auto"/>
              </w:rPr>
              <w:t>Total</w:t>
            </w:r>
          </w:p>
        </w:tc>
        <w:tc>
          <w:tcPr>
            <w:tcW w:w="200" w:type="dxa"/>
            <w:vAlign w:val="bottom"/>
          </w:tcPr>
          <w:p>
            <w:pPr>
              <w:spacing w:after="0"/>
              <w:rPr>
                <w:sz w:val="12"/>
                <w:szCs w:val="12"/>
                <w:color w:val="auto"/>
              </w:rPr>
            </w:pPr>
          </w:p>
        </w:tc>
        <w:tc>
          <w:tcPr>
            <w:tcW w:w="3740" w:type="dxa"/>
            <w:vAlign w:val="bottom"/>
            <w:gridSpan w:val="2"/>
          </w:tcPr>
          <w:p>
            <w:pPr>
              <w:jc w:val="center"/>
              <w:ind w:right="3100"/>
              <w:spacing w:after="0" w:line="135" w:lineRule="exact"/>
              <w:rPr>
                <w:sz w:val="20"/>
                <w:szCs w:val="20"/>
                <w:color w:val="auto"/>
              </w:rPr>
            </w:pPr>
            <w:r>
              <w:rPr>
                <w:rFonts w:ascii="Arial" w:cs="Arial" w:eastAsia="Arial" w:hAnsi="Arial"/>
                <w:sz w:val="15"/>
                <w:szCs w:val="15"/>
                <w:b w:val="1"/>
                <w:bCs w:val="1"/>
                <w:color w:val="auto"/>
              </w:rPr>
              <w:t>MVW</w:t>
            </w:r>
          </w:p>
        </w:tc>
        <w:tc>
          <w:tcPr>
            <w:tcW w:w="0" w:type="dxa"/>
            <w:vAlign w:val="bottom"/>
          </w:tcPr>
          <w:p>
            <w:pPr>
              <w:spacing w:after="0"/>
              <w:rPr>
                <w:sz w:val="1"/>
                <w:szCs w:val="1"/>
                <w:color w:val="auto"/>
              </w:rPr>
            </w:pPr>
          </w:p>
        </w:tc>
      </w:tr>
      <w:tr>
        <w:trPr>
          <w:trHeight w:val="197"/>
        </w:trPr>
        <w:tc>
          <w:tcPr>
            <w:tcW w:w="1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Arial" w:cs="Arial" w:eastAsia="Arial" w:hAnsi="Arial"/>
                <w:sz w:val="15"/>
                <w:szCs w:val="15"/>
                <w:b w:val="1"/>
                <w:bCs w:val="1"/>
                <w:color w:val="auto"/>
              </w:rPr>
              <w:t>MVWC</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5"/>
                <w:szCs w:val="15"/>
                <w:b w:val="1"/>
                <w:bCs w:val="1"/>
                <w:color w:val="auto"/>
              </w:rPr>
              <w:t>MORI</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3"/>
              </w:rPr>
              <w:t>Guarantors</w:t>
            </w: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1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Eliminations</w:t>
            </w:r>
          </w:p>
        </w:tc>
        <w:tc>
          <w:tcPr>
            <w:tcW w:w="3940" w:type="dxa"/>
            <w:vAlign w:val="bottom"/>
            <w:gridSpan w:val="3"/>
          </w:tcPr>
          <w:p>
            <w:pPr>
              <w:jc w:val="center"/>
              <w:ind w:right="2900"/>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50"/>
        </w:trPr>
        <w:tc>
          <w:tcPr>
            <w:tcW w:w="176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Cash and cash</w:t>
            </w: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330</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7"/>
              </w:rPr>
              <w:t>Accounts and contracts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 net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line="168" w:lineRule="exact"/>
              <w:rPr>
                <w:sz w:val="20"/>
                <w:szCs w:val="20"/>
                <w:color w:val="auto"/>
              </w:rPr>
            </w:pPr>
            <w:r>
              <w:rPr>
                <w:rFonts w:ascii="Arial" w:cs="Arial" w:eastAsia="Arial" w:hAnsi="Arial"/>
                <w:sz w:val="17"/>
                <w:szCs w:val="17"/>
                <w:color w:val="auto"/>
              </w:rPr>
              <w:t>Vacation ownership</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7"/>
                <w:szCs w:val="17"/>
                <w:color w:val="auto"/>
              </w:rPr>
              <w:t>notes receivable, net</w:t>
            </w:r>
          </w:p>
        </w:tc>
        <w:tc>
          <w:tcPr>
            <w:tcW w:w="16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1,871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2,198</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line="168" w:lineRule="exact"/>
              <w:rPr>
                <w:sz w:val="20"/>
                <w:szCs w:val="20"/>
                <w:color w:val="auto"/>
              </w:rPr>
            </w:pPr>
            <w:r>
              <w:rPr>
                <w:rFonts w:ascii="Arial" w:cs="Arial" w:eastAsia="Arial" w:hAnsi="Arial"/>
                <w:sz w:val="17"/>
                <w:szCs w:val="17"/>
                <w:color w:val="auto"/>
                <w:w w:val="92"/>
              </w:rPr>
              <w:t>Property and equipment,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tcPr>
          <w:p>
            <w:pPr>
              <w:ind w:left="20"/>
              <w:spacing w:after="0"/>
              <w:rPr>
                <w:sz w:val="20"/>
                <w:szCs w:val="20"/>
                <w:color w:val="auto"/>
              </w:rPr>
            </w:pPr>
            <w:r>
              <w:rPr>
                <w:rFonts w:ascii="Arial" w:cs="Arial" w:eastAsia="Arial" w:hAnsi="Arial"/>
                <w:sz w:val="17"/>
                <w:szCs w:val="17"/>
                <w:color w:val="auto"/>
              </w:rPr>
              <w:t>net</w:t>
            </w:r>
          </w:p>
        </w:tc>
        <w:tc>
          <w:tcPr>
            <w:tcW w:w="16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1,139</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16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911</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Investments in</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subsidiaries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2,738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Advance deposits</w:t>
            </w:r>
          </w:p>
        </w:tc>
        <w:tc>
          <w:tcPr>
            <w:tcW w:w="16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158</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344</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Payroll and benefits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w:t>
            </w: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line="168" w:lineRule="exact"/>
              <w:rPr>
                <w:sz w:val="20"/>
                <w:szCs w:val="20"/>
                <w:color w:val="auto"/>
              </w:rPr>
            </w:pPr>
            <w:r>
              <w:rPr>
                <w:rFonts w:ascii="Arial" w:cs="Arial" w:eastAsia="Arial" w:hAnsi="Arial"/>
                <w:sz w:val="17"/>
                <w:szCs w:val="17"/>
                <w:color w:val="auto"/>
                <w:w w:val="97"/>
              </w:rPr>
              <w:t>Deferred compensation</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tcPr>
          <w:p>
            <w:pPr>
              <w:ind w:left="20"/>
              <w:spacing w:after="0"/>
              <w:rPr>
                <w:sz w:val="20"/>
                <w:szCs w:val="20"/>
                <w:color w:val="auto"/>
              </w:rPr>
            </w:pPr>
            <w:r>
              <w:rPr>
                <w:rFonts w:ascii="Arial" w:cs="Arial" w:eastAsia="Arial" w:hAnsi="Arial"/>
                <w:sz w:val="17"/>
                <w:szCs w:val="17"/>
                <w:color w:val="auto"/>
              </w:rPr>
              <w:t>liability</w:t>
            </w:r>
          </w:p>
        </w:tc>
        <w:tc>
          <w:tcPr>
            <w:tcW w:w="16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139</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1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Debt, net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1,125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1,876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3,088</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6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331</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MVW shareholders'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6"/>
              </w:rPr>
              <w:t>Noncontrolling interests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Total liabilities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3,683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2,738</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(7,593)</w:t>
            </w:r>
          </w:p>
        </w:tc>
        <w:tc>
          <w:tcPr>
            <w:tcW w:w="14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720" w:type="dxa"/>
            <w:vAlign w:val="bottom"/>
            <w:gridSpan w:val="9"/>
          </w:tcPr>
          <w:p>
            <w:pPr>
              <w:spacing w:after="0"/>
              <w:rPr>
                <w:sz w:val="20"/>
                <w:szCs w:val="20"/>
                <w:color w:val="auto"/>
              </w:rPr>
            </w:pPr>
            <w:r>
              <w:rPr>
                <w:rFonts w:ascii="Arial" w:cs="Arial" w:eastAsia="Arial" w:hAnsi="Arial"/>
                <w:sz w:val="17"/>
                <w:szCs w:val="17"/>
                <w:i w:val="1"/>
                <w:iCs w:val="1"/>
                <w:color w:val="auto"/>
              </w:rPr>
              <w:t>Condensed Consolidating Statement of Income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0"/>
          </w:tcPr>
          <w:p>
            <w:pPr>
              <w:jc w:val="center"/>
              <w:spacing w:after="0"/>
              <w:rPr>
                <w:sz w:val="20"/>
                <w:szCs w:val="20"/>
                <w:color w:val="auto"/>
              </w:rPr>
            </w:pPr>
            <w:r>
              <w:rPr>
                <w:rFonts w:ascii="Arial" w:cs="Arial" w:eastAsia="Arial" w:hAnsi="Arial"/>
                <w:sz w:val="15"/>
                <w:szCs w:val="15"/>
                <w:b w:val="1"/>
                <w:bCs w:val="1"/>
                <w:color w:val="auto"/>
                <w:w w:val="95"/>
              </w:rPr>
              <w:t>Three Months Ended March 31, 2023</w:t>
            </w: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5"/>
                <w:szCs w:val="15"/>
                <w:b w:val="1"/>
                <w:bCs w:val="1"/>
                <w:color w:val="auto"/>
              </w:rPr>
              <w:t>Issuers</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Non-</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5"/>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center"/>
              <w:ind w:right="160"/>
              <w:spacing w:after="0" w:line="135" w:lineRule="exact"/>
              <w:rPr>
                <w:sz w:val="20"/>
                <w:szCs w:val="20"/>
                <w:color w:val="auto"/>
              </w:rPr>
            </w:pPr>
            <w:r>
              <w:rPr>
                <w:rFonts w:ascii="Arial" w:cs="Arial" w:eastAsia="Arial" w:hAnsi="Arial"/>
                <w:sz w:val="15"/>
                <w:szCs w:val="15"/>
                <w:b w:val="1"/>
                <w:bCs w:val="1"/>
                <w:color w:val="auto"/>
                <w:w w:val="88"/>
              </w:rPr>
              <w:t>Senior Notes</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5"/>
                <w:szCs w:val="15"/>
                <w:b w:val="1"/>
                <w:bCs w:val="1"/>
                <w:color w:val="auto"/>
                <w:w w:val="99"/>
              </w:rPr>
              <w:t>Guarantor</w:t>
            </w:r>
          </w:p>
        </w:tc>
        <w:tc>
          <w:tcPr>
            <w:tcW w:w="260" w:type="dxa"/>
            <w:vAlign w:val="bottom"/>
          </w:tcPr>
          <w:p>
            <w:pPr>
              <w:spacing w:after="0"/>
              <w:rPr>
                <w:sz w:val="12"/>
                <w:szCs w:val="12"/>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5"/>
                <w:szCs w:val="15"/>
                <w:b w:val="1"/>
                <w:bCs w:val="1"/>
                <w:color w:val="auto"/>
              </w:rPr>
              <w:t>Total</w:t>
            </w:r>
          </w:p>
        </w:tc>
        <w:tc>
          <w:tcPr>
            <w:tcW w:w="200" w:type="dxa"/>
            <w:vAlign w:val="bottom"/>
          </w:tcPr>
          <w:p>
            <w:pPr>
              <w:spacing w:after="0"/>
              <w:rPr>
                <w:sz w:val="12"/>
                <w:szCs w:val="12"/>
                <w:color w:val="auto"/>
              </w:rPr>
            </w:pPr>
          </w:p>
        </w:tc>
        <w:tc>
          <w:tcPr>
            <w:tcW w:w="3740" w:type="dxa"/>
            <w:vAlign w:val="bottom"/>
            <w:gridSpan w:val="2"/>
          </w:tcPr>
          <w:p>
            <w:pPr>
              <w:jc w:val="center"/>
              <w:ind w:right="3100"/>
              <w:spacing w:after="0" w:line="135" w:lineRule="exact"/>
              <w:rPr>
                <w:sz w:val="20"/>
                <w:szCs w:val="20"/>
                <w:color w:val="auto"/>
              </w:rPr>
            </w:pPr>
            <w:r>
              <w:rPr>
                <w:rFonts w:ascii="Arial" w:cs="Arial" w:eastAsia="Arial" w:hAnsi="Arial"/>
                <w:sz w:val="15"/>
                <w:szCs w:val="15"/>
                <w:b w:val="1"/>
                <w:bCs w:val="1"/>
                <w:color w:val="auto"/>
              </w:rPr>
              <w:t>MVW</w:t>
            </w:r>
          </w:p>
        </w:tc>
        <w:tc>
          <w:tcPr>
            <w:tcW w:w="0" w:type="dxa"/>
            <w:vAlign w:val="bottom"/>
          </w:tcPr>
          <w:p>
            <w:pPr>
              <w:spacing w:after="0"/>
              <w:rPr>
                <w:sz w:val="1"/>
                <w:szCs w:val="1"/>
                <w:color w:val="auto"/>
              </w:rPr>
            </w:pPr>
          </w:p>
        </w:tc>
      </w:tr>
      <w:tr>
        <w:trPr>
          <w:trHeight w:val="197"/>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MVWC</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MORI</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96"/>
              </w:rPr>
              <w:t>Guarantors</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5"/>
                <w:szCs w:val="15"/>
                <w:b w:val="1"/>
                <w:bCs w:val="1"/>
                <w:color w:val="auto"/>
              </w:rPr>
              <w:t>Eliminations</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Consolidated</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760" w:type="dxa"/>
            <w:vAlign w:val="bottom"/>
          </w:tcPr>
          <w:p>
            <w:pPr>
              <w:ind w:left="20"/>
              <w:spacing w:after="0"/>
              <w:rPr>
                <w:sz w:val="20"/>
                <w:szCs w:val="20"/>
                <w:color w:val="auto"/>
              </w:rPr>
            </w:pPr>
            <w:r>
              <w:rPr>
                <w:rFonts w:ascii="Arial" w:cs="Arial" w:eastAsia="Arial" w:hAnsi="Arial"/>
                <w:sz w:val="17"/>
                <w:szCs w:val="17"/>
                <w:color w:val="auto"/>
              </w:rPr>
              <w:t>Expenses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(1,041)</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Provision for income</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line="168" w:lineRule="exact"/>
              <w:rPr>
                <w:sz w:val="20"/>
                <w:szCs w:val="20"/>
                <w:color w:val="auto"/>
              </w:rPr>
            </w:pPr>
            <w:r>
              <w:rPr>
                <w:rFonts w:ascii="Arial" w:cs="Arial" w:eastAsia="Arial" w:hAnsi="Arial"/>
                <w:sz w:val="17"/>
                <w:szCs w:val="17"/>
                <w:color w:val="auto"/>
              </w:rPr>
              <w:t>Equity in net income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tcPr>
          <w:p>
            <w:pPr>
              <w:ind w:left="20"/>
              <w:spacing w:after="0"/>
              <w:rPr>
                <w:sz w:val="20"/>
                <w:szCs w:val="20"/>
                <w:color w:val="auto"/>
              </w:rPr>
            </w:pPr>
            <w:r>
              <w:rPr>
                <w:rFonts w:ascii="Arial" w:cs="Arial" w:eastAsia="Arial" w:hAnsi="Arial"/>
                <w:sz w:val="17"/>
                <w:szCs w:val="17"/>
                <w:color w:val="auto"/>
              </w:rPr>
              <w:t>(loss) of subsidiaries</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2"/>
          </w:tcPr>
          <w:p>
            <w:pPr>
              <w:jc w:val="right"/>
              <w:ind w:right="2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20"/>
              <w:spacing w:after="0" w:line="168" w:lineRule="exact"/>
              <w:rPr>
                <w:sz w:val="20"/>
                <w:szCs w:val="20"/>
                <w:color w:val="auto"/>
              </w:rPr>
            </w:pPr>
            <w:r>
              <w:rPr>
                <w:rFonts w:ascii="Arial" w:cs="Arial" w:eastAsia="Arial" w:hAnsi="Arial"/>
                <w:sz w:val="17"/>
                <w:szCs w:val="17"/>
                <w:color w:val="auto"/>
                <w:w w:val="98"/>
              </w:rPr>
              <w:t>Net income attributable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line="167" w:lineRule="exact"/>
              <w:rPr>
                <w:sz w:val="20"/>
                <w:szCs w:val="20"/>
                <w:color w:val="auto"/>
              </w:rPr>
            </w:pPr>
            <w:r>
              <w:rPr>
                <w:rFonts w:ascii="Arial" w:cs="Arial" w:eastAsia="Arial" w:hAnsi="Arial"/>
                <w:sz w:val="17"/>
                <w:szCs w:val="17"/>
                <w:color w:val="auto"/>
              </w:rPr>
              <w:t>to noncontrolling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tcPr>
          <w:p>
            <w:pPr>
              <w:ind w:left="20"/>
              <w:spacing w:after="0"/>
              <w:rPr>
                <w:sz w:val="20"/>
                <w:szCs w:val="20"/>
                <w:color w:val="auto"/>
              </w:rPr>
            </w:pPr>
            <w:r>
              <w:rPr>
                <w:rFonts w:ascii="Arial" w:cs="Arial" w:eastAsia="Arial" w:hAnsi="Arial"/>
                <w:sz w:val="17"/>
                <w:szCs w:val="17"/>
                <w:color w:val="auto"/>
              </w:rPr>
              <w:t>interests</w:t>
            </w:r>
          </w:p>
        </w:tc>
        <w:tc>
          <w:tcPr>
            <w:tcW w:w="16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3740" w:type="dxa"/>
            <w:vAlign w:val="bottom"/>
            <w:gridSpan w:val="2"/>
          </w:tcPr>
          <w:p>
            <w:pPr>
              <w:jc w:val="right"/>
              <w:ind w:right="2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9"/>
        </w:trPr>
        <w:tc>
          <w:tcPr>
            <w:tcW w:w="17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Net income (loss)</w:t>
            </w: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9"/>
              </w:rPr>
              <w:t>attributable to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gridSpan w:val="2"/>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exposure to market risk has not changed materially from that disclosed in Part I, Item 7A of the 2022 Annual Report, other than as set forth below.</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manage the interest rate risk on our corporate debt through the use of a combination of fixed-rate debt and interest rate swaps (certain of which begin to expire in the 2023 third quarter) that fix a portion of our variable-rate debt. At March 31, 2023, after considering the impact of interest rate swap agreements and excluding finance leases, the interest rate applicable to approximately 85% of our total corporate debt was effectively fixed and the interest rate applicable to the remaining 15% (approximately $434 million) is variable. Assuming no outstanding balance on our Revolving Corporate Credit Facility, a 100 basis point increase in the underlying benchmark rate on our variable-rate debt would result in an increase of approximately $2 million in annual cash interest due to the impact of our hedging arrangements discussed in Footnote 12 “Debt” to our Financial Statements. Assuming we had no outstanding hedging arrangements, a 100 basis point increase in the underlying benchmark rate would result in an annual increase in cash interest of approximately $8 million.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scheduled maturities and the total fair value as of March 31, 2023 for our financial instruments that are impacted by market risks: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Maturities by Period</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360" w:type="dxa"/>
            <w:vAlign w:val="bottom"/>
          </w:tcPr>
          <w:p>
            <w:pPr>
              <w:spacing w:after="0"/>
              <w:rPr>
                <w:sz w:val="2"/>
                <w:szCs w:val="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3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0"/>
                <w:szCs w:val="10"/>
                <w:color w:val="auto"/>
              </w:rPr>
            </w:pPr>
          </w:p>
        </w:tc>
        <w:tc>
          <w:tcPr>
            <w:tcW w:w="580" w:type="dxa"/>
            <w:vAlign w:val="bottom"/>
          </w:tcPr>
          <w:p>
            <w:pPr>
              <w:jc w:val="center"/>
              <w:ind w:right="38"/>
              <w:spacing w:after="0" w:line="12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13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Interest</w:t>
            </w: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9"/>
              </w:rPr>
              <w:t>2027</w:t>
            </w:r>
          </w:p>
        </w:tc>
        <w:tc>
          <w:tcPr>
            <w:tcW w:w="10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Thereafter</w:t>
            </w:r>
          </w:p>
        </w:tc>
        <w:tc>
          <w:tcPr>
            <w:tcW w:w="120" w:type="dxa"/>
            <w:vAlign w:val="bottom"/>
            <w:vMerge w:val="restart"/>
          </w:tcPr>
          <w:p>
            <w:pPr>
              <w:spacing w:after="0"/>
              <w:rPr>
                <w:sz w:val="12"/>
                <w:szCs w:val="12"/>
                <w:color w:val="auto"/>
              </w:rPr>
            </w:pPr>
          </w:p>
        </w:tc>
        <w:tc>
          <w:tcPr>
            <w:tcW w:w="8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2"/>
                <w:szCs w:val="12"/>
                <w:color w:val="auto"/>
              </w:rPr>
            </w:pPr>
          </w:p>
        </w:tc>
        <w:tc>
          <w:tcPr>
            <w:tcW w:w="580" w:type="dxa"/>
            <w:vAlign w:val="bottom"/>
          </w:tcPr>
          <w:p>
            <w:pPr>
              <w:jc w:val="center"/>
              <w:ind w:right="58"/>
              <w:spacing w:after="0" w:line="142"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84"/>
        </w:trPr>
        <w:tc>
          <w:tcPr>
            <w:tcW w:w="136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of 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30"/>
        </w:trPr>
        <w:tc>
          <w:tcPr>
            <w:tcW w:w="6780" w:type="dxa"/>
            <w:vAlign w:val="bottom"/>
            <w:gridSpan w:val="21"/>
            <w:shd w:val="clear" w:color="auto" w:fill="CCEEFF"/>
          </w:tcPr>
          <w:p>
            <w:pPr>
              <w:ind w:left="220"/>
              <w:spacing w:after="0"/>
              <w:rPr>
                <w:sz w:val="20"/>
                <w:szCs w:val="20"/>
                <w:color w:val="auto"/>
              </w:rPr>
            </w:pPr>
            <w:r>
              <w:rPr>
                <w:rFonts w:ascii="Arial" w:cs="Arial" w:eastAsia="Arial" w:hAnsi="Arial"/>
                <w:sz w:val="17"/>
                <w:szCs w:val="17"/>
                <w:b w:val="1"/>
                <w:bCs w:val="1"/>
                <w:color w:val="auto"/>
                <w:w w:val="94"/>
              </w:rPr>
              <w:t>Assets – Maturities represent expected principal receipts; fair values represent assets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Vacation</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rPr>
              <w:t>ownership notes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w w:val="95"/>
              </w:rPr>
              <w:t>receivable — non-</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w w:val="91"/>
              </w:rPr>
              <w:t>12.4%</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tcPr>
          <w:p>
            <w:pPr>
              <w:jc w:val="right"/>
              <w:ind w:right="16"/>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tcPr>
          <w:p>
            <w:pPr>
              <w:jc w:val="right"/>
              <w:ind w:right="17"/>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4"/>
                <w:szCs w:val="14"/>
                <w:color w:val="auto"/>
              </w:rPr>
            </w:pPr>
          </w:p>
        </w:tc>
        <w:tc>
          <w:tcPr>
            <w:tcW w:w="24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securitized</w:t>
            </w: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3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Vacation</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ownership notes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receivable —</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1"/>
              </w:rPr>
              <w:t>13.3%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1,854</w:t>
            </w:r>
          </w:p>
        </w:tc>
        <w:tc>
          <w:tcPr>
            <w:tcW w:w="0" w:type="dxa"/>
            <w:vAlign w:val="bottom"/>
          </w:tcPr>
          <w:p>
            <w:pPr>
              <w:spacing w:after="0"/>
              <w:rPr>
                <w:sz w:val="1"/>
                <w:szCs w:val="1"/>
                <w:color w:val="auto"/>
              </w:rPr>
            </w:pPr>
          </w:p>
        </w:tc>
      </w:tr>
      <w:tr>
        <w:trPr>
          <w:trHeight w:val="218"/>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620" w:type="dxa"/>
            <w:vAlign w:val="bottom"/>
            <w:gridSpan w:val="24"/>
          </w:tcPr>
          <w:p>
            <w:pPr>
              <w:ind w:left="220"/>
              <w:spacing w:after="0"/>
              <w:rPr>
                <w:sz w:val="20"/>
                <w:szCs w:val="20"/>
                <w:color w:val="auto"/>
              </w:rPr>
            </w:pPr>
            <w:r>
              <w:rPr>
                <w:rFonts w:ascii="Arial" w:cs="Arial" w:eastAsia="Arial" w:hAnsi="Arial"/>
                <w:sz w:val="17"/>
                <w:szCs w:val="17"/>
                <w:b w:val="1"/>
                <w:bCs w:val="1"/>
                <w:color w:val="auto"/>
                <w:w w:val="98"/>
              </w:rPr>
              <w:t>Liabilities – Maturities represent expected principal payments; fair values represent liabilities</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(1,957)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(1,838)</w:t>
            </w:r>
          </w:p>
        </w:tc>
        <w:tc>
          <w:tcPr>
            <w:tcW w:w="0" w:type="dxa"/>
            <w:vAlign w:val="bottom"/>
          </w:tcPr>
          <w:p>
            <w:pPr>
              <w:spacing w:after="0"/>
              <w:rPr>
                <w:sz w:val="1"/>
                <w:szCs w:val="1"/>
                <w:color w:val="auto"/>
              </w:rPr>
            </w:pPr>
          </w:p>
        </w:tc>
      </w:tr>
      <w:tr>
        <w:trPr>
          <w:trHeight w:val="244"/>
        </w:trPr>
        <w:tc>
          <w:tcPr>
            <w:tcW w:w="1360" w:type="dxa"/>
            <w:vAlign w:val="bottom"/>
          </w:tcPr>
          <w:p>
            <w:pPr>
              <w:ind w:left="20"/>
              <w:spacing w:after="0"/>
              <w:rPr>
                <w:sz w:val="20"/>
                <w:szCs w:val="20"/>
                <w:color w:val="auto"/>
              </w:rPr>
            </w:pPr>
            <w:r>
              <w:rPr>
                <w:rFonts w:ascii="Arial" w:cs="Arial" w:eastAsia="Arial" w:hAnsi="Arial"/>
                <w:sz w:val="17"/>
                <w:szCs w:val="17"/>
                <w:color w:val="auto"/>
              </w:rPr>
              <w:t>Senior notes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2028 Notes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44"/>
        </w:trPr>
        <w:tc>
          <w:tcPr>
            <w:tcW w:w="1360" w:type="dxa"/>
            <w:vAlign w:val="bottom"/>
          </w:tcPr>
          <w:p>
            <w:pPr>
              <w:ind w:left="120"/>
              <w:spacing w:after="0"/>
              <w:rPr>
                <w:sz w:val="20"/>
                <w:szCs w:val="20"/>
                <w:color w:val="auto"/>
              </w:rPr>
            </w:pPr>
            <w:r>
              <w:rPr>
                <w:rFonts w:ascii="Arial" w:cs="Arial" w:eastAsia="Arial" w:hAnsi="Arial"/>
                <w:sz w:val="17"/>
                <w:szCs w:val="17"/>
                <w:color w:val="auto"/>
              </w:rPr>
              <w:t>2029 Notes</w:t>
            </w:r>
          </w:p>
        </w:tc>
        <w:tc>
          <w:tcPr>
            <w:tcW w:w="580" w:type="dxa"/>
            <w:vAlign w:val="bottom"/>
          </w:tcPr>
          <w:p>
            <w:pPr>
              <w:jc w:val="center"/>
              <w:spacing w:after="0"/>
              <w:rPr>
                <w:sz w:val="20"/>
                <w:szCs w:val="20"/>
                <w:color w:val="auto"/>
              </w:rPr>
            </w:pPr>
            <w:r>
              <w:rPr>
                <w:rFonts w:ascii="Arial" w:cs="Arial" w:eastAsia="Arial" w:hAnsi="Arial"/>
                <w:sz w:val="17"/>
                <w:szCs w:val="17"/>
                <w:color w:val="auto"/>
                <w:w w:val="92"/>
              </w:rPr>
              <w:t>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45"/>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181"/>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Revolving</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rPr>
              <w:t>Corporate Credit</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w w:val="92"/>
              </w:rPr>
              <w:t>6.7%</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4"/>
                <w:szCs w:val="14"/>
                <w:color w:val="auto"/>
              </w:rPr>
            </w:pPr>
          </w:p>
        </w:tc>
        <w:tc>
          <w:tcPr>
            <w:tcW w:w="24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Facility</w:t>
            </w: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3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2026 Convertible</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181"/>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2027 Convertible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Notes</w:t>
            </w:r>
          </w:p>
        </w:tc>
        <w:tc>
          <w:tcPr>
            <w:tcW w:w="580" w:type="dxa"/>
            <w:vAlign w:val="bottom"/>
          </w:tcPr>
          <w:p>
            <w:pPr>
              <w:jc w:val="center"/>
              <w:spacing w:after="0"/>
              <w:rPr>
                <w:sz w:val="20"/>
                <w:szCs w:val="20"/>
                <w:color w:val="auto"/>
              </w:rPr>
            </w:pPr>
            <w:r>
              <w:rPr>
                <w:rFonts w:ascii="Arial" w:cs="Arial" w:eastAsia="Arial" w:hAnsi="Arial"/>
                <w:sz w:val="17"/>
                <w:szCs w:val="17"/>
                <w:color w:val="auto"/>
                <w:w w:val="92"/>
              </w:rPr>
              <w:t>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181"/>
        </w:trPr>
        <w:tc>
          <w:tcPr>
            <w:tcW w:w="136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Non-interest</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bearing note</w:t>
            </w:r>
          </w:p>
        </w:tc>
        <w:tc>
          <w:tcPr>
            <w:tcW w:w="7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7"/>
                <w:szCs w:val="17"/>
                <w:color w:val="auto"/>
                <w:w w:val="99"/>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8"/>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payable</w:t>
            </w:r>
          </w:p>
        </w:tc>
        <w:tc>
          <w:tcPr>
            <w:tcW w:w="7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1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the end of the period covered by this Quarterly Report on Form 10-Q, we evaluated, under the supervision and with the participation of our management, including our Chief Executive Officer and Chief Financial Officer, the</w:t>
      </w: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March 31, 2023,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4"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We made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1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Currently, and from time to time, we are subject to claims in legal proceedings arising in the normal course of business, including, among others, the legal actions discussed under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There have been no material changes to the risk factors set forth in Item 1A to Part 1 of our 2022 Annual Report, except to the extent factual information disclosed elsewhere in this Quarterly Report on Form 10-Q relates to such risk factors, which is incorporated herein by reference.</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5"/>
              </w:rPr>
              <w:t>Total 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58"/>
              <w:spacing w:after="0"/>
              <w:rPr>
                <w:sz w:val="20"/>
                <w:szCs w:val="20"/>
                <w:color w:val="auto"/>
              </w:rPr>
            </w:pPr>
            <w:r>
              <w:rPr>
                <w:rFonts w:ascii="Arial" w:cs="Arial" w:eastAsia="Arial" w:hAnsi="Arial"/>
                <w:sz w:val="15"/>
                <w:szCs w:val="15"/>
                <w:b w:val="1"/>
                <w:bCs w:val="1"/>
                <w:color w:val="auto"/>
                <w:w w:val="98"/>
              </w:rPr>
              <w:t>Maximum Dollar</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Total Number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Average</w:t>
            </w:r>
          </w:p>
        </w:tc>
        <w:tc>
          <w:tcPr>
            <w:tcW w:w="146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88"/>
              </w:rPr>
              <w:t>Shares Purchased as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38"/>
              <w:spacing w:after="0" w:line="155" w:lineRule="exact"/>
              <w:rPr>
                <w:sz w:val="20"/>
                <w:szCs w:val="20"/>
                <w:color w:val="auto"/>
              </w:rPr>
            </w:pPr>
            <w:r>
              <w:rPr>
                <w:rFonts w:ascii="Arial" w:cs="Arial" w:eastAsia="Arial" w:hAnsi="Arial"/>
                <w:sz w:val="15"/>
                <w:szCs w:val="15"/>
                <w:b w:val="1"/>
                <w:bCs w:val="1"/>
                <w:color w:val="auto"/>
                <w:w w:val="92"/>
              </w:rPr>
              <w:t>Amount of Shares</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6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5"/>
              </w:rPr>
              <w:t>Part of Publicly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38"/>
              <w:spacing w:after="0" w:line="155" w:lineRule="exact"/>
              <w:rPr>
                <w:sz w:val="20"/>
                <w:szCs w:val="20"/>
                <w:color w:val="auto"/>
              </w:rPr>
            </w:pPr>
            <w:r>
              <w:rPr>
                <w:rFonts w:ascii="Arial" w:cs="Arial" w:eastAsia="Arial" w:hAnsi="Arial"/>
                <w:sz w:val="15"/>
                <w:szCs w:val="15"/>
                <w:b w:val="1"/>
                <w:bCs w:val="1"/>
                <w:color w:val="auto"/>
                <w:w w:val="96"/>
              </w:rPr>
              <w:t>That May Yet Be</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87"/>
              </w:rPr>
              <w:t>of Shares</w:t>
            </w:r>
          </w:p>
        </w:tc>
        <w:tc>
          <w:tcPr>
            <w:tcW w:w="140" w:type="dxa"/>
            <w:vAlign w:val="bottom"/>
          </w:tcPr>
          <w:p>
            <w:pPr>
              <w:spacing w:after="0"/>
              <w:rPr>
                <w:sz w:val="13"/>
                <w:szCs w:val="13"/>
                <w:color w:val="auto"/>
              </w:rPr>
            </w:pPr>
          </w:p>
        </w:tc>
        <w:tc>
          <w:tcPr>
            <w:tcW w:w="1220" w:type="dxa"/>
            <w:vAlign w:val="bottom"/>
            <w:gridSpan w:val="3"/>
          </w:tcPr>
          <w:p>
            <w:pPr>
              <w:jc w:val="right"/>
              <w:ind w:right="200"/>
              <w:spacing w:after="0" w:line="155" w:lineRule="exact"/>
              <w:rPr>
                <w:sz w:val="20"/>
                <w:szCs w:val="20"/>
                <w:color w:val="auto"/>
              </w:rPr>
            </w:pPr>
            <w:r>
              <w:rPr>
                <w:rFonts w:ascii="Arial" w:cs="Arial" w:eastAsia="Arial" w:hAnsi="Arial"/>
                <w:sz w:val="15"/>
                <w:szCs w:val="15"/>
                <w:b w:val="1"/>
                <w:bCs w:val="1"/>
                <w:color w:val="auto"/>
                <w:w w:val="99"/>
              </w:rPr>
              <w:t>Price Paid per</w:t>
            </w:r>
          </w:p>
        </w:tc>
        <w:tc>
          <w:tcPr>
            <w:tcW w:w="146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1"/>
              </w:rPr>
              <w:t>Announced Plans or</w:t>
            </w:r>
          </w:p>
        </w:tc>
        <w:tc>
          <w:tcPr>
            <w:tcW w:w="120" w:type="dxa"/>
            <w:vAlign w:val="bottom"/>
          </w:tcPr>
          <w:p>
            <w:pPr>
              <w:spacing w:after="0"/>
              <w:rPr>
                <w:sz w:val="13"/>
                <w:szCs w:val="13"/>
                <w:color w:val="auto"/>
              </w:rPr>
            </w:pPr>
          </w:p>
        </w:tc>
        <w:tc>
          <w:tcPr>
            <w:tcW w:w="1540" w:type="dxa"/>
            <w:vAlign w:val="bottom"/>
            <w:gridSpan w:val="2"/>
          </w:tcPr>
          <w:p>
            <w:pPr>
              <w:jc w:val="center"/>
              <w:spacing w:after="0" w:line="155" w:lineRule="exact"/>
              <w:rPr>
                <w:sz w:val="20"/>
                <w:szCs w:val="20"/>
                <w:color w:val="auto"/>
              </w:rPr>
            </w:pPr>
            <w:r>
              <w:rPr>
                <w:rFonts w:ascii="Arial" w:cs="Arial" w:eastAsia="Arial" w:hAnsi="Arial"/>
                <w:sz w:val="15"/>
                <w:szCs w:val="15"/>
                <w:b w:val="1"/>
                <w:bCs w:val="1"/>
                <w:color w:val="auto"/>
                <w:w w:val="92"/>
              </w:rPr>
              <w:t>Purchased Under the</w:t>
            </w:r>
          </w:p>
        </w:tc>
        <w:tc>
          <w:tcPr>
            <w:tcW w:w="0" w:type="dxa"/>
            <w:vAlign w:val="bottom"/>
          </w:tcPr>
          <w:p>
            <w:pPr>
              <w:spacing w:after="0"/>
              <w:rPr>
                <w:sz w:val="1"/>
                <w:szCs w:val="1"/>
                <w:color w:val="auto"/>
              </w:rPr>
            </w:pPr>
          </w:p>
        </w:tc>
      </w:tr>
      <w:tr>
        <w:trPr>
          <w:trHeight w:val="20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Purchased</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7"/>
              <w:spacing w:after="0" w:line="207" w:lineRule="exact"/>
              <w:rPr>
                <w:sz w:val="20"/>
                <w:szCs w:val="20"/>
                <w:color w:val="auto"/>
              </w:rPr>
            </w:pPr>
            <w:r>
              <w:rPr>
                <w:rFonts w:ascii="Arial" w:cs="Arial" w:eastAsia="Arial" w:hAnsi="Arial"/>
                <w:sz w:val="15"/>
                <w:szCs w:val="15"/>
                <w:b w:val="1"/>
                <w:bCs w:val="1"/>
                <w:color w:val="auto"/>
              </w:rPr>
              <w:t>Share</w:t>
            </w:r>
            <w:r>
              <w:rPr>
                <w:rFonts w:ascii="Arial" w:cs="Arial" w:eastAsia="Arial" w:hAnsi="Arial"/>
                <w:sz w:val="20"/>
                <w:szCs w:val="20"/>
                <w:b w:val="1"/>
                <w:bCs w:val="1"/>
                <w:color w:val="auto"/>
                <w:vertAlign w:val="superscript"/>
              </w:rPr>
              <w:t>(2)</w:t>
            </w:r>
          </w:p>
        </w:tc>
        <w:tc>
          <w:tcPr>
            <w:tcW w:w="1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5"/>
                <w:szCs w:val="15"/>
                <w:b w:val="1"/>
                <w:bCs w:val="1"/>
                <w:color w:val="auto"/>
                <w:w w:val="87"/>
              </w:rPr>
              <w:t>Programs</w:t>
            </w:r>
            <w:r>
              <w:rPr>
                <w:rFonts w:ascii="Arial" w:cs="Arial" w:eastAsia="Arial" w:hAnsi="Arial"/>
                <w:sz w:val="20"/>
                <w:szCs w:val="20"/>
                <w:b w:val="1"/>
                <w:bCs w:val="1"/>
                <w:color w:val="auto"/>
                <w:w w:val="87"/>
                <w:vertAlign w:val="superscript"/>
              </w:rPr>
              <w:t>(1)</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center"/>
              <w:spacing w:after="0" w:line="207" w:lineRule="exact"/>
              <w:rPr>
                <w:sz w:val="20"/>
                <w:szCs w:val="20"/>
                <w:color w:val="auto"/>
              </w:rPr>
            </w:pPr>
            <w:r>
              <w:rPr>
                <w:rFonts w:ascii="Arial" w:cs="Arial" w:eastAsia="Arial" w:hAnsi="Arial"/>
                <w:sz w:val="15"/>
                <w:szCs w:val="15"/>
                <w:b w:val="1"/>
                <w:bCs w:val="1"/>
                <w:color w:val="auto"/>
                <w:w w:val="87"/>
              </w:rPr>
              <w:t>Plans or Programs</w:t>
            </w:r>
            <w:r>
              <w:rPr>
                <w:rFonts w:ascii="Arial" w:cs="Arial" w:eastAsia="Arial" w:hAnsi="Arial"/>
                <w:sz w:val="20"/>
                <w:szCs w:val="20"/>
                <w:b w:val="1"/>
                <w:bCs w:val="1"/>
                <w:color w:val="auto"/>
                <w:w w:val="87"/>
                <w:vertAlign w:val="superscript"/>
              </w:rPr>
              <w:t>(1)(2)</w:t>
            </w:r>
          </w:p>
        </w:tc>
        <w:tc>
          <w:tcPr>
            <w:tcW w:w="0" w:type="dxa"/>
            <w:vAlign w:val="bottom"/>
          </w:tcPr>
          <w:p>
            <w:pPr>
              <w:spacing w:after="0"/>
              <w:rPr>
                <w:sz w:val="1"/>
                <w:szCs w:val="1"/>
                <w:color w:val="auto"/>
              </w:rPr>
            </w:pPr>
          </w:p>
        </w:tc>
      </w:tr>
      <w:tr>
        <w:trPr>
          <w:trHeight w:val="225"/>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1, 2023 – January 31,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250,022</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148.29</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233,412,263</w:t>
            </w:r>
          </w:p>
        </w:tc>
        <w:tc>
          <w:tcPr>
            <w:tcW w:w="0" w:type="dxa"/>
            <w:vAlign w:val="bottom"/>
          </w:tcPr>
          <w:p>
            <w:pPr>
              <w:spacing w:after="0"/>
              <w:rPr>
                <w:sz w:val="1"/>
                <w:szCs w:val="1"/>
                <w:color w:val="auto"/>
              </w:rPr>
            </w:pPr>
          </w:p>
        </w:tc>
      </w:tr>
      <w:tr>
        <w:trPr>
          <w:trHeight w:val="244"/>
        </w:trPr>
        <w:tc>
          <w:tcPr>
            <w:tcW w:w="2820" w:type="dxa"/>
            <w:vAlign w:val="bottom"/>
          </w:tcPr>
          <w:p>
            <w:pPr>
              <w:ind w:left="20"/>
              <w:spacing w:after="0"/>
              <w:rPr>
                <w:sz w:val="20"/>
                <w:szCs w:val="20"/>
                <w:color w:val="auto"/>
              </w:rPr>
            </w:pPr>
            <w:r>
              <w:rPr>
                <w:rFonts w:ascii="Arial" w:cs="Arial" w:eastAsia="Arial" w:hAnsi="Arial"/>
                <w:sz w:val="17"/>
                <w:szCs w:val="17"/>
                <w:color w:val="auto"/>
                <w:w w:val="96"/>
              </w:rPr>
              <w:t>February 1, 2023 – February 28, 2023</w:t>
            </w:r>
          </w:p>
        </w:tc>
        <w:tc>
          <w:tcPr>
            <w:tcW w:w="1040" w:type="dxa"/>
            <w:vAlign w:val="bottom"/>
          </w:tcPr>
          <w:p>
            <w:pPr>
              <w:jc w:val="right"/>
              <w:spacing w:after="0"/>
              <w:rPr>
                <w:sz w:val="20"/>
                <w:szCs w:val="20"/>
                <w:color w:val="auto"/>
              </w:rPr>
            </w:pPr>
            <w:r>
              <w:rPr>
                <w:rFonts w:ascii="Arial" w:cs="Arial" w:eastAsia="Arial" w:hAnsi="Arial"/>
                <w:sz w:val="17"/>
                <w:szCs w:val="17"/>
                <w:color w:val="auto"/>
              </w:rPr>
              <w:t>201,500</w:t>
            </w:r>
          </w:p>
        </w:tc>
        <w:tc>
          <w:tcPr>
            <w:tcW w:w="32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157.93</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201,500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201,588,443</w:t>
            </w:r>
          </w:p>
        </w:tc>
        <w:tc>
          <w:tcPr>
            <w:tcW w:w="0" w:type="dxa"/>
            <w:vAlign w:val="bottom"/>
          </w:tcPr>
          <w:p>
            <w:pPr>
              <w:spacing w:after="0"/>
              <w:rPr>
                <w:sz w:val="1"/>
                <w:szCs w:val="1"/>
                <w:color w:val="auto"/>
              </w:rPr>
            </w:pPr>
          </w:p>
        </w:tc>
      </w:tr>
      <w:tr>
        <w:trPr>
          <w:trHeight w:val="245"/>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1, 2023 – March 31,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70,900</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152.16</w:t>
            </w:r>
          </w:p>
        </w:tc>
        <w:tc>
          <w:tcPr>
            <w:tcW w:w="14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190,800,131</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522,422</w:t>
            </w:r>
          </w:p>
        </w:tc>
        <w:tc>
          <w:tcPr>
            <w:tcW w:w="32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152.54</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522,422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190,800,131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20" w:right="40" w:hanging="317"/>
        <w:spacing w:after="0" w:line="259" w:lineRule="auto"/>
        <w:tabs>
          <w:tab w:leader="none" w:pos="308"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On September 13, 2021, our Board of Directors authorized a share repurchase program under which we were authorized to purchase shares of our common stock for an aggregate purchase price not to exceed $250 million, prior to December 31, 2022. On February 22, 2022, we announced that our Board of Directors authorized the repurchase of up to an additional $300 million of our common stock, and extended the term of our existing share repurchase program to March 31, 2023. On August 1, 2022, we announced that our Board of Directors authorized the repurchase of up to an additional $500 million of our common stock and extended the term of our existing share repurchase program to June 30, 2023.</w:t>
      </w:r>
    </w:p>
    <w:p>
      <w:pPr>
        <w:spacing w:after="0" w:line="26" w:lineRule="exact"/>
        <w:rPr>
          <w:rFonts w:ascii="Arial" w:cs="Arial" w:eastAsia="Arial" w:hAnsi="Arial"/>
          <w:sz w:val="21"/>
          <w:szCs w:val="21"/>
          <w:color w:val="auto"/>
          <w:vertAlign w:val="superscript"/>
        </w:rPr>
      </w:pPr>
    </w:p>
    <w:p>
      <w:pPr>
        <w:ind w:left="320" w:right="80" w:hanging="317"/>
        <w:spacing w:after="0" w:line="226" w:lineRule="auto"/>
        <w:tabs>
          <w:tab w:leader="none" w:pos="308"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The Inflation Reduction Act of 2022 imposed a nondeductible 1% excise tax on the net value of certain stock repurchases made after December 31, 2022. All dollar amounts presented exclude such excise tax, as applicable.</w:t>
      </w:r>
    </w:p>
    <w:p>
      <w:pPr>
        <w:spacing w:after="0" w:line="24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All documents referenced below are being filed as a part of this Quarterly Report on Form 10-Q, unless otherwise noted.</w:t>
      </w:r>
    </w:p>
    <w:p>
      <w:pPr>
        <w:sectPr>
          <w:pgSz w:w="11900" w:h="16838" w:orient="portrait"/>
          <w:cols w:equalWidth="0" w:num="1">
            <w:col w:w="10139"/>
          </w:cols>
          <w:pgMar w:left="320" w:top="230" w:right="1440" w:bottom="1440" w:gutter="0" w:footer="0" w:header="0"/>
        </w:sectPr>
      </w:pPr>
    </w:p>
    <w:p>
      <w:pPr>
        <w:spacing w:after="0" w:line="289"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Exhibit</w:t>
      </w:r>
    </w:p>
    <w:p>
      <w:pPr>
        <w:ind w:left="100"/>
        <w:spacing w:after="0"/>
        <w:rPr>
          <w:sz w:val="20"/>
          <w:szCs w:val="20"/>
          <w:color w:val="auto"/>
        </w:rPr>
      </w:pPr>
      <w:r>
        <w:rPr>
          <w:rFonts w:ascii="Arial" w:cs="Arial" w:eastAsia="Arial" w:hAnsi="Arial"/>
          <w:sz w:val="14"/>
          <w:szCs w:val="14"/>
          <w:b w:val="1"/>
          <w:bCs w:val="1"/>
          <w:color w:val="auto"/>
        </w:rPr>
        <w:t>Number</w:t>
      </w:r>
    </w:p>
    <w:p>
      <w:pPr>
        <w:spacing w:after="0" w:line="200" w:lineRule="exact"/>
        <w:rPr>
          <w:sz w:val="20"/>
          <w:szCs w:val="20"/>
          <w:color w:val="auto"/>
        </w:rPr>
      </w:pPr>
    </w:p>
    <w:p>
      <w:pPr>
        <w:spacing w:after="0" w:line="292" w:lineRule="exact"/>
        <w:rPr>
          <w:sz w:val="20"/>
          <w:szCs w:val="20"/>
          <w:color w:val="auto"/>
        </w:rPr>
      </w:pPr>
    </w:p>
    <w:p>
      <w:pPr>
        <w:ind w:left="280"/>
        <w:spacing w:after="0"/>
        <w:rPr>
          <w:rFonts w:ascii="Arial" w:cs="Arial" w:eastAsia="Arial" w:hAnsi="Arial"/>
          <w:sz w:val="17"/>
          <w:szCs w:val="17"/>
          <w:u w:val="single" w:color="auto"/>
          <w:color w:val="0000FF"/>
        </w:rPr>
      </w:pPr>
      <w:hyperlink r:id="rId121">
        <w:r>
          <w:rPr>
            <w:rFonts w:ascii="Arial" w:cs="Arial" w:eastAsia="Arial" w:hAnsi="Arial"/>
            <w:sz w:val="17"/>
            <w:szCs w:val="17"/>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rFonts w:ascii="Arial" w:cs="Arial" w:eastAsia="Arial" w:hAnsi="Arial"/>
          <w:sz w:val="17"/>
          <w:szCs w:val="17"/>
          <w:u w:val="single" w:color="auto"/>
          <w:color w:val="0000FF"/>
        </w:rPr>
      </w:pPr>
      <w:hyperlink r:id="rId122">
        <w:r>
          <w:rPr>
            <w:rFonts w:ascii="Arial" w:cs="Arial" w:eastAsia="Arial" w:hAnsi="Arial"/>
            <w:sz w:val="17"/>
            <w:szCs w:val="17"/>
            <w:u w:val="single" w:color="auto"/>
            <w:color w:val="0000FF"/>
          </w:rPr>
          <w:t>2.2</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rFonts w:ascii="Arial" w:cs="Arial" w:eastAsia="Arial" w:hAnsi="Arial"/>
          <w:sz w:val="17"/>
          <w:szCs w:val="17"/>
          <w:u w:val="single" w:color="auto"/>
          <w:color w:val="0000FF"/>
        </w:rPr>
      </w:pPr>
      <w:hyperlink r:id="rId123">
        <w:r>
          <w:rPr>
            <w:rFonts w:ascii="Arial" w:cs="Arial" w:eastAsia="Arial" w:hAnsi="Arial"/>
            <w:sz w:val="17"/>
            <w:szCs w:val="17"/>
            <w:u w:val="single" w:color="auto"/>
            <w:color w:val="0000FF"/>
          </w:rPr>
          <w:t>3.1</w:t>
        </w:r>
      </w:hyperlink>
    </w:p>
    <w:p>
      <w:pPr>
        <w:spacing w:after="0" w:line="307" w:lineRule="exact"/>
        <w:rPr>
          <w:sz w:val="20"/>
          <w:szCs w:val="20"/>
          <w:color w:val="auto"/>
        </w:rPr>
      </w:pPr>
    </w:p>
    <w:p>
      <w:pPr>
        <w:ind w:left="280"/>
        <w:spacing w:after="0"/>
        <w:rPr>
          <w:rFonts w:ascii="Arial" w:cs="Arial" w:eastAsia="Arial" w:hAnsi="Arial"/>
          <w:sz w:val="17"/>
          <w:szCs w:val="17"/>
          <w:u w:val="single" w:color="auto"/>
          <w:color w:val="0000FF"/>
        </w:rPr>
      </w:pPr>
      <w:hyperlink r:id="rId124">
        <w:r>
          <w:rPr>
            <w:rFonts w:ascii="Arial" w:cs="Arial" w:eastAsia="Arial" w:hAnsi="Arial"/>
            <w:sz w:val="17"/>
            <w:szCs w:val="17"/>
            <w:u w:val="single" w:color="auto"/>
            <w:color w:val="0000FF"/>
          </w:rPr>
          <w:t>3.2</w:t>
        </w:r>
      </w:hyperlink>
    </w:p>
    <w:p>
      <w:pPr>
        <w:spacing w:after="0" w:line="384" w:lineRule="exact"/>
        <w:rPr>
          <w:sz w:val="20"/>
          <w:szCs w:val="20"/>
          <w:color w:val="auto"/>
        </w:rPr>
      </w:pPr>
    </w:p>
    <w:p>
      <w:pPr>
        <w:ind w:left="280"/>
        <w:spacing w:after="0"/>
        <w:rPr>
          <w:rFonts w:ascii="Arial" w:cs="Arial" w:eastAsia="Arial" w:hAnsi="Arial"/>
          <w:sz w:val="17"/>
          <w:szCs w:val="17"/>
          <w:u w:val="single" w:color="auto"/>
          <w:color w:val="0000FF"/>
        </w:rPr>
      </w:pPr>
      <w:hyperlink r:id="rId125">
        <w:r>
          <w:rPr>
            <w:rFonts w:ascii="Arial" w:cs="Arial" w:eastAsia="Arial" w:hAnsi="Arial"/>
            <w:sz w:val="17"/>
            <w:szCs w:val="17"/>
            <w:u w:val="single" w:color="auto"/>
            <w:color w:val="0000FF"/>
          </w:rPr>
          <w:t>4.1</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rFonts w:ascii="Arial" w:cs="Arial" w:eastAsia="Arial" w:hAnsi="Arial"/>
          <w:sz w:val="17"/>
          <w:szCs w:val="17"/>
          <w:u w:val="single" w:color="auto"/>
          <w:color w:val="0000FF"/>
        </w:rPr>
      </w:pPr>
      <w:hyperlink r:id="rId126">
        <w:r>
          <w:rPr>
            <w:rFonts w:ascii="Arial" w:cs="Arial" w:eastAsia="Arial" w:hAnsi="Arial"/>
            <w:sz w:val="17"/>
            <w:szCs w:val="17"/>
            <w:u w:val="single" w:color="auto"/>
            <w:color w:val="0000FF"/>
          </w:rPr>
          <w:t>4.2</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0"/>
        <w:spacing w:after="0"/>
        <w:rPr>
          <w:rFonts w:ascii="Arial" w:cs="Arial" w:eastAsia="Arial" w:hAnsi="Arial"/>
          <w:sz w:val="17"/>
          <w:szCs w:val="17"/>
          <w:u w:val="single" w:color="auto"/>
          <w:color w:val="0000FF"/>
        </w:rPr>
      </w:pPr>
      <w:hyperlink r:id="rId127">
        <w:r>
          <w:rPr>
            <w:rFonts w:ascii="Arial" w:cs="Arial" w:eastAsia="Arial" w:hAnsi="Arial"/>
            <w:sz w:val="17"/>
            <w:szCs w:val="17"/>
            <w:u w:val="single" w:color="auto"/>
            <w:color w:val="0000FF"/>
          </w:rPr>
          <w:t>4.3</w:t>
        </w:r>
      </w:hyperlink>
    </w:p>
    <w:p>
      <w:pPr>
        <w:spacing w:after="0" w:line="200" w:lineRule="exact"/>
        <w:rPr>
          <w:sz w:val="20"/>
          <w:szCs w:val="20"/>
          <w:color w:val="auto"/>
        </w:rPr>
      </w:pPr>
    </w:p>
    <w:p>
      <w:pPr>
        <w:spacing w:after="0" w:line="364" w:lineRule="exact"/>
        <w:rPr>
          <w:sz w:val="20"/>
          <w:szCs w:val="20"/>
          <w:color w:val="auto"/>
        </w:rPr>
      </w:pPr>
    </w:p>
    <w:p>
      <w:pPr>
        <w:ind w:left="280"/>
        <w:spacing w:after="0"/>
        <w:rPr>
          <w:rFonts w:ascii="Arial" w:cs="Arial" w:eastAsia="Arial" w:hAnsi="Arial"/>
          <w:sz w:val="17"/>
          <w:szCs w:val="17"/>
          <w:u w:val="single" w:color="auto"/>
          <w:color w:val="0000FF"/>
        </w:rPr>
      </w:pPr>
      <w:hyperlink r:id="rId128">
        <w:r>
          <w:rPr>
            <w:rFonts w:ascii="Arial" w:cs="Arial" w:eastAsia="Arial" w:hAnsi="Arial"/>
            <w:sz w:val="17"/>
            <w:szCs w:val="17"/>
            <w:u w:val="single" w:color="auto"/>
            <w:color w:val="0000FF"/>
          </w:rPr>
          <w:t>4.4</w:t>
        </w:r>
      </w:hyperlink>
    </w:p>
    <w:p>
      <w:pPr>
        <w:spacing w:after="0" w:line="384" w:lineRule="exact"/>
        <w:rPr>
          <w:sz w:val="20"/>
          <w:szCs w:val="20"/>
          <w:color w:val="auto"/>
        </w:rPr>
      </w:pPr>
    </w:p>
    <w:p>
      <w:pPr>
        <w:ind w:left="280"/>
        <w:spacing w:after="0"/>
        <w:rPr>
          <w:rFonts w:ascii="Arial" w:cs="Arial" w:eastAsia="Arial" w:hAnsi="Arial"/>
          <w:sz w:val="17"/>
          <w:szCs w:val="17"/>
          <w:u w:val="single" w:color="auto"/>
          <w:color w:val="0000FF"/>
        </w:rPr>
      </w:pPr>
      <w:hyperlink r:id="rId126">
        <w:r>
          <w:rPr>
            <w:rFonts w:ascii="Arial" w:cs="Arial" w:eastAsia="Arial" w:hAnsi="Arial"/>
            <w:sz w:val="17"/>
            <w:szCs w:val="17"/>
            <w:u w:val="single" w:color="auto"/>
            <w:color w:val="0000FF"/>
          </w:rPr>
          <w:t>4.5</w:t>
        </w:r>
      </w:hyperlink>
    </w:p>
    <w:p>
      <w:pPr>
        <w:spacing w:after="0" w:line="200" w:lineRule="exact"/>
        <w:rPr>
          <w:sz w:val="20"/>
          <w:szCs w:val="20"/>
          <w:color w:val="auto"/>
        </w:rPr>
      </w:pPr>
    </w:p>
    <w:p>
      <w:pPr>
        <w:spacing w:after="0" w:line="261" w:lineRule="exact"/>
        <w:rPr>
          <w:sz w:val="20"/>
          <w:szCs w:val="20"/>
          <w:color w:val="auto"/>
        </w:rPr>
      </w:pPr>
    </w:p>
    <w:p>
      <w:pPr>
        <w:ind w:left="280"/>
        <w:spacing w:after="0"/>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4.6</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spacing w:after="0"/>
        <w:rPr>
          <w:rFonts w:ascii="Arial" w:cs="Arial" w:eastAsia="Arial" w:hAnsi="Arial"/>
          <w:sz w:val="17"/>
          <w:szCs w:val="17"/>
          <w:u w:val="single" w:color="auto"/>
          <w:color w:val="0000FF"/>
        </w:rPr>
      </w:pPr>
      <w:hyperlink r:id="rId130">
        <w:r>
          <w:rPr>
            <w:rFonts w:ascii="Arial" w:cs="Arial" w:eastAsia="Arial" w:hAnsi="Arial"/>
            <w:sz w:val="17"/>
            <w:szCs w:val="17"/>
            <w:u w:val="single" w:color="auto"/>
            <w:color w:val="0000FF"/>
          </w:rPr>
          <w:t>4.7</w:t>
        </w:r>
      </w:hyperlink>
    </w:p>
    <w:p>
      <w:pPr>
        <w:spacing w:after="0" w:line="200" w:lineRule="exact"/>
        <w:rPr>
          <w:sz w:val="20"/>
          <w:szCs w:val="20"/>
          <w:color w:val="auto"/>
        </w:rPr>
      </w:pPr>
    </w:p>
    <w:p>
      <w:pPr>
        <w:spacing w:after="0" w:line="351" w:lineRule="exact"/>
        <w:rPr>
          <w:sz w:val="20"/>
          <w:szCs w:val="20"/>
          <w:color w:val="auto"/>
        </w:rPr>
      </w:pPr>
    </w:p>
    <w:p>
      <w:pPr>
        <w:ind w:left="280"/>
        <w:spacing w:after="0"/>
        <w:rPr>
          <w:rFonts w:ascii="Arial" w:cs="Arial" w:eastAsia="Arial" w:hAnsi="Arial"/>
          <w:sz w:val="17"/>
          <w:szCs w:val="17"/>
          <w:u w:val="single" w:color="auto"/>
          <w:color w:val="0000FF"/>
        </w:rPr>
      </w:pPr>
      <w:hyperlink r:id="rId130">
        <w:r>
          <w:rPr>
            <w:rFonts w:ascii="Arial" w:cs="Arial" w:eastAsia="Arial" w:hAnsi="Arial"/>
            <w:sz w:val="17"/>
            <w:szCs w:val="17"/>
            <w:u w:val="single" w:color="auto"/>
            <w:color w:val="0000FF"/>
          </w:rPr>
          <w:t>4.8</w:t>
        </w:r>
      </w:hyperlink>
    </w:p>
    <w:p>
      <w:pPr>
        <w:spacing w:after="0" w:line="200" w:lineRule="exact"/>
        <w:rPr>
          <w:sz w:val="20"/>
          <w:szCs w:val="20"/>
          <w:color w:val="auto"/>
        </w:rPr>
      </w:pPr>
    </w:p>
    <w:p>
      <w:pPr>
        <w:spacing w:after="0" w:line="261" w:lineRule="exact"/>
        <w:rPr>
          <w:sz w:val="20"/>
          <w:szCs w:val="20"/>
          <w:color w:val="auto"/>
        </w:rPr>
      </w:pPr>
    </w:p>
    <w:p>
      <w:pPr>
        <w:ind w:left="280"/>
        <w:spacing w:after="0"/>
        <w:rPr>
          <w:rFonts w:ascii="Arial" w:cs="Arial" w:eastAsia="Arial" w:hAnsi="Arial"/>
          <w:sz w:val="17"/>
          <w:szCs w:val="17"/>
          <w:u w:val="single" w:color="auto"/>
          <w:color w:val="0000FF"/>
        </w:rPr>
      </w:pPr>
      <w:hyperlink r:id="rId131">
        <w:r>
          <w:rPr>
            <w:rFonts w:ascii="Arial" w:cs="Arial" w:eastAsia="Arial" w:hAnsi="Arial"/>
            <w:sz w:val="17"/>
            <w:szCs w:val="17"/>
            <w:u w:val="single" w:color="auto"/>
            <w:color w:val="0000FF"/>
          </w:rPr>
          <w:t>4.9</w:t>
        </w:r>
      </w:hyperlink>
    </w:p>
    <w:p>
      <w:pPr>
        <w:spacing w:after="0" w:line="200" w:lineRule="exact"/>
        <w:rPr>
          <w:sz w:val="20"/>
          <w:szCs w:val="20"/>
          <w:color w:val="auto"/>
        </w:rPr>
      </w:pPr>
    </w:p>
    <w:p>
      <w:pPr>
        <w:spacing w:after="0" w:line="261" w:lineRule="exact"/>
        <w:rPr>
          <w:sz w:val="20"/>
          <w:szCs w:val="20"/>
          <w:color w:val="auto"/>
        </w:rPr>
      </w:pPr>
    </w:p>
    <w:p>
      <w:pPr>
        <w:ind w:left="240"/>
        <w:spacing w:after="0"/>
        <w:rPr>
          <w:rFonts w:ascii="Arial" w:cs="Arial" w:eastAsia="Arial" w:hAnsi="Arial"/>
          <w:sz w:val="17"/>
          <w:szCs w:val="17"/>
          <w:u w:val="single" w:color="auto"/>
          <w:color w:val="0000FF"/>
        </w:rPr>
      </w:pPr>
      <w:hyperlink r:id="rId132">
        <w:r>
          <w:rPr>
            <w:rFonts w:ascii="Arial" w:cs="Arial" w:eastAsia="Arial" w:hAnsi="Arial"/>
            <w:sz w:val="17"/>
            <w:szCs w:val="17"/>
            <w:u w:val="single" w:color="auto"/>
            <w:color w:val="0000FF"/>
          </w:rPr>
          <w:t>4.10</w:t>
        </w:r>
      </w:hyperlink>
    </w:p>
    <w:p>
      <w:pPr>
        <w:spacing w:after="0" w:line="200" w:lineRule="exact"/>
        <w:rPr>
          <w:sz w:val="20"/>
          <w:szCs w:val="20"/>
          <w:color w:val="auto"/>
        </w:rPr>
      </w:pPr>
    </w:p>
    <w:p>
      <w:pPr>
        <w:spacing w:after="0" w:line="261" w:lineRule="exact"/>
        <w:rPr>
          <w:sz w:val="20"/>
          <w:szCs w:val="20"/>
          <w:color w:val="auto"/>
        </w:rPr>
      </w:pPr>
    </w:p>
    <w:p>
      <w:pPr>
        <w:ind w:left="240"/>
        <w:spacing w:after="0"/>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4.11</w:t>
        </w:r>
      </w:hyperlink>
    </w:p>
    <w:p>
      <w:pPr>
        <w:spacing w:after="0" w:line="200" w:lineRule="exact"/>
        <w:rPr>
          <w:sz w:val="20"/>
          <w:szCs w:val="20"/>
          <w:color w:val="auto"/>
        </w:rPr>
      </w:pPr>
    </w:p>
    <w:p>
      <w:pPr>
        <w:spacing w:after="0" w:line="261" w:lineRule="exact"/>
        <w:rPr>
          <w:sz w:val="20"/>
          <w:szCs w:val="20"/>
          <w:color w:val="auto"/>
        </w:rPr>
      </w:pPr>
    </w:p>
    <w:p>
      <w:pPr>
        <w:ind w:left="240"/>
        <w:spacing w:after="0"/>
        <w:rPr>
          <w:rFonts w:ascii="Arial" w:cs="Arial" w:eastAsia="Arial" w:hAnsi="Arial"/>
          <w:sz w:val="17"/>
          <w:szCs w:val="17"/>
          <w:u w:val="single" w:color="auto"/>
          <w:color w:val="0000FF"/>
        </w:rPr>
      </w:pPr>
      <w:hyperlink r:id="rId134">
        <w:r>
          <w:rPr>
            <w:rFonts w:ascii="Arial" w:cs="Arial" w:eastAsia="Arial" w:hAnsi="Arial"/>
            <w:sz w:val="17"/>
            <w:szCs w:val="17"/>
            <w:u w:val="single" w:color="auto"/>
            <w:color w:val="0000FF"/>
          </w:rPr>
          <w:t>4.12</w:t>
        </w:r>
      </w:hyperlink>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Filed</w:t>
      </w:r>
    </w:p>
    <w:p>
      <w:pPr>
        <w:jc w:val="both"/>
        <w:ind w:left="1480"/>
        <w:spacing w:after="0"/>
        <w:tabs>
          <w:tab w:leader="none" w:pos="3940" w:val="left"/>
        </w:tabs>
        <w:rPr>
          <w:sz w:val="20"/>
          <w:szCs w:val="20"/>
          <w:color w:val="auto"/>
        </w:rPr>
      </w:pP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10795</wp:posOffset>
            </wp:positionV>
            <wp:extent cx="5299075" cy="7194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5299075" cy="719455"/>
                    </a:xfrm>
                    <a:prstGeom prst="rect">
                      <a:avLst/>
                    </a:prstGeom>
                    <a:noFill/>
                  </pic:spPr>
                </pic:pic>
              </a:graphicData>
            </a:graphic>
          </wp:anchor>
        </w:drawing>
      </w:r>
    </w:p>
    <w:p>
      <w:pPr>
        <w:spacing w:after="0" w:line="113" w:lineRule="exact"/>
        <w:rPr>
          <w:sz w:val="20"/>
          <w:szCs w:val="20"/>
          <w:color w:val="auto"/>
        </w:rPr>
      </w:pPr>
    </w:p>
    <w:p>
      <w:pPr>
        <w:ind w:right="940"/>
        <w:spacing w:after="0" w:line="251" w:lineRule="auto"/>
        <w:rPr>
          <w:sz w:val="20"/>
          <w:szCs w:val="20"/>
          <w:color w:val="auto"/>
        </w:rPr>
      </w:pPr>
      <w:r>
        <w:rPr>
          <w:rFonts w:ascii="Arial" w:cs="Arial" w:eastAsia="Arial" w:hAnsi="Arial"/>
          <w:sz w:val="15"/>
          <w:szCs w:val="15"/>
          <w:color w:val="auto"/>
        </w:rPr>
        <w:t>Agreement and Plan of Merger, dated as of April 30, 2018, by and among Marriott Vacations Worldwide</w:t>
      </w:r>
    </w:p>
    <w:p>
      <w:pPr>
        <w:spacing w:after="0" w:line="1" w:lineRule="exact"/>
        <w:rPr>
          <w:sz w:val="20"/>
          <w:szCs w:val="20"/>
          <w:color w:val="auto"/>
        </w:rPr>
      </w:pPr>
    </w:p>
    <w:p>
      <w:pPr>
        <w:ind w:right="1020"/>
        <w:spacing w:after="0" w:line="220" w:lineRule="auto"/>
        <w:rPr>
          <w:sz w:val="20"/>
          <w:szCs w:val="20"/>
          <w:color w:val="auto"/>
        </w:rPr>
      </w:pPr>
      <w:r>
        <w:rPr>
          <w:rFonts w:ascii="Arial" w:cs="Arial" w:eastAsia="Arial" w:hAnsi="Arial"/>
          <w:sz w:val="17"/>
          <w:szCs w:val="17"/>
          <w:color w:val="auto"/>
        </w:rPr>
        <w:t>Corporation, ILG, Inc., Ignite Holdco, Inc., Ignite Holdco Subsidiary, Inc., Volt Merger Sub, Inc., and Volt Merger Sub LLC*</w:t>
      </w:r>
    </w:p>
    <w:p>
      <w:pPr>
        <w:spacing w:after="0" w:line="118" w:lineRule="exact"/>
        <w:rPr>
          <w:sz w:val="20"/>
          <w:szCs w:val="20"/>
          <w:color w:val="auto"/>
        </w:rPr>
      </w:pPr>
    </w:p>
    <w:p>
      <w:pPr>
        <w:ind w:right="1400"/>
        <w:spacing w:after="0" w:line="251" w:lineRule="auto"/>
        <w:rPr>
          <w:sz w:val="20"/>
          <w:szCs w:val="20"/>
          <w:color w:val="auto"/>
        </w:rPr>
      </w:pPr>
      <w:r>
        <w:rPr>
          <w:rFonts w:ascii="Arial" w:cs="Arial" w:eastAsia="Arial" w:hAnsi="Arial"/>
          <w:sz w:val="15"/>
          <w:szCs w:val="15"/>
          <w:color w:val="auto"/>
        </w:rPr>
        <w:t>Agreement and Plan of Merger by and among Marriott Vacations Worldwide Corporation,</w:t>
      </w:r>
    </w:p>
    <w:p>
      <w:pPr>
        <w:spacing w:after="0" w:line="1" w:lineRule="exact"/>
        <w:rPr>
          <w:sz w:val="20"/>
          <w:szCs w:val="20"/>
          <w:color w:val="auto"/>
        </w:rPr>
      </w:pPr>
    </w:p>
    <w:p>
      <w:pPr>
        <w:ind w:right="1000"/>
        <w:spacing w:after="0" w:line="238" w:lineRule="auto"/>
        <w:rPr>
          <w:sz w:val="20"/>
          <w:szCs w:val="20"/>
          <w:color w:val="auto"/>
        </w:rPr>
      </w:pPr>
      <w:r>
        <w:rPr>
          <w:rFonts w:ascii="Arial" w:cs="Arial" w:eastAsia="Arial" w:hAnsi="Arial"/>
          <w:sz w:val="15"/>
          <w:szCs w:val="15"/>
          <w:color w:val="auto"/>
        </w:rPr>
        <w:t>Sommelier Acquisition Corp., Champagne Resorts, Inc., Welk Hospitality Group, Inc. and the Shareholder Representative, dated as of January 26,</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5715</wp:posOffset>
            </wp:positionV>
            <wp:extent cx="5299075" cy="318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5299075" cy="31877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Restated Certificate of Incorporation of Marriott</w:t>
      </w:r>
    </w:p>
    <w:p>
      <w:pPr>
        <w:spacing w:after="0"/>
        <w:rPr>
          <w:sz w:val="20"/>
          <w:szCs w:val="20"/>
          <w:color w:val="auto"/>
        </w:rPr>
      </w:pPr>
      <w:r>
        <w:rPr>
          <w:rFonts w:ascii="Arial" w:cs="Arial" w:eastAsia="Arial" w:hAnsi="Arial"/>
          <w:sz w:val="17"/>
          <w:szCs w:val="17"/>
          <w:color w:val="auto"/>
        </w:rPr>
        <w:t>Vacations Worldwide Corporation</w:t>
      </w:r>
    </w:p>
    <w:p>
      <w:pPr>
        <w:spacing w:after="0" w:line="125" w:lineRule="exact"/>
        <w:rPr>
          <w:sz w:val="20"/>
          <w:szCs w:val="20"/>
          <w:color w:val="auto"/>
        </w:rPr>
      </w:pPr>
    </w:p>
    <w:p>
      <w:pPr>
        <w:ind w:right="1100"/>
        <w:spacing w:after="0" w:line="235" w:lineRule="auto"/>
        <w:rPr>
          <w:sz w:val="20"/>
          <w:szCs w:val="20"/>
          <w:color w:val="auto"/>
        </w:rPr>
      </w:pPr>
      <w:r>
        <w:rPr>
          <w:rFonts w:ascii="Arial" w:cs="Arial" w:eastAsia="Arial" w:hAnsi="Arial"/>
          <w:sz w:val="17"/>
          <w:szCs w:val="17"/>
          <w:color w:val="auto"/>
        </w:rPr>
        <w:t>Restated Bylaws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42545</wp:posOffset>
            </wp:positionV>
            <wp:extent cx="5299075" cy="425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5299075" cy="425450"/>
                    </a:xfrm>
                    <a:prstGeom prst="rect">
                      <a:avLst/>
                    </a:prstGeom>
                    <a:noFill/>
                  </pic:spPr>
                </pic:pic>
              </a:graphicData>
            </a:graphic>
          </wp:anchor>
        </w:drawing>
      </w:r>
    </w:p>
    <w:p>
      <w:pPr>
        <w:spacing w:after="0" w:line="99" w:lineRule="exact"/>
        <w:rPr>
          <w:sz w:val="20"/>
          <w:szCs w:val="20"/>
          <w:color w:val="auto"/>
        </w:rPr>
      </w:pPr>
    </w:p>
    <w:p>
      <w:pPr>
        <w:ind w:right="1080"/>
        <w:spacing w:after="0" w:line="251" w:lineRule="auto"/>
        <w:rPr>
          <w:sz w:val="20"/>
          <w:szCs w:val="20"/>
          <w:color w:val="auto"/>
        </w:rPr>
      </w:pPr>
      <w:r>
        <w:rPr>
          <w:rFonts w:ascii="Arial" w:cs="Arial" w:eastAsia="Arial" w:hAnsi="Arial"/>
          <w:sz w:val="15"/>
          <w:szCs w:val="15"/>
          <w:color w:val="auto"/>
        </w:rPr>
        <w:t>Form of certificate representing shares of common stock, par value $0.01 per share, of Marriott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Vacations Worldwide Corporation</w:t>
      </w:r>
    </w:p>
    <w:p>
      <w:pPr>
        <w:spacing w:after="0" w:line="61" w:lineRule="exact"/>
        <w:rPr>
          <w:sz w:val="20"/>
          <w:szCs w:val="20"/>
          <w:color w:val="auto"/>
        </w:rPr>
      </w:pPr>
    </w:p>
    <w:p>
      <w:pPr>
        <w:ind w:right="860"/>
        <w:spacing w:after="0" w:line="251" w:lineRule="auto"/>
        <w:rPr>
          <w:sz w:val="20"/>
          <w:szCs w:val="20"/>
          <w:color w:val="auto"/>
        </w:rPr>
      </w:pPr>
      <w:r>
        <w:rPr>
          <w:rFonts w:ascii="Arial" w:cs="Arial" w:eastAsia="Arial" w:hAnsi="Arial"/>
          <w:sz w:val="15"/>
          <w:szCs w:val="15"/>
          <w:color w:val="auto"/>
        </w:rPr>
        <w:t>Indenture, dated as of October 1, 2019, by and among Marriott Ownership Resorts, Inc., Marriott Vacations</w:t>
      </w:r>
    </w:p>
    <w:p>
      <w:pPr>
        <w:spacing w:after="0" w:line="1" w:lineRule="exact"/>
        <w:rPr>
          <w:sz w:val="20"/>
          <w:szCs w:val="20"/>
          <w:color w:val="auto"/>
        </w:rPr>
      </w:pPr>
    </w:p>
    <w:p>
      <w:pPr>
        <w:ind w:right="980"/>
        <w:spacing w:after="0" w:line="220" w:lineRule="auto"/>
        <w:rPr>
          <w:sz w:val="20"/>
          <w:szCs w:val="20"/>
          <w:color w:val="auto"/>
        </w:rPr>
      </w:pPr>
      <w:r>
        <w:rPr>
          <w:rFonts w:ascii="Arial" w:cs="Arial" w:eastAsia="Arial" w:hAnsi="Arial"/>
          <w:sz w:val="17"/>
          <w:szCs w:val="17"/>
          <w:color w:val="auto"/>
        </w:rPr>
        <w:t>Worldwide Corporation, as guarantor, the other guarantors party thereto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9525</wp:posOffset>
            </wp:positionV>
            <wp:extent cx="5299075" cy="482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5299075" cy="482600"/>
                    </a:xfrm>
                    <a:prstGeom prst="rect">
                      <a:avLst/>
                    </a:prstGeom>
                    <a:noFill/>
                  </pic:spPr>
                </pic:pic>
              </a:graphicData>
            </a:graphic>
          </wp:anchor>
        </w:drawing>
      </w:r>
    </w:p>
    <w:p>
      <w:pPr>
        <w:spacing w:after="0" w:line="8" w:lineRule="exact"/>
        <w:rPr>
          <w:sz w:val="20"/>
          <w:szCs w:val="20"/>
          <w:color w:val="auto"/>
        </w:rPr>
      </w:pPr>
    </w:p>
    <w:p>
      <w:pPr>
        <w:ind w:right="1020"/>
        <w:spacing w:after="0" w:line="251" w:lineRule="auto"/>
        <w:rPr>
          <w:sz w:val="20"/>
          <w:szCs w:val="20"/>
          <w:color w:val="auto"/>
        </w:rPr>
      </w:pPr>
      <w:r>
        <w:rPr>
          <w:rFonts w:ascii="Arial" w:cs="Arial" w:eastAsia="Arial" w:hAnsi="Arial"/>
          <w:sz w:val="15"/>
          <w:szCs w:val="15"/>
          <w:color w:val="auto"/>
        </w:rPr>
        <w:t>Supplemental Indenture, dated December 31, 2019, by and among Marriott Ownership Resorts, Inc.,</w:t>
      </w:r>
    </w:p>
    <w:p>
      <w:pPr>
        <w:spacing w:after="0" w:line="1" w:lineRule="exact"/>
        <w:rPr>
          <w:sz w:val="20"/>
          <w:szCs w:val="20"/>
          <w:color w:val="auto"/>
        </w:rPr>
      </w:pPr>
    </w:p>
    <w:p>
      <w:pPr>
        <w:ind w:right="1120"/>
        <w:spacing w:after="0" w:line="227" w:lineRule="auto"/>
        <w:rPr>
          <w:sz w:val="20"/>
          <w:szCs w:val="20"/>
          <w:color w:val="auto"/>
        </w:rPr>
      </w:pPr>
      <w:r>
        <w:rPr>
          <w:rFonts w:ascii="Arial" w:cs="Arial" w:eastAsia="Arial" w:hAnsi="Arial"/>
          <w:sz w:val="17"/>
          <w:szCs w:val="17"/>
          <w:color w:val="auto"/>
        </w:rPr>
        <w:t>MVW Vacations, LLC and the Bank of New York Mellon Trust Company, N.A., as trustee</w:t>
      </w:r>
    </w:p>
    <w:p>
      <w:pPr>
        <w:spacing w:after="0" w:line="28" w:lineRule="exact"/>
        <w:rPr>
          <w:sz w:val="20"/>
          <w:szCs w:val="20"/>
          <w:color w:val="auto"/>
        </w:rPr>
      </w:pPr>
    </w:p>
    <w:p>
      <w:pPr>
        <w:jc w:val="both"/>
        <w:ind w:right="980"/>
        <w:spacing w:after="0" w:line="251" w:lineRule="auto"/>
        <w:rPr>
          <w:sz w:val="20"/>
          <w:szCs w:val="20"/>
          <w:color w:val="auto"/>
        </w:rPr>
      </w:pPr>
      <w:r>
        <w:rPr>
          <w:rFonts w:ascii="Arial" w:cs="Arial" w:eastAsia="Arial" w:hAnsi="Arial"/>
          <w:sz w:val="15"/>
          <w:szCs w:val="15"/>
          <w:color w:val="auto"/>
        </w:rPr>
        <w:t>Second Supplemental Indenture, dated February 26, 2020, by and among Marriott Ownership Resorts,</w:t>
      </w:r>
    </w:p>
    <w:p>
      <w:pPr>
        <w:spacing w:after="0" w:line="1" w:lineRule="exact"/>
        <w:rPr>
          <w:sz w:val="20"/>
          <w:szCs w:val="20"/>
          <w:color w:val="auto"/>
        </w:rPr>
      </w:pPr>
    </w:p>
    <w:p>
      <w:pPr>
        <w:ind w:right="1060"/>
        <w:spacing w:after="0" w:line="267" w:lineRule="auto"/>
        <w:rPr>
          <w:sz w:val="20"/>
          <w:szCs w:val="20"/>
          <w:color w:val="auto"/>
        </w:rPr>
      </w:pPr>
      <w:r>
        <w:rPr>
          <w:rFonts w:ascii="Arial" w:cs="Arial" w:eastAsia="Arial" w:hAnsi="Arial"/>
          <w:sz w:val="15"/>
          <w:szCs w:val="15"/>
          <w:color w:val="auto"/>
        </w:rPr>
        <w:t>Inc., MVW Services Corporation,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635</wp:posOffset>
            </wp:positionV>
            <wp:extent cx="5299075" cy="2533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5299075" cy="253365"/>
                    </a:xfrm>
                    <a:prstGeom prst="rect">
                      <a:avLst/>
                    </a:prstGeom>
                    <a:noFill/>
                  </pic:spPr>
                </pic:pic>
              </a:graphicData>
            </a:graphic>
          </wp:anchor>
        </w:drawing>
      </w:r>
    </w:p>
    <w:p>
      <w:pPr>
        <w:ind w:right="940"/>
        <w:spacing w:after="0" w:line="235" w:lineRule="auto"/>
        <w:rPr>
          <w:sz w:val="20"/>
          <w:szCs w:val="20"/>
          <w:color w:val="auto"/>
        </w:rPr>
      </w:pPr>
      <w:r>
        <w:rPr>
          <w:rFonts w:ascii="Arial" w:cs="Arial" w:eastAsia="Arial" w:hAnsi="Arial"/>
          <w:sz w:val="17"/>
          <w:szCs w:val="17"/>
          <w:color w:val="auto"/>
        </w:rPr>
        <w:t>Form of 4.750% Senior Notes due 2028 (included as Exhibit A to Exhibit 4.2 above)</w:t>
      </w:r>
    </w:p>
    <w:p>
      <w:pPr>
        <w:spacing w:after="0" w:line="16" w:lineRule="exact"/>
        <w:rPr>
          <w:sz w:val="20"/>
          <w:szCs w:val="20"/>
          <w:color w:val="auto"/>
        </w:rPr>
      </w:pPr>
    </w:p>
    <w:p>
      <w:pPr>
        <w:jc w:val="both"/>
        <w:ind w:right="960"/>
        <w:spacing w:after="0" w:line="251" w:lineRule="auto"/>
        <w:rPr>
          <w:sz w:val="20"/>
          <w:szCs w:val="20"/>
          <w:color w:val="auto"/>
        </w:rPr>
      </w:pPr>
      <w:r>
        <w:rPr>
          <w:rFonts w:ascii="Arial" w:cs="Arial" w:eastAsia="Arial" w:hAnsi="Arial"/>
          <w:sz w:val="15"/>
          <w:szCs w:val="15"/>
          <w:color w:val="auto"/>
        </w:rPr>
        <w:t>Registration Rights Agreement, dated as of October 1, 2019, by and among Marriott Ownership Resorts,</w:t>
      </w:r>
    </w:p>
    <w:p>
      <w:pPr>
        <w:spacing w:after="0" w:line="1" w:lineRule="exact"/>
        <w:rPr>
          <w:sz w:val="20"/>
          <w:szCs w:val="20"/>
          <w:color w:val="auto"/>
        </w:rPr>
      </w:pPr>
    </w:p>
    <w:p>
      <w:pPr>
        <w:jc w:val="both"/>
        <w:ind w:right="960"/>
        <w:spacing w:after="0" w:line="220" w:lineRule="auto"/>
        <w:rPr>
          <w:sz w:val="20"/>
          <w:szCs w:val="20"/>
          <w:color w:val="auto"/>
        </w:rPr>
      </w:pPr>
      <w:r>
        <w:rPr>
          <w:rFonts w:ascii="Arial" w:cs="Arial" w:eastAsia="Arial" w:hAnsi="Arial"/>
          <w:sz w:val="17"/>
          <w:szCs w:val="17"/>
          <w:color w:val="auto"/>
        </w:rPr>
        <w:t>Inc., Marriott Vacations Worldwide Corporation, as guarantor, the other guarantors party thereto and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9525</wp:posOffset>
            </wp:positionV>
            <wp:extent cx="5299075" cy="6870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5299075" cy="687070"/>
                    </a:xfrm>
                    <a:prstGeom prst="rect">
                      <a:avLst/>
                    </a:prstGeom>
                    <a:noFill/>
                  </pic:spPr>
                </pic:pic>
              </a:graphicData>
            </a:graphic>
          </wp:anchor>
        </w:drawing>
      </w:r>
    </w:p>
    <w:p>
      <w:pPr>
        <w:ind w:right="900"/>
        <w:spacing w:after="0" w:line="251" w:lineRule="auto"/>
        <w:rPr>
          <w:sz w:val="20"/>
          <w:szCs w:val="20"/>
          <w:color w:val="auto"/>
        </w:rPr>
      </w:pPr>
      <w:r>
        <w:rPr>
          <w:rFonts w:ascii="Arial" w:cs="Arial" w:eastAsia="Arial" w:hAnsi="Arial"/>
          <w:sz w:val="15"/>
          <w:szCs w:val="15"/>
          <w:color w:val="auto"/>
        </w:rPr>
        <w:t>Indenture, dated as of May 13, 2020, by and among Marriott Ownership Resorts, Inc., Marriott Vacations</w:t>
      </w:r>
    </w:p>
    <w:p>
      <w:pPr>
        <w:spacing w:after="0" w:line="1" w:lineRule="exact"/>
        <w:rPr>
          <w:sz w:val="20"/>
          <w:szCs w:val="20"/>
          <w:color w:val="auto"/>
        </w:rPr>
      </w:pPr>
    </w:p>
    <w:p>
      <w:pPr>
        <w:ind w:right="980"/>
        <w:spacing w:after="0" w:line="223" w:lineRule="auto"/>
        <w:rPr>
          <w:sz w:val="20"/>
          <w:szCs w:val="20"/>
          <w:color w:val="auto"/>
        </w:rPr>
      </w:pPr>
      <w:r>
        <w:rPr>
          <w:rFonts w:ascii="Arial" w:cs="Arial" w:eastAsia="Arial" w:hAnsi="Arial"/>
          <w:sz w:val="16"/>
          <w:szCs w:val="16"/>
          <w:color w:val="auto"/>
        </w:rPr>
        <w:t>Worldwide Corporation, as guarantor, the other guarantors party thereto and The Bank of New York Mellon Trust Company, N.A., as trustee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collateral agent</w:t>
      </w:r>
    </w:p>
    <w:p>
      <w:pPr>
        <w:spacing w:after="0" w:line="9" w:lineRule="exact"/>
        <w:rPr>
          <w:sz w:val="20"/>
          <w:szCs w:val="20"/>
          <w:color w:val="auto"/>
        </w:rPr>
      </w:pPr>
    </w:p>
    <w:p>
      <w:pPr>
        <w:ind w:right="1220"/>
        <w:spacing w:after="0" w:line="235" w:lineRule="auto"/>
        <w:rPr>
          <w:sz w:val="20"/>
          <w:szCs w:val="20"/>
          <w:color w:val="auto"/>
        </w:rPr>
      </w:pPr>
      <w:r>
        <w:rPr>
          <w:rFonts w:ascii="Arial" w:cs="Arial" w:eastAsia="Arial" w:hAnsi="Arial"/>
          <w:sz w:val="17"/>
          <w:szCs w:val="17"/>
          <w:color w:val="auto"/>
        </w:rPr>
        <w:t>Form of 6.125% Senior Secured Notes due 2025 (included as Exhibit A to Exhibit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10160</wp:posOffset>
            </wp:positionV>
            <wp:extent cx="5299075" cy="5803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5299075" cy="580390"/>
                    </a:xfrm>
                    <a:prstGeom prst="rect">
                      <a:avLst/>
                    </a:prstGeom>
                    <a:noFill/>
                  </pic:spPr>
                </pic:pic>
              </a:graphicData>
            </a:graphic>
          </wp:anchor>
        </w:drawing>
      </w:r>
    </w:p>
    <w:p>
      <w:pPr>
        <w:ind w:right="1040"/>
        <w:spacing w:after="0" w:line="251" w:lineRule="auto"/>
        <w:rPr>
          <w:sz w:val="20"/>
          <w:szCs w:val="20"/>
          <w:color w:val="auto"/>
        </w:rPr>
      </w:pPr>
      <w:r>
        <w:rPr>
          <w:rFonts w:ascii="Arial" w:cs="Arial" w:eastAsia="Arial" w:hAnsi="Arial"/>
          <w:sz w:val="15"/>
          <w:szCs w:val="15"/>
          <w:color w:val="auto"/>
        </w:rPr>
        <w:t>Indenture, dated as of February 2, 2021, by and among Marriott Vacations Worldwide Corporation,</w:t>
      </w:r>
    </w:p>
    <w:p>
      <w:pPr>
        <w:spacing w:after="0" w:line="1" w:lineRule="exact"/>
        <w:rPr>
          <w:sz w:val="20"/>
          <w:szCs w:val="20"/>
          <w:color w:val="auto"/>
        </w:rPr>
      </w:pPr>
    </w:p>
    <w:p>
      <w:pPr>
        <w:ind w:right="980"/>
        <w:spacing w:after="0" w:line="220" w:lineRule="auto"/>
        <w:rPr>
          <w:sz w:val="20"/>
          <w:szCs w:val="20"/>
          <w:color w:val="auto"/>
        </w:rPr>
      </w:pPr>
      <w:r>
        <w:rPr>
          <w:rFonts w:ascii="Arial" w:cs="Arial" w:eastAsia="Arial" w:hAnsi="Arial"/>
          <w:sz w:val="17"/>
          <w:szCs w:val="17"/>
          <w:color w:val="auto"/>
        </w:rPr>
        <w:t>Marriott Ownership Resorts, Inc. and the other guarantors party thereto and The Bank of New York Mellon Trust Company, N.A., as trustee</w:t>
      </w:r>
    </w:p>
    <w:p>
      <w:pPr>
        <w:spacing w:after="0" w:line="15" w:lineRule="exact"/>
        <w:rPr>
          <w:sz w:val="20"/>
          <w:szCs w:val="20"/>
          <w:color w:val="auto"/>
        </w:rPr>
      </w:pPr>
    </w:p>
    <w:p>
      <w:pPr>
        <w:ind w:right="1100"/>
        <w:spacing w:after="0" w:line="260" w:lineRule="auto"/>
        <w:rPr>
          <w:sz w:val="20"/>
          <w:szCs w:val="20"/>
          <w:color w:val="auto"/>
        </w:rPr>
      </w:pPr>
      <w:r>
        <w:rPr>
          <w:rFonts w:ascii="Arial" w:cs="Arial" w:eastAsia="Arial" w:hAnsi="Arial"/>
          <w:sz w:val="16"/>
          <w:szCs w:val="16"/>
          <w:color w:val="auto"/>
        </w:rPr>
        <w:t>Form of 0.00% Convertible Senior Note due 2026 (included as Exhibit A to Exhibit 4.9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0</wp:posOffset>
            </wp:positionV>
            <wp:extent cx="5299075" cy="5803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5299075" cy="580390"/>
                    </a:xfrm>
                    <a:prstGeom prst="rect">
                      <a:avLst/>
                    </a:prstGeom>
                    <a:noFill/>
                  </pic:spPr>
                </pic:pic>
              </a:graphicData>
            </a:graphic>
          </wp:anchor>
        </w:drawing>
      </w:r>
    </w:p>
    <w:p>
      <w:pPr>
        <w:ind w:right="900"/>
        <w:spacing w:after="0" w:line="251" w:lineRule="auto"/>
        <w:rPr>
          <w:sz w:val="20"/>
          <w:szCs w:val="20"/>
          <w:color w:val="auto"/>
        </w:rPr>
      </w:pPr>
      <w:r>
        <w:rPr>
          <w:rFonts w:ascii="Arial" w:cs="Arial" w:eastAsia="Arial" w:hAnsi="Arial"/>
          <w:sz w:val="15"/>
          <w:szCs w:val="15"/>
          <w:color w:val="auto"/>
        </w:rPr>
        <w:t>Indenture, dated as of June 21, 2021, by and among Marriott Ownership Resorts, Inc., Marriott Vacations</w:t>
      </w:r>
    </w:p>
    <w:p>
      <w:pPr>
        <w:spacing w:after="0" w:line="1" w:lineRule="exact"/>
        <w:rPr>
          <w:sz w:val="20"/>
          <w:szCs w:val="20"/>
          <w:color w:val="auto"/>
        </w:rPr>
      </w:pPr>
    </w:p>
    <w:p>
      <w:pPr>
        <w:ind w:right="980"/>
        <w:spacing w:after="0" w:line="220" w:lineRule="auto"/>
        <w:rPr>
          <w:sz w:val="20"/>
          <w:szCs w:val="20"/>
          <w:color w:val="auto"/>
        </w:rPr>
      </w:pPr>
      <w:r>
        <w:rPr>
          <w:rFonts w:ascii="Arial" w:cs="Arial" w:eastAsia="Arial" w:hAnsi="Arial"/>
          <w:sz w:val="17"/>
          <w:szCs w:val="17"/>
          <w:color w:val="auto"/>
        </w:rPr>
        <w:t>Worldwide Corporation, as guarantor, the other guarantors party thereto and The Bank of New York Mellon Trust Company, N.A., as trustee</w:t>
      </w:r>
    </w:p>
    <w:p>
      <w:pPr>
        <w:spacing w:after="0" w:line="15" w:lineRule="exact"/>
        <w:rPr>
          <w:sz w:val="20"/>
          <w:szCs w:val="20"/>
          <w:color w:val="auto"/>
        </w:rPr>
      </w:pPr>
    </w:p>
    <w:p>
      <w:pPr>
        <w:ind w:right="940"/>
        <w:spacing w:after="0" w:line="235" w:lineRule="auto"/>
        <w:rPr>
          <w:sz w:val="20"/>
          <w:szCs w:val="20"/>
          <w:color w:val="auto"/>
        </w:rPr>
      </w:pPr>
      <w:r>
        <w:rPr>
          <w:rFonts w:ascii="Arial" w:cs="Arial" w:eastAsia="Arial" w:hAnsi="Arial"/>
          <w:sz w:val="17"/>
          <w:szCs w:val="17"/>
          <w:color w:val="auto"/>
        </w:rPr>
        <w:t>Form of 4.500% Senior Notes due 2029 (included as Exhibit A to Exhibit 4.11 above)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16929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40" w:type="dxa"/>
            <w:vAlign w:val="bottom"/>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Exhibit</w:t>
            </w:r>
          </w:p>
        </w:tc>
        <w:tc>
          <w:tcPr>
            <w:tcW w:w="140" w:type="dxa"/>
            <w:vAlign w:val="bottom"/>
          </w:tcPr>
          <w:p>
            <w:pPr>
              <w:spacing w:after="0"/>
              <w:rPr>
                <w:sz w:val="17"/>
                <w:szCs w:val="17"/>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Date Filed</w:t>
            </w:r>
          </w:p>
        </w:tc>
      </w:tr>
      <w:tr>
        <w:trPr>
          <w:trHeight w:val="664"/>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5/1/2018</w:t>
            </w:r>
          </w:p>
        </w:tc>
      </w:tr>
      <w:tr>
        <w:trPr>
          <w:trHeight w:val="1095"/>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1/26/2021</w:t>
            </w:r>
          </w:p>
        </w:tc>
      </w:tr>
      <w:tr>
        <w:trPr>
          <w:trHeight w:val="798"/>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11/22/2011</w:t>
            </w:r>
          </w:p>
        </w:tc>
      </w:tr>
      <w:tr>
        <w:trPr>
          <w:trHeight w:val="502"/>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11/22/2011</w:t>
            </w:r>
          </w:p>
        </w:tc>
      </w:tr>
      <w:tr>
        <w:trPr>
          <w:trHeight w:val="579"/>
        </w:trPr>
        <w:tc>
          <w:tcPr>
            <w:tcW w:w="720" w:type="dxa"/>
            <w:vAlign w:val="bottom"/>
          </w:tcPr>
          <w:p>
            <w:pPr>
              <w:jc w:val="center"/>
              <w:spacing w:after="0"/>
              <w:rPr>
                <w:sz w:val="20"/>
                <w:szCs w:val="20"/>
                <w:color w:val="auto"/>
              </w:rPr>
            </w:pPr>
            <w:r>
              <w:rPr>
                <w:rFonts w:ascii="Arial" w:cs="Arial" w:eastAsia="Arial" w:hAnsi="Arial"/>
                <w:sz w:val="17"/>
                <w:szCs w:val="17"/>
                <w:color w:val="auto"/>
                <w:w w:val="84"/>
              </w:rPr>
              <w:t>10</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10/14/2011</w:t>
            </w:r>
          </w:p>
        </w:tc>
      </w:tr>
      <w:tr>
        <w:trPr>
          <w:trHeight w:val="798"/>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10/1/2019</w:t>
            </w:r>
          </w:p>
        </w:tc>
      </w:tr>
      <w:tr>
        <w:trPr>
          <w:trHeight w:val="837"/>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10-K</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3/2/2020</w:t>
            </w:r>
          </w:p>
        </w:tc>
      </w:tr>
      <w:tr>
        <w:trPr>
          <w:trHeight w:val="760"/>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10-K</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4.13</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3/2/2020</w:t>
            </w:r>
          </w:p>
        </w:tc>
      </w:tr>
      <w:tr>
        <w:trPr>
          <w:trHeight w:val="579"/>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10/1/2019</w:t>
            </w:r>
          </w:p>
        </w:tc>
      </w:tr>
      <w:tr>
        <w:trPr>
          <w:trHeight w:val="657"/>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10/1/2019</w:t>
            </w:r>
          </w:p>
        </w:tc>
      </w:tr>
      <w:tr>
        <w:trPr>
          <w:trHeight w:val="992"/>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5/15/2020</w:t>
            </w:r>
          </w:p>
        </w:tc>
      </w:tr>
      <w:tr>
        <w:trPr>
          <w:trHeight w:val="747"/>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5/15/2020</w:t>
            </w:r>
          </w:p>
        </w:tc>
      </w:tr>
      <w:tr>
        <w:trPr>
          <w:trHeight w:val="657"/>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2/3/2021</w:t>
            </w:r>
          </w:p>
        </w:tc>
      </w:tr>
      <w:tr>
        <w:trPr>
          <w:trHeight w:val="657"/>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2/3/2021</w:t>
            </w:r>
          </w:p>
        </w:tc>
      </w:tr>
      <w:tr>
        <w:trPr>
          <w:trHeight w:val="657"/>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6/22/2021</w:t>
            </w:r>
          </w:p>
        </w:tc>
      </w:tr>
      <w:tr>
        <w:trPr>
          <w:trHeight w:val="657"/>
        </w:trPr>
        <w:tc>
          <w:tcPr>
            <w:tcW w:w="860" w:type="dxa"/>
            <w:vAlign w:val="bottom"/>
            <w:gridSpan w:val="2"/>
          </w:tcPr>
          <w:p>
            <w:pPr>
              <w:jc w:val="center"/>
              <w:ind w:right="140"/>
              <w:spacing w:after="0"/>
              <w:rPr>
                <w:sz w:val="20"/>
                <w:szCs w:val="20"/>
                <w:color w:val="auto"/>
              </w:rPr>
            </w:pPr>
            <w:r>
              <w:rPr>
                <w:rFonts w:ascii="Arial" w:cs="Arial" w:eastAsia="Arial" w:hAnsi="Arial"/>
                <w:sz w:val="17"/>
                <w:szCs w:val="17"/>
                <w:color w:val="auto"/>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89"/>
              </w:rPr>
              <w:t>6/22/2021</w:t>
            </w:r>
          </w:p>
        </w:tc>
      </w:tr>
      <w:tr>
        <w:trPr>
          <w:trHeight w:val="644"/>
        </w:trPr>
        <w:tc>
          <w:tcPr>
            <w:tcW w:w="720" w:type="dxa"/>
            <w:vAlign w:val="bottom"/>
          </w:tcPr>
          <w:p>
            <w:pPr>
              <w:jc w:val="right"/>
              <w:ind w:right="295"/>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266065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3">
            <w:col w:w="660" w:space="240"/>
            <w:col w:w="4560" w:space="220"/>
            <w:col w:w="4459"/>
          </w:cols>
          <w:pgMar w:left="320" w:top="230"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00" w:type="dxa"/>
            <w:vAlign w:val="bottom"/>
            <w:vMerge w:val="restart"/>
          </w:tcPr>
          <w:p>
            <w:pPr>
              <w:jc w:val="center"/>
              <w:ind w:right="783"/>
              <w:spacing w:after="0"/>
              <w:rPr>
                <w:sz w:val="20"/>
                <w:szCs w:val="20"/>
                <w:color w:val="auto"/>
              </w:rPr>
            </w:pPr>
            <w:r>
              <w:rPr>
                <w:rFonts w:ascii="Arial" w:cs="Arial" w:eastAsia="Arial" w:hAnsi="Arial"/>
                <w:sz w:val="15"/>
                <w:szCs w:val="15"/>
                <w:b w:val="1"/>
                <w:bCs w:val="1"/>
                <w:color w:val="auto"/>
                <w:w w:val="99"/>
              </w:rPr>
              <w:t>Exhibit</w:t>
            </w:r>
          </w:p>
        </w:tc>
        <w:tc>
          <w:tcPr>
            <w:tcW w:w="2480" w:type="dxa"/>
            <w:vAlign w:val="bottom"/>
          </w:tcPr>
          <w:p>
            <w:pPr>
              <w:spacing w:after="0"/>
              <w:rPr>
                <w:sz w:val="17"/>
                <w:szCs w:val="17"/>
                <w:color w:val="auto"/>
              </w:rPr>
            </w:pPr>
          </w:p>
        </w:tc>
        <w:tc>
          <w:tcPr>
            <w:tcW w:w="1680" w:type="dxa"/>
            <w:vAlign w:val="bottom"/>
            <w:vMerge w:val="restart"/>
          </w:tcPr>
          <w:p>
            <w:pPr>
              <w:jc w:val="center"/>
              <w:ind w:left="563"/>
              <w:spacing w:after="0"/>
              <w:rPr>
                <w:sz w:val="20"/>
                <w:szCs w:val="20"/>
                <w:color w:val="auto"/>
              </w:rPr>
            </w:pPr>
            <w:r>
              <w:rPr>
                <w:rFonts w:ascii="Arial" w:cs="Arial" w:eastAsia="Arial" w:hAnsi="Arial"/>
                <w:sz w:val="15"/>
                <w:szCs w:val="15"/>
                <w:b w:val="1"/>
                <w:bCs w:val="1"/>
                <w:color w:val="auto"/>
                <w:w w:val="91"/>
              </w:rPr>
              <w:t>Filed</w:t>
            </w:r>
          </w:p>
        </w:tc>
        <w:tc>
          <w:tcPr>
            <w:tcW w:w="266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Incorporation By Reference From</w:t>
            </w:r>
          </w:p>
        </w:tc>
        <w:tc>
          <w:tcPr>
            <w:tcW w:w="0" w:type="dxa"/>
            <w:vAlign w:val="bottom"/>
          </w:tcPr>
          <w:p>
            <w:pPr>
              <w:spacing w:after="0"/>
              <w:rPr>
                <w:sz w:val="1"/>
                <w:szCs w:val="1"/>
                <w:color w:val="auto"/>
              </w:rPr>
            </w:pPr>
          </w:p>
        </w:tc>
      </w:tr>
      <w:tr>
        <w:trPr>
          <w:trHeight w:val="21"/>
        </w:trPr>
        <w:tc>
          <w:tcPr>
            <w:tcW w:w="1400" w:type="dxa"/>
            <w:vAlign w:val="bottom"/>
            <w:vMerge w:val="continue"/>
          </w:tcPr>
          <w:p>
            <w:pPr>
              <w:spacing w:after="0" w:line="20" w:lineRule="exact"/>
              <w:rPr>
                <w:sz w:val="1"/>
                <w:szCs w:val="1"/>
                <w:color w:val="auto"/>
              </w:rPr>
            </w:pPr>
          </w:p>
        </w:tc>
        <w:tc>
          <w:tcPr>
            <w:tcW w:w="248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Description</w:t>
            </w:r>
          </w:p>
        </w:tc>
        <w:tc>
          <w:tcPr>
            <w:tcW w:w="1680" w:type="dxa"/>
            <w:vAlign w:val="bottom"/>
            <w:vMerge w:val="continue"/>
          </w:tcPr>
          <w:p>
            <w:pPr>
              <w:spacing w:after="0" w:line="20" w:lineRule="exact"/>
              <w:rPr>
                <w:sz w:val="1"/>
                <w:szCs w:val="1"/>
                <w:color w:val="auto"/>
              </w:rPr>
            </w:pPr>
          </w:p>
        </w:tc>
        <w:tc>
          <w:tcPr>
            <w:tcW w:w="7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Form</w:t>
            </w:r>
          </w:p>
        </w:tc>
        <w:tc>
          <w:tcPr>
            <w:tcW w:w="88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Exhibit</w:t>
            </w:r>
          </w:p>
        </w:tc>
        <w:tc>
          <w:tcPr>
            <w:tcW w:w="104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Date Filed</w:t>
            </w:r>
          </w:p>
        </w:tc>
        <w:tc>
          <w:tcPr>
            <w:tcW w:w="0" w:type="dxa"/>
            <w:vAlign w:val="bottom"/>
          </w:tcPr>
          <w:p>
            <w:pPr>
              <w:spacing w:after="0" w:line="20" w:lineRule="exact"/>
              <w:rPr>
                <w:sz w:val="1"/>
                <w:szCs w:val="1"/>
                <w:color w:val="auto"/>
              </w:rPr>
            </w:pPr>
          </w:p>
        </w:tc>
      </w:tr>
      <w:tr>
        <w:trPr>
          <w:trHeight w:val="202"/>
        </w:trPr>
        <w:tc>
          <w:tcPr>
            <w:tcW w:w="1400" w:type="dxa"/>
            <w:vAlign w:val="bottom"/>
          </w:tcPr>
          <w:p>
            <w:pPr>
              <w:jc w:val="center"/>
              <w:ind w:right="783"/>
              <w:spacing w:after="0"/>
              <w:rPr>
                <w:sz w:val="20"/>
                <w:szCs w:val="20"/>
                <w:color w:val="auto"/>
              </w:rPr>
            </w:pPr>
            <w:r>
              <w:rPr>
                <w:rFonts w:ascii="Arial" w:cs="Arial" w:eastAsia="Arial" w:hAnsi="Arial"/>
                <w:sz w:val="15"/>
                <w:szCs w:val="15"/>
                <w:b w:val="1"/>
                <w:bCs w:val="1"/>
                <w:color w:val="auto"/>
                <w:w w:val="95"/>
              </w:rPr>
              <w:t>Number</w:t>
            </w:r>
          </w:p>
        </w:tc>
        <w:tc>
          <w:tcPr>
            <w:tcW w:w="2480" w:type="dxa"/>
            <w:vAlign w:val="bottom"/>
            <w:vMerge w:val="continue"/>
          </w:tcPr>
          <w:p>
            <w:pPr>
              <w:spacing w:after="0"/>
              <w:rPr>
                <w:sz w:val="17"/>
                <w:szCs w:val="17"/>
                <w:color w:val="auto"/>
              </w:rPr>
            </w:pPr>
          </w:p>
        </w:tc>
        <w:tc>
          <w:tcPr>
            <w:tcW w:w="1680" w:type="dxa"/>
            <w:vAlign w:val="bottom"/>
          </w:tcPr>
          <w:p>
            <w:pPr>
              <w:jc w:val="center"/>
              <w:ind w:left="563"/>
              <w:spacing w:after="0"/>
              <w:rPr>
                <w:sz w:val="20"/>
                <w:szCs w:val="20"/>
                <w:color w:val="auto"/>
              </w:rPr>
            </w:pPr>
            <w:r>
              <w:rPr>
                <w:rFonts w:ascii="Arial" w:cs="Arial" w:eastAsia="Arial" w:hAnsi="Arial"/>
                <w:sz w:val="15"/>
                <w:szCs w:val="15"/>
                <w:b w:val="1"/>
                <w:bCs w:val="1"/>
                <w:color w:val="auto"/>
                <w:w w:val="94"/>
              </w:rPr>
              <w:t>Herewith</w:t>
            </w:r>
          </w:p>
        </w:tc>
        <w:tc>
          <w:tcPr>
            <w:tcW w:w="7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5299075" cy="6953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5299075" cy="69532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240"/>
        <w:spacing w:after="0"/>
        <w:rPr>
          <w:rFonts w:ascii="Arial" w:cs="Arial" w:eastAsia="Arial" w:hAnsi="Arial"/>
          <w:sz w:val="15"/>
          <w:szCs w:val="15"/>
          <w:u w:val="single" w:color="auto"/>
          <w:color w:val="0000FF"/>
        </w:rPr>
      </w:pPr>
      <w:hyperlink r:id="rId146">
        <w:r>
          <w:rPr>
            <w:rFonts w:ascii="Arial" w:cs="Arial" w:eastAsia="Arial" w:hAnsi="Arial"/>
            <w:sz w:val="15"/>
            <w:szCs w:val="15"/>
            <w:u w:val="single" w:color="auto"/>
            <w:color w:val="0000FF"/>
          </w:rPr>
          <w:t>4.13</w:t>
        </w:r>
      </w:hyperlink>
    </w:p>
    <w:p>
      <w:pPr>
        <w:spacing w:after="0" w:line="200" w:lineRule="exact"/>
        <w:rPr>
          <w:sz w:val="20"/>
          <w:szCs w:val="20"/>
          <w:color w:val="auto"/>
        </w:rPr>
      </w:pPr>
    </w:p>
    <w:p>
      <w:pPr>
        <w:spacing w:after="0" w:line="374" w:lineRule="exact"/>
        <w:rPr>
          <w:sz w:val="20"/>
          <w:szCs w:val="20"/>
          <w:color w:val="auto"/>
        </w:rPr>
      </w:pPr>
    </w:p>
    <w:p>
      <w:pPr>
        <w:ind w:left="240"/>
        <w:spacing w:after="0"/>
        <w:rPr>
          <w:rFonts w:ascii="Arial" w:cs="Arial" w:eastAsia="Arial" w:hAnsi="Arial"/>
          <w:sz w:val="15"/>
          <w:szCs w:val="15"/>
          <w:u w:val="single" w:color="auto"/>
          <w:color w:val="0000FF"/>
        </w:rPr>
      </w:pPr>
      <w:hyperlink r:id="rId147">
        <w:r>
          <w:rPr>
            <w:rFonts w:ascii="Arial" w:cs="Arial" w:eastAsia="Arial" w:hAnsi="Arial"/>
            <w:sz w:val="15"/>
            <w:szCs w:val="15"/>
            <w:u w:val="single" w:color="auto"/>
            <w:color w:val="0000FF"/>
          </w:rPr>
          <w:t>4.14</w:t>
        </w:r>
      </w:hyperlink>
    </w:p>
    <w:p>
      <w:pPr>
        <w:spacing w:after="0" w:line="149" w:lineRule="exact"/>
        <w:rPr>
          <w:sz w:val="20"/>
          <w:szCs w:val="20"/>
          <w:color w:val="auto"/>
        </w:rPr>
      </w:pPr>
    </w:p>
    <w:p>
      <w:pPr>
        <w:ind w:left="240"/>
        <w:spacing w:after="0"/>
        <w:rPr>
          <w:rFonts w:ascii="Arial" w:cs="Arial" w:eastAsia="Arial" w:hAnsi="Arial"/>
          <w:sz w:val="15"/>
          <w:szCs w:val="15"/>
          <w:u w:val="single" w:color="auto"/>
          <w:color w:val="0000FF"/>
        </w:rPr>
      </w:pPr>
      <w:hyperlink r:id="rId148">
        <w:r>
          <w:rPr>
            <w:rFonts w:ascii="Arial" w:cs="Arial" w:eastAsia="Arial" w:hAnsi="Arial"/>
            <w:sz w:val="15"/>
            <w:szCs w:val="15"/>
            <w:u w:val="single" w:color="auto"/>
            <w:color w:val="0000FF"/>
          </w:rPr>
          <w:t>4.15</w:t>
        </w:r>
      </w:hyperlink>
    </w:p>
    <w:p>
      <w:pPr>
        <w:spacing w:after="0" w:line="149" w:lineRule="exact"/>
        <w:rPr>
          <w:sz w:val="20"/>
          <w:szCs w:val="20"/>
          <w:color w:val="auto"/>
        </w:rPr>
      </w:pPr>
    </w:p>
    <w:p>
      <w:pPr>
        <w:ind w:left="240"/>
        <w:spacing w:after="0"/>
        <w:rPr>
          <w:sz w:val="20"/>
          <w:szCs w:val="20"/>
          <w:color w:val="auto"/>
        </w:rPr>
      </w:pPr>
      <w:r>
        <w:rPr>
          <w:rFonts w:ascii="Arial" w:cs="Arial" w:eastAsia="Arial" w:hAnsi="Arial"/>
          <w:sz w:val="15"/>
          <w:szCs w:val="15"/>
          <w:u w:val="single" w:color="auto"/>
          <w:color w:val="0000FF"/>
        </w:rPr>
        <w:t>10.1</w:t>
      </w:r>
    </w:p>
    <w:p>
      <w:pPr>
        <w:spacing w:after="0" w:line="149" w:lineRule="exact"/>
        <w:rPr>
          <w:sz w:val="20"/>
          <w:szCs w:val="20"/>
          <w:color w:val="auto"/>
        </w:rPr>
      </w:pPr>
    </w:p>
    <w:p>
      <w:pPr>
        <w:ind w:left="240"/>
        <w:spacing w:after="0"/>
        <w:rPr>
          <w:rFonts w:ascii="Arial" w:cs="Arial" w:eastAsia="Arial" w:hAnsi="Arial"/>
          <w:sz w:val="15"/>
          <w:szCs w:val="15"/>
          <w:u w:val="single" w:color="auto"/>
          <w:color w:val="0000FF"/>
        </w:rPr>
      </w:pPr>
      <w:hyperlink r:id="rId149">
        <w:r>
          <w:rPr>
            <w:rFonts w:ascii="Arial" w:cs="Arial" w:eastAsia="Arial" w:hAnsi="Arial"/>
            <w:sz w:val="15"/>
            <w:szCs w:val="15"/>
            <w:u w:val="single" w:color="auto"/>
            <w:color w:val="0000FF"/>
          </w:rPr>
          <w:t>22.1</w:t>
        </w:r>
      </w:hyperlink>
    </w:p>
    <w:p>
      <w:pPr>
        <w:spacing w:after="0" w:line="227" w:lineRule="exact"/>
        <w:rPr>
          <w:sz w:val="20"/>
          <w:szCs w:val="20"/>
          <w:color w:val="auto"/>
        </w:rPr>
      </w:pPr>
    </w:p>
    <w:p>
      <w:pPr>
        <w:ind w:left="240"/>
        <w:spacing w:after="0"/>
        <w:rPr>
          <w:sz w:val="20"/>
          <w:szCs w:val="20"/>
          <w:color w:val="auto"/>
        </w:rPr>
      </w:pPr>
      <w:r>
        <w:rPr>
          <w:rFonts w:ascii="Arial" w:cs="Arial" w:eastAsia="Arial" w:hAnsi="Arial"/>
          <w:sz w:val="15"/>
          <w:szCs w:val="15"/>
          <w:u w:val="single" w:color="auto"/>
          <w:color w:val="0000FF"/>
        </w:rPr>
        <w:t>31.1</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5"/>
          <w:szCs w:val="15"/>
          <w:u w:val="single" w:color="auto"/>
          <w:color w:val="0000FF"/>
        </w:rPr>
        <w:t>31.2</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5"/>
          <w:szCs w:val="15"/>
          <w:u w:val="single" w:color="auto"/>
          <w:color w:val="0000FF"/>
        </w:rPr>
        <w:t>32.1</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5"/>
          <w:szCs w:val="15"/>
          <w:u w:val="single" w:color="auto"/>
          <w:color w:val="0000FF"/>
        </w:rPr>
        <w:t>32.2</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15"/>
          <w:szCs w:val="15"/>
          <w:color w:val="auto"/>
        </w:rPr>
        <w:t>Indenture, dated as of December 8, 2022, by and among Marriott Vacations Worldwide Corporation, as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issuer, Marriott Ownership Resorts, Inc. and the other guarantors party thereto from time to time and The New York Bank of Mellon Trust Company, N.A., as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trustee</w:t>
      </w:r>
    </w:p>
    <w:p>
      <w:pPr>
        <w:spacing w:after="0" w:line="9"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Form of 3.25% Convertible Senior Notes due 2027 (included as Exhibit A to Exhibit 4.13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-6985</wp:posOffset>
            </wp:positionV>
            <wp:extent cx="5299075" cy="155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Description of Registered Securities</w:t>
      </w:r>
    </w:p>
    <w:p>
      <w:pPr>
        <w:spacing w:after="0" w:line="3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Marriott Vacations Worldwide Corporation Change in Control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10160</wp:posOffset>
            </wp:positionV>
            <wp:extent cx="5299075" cy="155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5299075" cy="15557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List of the Issuer and its Guarantor Subsidiaries</w:t>
      </w:r>
    </w:p>
    <w:p>
      <w:pPr>
        <w:spacing w:after="0" w:line="36"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Certification by Chief Executive Officer Pursuant to Rule 13a-14(a) of the Securities Exchange Act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5715</wp:posOffset>
            </wp:positionV>
            <wp:extent cx="5299075" cy="3600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5299075" cy="360045"/>
                    </a:xfrm>
                    <a:prstGeom prst="rect">
                      <a:avLst/>
                    </a:prstGeom>
                    <a:noFill/>
                  </pic:spPr>
                </pic:pic>
              </a:graphicData>
            </a:graphic>
          </wp:anchor>
        </w:drawing>
      </w:r>
    </w:p>
    <w:p>
      <w:pPr>
        <w:ind w:right="160"/>
        <w:spacing w:after="0" w:line="235" w:lineRule="auto"/>
        <w:rPr>
          <w:sz w:val="20"/>
          <w:szCs w:val="20"/>
          <w:color w:val="auto"/>
        </w:rPr>
      </w:pPr>
      <w:r>
        <w:rPr>
          <w:rFonts w:ascii="Arial" w:cs="Arial" w:eastAsia="Arial" w:hAnsi="Arial"/>
          <w:sz w:val="16"/>
          <w:szCs w:val="16"/>
          <w:color w:val="auto"/>
        </w:rPr>
        <w:t>Certification by Chief Financial Officer Pursuant to Rule 13a-14(a) of the Securities Exchange Act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1934</w:t>
      </w:r>
    </w:p>
    <w:p>
      <w:pPr>
        <w:spacing w:after="0" w:line="9"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Certification by Chief Executive Officer Pursuant to 18 U.S.C. Section 1350, 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5715</wp:posOffset>
            </wp:positionV>
            <wp:extent cx="5299075" cy="3600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5299075" cy="360045"/>
                    </a:xfrm>
                    <a:prstGeom prst="rect">
                      <a:avLst/>
                    </a:prstGeom>
                    <a:noFill/>
                  </pic:spPr>
                </pic:pic>
              </a:graphicData>
            </a:graphic>
          </wp:anchor>
        </w:drawing>
      </w:r>
    </w:p>
    <w:p>
      <w:pPr>
        <w:ind w:right="160"/>
        <w:spacing w:after="0" w:line="235" w:lineRule="auto"/>
        <w:rPr>
          <w:sz w:val="20"/>
          <w:szCs w:val="20"/>
          <w:color w:val="auto"/>
        </w:rPr>
      </w:pPr>
      <w:r>
        <w:rPr>
          <w:rFonts w:ascii="Arial" w:cs="Arial" w:eastAsia="Arial" w:hAnsi="Arial"/>
          <w:sz w:val="16"/>
          <w:szCs w:val="16"/>
          <w:color w:val="auto"/>
        </w:rPr>
        <w:t>Certification by Chief Financial Officer Pursuant to 18 U.S.C. Section 1350, 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800"/>
        <w:spacing w:after="0"/>
        <w:tabs>
          <w:tab w:leader="none" w:pos="1640" w:val="left"/>
          <w:tab w:leader="none" w:pos="238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12/8/2022</w:t>
      </w:r>
    </w:p>
    <w:p>
      <w:pPr>
        <w:spacing w:after="0" w:line="200" w:lineRule="exact"/>
        <w:rPr>
          <w:sz w:val="20"/>
          <w:szCs w:val="20"/>
          <w:color w:val="auto"/>
        </w:rPr>
      </w:pPr>
    </w:p>
    <w:p>
      <w:pPr>
        <w:spacing w:after="0" w:line="351" w:lineRule="exact"/>
        <w:rPr>
          <w:sz w:val="20"/>
          <w:szCs w:val="20"/>
          <w:color w:val="auto"/>
        </w:rPr>
      </w:pPr>
    </w:p>
    <w:p>
      <w:pPr>
        <w:ind w:left="800"/>
        <w:spacing w:after="0"/>
        <w:tabs>
          <w:tab w:leader="none" w:pos="1640" w:val="left"/>
          <w:tab w:leader="none" w:pos="238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12/8/2022</w:t>
      </w:r>
    </w:p>
    <w:p>
      <w:pPr>
        <w:spacing w:after="0" w:line="126" w:lineRule="exact"/>
        <w:rPr>
          <w:sz w:val="20"/>
          <w:szCs w:val="20"/>
          <w:color w:val="auto"/>
        </w:rPr>
      </w:pPr>
    </w:p>
    <w:p>
      <w:pPr>
        <w:ind w:left="760"/>
        <w:spacing w:after="0"/>
        <w:tabs>
          <w:tab w:leader="none" w:pos="1600" w:val="left"/>
          <w:tab w:leader="none" w:pos="2420" w:val="left"/>
        </w:tabs>
        <w:rPr>
          <w:sz w:val="20"/>
          <w:szCs w:val="20"/>
          <w:color w:val="auto"/>
        </w:rPr>
      </w:pPr>
      <w:r>
        <w:rPr>
          <w:rFonts w:ascii="Arial" w:cs="Arial" w:eastAsia="Arial" w:hAnsi="Arial"/>
          <w:sz w:val="17"/>
          <w:szCs w:val="17"/>
          <w:color w:val="auto"/>
        </w:rPr>
        <w:t>10-K</w:t>
      </w:r>
      <w:r>
        <w:rPr>
          <w:sz w:val="20"/>
          <w:szCs w:val="20"/>
          <w:color w:val="auto"/>
        </w:rPr>
        <w:tab/>
      </w:r>
      <w:r>
        <w:rPr>
          <w:rFonts w:ascii="Arial" w:cs="Arial" w:eastAsia="Arial" w:hAnsi="Arial"/>
          <w:sz w:val="17"/>
          <w:szCs w:val="17"/>
          <w:color w:val="auto"/>
        </w:rPr>
        <w:t>4.16</w:t>
      </w:r>
      <w:r>
        <w:rPr>
          <w:sz w:val="20"/>
          <w:szCs w:val="20"/>
          <w:color w:val="auto"/>
        </w:rPr>
        <w:tab/>
      </w:r>
      <w:r>
        <w:rPr>
          <w:rFonts w:ascii="Arial" w:cs="Arial" w:eastAsia="Arial" w:hAnsi="Arial"/>
          <w:sz w:val="15"/>
          <w:szCs w:val="15"/>
          <w:color w:val="auto"/>
        </w:rPr>
        <w:t>3/2/2020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6" w:lineRule="exact"/>
        <w:rPr>
          <w:sz w:val="20"/>
          <w:szCs w:val="20"/>
          <w:color w:val="auto"/>
        </w:rPr>
      </w:pPr>
    </w:p>
    <w:p>
      <w:pPr>
        <w:jc w:val="right"/>
        <w:ind w:right="1919"/>
        <w:spacing w:after="0"/>
        <w:tabs>
          <w:tab w:leader="none" w:pos="1480" w:val="left"/>
          <w:tab w:leader="none" w:pos="760" w:val="left"/>
        </w:tabs>
        <w:rPr>
          <w:sz w:val="20"/>
          <w:szCs w:val="20"/>
          <w:color w:val="auto"/>
        </w:rPr>
      </w:pPr>
      <w:r>
        <w:rPr>
          <w:rFonts w:ascii="Arial" w:cs="Arial" w:eastAsia="Arial" w:hAnsi="Arial"/>
          <w:sz w:val="17"/>
          <w:szCs w:val="17"/>
          <w:color w:val="auto"/>
        </w:rPr>
        <w:t>10-K</w:t>
      </w:r>
      <w:r>
        <w:rPr>
          <w:sz w:val="20"/>
          <w:szCs w:val="20"/>
          <w:color w:val="auto"/>
        </w:rPr>
        <w:tab/>
      </w:r>
      <w:r>
        <w:rPr>
          <w:rFonts w:ascii="Arial" w:cs="Arial" w:eastAsia="Arial" w:hAnsi="Arial"/>
          <w:sz w:val="17"/>
          <w:szCs w:val="17"/>
          <w:color w:val="auto"/>
        </w:rPr>
        <w:t>22.1</w:t>
      </w:r>
      <w:r>
        <w:rPr>
          <w:sz w:val="20"/>
          <w:szCs w:val="20"/>
          <w:color w:val="auto"/>
        </w:rPr>
        <w:tab/>
      </w:r>
      <w:r>
        <w:rPr>
          <w:rFonts w:ascii="Arial" w:cs="Arial" w:eastAsia="Arial" w:hAnsi="Arial"/>
          <w:sz w:val="15"/>
          <w:szCs w:val="15"/>
          <w:color w:val="auto"/>
        </w:rPr>
        <w:t>02/27/2023</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Furnished</w:t>
      </w:r>
    </w:p>
    <w:p>
      <w:pPr>
        <w:spacing w:after="0" w:line="37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Furnished</w:t>
      </w:r>
    </w:p>
    <w:p>
      <w:pPr>
        <w:spacing w:after="0" w:line="203" w:lineRule="exact"/>
        <w:rPr>
          <w:sz w:val="20"/>
          <w:szCs w:val="20"/>
          <w:color w:val="auto"/>
        </w:rPr>
      </w:pPr>
    </w:p>
    <w:p>
      <w:pPr>
        <w:sectPr>
          <w:pgSz w:w="11900" w:h="16838" w:orient="portrait"/>
          <w:cols w:equalWidth="0" w:num="3">
            <w:col w:w="540" w:space="380"/>
            <w:col w:w="3700" w:space="480"/>
            <w:col w:w="5039"/>
          </w:cols>
          <w:pgMar w:left="320" w:top="230" w:right="1440" w:bottom="1440" w:gutter="0" w:footer="0" w:header="0"/>
          <w:type w:val="continuous"/>
        </w:sectPr>
      </w:pPr>
    </w:p>
    <w:p>
      <w:pPr>
        <w:ind w:left="920" w:right="2119"/>
        <w:spacing w:after="0" w:line="251" w:lineRule="auto"/>
        <w:rPr>
          <w:sz w:val="20"/>
          <w:szCs w:val="20"/>
          <w:color w:val="auto"/>
        </w:rPr>
      </w:pPr>
      <w:r>
        <w:rPr>
          <w:rFonts w:ascii="Arial" w:cs="Arial" w:eastAsia="Arial" w:hAnsi="Arial"/>
          <w:sz w:val="15"/>
          <w:szCs w:val="15"/>
          <w:color w:val="auto"/>
        </w:rPr>
        <w:t>The following financial statements from the Company’s Quarterly Report on Form 10-Q for the quarter ended March 31, 2023, formatted in Inline XBRL: (i) Interim Consolidated Statements of Income, (ii)</w:t>
      </w:r>
    </w:p>
    <w:p>
      <w:pPr>
        <w:spacing w:after="0" w:line="1" w:lineRule="exact"/>
        <w:rPr>
          <w:sz w:val="20"/>
          <w:szCs w:val="20"/>
          <w:color w:val="auto"/>
        </w:rPr>
      </w:pPr>
    </w:p>
    <w:p>
      <w:pPr>
        <w:ind w:left="920" w:right="1839" w:hanging="659"/>
        <w:spacing w:after="0" w:line="220" w:lineRule="auto"/>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15" w:lineRule="exact"/>
        <w:rPr>
          <w:sz w:val="20"/>
          <w:szCs w:val="20"/>
          <w:color w:val="auto"/>
        </w:rPr>
      </w:pPr>
    </w:p>
    <w:p>
      <w:pPr>
        <w:ind w:left="920" w:right="1819" w:hanging="659"/>
        <w:spacing w:after="0" w:line="182" w:lineRule="auto"/>
        <w:tabs>
          <w:tab w:leader="none" w:pos="920" w:val="left"/>
        </w:tabs>
        <w:numPr>
          <w:ilvl w:val="0"/>
          <w:numId w:val="36"/>
        </w:numPr>
        <w:rPr>
          <w:rFonts w:ascii="Arial" w:cs="Arial" w:eastAsia="Arial" w:hAnsi="Arial"/>
          <w:sz w:val="29"/>
          <w:szCs w:val="29"/>
          <w:color w:val="auto"/>
          <w:vertAlign w:val="subscript"/>
        </w:rPr>
      </w:pPr>
      <w:r>
        <w:rPr>
          <w:rFonts w:ascii="Arial" w:cs="Arial" w:eastAsia="Arial" w:hAnsi="Arial"/>
          <w:sz w:val="15"/>
          <w:szCs w:val="15"/>
          <w:color w:val="auto"/>
        </w:rPr>
        <w:t>The cover page from the Company’s Quarterly Report on Form 10-Q for the quarter ended March 31, 2023,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-243205</wp:posOffset>
            </wp:positionV>
            <wp:extent cx="5299075" cy="2533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5299075" cy="253365"/>
                    </a:xfrm>
                    <a:prstGeom prst="rect">
                      <a:avLst/>
                    </a:prstGeom>
                    <a:noFill/>
                  </pic:spPr>
                </pic:pic>
              </a:graphicData>
            </a:graphic>
          </wp:anchor>
        </w:drawing>
      </w:r>
    </w:p>
    <w:p>
      <w:pPr>
        <w:spacing w:after="0" w:line="214" w:lineRule="exact"/>
        <w:rPr>
          <w:sz w:val="20"/>
          <w:szCs w:val="20"/>
          <w:color w:val="auto"/>
        </w:rPr>
      </w:pPr>
    </w:p>
    <w:p>
      <w:pPr>
        <w:ind w:left="880" w:right="1859" w:hanging="559"/>
        <w:spacing w:after="0" w:line="182" w:lineRule="auto"/>
        <w:tabs>
          <w:tab w:leader="none" w:pos="880" w:val="left"/>
        </w:tabs>
        <w:numPr>
          <w:ilvl w:val="0"/>
          <w:numId w:val="37"/>
        </w:numPr>
        <w:rPr>
          <w:rFonts w:ascii="Arial" w:cs="Arial" w:eastAsia="Arial" w:hAnsi="Arial"/>
          <w:sz w:val="29"/>
          <w:szCs w:val="29"/>
          <w:color w:val="auto"/>
          <w:vertAlign w:val="subscript"/>
        </w:rPr>
      </w:pPr>
      <w:r>
        <w:rPr>
          <w:rFonts w:ascii="Arial" w:cs="Arial" w:eastAsia="Arial" w:hAnsi="Arial"/>
          <w:sz w:val="15"/>
          <w:szCs w:val="15"/>
          <w:color w:val="auto"/>
        </w:rPr>
        <w:t>Schedules have been omitted pursuant to Item 601(b)(2) of Regulation S-K. The Company agrees to furnish supplemental copies to the SEC of any omitted schedule upon request by the SEC.</w:t>
      </w:r>
    </w:p>
    <w:p>
      <w:pPr>
        <w:spacing w:after="0" w:line="28" w:lineRule="exact"/>
        <w:rPr>
          <w:sz w:val="20"/>
          <w:szCs w:val="20"/>
          <w:color w:val="auto"/>
        </w:rPr>
      </w:pPr>
    </w:p>
    <w:p>
      <w:pPr>
        <w:ind w:left="880" w:hanging="602"/>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38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280035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bookmarkStart w:id="55" w:name="page56"/>
    <w:bookmarkEnd w:id="55"/>
    <w:p>
      <w:pPr>
        <w:ind w:left="5380"/>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tbl>
      <w:tblPr>
        <w:tblLayout w:type="fixed"/>
        <w:tblInd w:w="146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MARRIOTT VACATIONS WORLDWIDE CORPORATION</w:t>
            </w:r>
          </w:p>
        </w:tc>
      </w:tr>
      <w:tr>
        <w:trPr>
          <w:trHeight w:val="516"/>
        </w:trPr>
        <w:tc>
          <w:tcPr>
            <w:tcW w:w="3180" w:type="dxa"/>
            <w:vAlign w:val="bottom"/>
          </w:tcPr>
          <w:p>
            <w:pPr>
              <w:spacing w:after="0"/>
              <w:rPr>
                <w:sz w:val="20"/>
                <w:szCs w:val="20"/>
                <w:color w:val="auto"/>
              </w:rPr>
            </w:pPr>
            <w:r>
              <w:rPr>
                <w:rFonts w:ascii="Arial" w:cs="Arial" w:eastAsia="Arial" w:hAnsi="Arial"/>
                <w:sz w:val="17"/>
                <w:szCs w:val="17"/>
                <w:color w:val="auto"/>
              </w:rPr>
              <w:t>Date:   May 4, 2023</w:t>
            </w:r>
          </w:p>
        </w:tc>
        <w:tc>
          <w:tcPr>
            <w:tcW w:w="5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E. Geller, Jr.</w:t>
            </w:r>
          </w:p>
        </w:tc>
      </w:tr>
      <w:tr>
        <w:trPr>
          <w:trHeight w:val="237"/>
        </w:trPr>
        <w:tc>
          <w:tcPr>
            <w:tcW w:w="31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John E. Geller, Jr.</w:t>
            </w:r>
          </w:p>
        </w:tc>
      </w:tr>
      <w:tr>
        <w:trPr>
          <w:trHeight w:val="258"/>
        </w:trPr>
        <w:tc>
          <w:tcPr>
            <w:tcW w:w="3180" w:type="dxa"/>
            <w:vAlign w:val="bottom"/>
          </w:tcPr>
          <w:p>
            <w:pPr>
              <w:spacing w:after="0"/>
              <w:rPr>
                <w:sz w:val="22"/>
                <w:szCs w:val="22"/>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516"/>
        </w:trPr>
        <w:tc>
          <w:tcPr>
            <w:tcW w:w="318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Anthony E. Terry</w:t>
            </w:r>
          </w:p>
        </w:tc>
      </w:tr>
      <w:tr>
        <w:trPr>
          <w:trHeight w:val="237"/>
        </w:trPr>
        <w:tc>
          <w:tcPr>
            <w:tcW w:w="31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Anthony E. Terry</w:t>
            </w:r>
          </w:p>
        </w:tc>
      </w:tr>
      <w:tr>
        <w:trPr>
          <w:trHeight w:val="258"/>
        </w:trPr>
        <w:tc>
          <w:tcPr>
            <w:tcW w:w="3180" w:type="dxa"/>
            <w:vAlign w:val="bottom"/>
          </w:tcPr>
          <w:p>
            <w:pPr>
              <w:spacing w:after="0"/>
              <w:rPr>
                <w:sz w:val="22"/>
                <w:szCs w:val="22"/>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Executive Vice President and Chief Financial Officer</w:t>
            </w:r>
          </w:p>
        </w:tc>
      </w:tr>
      <w:tr>
        <w:trPr>
          <w:trHeight w:val="554"/>
        </w:trPr>
        <w:tc>
          <w:tcPr>
            <w:tcW w:w="3180" w:type="dxa"/>
            <w:vAlign w:val="bottom"/>
          </w:tcPr>
          <w:p>
            <w:pPr>
              <w:spacing w:after="0"/>
              <w:rPr>
                <w:sz w:val="24"/>
                <w:szCs w:val="24"/>
                <w:color w:val="auto"/>
              </w:rPr>
            </w:pPr>
          </w:p>
        </w:tc>
        <w:tc>
          <w:tcPr>
            <w:tcW w:w="5160" w:type="dxa"/>
            <w:vAlign w:val="bottom"/>
          </w:tcPr>
          <w:p>
            <w:pPr>
              <w:ind w:left="1200"/>
              <w:spacing w:after="0"/>
              <w:rPr>
                <w:sz w:val="20"/>
                <w:szCs w:val="20"/>
                <w:color w:val="auto"/>
              </w:rPr>
            </w:pPr>
            <w:r>
              <w:rPr>
                <w:rFonts w:ascii="Arial" w:cs="Arial" w:eastAsia="Arial" w:hAnsi="Arial"/>
                <w:sz w:val="17"/>
                <w:szCs w:val="17"/>
                <w:color w:val="auto"/>
              </w:rPr>
              <w:t>54</w:t>
            </w:r>
          </w:p>
        </w:tc>
      </w:tr>
    </w:tbl>
    <w:p>
      <w:pPr>
        <w:sectPr>
          <w:pgSz w:w="11900" w:h="16838" w:orient="portrait"/>
          <w:cols w:equalWidth="0" w:num="1">
            <w:col w:w="10680"/>
          </w:cols>
          <w:pgMar w:left="320" w:top="1126" w:right="89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CHANGE IN CONTROL SEVERANCE PLAN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Originally Effective January 27, 2012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Amended and Restated Effective February 16, 2023</w:t>
      </w:r>
    </w:p>
    <w:p>
      <w:pPr>
        <w:spacing w:after="0" w:line="344"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0"/>
          <w:szCs w:val="20"/>
          <w:color w:val="auto"/>
        </w:rPr>
        <w:t>THIS MARRIOTT VACATIONS WORLDWIDE CORPORATION CHANGE IN CONTROL SEVERANCE PLAN, adopted by Marriott Vacations Worldwide Corporation, a Delaware corporation, is hereby established to provide for the payment of severance benefits to certain of its key Executives in the event of certain terminations of employment following a Change in Control (as defined herein). The primary purposes of the Plan are to (i) motivate executives to drive business success independent of the possible occurrence of a Change in Control and reduce distractions associated with a potential Change in Control, and (ii) maximize shareholder value by retaining key Executives through the closing of a Change in Control.</w:t>
      </w:r>
    </w:p>
    <w:p>
      <w:pPr>
        <w:spacing w:after="0" w:line="163"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clearly indicates otherwise, when used in this Plan:</w:t>
      </w:r>
    </w:p>
    <w:p>
      <w:pPr>
        <w:spacing w:after="0" w:line="209" w:lineRule="exact"/>
        <w:rPr>
          <w:sz w:val="20"/>
          <w:szCs w:val="20"/>
          <w:color w:val="auto"/>
        </w:rPr>
      </w:pPr>
    </w:p>
    <w:p>
      <w:pPr>
        <w:jc w:val="both"/>
        <w:ind w:left="620" w:firstLine="619"/>
        <w:spacing w:after="0" w:line="254" w:lineRule="auto"/>
        <w:tabs>
          <w:tab w:leader="none" w:pos="1853"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entity, any other corporation, organization, association, partnership, sole proprietorship or other type of entity, whether incorporated or unincorporated, directly or indirectly controlling or controlled by or under direct or indirect common control with such entity.</w:t>
      </w:r>
    </w:p>
    <w:p>
      <w:pPr>
        <w:spacing w:after="0" w:line="186" w:lineRule="exact"/>
        <w:rPr>
          <w:rFonts w:ascii="Arial" w:cs="Arial" w:eastAsia="Arial" w:hAnsi="Arial"/>
          <w:sz w:val="21"/>
          <w:szCs w:val="21"/>
          <w:color w:val="auto"/>
        </w:rPr>
      </w:pPr>
    </w:p>
    <w:p>
      <w:pPr>
        <w:jc w:val="both"/>
        <w:ind w:left="620" w:firstLine="619"/>
        <w:spacing w:after="0" w:line="265" w:lineRule="auto"/>
        <w:tabs>
          <w:tab w:leader="none" w:pos="1852"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Salary</w:t>
      </w:r>
      <w:r>
        <w:rPr>
          <w:rFonts w:ascii="Arial" w:cs="Arial" w:eastAsia="Arial" w:hAnsi="Arial"/>
          <w:sz w:val="20"/>
          <w:szCs w:val="20"/>
          <w:color w:val="auto"/>
        </w:rPr>
        <w:t>” means Executive’s annual rate of base salary in effect on the date of Executive’s Termination of Employment (or, if higher, on the date of the Change in Control), determined in each case prior to (i) reduction for any employee-elected salary reduction contributions made to an Employer-sponsored non-qualified deferred compensation plan or an Employer-sponsored plan pursuant to Section 401(k) or 125 of the Code, and excluding bonuses, overtime, allowances, commissions, deferred compensation payments and any other extraordinary remuneration, and (ii) any reduction that is a basis for Executive’s termination for Good Reason.</w:t>
      </w:r>
    </w:p>
    <w:p>
      <w:pPr>
        <w:spacing w:after="0" w:line="163" w:lineRule="exact"/>
        <w:rPr>
          <w:rFonts w:ascii="Arial" w:cs="Arial" w:eastAsia="Arial" w:hAnsi="Arial"/>
          <w:sz w:val="20"/>
          <w:szCs w:val="20"/>
          <w:color w:val="auto"/>
        </w:rPr>
      </w:pPr>
    </w:p>
    <w:p>
      <w:pPr>
        <w:ind w:left="620" w:firstLine="619"/>
        <w:spacing w:after="0" w:line="265" w:lineRule="auto"/>
        <w:tabs>
          <w:tab w:leader="none" w:pos="1853"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w:t>
      </w:r>
      <w:r>
        <w:rPr>
          <w:rFonts w:ascii="Arial" w:cs="Arial" w:eastAsia="Arial" w:hAnsi="Arial"/>
          <w:sz w:val="21"/>
          <w:szCs w:val="21"/>
          <w:color w:val="auto"/>
        </w:rPr>
        <w:t>” has the meaning ascribed to such term in Rule 13d-3 of the General Rules and Regulations under the Exchange Act.</w:t>
      </w:r>
    </w:p>
    <w:p>
      <w:pPr>
        <w:spacing w:after="0" w:line="162" w:lineRule="exact"/>
        <w:rPr>
          <w:rFonts w:ascii="Arial" w:cs="Arial" w:eastAsia="Arial" w:hAnsi="Arial"/>
          <w:sz w:val="21"/>
          <w:szCs w:val="21"/>
          <w:color w:val="auto"/>
        </w:rPr>
      </w:pPr>
    </w:p>
    <w:p>
      <w:pPr>
        <w:ind w:left="1860" w:hanging="621"/>
        <w:spacing w:after="0"/>
        <w:tabs>
          <w:tab w:leader="none" w:pos="18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209" w:lineRule="exact"/>
        <w:rPr>
          <w:rFonts w:ascii="Arial" w:cs="Arial" w:eastAsia="Arial" w:hAnsi="Arial"/>
          <w:sz w:val="21"/>
          <w:szCs w:val="21"/>
          <w:color w:val="auto"/>
        </w:rPr>
      </w:pPr>
    </w:p>
    <w:p>
      <w:pPr>
        <w:jc w:val="both"/>
        <w:ind w:left="620" w:firstLine="619"/>
        <w:spacing w:after="0" w:line="251" w:lineRule="auto"/>
        <w:tabs>
          <w:tab w:leader="none" w:pos="1853"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means (i) Executive’s conviction of a felony; (ii) an act by Executive which constitutes willful or gross misconduct and which is demonstrably and materially injurious to the Company; or (iii) continued substantial willful violations by Executive of Executive’s employment duties after there has been delivered to Executive a written demand for performance from the Company which specifically sets forth the factual basis for the Company's belief that Executive has not substantially performed his or her duties.</w:t>
      </w:r>
    </w:p>
    <w:p>
      <w:pPr>
        <w:spacing w:after="0" w:line="179" w:lineRule="exact"/>
        <w:rPr>
          <w:rFonts w:ascii="Arial" w:cs="Arial" w:eastAsia="Arial" w:hAnsi="Arial"/>
          <w:sz w:val="21"/>
          <w:szCs w:val="21"/>
          <w:color w:val="auto"/>
        </w:rPr>
      </w:pPr>
    </w:p>
    <w:p>
      <w:pPr>
        <w:ind w:left="1860" w:hanging="621"/>
        <w:spacing w:after="0"/>
        <w:tabs>
          <w:tab w:leader="none" w:pos="18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and shall be deemed to have occurred if:</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1"/>
          <w:szCs w:val="2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20" w:firstLine="617"/>
        <w:spacing w:after="0" w:line="262" w:lineRule="auto"/>
        <w:tabs>
          <w:tab w:leader="none" w:pos="1852"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Any Person directly or indirectly becomes the Beneficial Owner of more than thirty percent (30%) of the 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that, immediately following such transaction, is owned, directly or indirectly, by the stockholders of the Company in substantially the same proportions as their ownership of Company stock immediately prior to such transaction; or</w:t>
      </w:r>
    </w:p>
    <w:p>
      <w:pPr>
        <w:spacing w:after="0" w:line="180" w:lineRule="exact"/>
        <w:rPr>
          <w:rFonts w:ascii="Arial" w:cs="Arial" w:eastAsia="Arial" w:hAnsi="Arial"/>
          <w:sz w:val="20"/>
          <w:szCs w:val="20"/>
          <w:color w:val="auto"/>
        </w:rPr>
      </w:pPr>
    </w:p>
    <w:p>
      <w:pPr>
        <w:jc w:val="both"/>
        <w:ind w:left="620" w:firstLine="617"/>
        <w:spacing w:after="0" w:line="264" w:lineRule="auto"/>
        <w:tabs>
          <w:tab w:leader="none" w:pos="1852"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64" w:lineRule="exact"/>
        <w:rPr>
          <w:rFonts w:ascii="Arial" w:cs="Arial" w:eastAsia="Arial" w:hAnsi="Arial"/>
          <w:sz w:val="20"/>
          <w:szCs w:val="20"/>
          <w:color w:val="auto"/>
        </w:rPr>
      </w:pPr>
    </w:p>
    <w:p>
      <w:pPr>
        <w:jc w:val="both"/>
        <w:ind w:left="620" w:firstLine="617"/>
        <w:spacing w:after="0" w:line="254" w:lineRule="auto"/>
        <w:tabs>
          <w:tab w:leader="none" w:pos="1852" w:val="left"/>
        </w:tabs>
        <w:numPr>
          <w:ilvl w:val="1"/>
          <w:numId w:val="40"/>
        </w:numPr>
        <w:rPr>
          <w:rFonts w:ascii="Arial" w:cs="Arial" w:eastAsia="Arial" w:hAnsi="Arial"/>
          <w:sz w:val="21"/>
          <w:szCs w:val="21"/>
          <w:color w:val="auto"/>
        </w:rPr>
      </w:pPr>
      <w:r>
        <w:rPr>
          <w:rFonts w:ascii="Arial" w:cs="Arial" w:eastAsia="Arial" w:hAnsi="Arial"/>
          <w:sz w:val="21"/>
          <w:szCs w:val="21"/>
          <w:color w:val="auto"/>
        </w:rPr>
        <w:t>Continuing Directors cease to represent a majority of the Board, where “Continuing Directors” shall mean the directors of the Board immediately after the date this Plan is adopted, and any other director whose appointment, election or nomination for election by the stockholders is approved by at least a majority of the Continuing Directors at such time; or</w:t>
      </w:r>
    </w:p>
    <w:p>
      <w:pPr>
        <w:spacing w:after="0" w:line="175" w:lineRule="exact"/>
        <w:rPr>
          <w:rFonts w:ascii="Arial" w:cs="Arial" w:eastAsia="Arial" w:hAnsi="Arial"/>
          <w:sz w:val="21"/>
          <w:szCs w:val="21"/>
          <w:color w:val="auto"/>
        </w:rPr>
      </w:pPr>
    </w:p>
    <w:p>
      <w:pPr>
        <w:ind w:left="620" w:firstLine="617"/>
        <w:spacing w:after="0" w:line="265" w:lineRule="auto"/>
        <w:tabs>
          <w:tab w:leader="none" w:pos="1852"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stockholders of the Company approve a plan of complete liquidation of the Company or the Company sells or disposes of all or substantially all of its assets.</w:t>
      </w:r>
    </w:p>
    <w:p>
      <w:pPr>
        <w:spacing w:after="0" w:line="174" w:lineRule="exact"/>
        <w:rPr>
          <w:rFonts w:ascii="Arial" w:cs="Arial" w:eastAsia="Arial" w:hAnsi="Arial"/>
          <w:sz w:val="21"/>
          <w:szCs w:val="21"/>
          <w:color w:val="auto"/>
        </w:rPr>
      </w:pPr>
    </w:p>
    <w:p>
      <w:pPr>
        <w:ind w:left="1240" w:hanging="621"/>
        <w:spacing w:after="0"/>
        <w:tabs>
          <w:tab w:leader="none" w:pos="12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COBRA</w:t>
      </w:r>
      <w:r>
        <w:rPr>
          <w:rFonts w:ascii="Arial" w:cs="Arial" w:eastAsia="Arial" w:hAnsi="Arial"/>
          <w:sz w:val="21"/>
          <w:szCs w:val="21"/>
          <w:color w:val="auto"/>
        </w:rPr>
        <w:t>” means the Consolidated Omnibus Budget Reconciliation Act of 1985, as amended.</w:t>
      </w:r>
    </w:p>
    <w:p>
      <w:pPr>
        <w:spacing w:after="0" w:line="209" w:lineRule="exact"/>
        <w:rPr>
          <w:rFonts w:ascii="Arial" w:cs="Arial" w:eastAsia="Arial" w:hAnsi="Arial"/>
          <w:sz w:val="21"/>
          <w:szCs w:val="21"/>
          <w:color w:val="auto"/>
        </w:rPr>
      </w:pPr>
    </w:p>
    <w:p>
      <w:pPr>
        <w:ind w:firstLine="619"/>
        <w:spacing w:after="0" w:line="265" w:lineRule="auto"/>
        <w:tabs>
          <w:tab w:leader="none" w:pos="1232" w:val="left"/>
        </w:tabs>
        <w:numPr>
          <w:ilvl w:val="0"/>
          <w:numId w:val="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Any reference to a specific provision of the Code includes any successor provision thereto, and the regulations promulgated thereunder.</w:t>
      </w:r>
    </w:p>
    <w:p>
      <w:pPr>
        <w:spacing w:after="0" w:line="162" w:lineRule="exact"/>
        <w:rPr>
          <w:rFonts w:ascii="Arial" w:cs="Arial" w:eastAsia="Arial" w:hAnsi="Arial"/>
          <w:sz w:val="21"/>
          <w:szCs w:val="21"/>
          <w:color w:val="auto"/>
        </w:rPr>
      </w:pPr>
    </w:p>
    <w:p>
      <w:pPr>
        <w:ind w:left="1220" w:hanging="601"/>
        <w:spacing w:after="0"/>
        <w:tabs>
          <w:tab w:leader="none" w:pos="12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means the committee designated pursuant to Section 6 to administer this Plan.</w:t>
      </w:r>
    </w:p>
    <w:p>
      <w:pPr>
        <w:spacing w:after="0" w:line="209" w:lineRule="exact"/>
        <w:rPr>
          <w:rFonts w:ascii="Arial" w:cs="Arial" w:eastAsia="Arial" w:hAnsi="Arial"/>
          <w:sz w:val="21"/>
          <w:szCs w:val="21"/>
          <w:color w:val="auto"/>
        </w:rPr>
      </w:pPr>
    </w:p>
    <w:p>
      <w:pPr>
        <w:ind w:firstLine="619"/>
        <w:spacing w:after="0" w:line="277" w:lineRule="auto"/>
        <w:tabs>
          <w:tab w:leader="none" w:pos="1224" w:val="left"/>
        </w:tabs>
        <w:numPr>
          <w:ilvl w:val="0"/>
          <w:numId w:val="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Marriott Vacations Worldwide Corporation, a Delaware corporation and, after a Change in Control, any successor or successors thereto.</w:t>
      </w:r>
    </w:p>
    <w:p>
      <w:pPr>
        <w:spacing w:after="0" w:line="150" w:lineRule="exact"/>
        <w:rPr>
          <w:rFonts w:ascii="Arial" w:cs="Arial" w:eastAsia="Arial" w:hAnsi="Arial"/>
          <w:sz w:val="21"/>
          <w:szCs w:val="21"/>
          <w:color w:val="auto"/>
        </w:rPr>
      </w:pPr>
    </w:p>
    <w:p>
      <w:pPr>
        <w:ind w:firstLine="619"/>
        <w:spacing w:after="0" w:line="265" w:lineRule="auto"/>
        <w:tabs>
          <w:tab w:leader="none" w:pos="1232" w:val="left"/>
        </w:tabs>
        <w:numPr>
          <w:ilvl w:val="0"/>
          <w:numId w:val="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Employer</w:t>
      </w:r>
      <w:r>
        <w:rPr>
          <w:rFonts w:ascii="Arial" w:cs="Arial" w:eastAsia="Arial" w:hAnsi="Arial"/>
          <w:sz w:val="21"/>
          <w:szCs w:val="21"/>
          <w:color w:val="auto"/>
        </w:rPr>
        <w:t>” means the Company, each of its direct and indirect wholly-owned subsidiaries, and any other Affiliate of the Company that adopts this Plan with the consent of the Board.</w:t>
      </w:r>
    </w:p>
    <w:p>
      <w:pPr>
        <w:sectPr>
          <w:pgSz w:w="11900" w:h="16838" w:orient="portrait"/>
          <w:cols w:equalWidth="0" w:num="1">
            <w:col w:w="10620"/>
          </w:cols>
          <w:pgMar w:left="940" w:top="131" w:right="339" w:bottom="1440" w:gutter="0" w:footer="0" w:header="0"/>
        </w:sectPr>
      </w:pPr>
    </w:p>
    <w:bookmarkStart w:id="58" w:name="page59"/>
    <w:bookmarkEnd w:id="58"/>
    <w:p>
      <w:pPr>
        <w:ind w:left="10520"/>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619"/>
        <w:spacing w:after="0" w:line="290" w:lineRule="auto"/>
        <w:tabs>
          <w:tab w:leader="none" w:pos="1224"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Any reference to a specific provision of the Exchange Act includes any successor provision thereto, and the regulations promulgated thereunder.</w:t>
      </w:r>
    </w:p>
    <w:p>
      <w:pPr>
        <w:spacing w:after="0" w:line="139" w:lineRule="exact"/>
        <w:rPr>
          <w:rFonts w:ascii="Arial" w:cs="Arial" w:eastAsia="Arial" w:hAnsi="Arial"/>
          <w:sz w:val="20"/>
          <w:szCs w:val="20"/>
          <w:color w:val="auto"/>
        </w:rPr>
      </w:pPr>
    </w:p>
    <w:p>
      <w:pPr>
        <w:jc w:val="both"/>
        <w:ind w:firstLine="619"/>
        <w:spacing w:after="0" w:line="260" w:lineRule="auto"/>
        <w:tabs>
          <w:tab w:leader="none" w:pos="1224" w:val="left"/>
        </w:tabs>
        <w:numPr>
          <w:ilvl w:val="1"/>
          <w:numId w:val="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Executive</w:t>
      </w:r>
      <w:r>
        <w:rPr>
          <w:rFonts w:ascii="Arial" w:cs="Arial" w:eastAsia="Arial" w:hAnsi="Arial"/>
          <w:sz w:val="21"/>
          <w:szCs w:val="21"/>
          <w:color w:val="auto"/>
        </w:rPr>
        <w:t xml:space="preserve">” means an individual who (i) is employed by the Employer in a position specified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 of the day before the day a Change in Control occurs, (ii) has been designated by the Committee to participate in the Plan, and (iii) has executed a Participation Agreement.</w:t>
      </w:r>
    </w:p>
    <w:p>
      <w:pPr>
        <w:spacing w:after="0" w:line="168" w:lineRule="exact"/>
        <w:rPr>
          <w:rFonts w:ascii="Arial" w:cs="Arial" w:eastAsia="Arial" w:hAnsi="Arial"/>
          <w:sz w:val="21"/>
          <w:szCs w:val="21"/>
          <w:color w:val="auto"/>
        </w:rPr>
      </w:pPr>
    </w:p>
    <w:p>
      <w:pPr>
        <w:jc w:val="both"/>
        <w:ind w:firstLine="619"/>
        <w:spacing w:after="0" w:line="287" w:lineRule="auto"/>
        <w:tabs>
          <w:tab w:leader="none" w:pos="12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of the following actions upon or after a Change in Control, without Executive’s express prior written approval, other than due to Executive’s Total Disability or death: (i) a substantial change in Executive’s status, title, position or responsibilities from Executive’s status, title, position or responsibilities as in effect immediately prior to the Change in Control, other than in connection with the Termination of Executive’s employment for Cause; (ii) a material reduction in Executive’s Base Salary or any failure to pay Executive any compensation or benefits to which Executive is entitled within five days of the date due; (iii) a material reduction in Executive’s annual cash bonus opportunity or the grant date value of equity-type incentive opportunity; (iv) a change in the Executive’s principal place of employment that increases the Executive’s one-way commute by more than 50 miles compared to the Executive’s principal place of employment immediately prior to the Change in Control, except for reasonably required travel on the business of the Company or an Affiliate which is not materially greater than such travel requirements in effect immediately prior thereto; (v) the failure by the Employer to continue in effect employee benefits for Executive no less favorable in the aggregate as in effect immediately prior to the Change in Control; or (vi) the failure of the Company to obtain an agreement from any successors and assigns to assume and agree to perform the obligations created under this Plan. With respect to (i) through (vi) above, Good Reason shall not be deemed to have occurred unless Executive shall have notified the Employer in writing of his or her intent to resign for Good Reason within sixty</w:t>
      </w:r>
    </w:p>
    <w:p>
      <w:pPr>
        <w:spacing w:after="0" w:line="4" w:lineRule="exact"/>
        <w:rPr>
          <w:rFonts w:ascii="Arial" w:cs="Arial" w:eastAsia="Arial" w:hAnsi="Arial"/>
          <w:sz w:val="18"/>
          <w:szCs w:val="18"/>
          <w:color w:val="auto"/>
        </w:rPr>
      </w:pPr>
    </w:p>
    <w:p>
      <w:pPr>
        <w:ind w:firstLine="1"/>
        <w:spacing w:after="0" w:line="311" w:lineRule="auto"/>
        <w:tabs>
          <w:tab w:leader="none" w:pos="402" w:val="left"/>
        </w:tabs>
        <w:numPr>
          <w:ilvl w:val="0"/>
          <w:numId w:val="43"/>
        </w:numPr>
        <w:rPr>
          <w:rFonts w:ascii="Arial" w:cs="Arial" w:eastAsia="Arial" w:hAnsi="Arial"/>
          <w:sz w:val="19"/>
          <w:szCs w:val="19"/>
          <w:color w:val="auto"/>
        </w:rPr>
      </w:pPr>
      <w:r>
        <w:rPr>
          <w:rFonts w:ascii="Arial" w:cs="Arial" w:eastAsia="Arial" w:hAnsi="Arial"/>
          <w:sz w:val="19"/>
          <w:szCs w:val="19"/>
          <w:color w:val="auto"/>
        </w:rPr>
        <w:t>days following the Executive’s knowledge of the first occurrence of the event constituting Good Reason and the Employer shall not have cured the grounds for Good Reason within thirty (30) days following the provision of such notice.</w:t>
      </w:r>
    </w:p>
    <w:p>
      <w:pPr>
        <w:spacing w:after="0" w:line="123" w:lineRule="exact"/>
        <w:rPr>
          <w:rFonts w:ascii="Arial" w:cs="Arial" w:eastAsia="Arial" w:hAnsi="Arial"/>
          <w:sz w:val="19"/>
          <w:szCs w:val="19"/>
          <w:color w:val="auto"/>
        </w:rPr>
      </w:pPr>
    </w:p>
    <w:p>
      <w:pPr>
        <w:ind w:firstLine="619"/>
        <w:spacing w:after="0" w:line="265" w:lineRule="auto"/>
        <w:tabs>
          <w:tab w:leader="none" w:pos="1232" w:val="left"/>
        </w:tabs>
        <w:numPr>
          <w:ilvl w:val="1"/>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Participation Agreement</w:t>
      </w:r>
      <w:r>
        <w:rPr>
          <w:rFonts w:ascii="Arial" w:cs="Arial" w:eastAsia="Arial" w:hAnsi="Arial"/>
          <w:sz w:val="21"/>
          <w:szCs w:val="21"/>
          <w:color w:val="auto"/>
        </w:rPr>
        <w:t>” means a written agreement between the Company and an Executive providing for Executive’s participation in this Plan.</w:t>
      </w:r>
    </w:p>
    <w:p>
      <w:pPr>
        <w:spacing w:after="0" w:line="162" w:lineRule="exact"/>
        <w:rPr>
          <w:rFonts w:ascii="Arial" w:cs="Arial" w:eastAsia="Arial" w:hAnsi="Arial"/>
          <w:sz w:val="21"/>
          <w:szCs w:val="21"/>
          <w:color w:val="auto"/>
        </w:rPr>
      </w:pPr>
    </w:p>
    <w:p>
      <w:pPr>
        <w:ind w:firstLine="619"/>
        <w:spacing w:after="0" w:line="277" w:lineRule="auto"/>
        <w:tabs>
          <w:tab w:leader="none" w:pos="1232" w:val="left"/>
        </w:tabs>
        <w:numPr>
          <w:ilvl w:val="1"/>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shall have the meaning ascribed to such term in Section 3(a)(9) of the Exchange Act and used in Sections 13(d) and 14(d) thereof, including a “group” as defined in Section 13(d) thereof.</w:t>
      </w:r>
    </w:p>
    <w:p>
      <w:pPr>
        <w:spacing w:after="0" w:line="150" w:lineRule="exact"/>
        <w:rPr>
          <w:rFonts w:ascii="Arial" w:cs="Arial" w:eastAsia="Arial" w:hAnsi="Arial"/>
          <w:sz w:val="21"/>
          <w:szCs w:val="21"/>
          <w:color w:val="auto"/>
        </w:rPr>
      </w:pPr>
    </w:p>
    <w:p>
      <w:pPr>
        <w:ind w:left="1240" w:hanging="621"/>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Marriott Vacations Worldwide Corporation Change in Control Severance Plan as in effect from</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time to time.</w:t>
      </w:r>
    </w:p>
    <w:p>
      <w:pPr>
        <w:spacing w:after="0" w:line="191" w:lineRule="exact"/>
        <w:rPr>
          <w:rFonts w:ascii="Arial" w:cs="Arial" w:eastAsia="Arial" w:hAnsi="Arial"/>
          <w:sz w:val="18"/>
          <w:szCs w:val="18"/>
          <w:color w:val="auto"/>
        </w:rPr>
      </w:pPr>
    </w:p>
    <w:p>
      <w:pPr>
        <w:ind w:firstLine="619"/>
        <w:spacing w:after="0" w:line="265" w:lineRule="auto"/>
        <w:tabs>
          <w:tab w:leader="none" w:pos="1236" w:val="left"/>
        </w:tabs>
        <w:numPr>
          <w:ilvl w:val="1"/>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means a waiver and release, in a form to be prepared by the Company substantially in the form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but as amended from time to time, to be signed by an Executive.</w:t>
      </w:r>
    </w:p>
    <w:p>
      <w:pPr>
        <w:sectPr>
          <w:pgSz w:w="11900" w:h="16838" w:orient="portrait"/>
          <w:cols w:equalWidth="0" w:num="1">
            <w:col w:w="10620"/>
          </w:cols>
          <w:pgMar w:left="940" w:top="13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1"/>
          <w:szCs w:val="2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19"/>
        <w:spacing w:after="0" w:line="254" w:lineRule="auto"/>
        <w:tabs>
          <w:tab w:leader="none" w:pos="1235" w:val="left"/>
        </w:tabs>
        <w:numPr>
          <w:ilvl w:val="0"/>
          <w:numId w:val="4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any corporation, partnership, joint venture, trust or other entity in which the Company has a controlling interest as defined in Treasury Regulation Section 1.414(c)-2(b)(2), except that the threshold interest shall be “more than fifty percent (50%)” instead of “at least eighty percent (80%).”</w:t>
      </w:r>
    </w:p>
    <w:p>
      <w:pPr>
        <w:spacing w:after="0" w:line="186" w:lineRule="exact"/>
        <w:rPr>
          <w:rFonts w:ascii="Arial" w:cs="Arial" w:eastAsia="Arial" w:hAnsi="Arial"/>
          <w:sz w:val="21"/>
          <w:szCs w:val="21"/>
          <w:color w:val="auto"/>
        </w:rPr>
      </w:pPr>
    </w:p>
    <w:p>
      <w:pPr>
        <w:jc w:val="both"/>
        <w:ind w:firstLine="619"/>
        <w:spacing w:after="0" w:line="272" w:lineRule="auto"/>
        <w:tabs>
          <w:tab w:leader="none" w:pos="1224" w:val="left"/>
        </w:tabs>
        <w:numPr>
          <w:ilvl w:val="0"/>
          <w:numId w:val="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Bonus</w:t>
      </w:r>
      <w:r>
        <w:rPr>
          <w:rFonts w:ascii="Arial" w:cs="Arial" w:eastAsia="Arial" w:hAnsi="Arial"/>
          <w:sz w:val="20"/>
          <w:szCs w:val="20"/>
          <w:color w:val="auto"/>
        </w:rPr>
        <w:t>” means the greater of (i) Executive’s annual cash target bonus in effect immediately prior to the date a Change in Control occurs, or (ii) Executive’s annual cash target bonus in effect as of the date his or her employment Terminates, in either case assuming full attainment of companywide milestones at target levels.</w:t>
      </w:r>
    </w:p>
    <w:p>
      <w:pPr>
        <w:spacing w:after="0" w:line="158" w:lineRule="exact"/>
        <w:rPr>
          <w:rFonts w:ascii="Arial" w:cs="Arial" w:eastAsia="Arial" w:hAnsi="Arial"/>
          <w:sz w:val="20"/>
          <w:szCs w:val="20"/>
          <w:color w:val="auto"/>
        </w:rPr>
      </w:pPr>
    </w:p>
    <w:p>
      <w:pPr>
        <w:ind w:firstLine="619"/>
        <w:spacing w:after="0" w:line="265" w:lineRule="auto"/>
        <w:tabs>
          <w:tab w:leader="none" w:pos="1232" w:val="left"/>
        </w:tabs>
        <w:numPr>
          <w:ilvl w:val="0"/>
          <w:numId w:val="4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Terminate</w:t>
      </w:r>
      <w:r>
        <w:rPr>
          <w:rFonts w:ascii="Arial" w:cs="Arial" w:eastAsia="Arial" w:hAnsi="Arial"/>
          <w:sz w:val="21"/>
          <w:szCs w:val="21"/>
          <w:color w:val="auto"/>
        </w:rPr>
        <w:t>” or “</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means Executive’s “separation from service” from the Company, as determined pursuant to Section 409A of the Code.</w:t>
      </w:r>
    </w:p>
    <w:p>
      <w:pPr>
        <w:spacing w:after="0" w:line="174" w:lineRule="exact"/>
        <w:rPr>
          <w:rFonts w:ascii="Arial" w:cs="Arial" w:eastAsia="Arial" w:hAnsi="Arial"/>
          <w:sz w:val="21"/>
          <w:szCs w:val="21"/>
          <w:color w:val="auto"/>
        </w:rPr>
      </w:pPr>
    </w:p>
    <w:p>
      <w:pPr>
        <w:jc w:val="both"/>
        <w:ind w:firstLine="619"/>
        <w:spacing w:after="0" w:line="250" w:lineRule="auto"/>
        <w:tabs>
          <w:tab w:leader="none" w:pos="1232" w:val="left"/>
        </w:tabs>
        <w:numPr>
          <w:ilvl w:val="0"/>
          <w:numId w:val="4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Disability</w:t>
      </w:r>
      <w:r>
        <w:rPr>
          <w:rFonts w:ascii="Arial" w:cs="Arial" w:eastAsia="Arial" w:hAnsi="Arial"/>
          <w:sz w:val="21"/>
          <w:szCs w:val="21"/>
          <w:color w:val="auto"/>
        </w:rPr>
        <w:t>” means that the Executive is, by reason of any medical determinable physical or mental impairment that can be expected to result in death or can be expected to last for a continuous period of not less than twelve (12) months, receiving income replacement benefits for a period of six (6) months under an accident and health plan sponsored by the Employer or an Affiliate thereof.</w:t>
      </w:r>
    </w:p>
    <w:p>
      <w:pPr>
        <w:spacing w:after="0" w:line="179"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8"/>
          <w:szCs w:val="18"/>
          <w:u w:val="single" w:color="auto"/>
          <w:color w:val="auto"/>
        </w:rPr>
        <w:t>Payments Upon Termination</w:t>
      </w:r>
      <w:r>
        <w:rPr>
          <w:rFonts w:ascii="Arial" w:cs="Arial" w:eastAsia="Arial" w:hAnsi="Arial"/>
          <w:sz w:val="18"/>
          <w:szCs w:val="18"/>
          <w:color w:val="auto"/>
        </w:rPr>
        <w:t>.</w:t>
      </w:r>
    </w:p>
    <w:p>
      <w:pPr>
        <w:spacing w:after="0" w:line="209" w:lineRule="exact"/>
        <w:rPr>
          <w:sz w:val="20"/>
          <w:szCs w:val="20"/>
          <w:color w:val="auto"/>
        </w:rPr>
      </w:pPr>
    </w:p>
    <w:p>
      <w:pPr>
        <w:jc w:val="both"/>
        <w:ind w:firstLine="619"/>
        <w:spacing w:after="0" w:line="262" w:lineRule="auto"/>
        <w:tabs>
          <w:tab w:leader="none" w:pos="1233"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Accrued Benefits</w:t>
      </w:r>
      <w:r>
        <w:rPr>
          <w:rFonts w:ascii="Arial" w:cs="Arial" w:eastAsia="Arial" w:hAnsi="Arial"/>
          <w:sz w:val="20"/>
          <w:szCs w:val="20"/>
          <w:color w:val="auto"/>
        </w:rPr>
        <w:t>. Upon any Termination occurring on or within two years following a Change in Control, Executive shall receive (i) any unpaid Base Salary through the date of such Executive’s Termination, (ii) unless the Termination is for Cause, any bonus unpaid as of the date of such Executive’s Termination for any previously completed fiscal year of the Company, and (iii) unless the Termination is for Cause, a pro rata bonus for the fiscal year of the Company in which such Executive’s Termination occurs, determined by multiplying the Executive’s Target Bonus for such fiscal year by a fraction, the numerator of which is the number of days from the beginning of such fiscal year to the date of the Termination, and the denominator of which is 365. In addition, Executive shall be entitled to prompt reimbursement of any unreimbursed expenses properly incurred by such Executive in accordance with Company policies prior to the date of such Executive’s Termination. Executive shall also receive such other compensation (including any stock options or other equity-related payments) and benefits, if any, to which such Executive may be entitled from time to time pursuant to the terms and conditions of the employee compensation, incentive, equity, benefit or fringe benefit plans, policies, or programs of the Company, other than any Company severance policy.</w:t>
      </w:r>
    </w:p>
    <w:p>
      <w:pPr>
        <w:spacing w:after="0" w:line="168" w:lineRule="exact"/>
        <w:rPr>
          <w:rFonts w:ascii="Arial" w:cs="Arial" w:eastAsia="Arial" w:hAnsi="Arial"/>
          <w:sz w:val="20"/>
          <w:szCs w:val="20"/>
          <w:color w:val="auto"/>
        </w:rPr>
      </w:pPr>
    </w:p>
    <w:p>
      <w:pPr>
        <w:jc w:val="both"/>
        <w:ind w:firstLine="619"/>
        <w:spacing w:after="0" w:line="248" w:lineRule="auto"/>
        <w:tabs>
          <w:tab w:leader="none" w:pos="1232"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Severance Benefits</w:t>
      </w:r>
      <w:r>
        <w:rPr>
          <w:rFonts w:ascii="Arial" w:cs="Arial" w:eastAsia="Arial" w:hAnsi="Arial"/>
          <w:sz w:val="21"/>
          <w:szCs w:val="21"/>
          <w:color w:val="auto"/>
        </w:rPr>
        <w:t>. If (i) Executive’s employment with his or her Employer (x) is involuntarily Terminated by the Employer within two years following a Change in Control, other than due to Cause, Total Disability or death, or (y) is Terminated by Executive for Good Reason within two years following a Change in Control, and (ii) Executive executes a Release at the time and in the manner prescribed by the Company (but in no event later than forty-five (45) days following Executive’s</w:t>
      </w:r>
    </w:p>
    <w:p>
      <w:pPr>
        <w:sectPr>
          <w:pgSz w:w="11900" w:h="16838" w:orient="portrait"/>
          <w:cols w:equalWidth="0" w:num="1">
            <w:col w:w="10620"/>
          </w:cols>
          <w:pgMar w:left="940" w:top="13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1"/>
          <w:szCs w:val="2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Termination of Employment), and does not revoke such Release, Executive shall be entitled to the following:</w:t>
      </w:r>
    </w:p>
    <w:p>
      <w:pPr>
        <w:spacing w:after="0" w:line="209" w:lineRule="exact"/>
        <w:rPr>
          <w:sz w:val="20"/>
          <w:szCs w:val="20"/>
          <w:color w:val="auto"/>
        </w:rPr>
      </w:pPr>
    </w:p>
    <w:p>
      <w:pPr>
        <w:jc w:val="both"/>
        <w:ind w:left="1860" w:hanging="3"/>
        <w:spacing w:after="0" w:line="260" w:lineRule="auto"/>
        <w:tabs>
          <w:tab w:leader="none" w:pos="2371"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Cash Severance Pay</w:t>
      </w:r>
      <w:r>
        <w:rPr>
          <w:rFonts w:ascii="Arial" w:cs="Arial" w:eastAsia="Arial" w:hAnsi="Arial"/>
          <w:sz w:val="21"/>
          <w:szCs w:val="21"/>
          <w:color w:val="auto"/>
        </w:rPr>
        <w:t>. Executive shall receive a lump sum cash payment equal to two (2) times (three (3) times for the Chief Executive Officer of the Company as of the date the Change in Control occurs) the sum of Executive’s (i) Base Salary and (ii) Target Bonus.</w:t>
      </w:r>
    </w:p>
    <w:p>
      <w:pPr>
        <w:spacing w:after="0" w:line="168" w:lineRule="exact"/>
        <w:rPr>
          <w:rFonts w:ascii="Arial" w:cs="Arial" w:eastAsia="Arial" w:hAnsi="Arial"/>
          <w:sz w:val="21"/>
          <w:szCs w:val="21"/>
          <w:color w:val="auto"/>
        </w:rPr>
      </w:pPr>
    </w:p>
    <w:p>
      <w:pPr>
        <w:jc w:val="both"/>
        <w:ind w:left="1860" w:hanging="3"/>
        <w:spacing w:after="0" w:line="284" w:lineRule="auto"/>
        <w:tabs>
          <w:tab w:leader="none" w:pos="2319"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Payment for Value of Benefits Continuation</w:t>
      </w:r>
      <w:r>
        <w:rPr>
          <w:rFonts w:ascii="Arial" w:cs="Arial" w:eastAsia="Arial" w:hAnsi="Arial"/>
          <w:sz w:val="19"/>
          <w:szCs w:val="19"/>
          <w:color w:val="auto"/>
        </w:rPr>
        <w:t>. Executive shall receive a lump sum cash payment equal to the product of (i) the aggregate monthly premiums (both employee and Employer portions) for the Employer-provided medical, dental, and life insurance coverages that Executive was enrolled in prior to the date of the Change in Control or prior to the date of Executive’s Termination, whichever amount is greater, and (ii) twenty-four (thirty-six for the Chief Executive Officer of the Company as of the date the Change in Control occurs).</w:t>
      </w:r>
    </w:p>
    <w:p>
      <w:pPr>
        <w:spacing w:after="0" w:line="150"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9"/>
          <w:szCs w:val="19"/>
          <w:u w:val="single" w:color="auto"/>
          <w:color w:val="auto"/>
        </w:rPr>
        <w:t>Form and Time of Payment; Non-Duplication of Benefits</w:t>
      </w:r>
      <w:r>
        <w:rPr>
          <w:rFonts w:ascii="Arial" w:cs="Arial" w:eastAsia="Arial" w:hAnsi="Arial"/>
          <w:sz w:val="19"/>
          <w:szCs w:val="19"/>
          <w:color w:val="auto"/>
        </w:rPr>
        <w:t>.</w:t>
      </w:r>
    </w:p>
    <w:p>
      <w:pPr>
        <w:spacing w:after="0" w:line="209" w:lineRule="exact"/>
        <w:rPr>
          <w:sz w:val="20"/>
          <w:szCs w:val="20"/>
          <w:color w:val="auto"/>
        </w:rPr>
      </w:pPr>
    </w:p>
    <w:p>
      <w:pPr>
        <w:jc w:val="both"/>
        <w:ind w:left="620" w:firstLine="619"/>
        <w:spacing w:after="0" w:line="250" w:lineRule="auto"/>
        <w:tabs>
          <w:tab w:leader="none" w:pos="185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Form and Time of Payment</w:t>
      </w:r>
      <w:r>
        <w:rPr>
          <w:rFonts w:ascii="Arial" w:cs="Arial" w:eastAsia="Arial" w:hAnsi="Arial"/>
          <w:sz w:val="21"/>
          <w:szCs w:val="21"/>
          <w:color w:val="auto"/>
        </w:rPr>
        <w:t>. The accrued benefits payable to an Executive by his or her Employer under Section 2(a) shall be paid to such Executive in a single lump sum less applicable withholdings no later than 15 business days after Executive’s date of Termination. Subject to Section 12, the cash payments payable to an Executive by his or her Employer under Section 2(b) shall be paid no later than (i) 15 business days after Executive’s date of Termination or (ii) the expiration of the revocation period, if applicable, under the Release, which Release must be executed within 45 days following the date of Termination, whichever is later.</w:t>
      </w:r>
    </w:p>
    <w:p>
      <w:pPr>
        <w:spacing w:after="0" w:line="177" w:lineRule="exact"/>
        <w:rPr>
          <w:rFonts w:ascii="Arial" w:cs="Arial" w:eastAsia="Arial" w:hAnsi="Arial"/>
          <w:sz w:val="21"/>
          <w:szCs w:val="21"/>
          <w:color w:val="auto"/>
        </w:rPr>
      </w:pPr>
    </w:p>
    <w:p>
      <w:pPr>
        <w:jc w:val="both"/>
        <w:ind w:left="620" w:firstLine="619"/>
        <w:spacing w:after="0" w:line="251" w:lineRule="auto"/>
        <w:tabs>
          <w:tab w:leader="none" w:pos="185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Non-Duplication of Benefits</w:t>
      </w:r>
      <w:r>
        <w:rPr>
          <w:rFonts w:ascii="Arial" w:cs="Arial" w:eastAsia="Arial" w:hAnsi="Arial"/>
          <w:sz w:val="21"/>
          <w:szCs w:val="21"/>
          <w:color w:val="auto"/>
        </w:rPr>
        <w:t>. The severance benefits provided pursuant to Section 2(b) hereof are in lieu of, and not in addition to, any severance benefits payable to the Executive under any other plan, program, or arrangement of the Company, the Employer, or any of their Affiliates. However, such benefits shall not be deemed to be in lieu of any equity-related vesting or payments and payments under any tax-qualified or nonqualified retirement plan, or any other type of benefit not specifically provided for in Section 2(b).</w:t>
      </w:r>
    </w:p>
    <w:p>
      <w:pPr>
        <w:spacing w:after="0" w:line="180"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Tax Withholding</w:t>
      </w:r>
      <w:r>
        <w:rPr>
          <w:rFonts w:ascii="Arial" w:cs="Arial" w:eastAsia="Arial" w:hAnsi="Arial"/>
          <w:sz w:val="21"/>
          <w:szCs w:val="21"/>
          <w:color w:val="auto"/>
        </w:rPr>
        <w:t>. The Employer shall withhold from any amount payable to an Executive pursuant to this Plan, and shall remit to the appropriate governmental authority, any income, employment or other tax the Employer is required by applicable law to so withhold from and remit on behalf of such Executive.</w:t>
      </w:r>
    </w:p>
    <w:p>
      <w:pPr>
        <w:spacing w:after="0" w:line="186"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color w:val="auto"/>
        </w:rPr>
        <w:t>Section 5.</w:t>
      </w:r>
      <w:r>
        <w:rPr>
          <w:sz w:val="20"/>
          <w:szCs w:val="20"/>
          <w:color w:val="auto"/>
        </w:rPr>
        <w:tab/>
      </w:r>
      <w:r>
        <w:rPr>
          <w:rFonts w:ascii="Arial" w:cs="Arial" w:eastAsia="Arial" w:hAnsi="Arial"/>
          <w:sz w:val="19"/>
          <w:szCs w:val="19"/>
          <w:u w:val="single" w:color="auto"/>
          <w:color w:val="auto"/>
        </w:rPr>
        <w:t>Limitation of Certain Payments</w:t>
      </w:r>
      <w:r>
        <w:rPr>
          <w:rFonts w:ascii="Arial" w:cs="Arial" w:eastAsia="Arial" w:hAnsi="Arial"/>
          <w:sz w:val="19"/>
          <w:szCs w:val="19"/>
          <w:color w:val="auto"/>
        </w:rPr>
        <w:t>.</w:t>
      </w:r>
    </w:p>
    <w:p>
      <w:pPr>
        <w:spacing w:after="0" w:line="209" w:lineRule="exact"/>
        <w:rPr>
          <w:sz w:val="20"/>
          <w:szCs w:val="20"/>
          <w:color w:val="auto"/>
        </w:rPr>
      </w:pPr>
    </w:p>
    <w:p>
      <w:pPr>
        <w:jc w:val="both"/>
        <w:ind w:left="620" w:firstLine="619"/>
        <w:spacing w:after="0" w:line="250" w:lineRule="auto"/>
        <w:tabs>
          <w:tab w:leader="none" w:pos="1853" w:val="left"/>
        </w:tabs>
        <w:numPr>
          <w:ilvl w:val="0"/>
          <w:numId w:val="48"/>
        </w:numPr>
        <w:rPr>
          <w:rFonts w:ascii="Arial" w:cs="Arial" w:eastAsia="Arial" w:hAnsi="Arial"/>
          <w:sz w:val="21"/>
          <w:szCs w:val="21"/>
          <w:color w:val="auto"/>
        </w:rPr>
      </w:pPr>
      <w:r>
        <w:rPr>
          <w:rFonts w:ascii="Arial" w:cs="Arial" w:eastAsia="Arial" w:hAnsi="Arial"/>
          <w:sz w:val="21"/>
          <w:szCs w:val="21"/>
          <w:color w:val="auto"/>
        </w:rPr>
        <w:t>In the event the Employer reasonably determines, based upon the advice of the independent public accountants for the Employer, that part or all of the consideration, compensation or benefits to be paid to Executive under this Plan constitute “parachute payments” under Section 280G(b)(2) of the Code, then, if the aggregate present value of such parachute payments, singularly or together with the aggregate</w:t>
      </w:r>
    </w:p>
    <w:p>
      <w:pPr>
        <w:sectPr>
          <w:pgSz w:w="11900" w:h="16838" w:orient="portrait"/>
          <w:cols w:equalWidth="0" w:num="1">
            <w:col w:w="11240"/>
          </w:cols>
          <w:pgMar w:left="320" w:top="13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20"/>
        <w:spacing w:after="0" w:line="250" w:lineRule="auto"/>
        <w:rPr>
          <w:sz w:val="20"/>
          <w:szCs w:val="20"/>
          <w:color w:val="auto"/>
        </w:rPr>
      </w:pPr>
      <w:r>
        <w:rPr>
          <w:rFonts w:ascii="Arial" w:cs="Arial" w:eastAsia="Arial" w:hAnsi="Arial"/>
          <w:sz w:val="21"/>
          <w:szCs w:val="21"/>
          <w:color w:val="auto"/>
        </w:rPr>
        <w:t>present value of any consideration, compensation or benefits to be paid to Executive under any other plan, arrangement or agreement which constitute “parachute payments” (collectively, the “Parachute Amount”) exceeds one dollar ($1.00) less than three times (3x) Executive’s “base amount”, as defined in Section 280G(b)(3) of the Code (the “Executive Base Amount”), then amounts constituting “parachute payments” which would otherwise be payable to or for the benefit of Executive shall be reduced to the extent necessary so that the Parachute Amount is equal to one dollar ($1.00) less than three times (3x) the Executive Base Amount (the “Reduced Amount”).</w:t>
      </w:r>
    </w:p>
    <w:p>
      <w:pPr>
        <w:spacing w:after="0" w:line="178" w:lineRule="exact"/>
        <w:rPr>
          <w:sz w:val="20"/>
          <w:szCs w:val="20"/>
          <w:color w:val="auto"/>
        </w:rPr>
      </w:pPr>
    </w:p>
    <w:p>
      <w:pPr>
        <w:jc w:val="both"/>
        <w:ind w:left="620" w:firstLine="619"/>
        <w:spacing w:after="0" w:line="277" w:lineRule="auto"/>
        <w:tabs>
          <w:tab w:leader="none" w:pos="1852"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the determination made pursuant to clause (a) of this Section 5 results in a reduction of the payments that would otherwise be paid to Executive except for the application of clause (a) of this Section 5, the amounts payable or benefits to be provided to Executive shall be reduced such that the after-tax present value of compensation to be provided to Executive is minimized. In applying this principle, the reduction shall be made by applying the following principles, in order: (i) the payment or benefit with the higher ratio of the parachute payment value to present economic value (determined using reasonable actuarial assumptions) shall be reduced or eliminated before a payment or benefit with a lower ratio; (ii) the payment or benefit with the later possible payment date shall be reduced or eliminated before a payment or benefit with an earlier payment date; and (iii) cash payments shall be reduced prior to non-cash benefits; provided that if the foregoing order of reduction or elimination would violate Section 409A of the Code, then the reduction shall be made pro rata among the payments or benefits included in the Parachute Amount (on the basis of the relative present value of the parachute payments).</w:t>
      </w:r>
    </w:p>
    <w:p>
      <w:pPr>
        <w:spacing w:after="0" w:line="156" w:lineRule="exact"/>
        <w:rPr>
          <w:rFonts w:ascii="Arial" w:cs="Arial" w:eastAsia="Arial" w:hAnsi="Arial"/>
          <w:sz w:val="19"/>
          <w:szCs w:val="19"/>
          <w:color w:val="auto"/>
        </w:rPr>
      </w:pPr>
    </w:p>
    <w:p>
      <w:pPr>
        <w:jc w:val="both"/>
        <w:ind w:left="620" w:firstLine="619"/>
        <w:spacing w:after="0" w:line="277" w:lineRule="auto"/>
        <w:tabs>
          <w:tab w:leader="none" w:pos="1853" w:val="left"/>
        </w:tabs>
        <w:numPr>
          <w:ilvl w:val="0"/>
          <w:numId w:val="49"/>
        </w:numPr>
        <w:rPr>
          <w:rFonts w:ascii="Arial" w:cs="Arial" w:eastAsia="Arial" w:hAnsi="Arial"/>
          <w:sz w:val="19"/>
          <w:szCs w:val="19"/>
          <w:color w:val="auto"/>
        </w:rPr>
      </w:pPr>
      <w:r>
        <w:rPr>
          <w:rFonts w:ascii="Arial" w:cs="Arial" w:eastAsia="Arial" w:hAnsi="Arial"/>
          <w:sz w:val="19"/>
          <w:szCs w:val="19"/>
          <w:color w:val="auto"/>
        </w:rPr>
        <w:t>As a result of the uncertainty in the application of Section 280G of the Code at the time of a determination hereunder, it is possible that payments will be made by the Employer which should not have been made under clause (a) of this Section 5 (“Overpayment”) or that additional payments which are not made by the Employer pursuant to clause (a) of this Section 5 should have been made (“Underpayment”). In the event that there is a final determination by the Internal Revenue Service, or a final determination by a court of competent jurisdiction, that an Overpayment has been made, any such Overpayment shall be repaid by Executive to the Employer together with interest at the applicable Federal rate provided for in Section 7872(f)(2) of the Code. In the event that there is a final determination by the Internal Revenue Service, a final determination by a court of competent jurisdiction or a change in the provisions of the Code or regulations pursuant to which an Underpayment arises under this Plan, any such Underpayment shall be promptly paid by the Employer to or for the benefit of Executive, together with interest at the applicable Federal rate provided for in Section 7872(f)(2) of the Code.</w:t>
      </w:r>
    </w:p>
    <w:p>
      <w:pPr>
        <w:spacing w:after="0" w:line="157" w:lineRule="exact"/>
        <w:rPr>
          <w:sz w:val="20"/>
          <w:szCs w:val="20"/>
          <w:color w:val="auto"/>
        </w:rPr>
      </w:pPr>
    </w:p>
    <w:p>
      <w:pPr>
        <w:jc w:val="both"/>
        <w:ind w:firstLine="618"/>
        <w:spacing w:after="0" w:line="284"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Plan Administration</w:t>
      </w:r>
      <w:r>
        <w:rPr>
          <w:rFonts w:ascii="Arial" w:cs="Arial" w:eastAsia="Arial" w:hAnsi="Arial"/>
          <w:sz w:val="19"/>
          <w:szCs w:val="19"/>
          <w:color w:val="auto"/>
        </w:rPr>
        <w:t>. This Plan shall be administered by the Compensation Policy Committee of the Board. The Committee shall have the authority to interpret and implement the provisions of this Plan and to determine eligibility for benefits under the Plan, provided that any such action shall be taken in good faith. The Committee shall perform all of the duties and exercise all of the powers and discretion that the Committee deems necessary or appropriate for the proper administration of this Plan. Every interpretation, choice, determination or other exercise by the Committee in good faith of any power or discretion given</w:t>
      </w:r>
    </w:p>
    <w:p>
      <w:pPr>
        <w:sectPr>
          <w:pgSz w:w="11900" w:h="16838" w:orient="portrait"/>
          <w:cols w:equalWidth="0" w:num="1">
            <w:col w:w="11240"/>
          </w:cols>
          <w:pgMar w:left="320" w:top="13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1"/>
          <w:szCs w:val="2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either expressly or by implication to it shall be conclusive and binding upon all parties having or claiming to have an interest under this Plan or otherwise directly or indirectly affected by such action, without restriction, however, upon the right of the Committee to reconsider or redetermine such action. The Committee may adopt such rules and regulations for the administration of this Plan as are consistent with the terms hereof, and shall keep adequate records of its proceedings and acts. The Committee may employ such agents, accountants and legal counsel (who may be agents, accountants and legal counsel for an Employer) as may be appropriate for the administration of the Plan. All reasonable administration expenses incurred by the Committee in connection with the administration of the Plan shall be paid by the Employer.</w:t>
      </w:r>
    </w:p>
    <w:p>
      <w:pPr>
        <w:spacing w:after="0" w:line="167" w:lineRule="exact"/>
        <w:rPr>
          <w:sz w:val="20"/>
          <w:szCs w:val="20"/>
          <w:color w:val="auto"/>
        </w:rPr>
      </w:pPr>
    </w:p>
    <w:p>
      <w:pPr>
        <w:jc w:val="both"/>
        <w:ind w:firstLine="618"/>
        <w:spacing w:after="0" w:line="27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Claims Procedure</w:t>
      </w:r>
      <w:r>
        <w:rPr>
          <w:rFonts w:ascii="Arial" w:cs="Arial" w:eastAsia="Arial" w:hAnsi="Arial"/>
          <w:sz w:val="19"/>
          <w:szCs w:val="19"/>
          <w:color w:val="auto"/>
        </w:rPr>
        <w:t>. If any person (hereinafter called the “Claimant”) feels he or she is being denied a benefit to which he or she is entitled under this Plan, such Claimant may file a written claim for said benefit with the Chair of the Committee. Within 60 days of the receipt of such claim the Committee shall determine and notify the Claimant as to whether he or she is entitled to such benefit. Such notification shall be in writing and, if denying the claim for benefit, shall set forth the specific reason or reasons for the denial, make specific reference to the pertinent Plan provisions, and advise the Claimant that he or she may, within 60 days of the receipt of such notice, request in writing to appear before the Committee or its designated representative for a hearing to review such denial. Any such hearing shall be scheduled at the mutual convenience of the Committee or its designated representative and the Claimant, and at such hearing the Claimant and/or his or her duly authorized representative may examine any relevant documents and present evidence and arguments to support the granting of the benefit being claimed. The final decision of the Committee with respect to the claim being reviewed shall be made within 60 days following the hearing thereon, and the Committee shall in writing notify the Claimant of its final decision, again specifying the reasons therefor and the pertinent Plan provisions upon which such decision is based and all other information required by ERISA. The final decision of the Committee, if made in good faith, shall be conclusive and binding upon all parties having or claiming to have an interest in the matter being reviewed. A Claimant who substantially prevails on a claim brought pursuant to this Section 7 shall be entitled to reasonable attorney’s fees and expenses reasonably incurred in presenting the claim.</w:t>
      </w:r>
    </w:p>
    <w:p>
      <w:pPr>
        <w:spacing w:after="0" w:line="159" w:lineRule="exact"/>
        <w:rPr>
          <w:sz w:val="20"/>
          <w:szCs w:val="20"/>
          <w:color w:val="auto"/>
        </w:rPr>
      </w:pPr>
    </w:p>
    <w:p>
      <w:pPr>
        <w:jc w:val="both"/>
        <w:ind w:firstLine="618"/>
        <w:spacing w:after="0" w:line="279"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Plan Amendment and Termination</w:t>
      </w:r>
      <w:r>
        <w:rPr>
          <w:rFonts w:ascii="Arial" w:cs="Arial" w:eastAsia="Arial" w:hAnsi="Arial"/>
          <w:sz w:val="19"/>
          <w:szCs w:val="19"/>
          <w:color w:val="auto"/>
        </w:rPr>
        <w:t>. The Company shall have the right and power at any time and from time to time to amend this Plan, in whole or in part, by written document executed by its duly authorized representative and at any time to terminate this Plan; provided, however, that no such amendment or termination shall be permitted after a definitive agreement that would effect a Change in Control has been entered into by the Company (or, if there is no such agreement, after the Change in Control occurs), other than amendments that do not adversely affect the rights of the Executives under the Plan. The Plan shall automatically terminate (other than with respect to benefits owed to Executives who previously experienced a Termination) two years and one day after the occurrence of the first Change in Control following the adoption of this Plan.</w:t>
      </w:r>
    </w:p>
    <w:p>
      <w:pPr>
        <w:spacing w:after="0" w:line="154" w:lineRule="exact"/>
        <w:rPr>
          <w:sz w:val="20"/>
          <w:szCs w:val="20"/>
          <w:color w:val="auto"/>
        </w:rPr>
      </w:pPr>
    </w:p>
    <w:p>
      <w:pPr>
        <w:jc w:val="both"/>
        <w:ind w:firstLine="618"/>
        <w:spacing w:after="0" w:line="279"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Nature of Plan and Rights</w:t>
      </w:r>
      <w:r>
        <w:rPr>
          <w:rFonts w:ascii="Arial" w:cs="Arial" w:eastAsia="Arial" w:hAnsi="Arial"/>
          <w:sz w:val="20"/>
          <w:szCs w:val="20"/>
          <w:color w:val="auto"/>
        </w:rPr>
        <w:t>. This Plan is an unfunded employee welfare benefit plan and no provision of this Plan shall be deemed or construed to create a trust fund of any kind or to grant a property interest of any kind to any Executive or former Executive. Any payment which becomes due under this Plan to an Executive shall be made by his or her</w:t>
      </w:r>
    </w:p>
    <w:p>
      <w:pPr>
        <w:sectPr>
          <w:pgSz w:w="11900" w:h="16838" w:orient="portrait"/>
          <w:cols w:equalWidth="0" w:num="1">
            <w:col w:w="11240"/>
          </w:cols>
          <w:pgMar w:left="320" w:top="13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1"/>
          <w:szCs w:val="21"/>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Employer out of its general assets, and the right of any Executive to receive a payment hereunder from his or her Employer shall be no greater than the right of any unsecured general creditor of such Employer.</w:t>
      </w:r>
    </w:p>
    <w:p>
      <w:pPr>
        <w:spacing w:after="0" w:line="162"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color w:val="auto"/>
        </w:rPr>
        <w:t>Section 10.</w:t>
      </w:r>
      <w:r>
        <w:rPr>
          <w:sz w:val="20"/>
          <w:szCs w:val="20"/>
          <w:color w:val="auto"/>
        </w:rPr>
        <w:tab/>
      </w:r>
      <w:r>
        <w:rPr>
          <w:rFonts w:ascii="Arial" w:cs="Arial" w:eastAsia="Arial" w:hAnsi="Arial"/>
          <w:sz w:val="19"/>
          <w:szCs w:val="19"/>
          <w:u w:val="single" w:color="auto"/>
          <w:color w:val="auto"/>
        </w:rPr>
        <w:t>Entire Agreement; No Employment Contract</w:t>
      </w:r>
      <w:r>
        <w:rPr>
          <w:rFonts w:ascii="Arial" w:cs="Arial" w:eastAsia="Arial" w:hAnsi="Arial"/>
          <w:sz w:val="19"/>
          <w:szCs w:val="19"/>
          <w:color w:val="auto"/>
        </w:rPr>
        <w:t>.</w:t>
      </w:r>
    </w:p>
    <w:p>
      <w:pPr>
        <w:spacing w:after="0" w:line="222" w:lineRule="exact"/>
        <w:rPr>
          <w:sz w:val="20"/>
          <w:szCs w:val="20"/>
          <w:color w:val="auto"/>
        </w:rPr>
      </w:pPr>
    </w:p>
    <w:p>
      <w:pPr>
        <w:jc w:val="both"/>
        <w:ind w:left="620" w:firstLine="619"/>
        <w:spacing w:after="0" w:line="285" w:lineRule="auto"/>
        <w:tabs>
          <w:tab w:leader="none" w:pos="1853"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This Plan constitutes the entire agreement between the parties and, except as expressly provided herein, supersedes the provisions of all other prior agreements expressly concerning the effect of a Termination of Employment in connection with or following a Change in Control on the relationship between the Company and its Affiliates and Executive (but, not, for the avoidance of doubt, any equity-related plan or agreement or any tax-qualified or nonqualified retirement plan).</w:t>
      </w:r>
    </w:p>
    <w:p>
      <w:pPr>
        <w:spacing w:after="0" w:line="146" w:lineRule="exact"/>
        <w:rPr>
          <w:rFonts w:ascii="Arial" w:cs="Arial" w:eastAsia="Arial" w:hAnsi="Arial"/>
          <w:sz w:val="19"/>
          <w:szCs w:val="19"/>
          <w:color w:val="auto"/>
        </w:rPr>
      </w:pPr>
    </w:p>
    <w:p>
      <w:pPr>
        <w:jc w:val="both"/>
        <w:ind w:left="620" w:firstLine="619"/>
        <w:spacing w:after="0" w:line="260" w:lineRule="auto"/>
        <w:tabs>
          <w:tab w:leader="none" w:pos="1852"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This Plan does not constitute an employment contract and, except as expressly provided herein, this Plan shall not interfere in any way with the right of the Company to reduce Executive’s compensation or other benefits or terminate Executive’s employment, with or without Cause.</w:t>
      </w:r>
    </w:p>
    <w:p>
      <w:pPr>
        <w:spacing w:after="0" w:line="168"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Notices</w:t>
      </w:r>
      <w:r>
        <w:rPr>
          <w:rFonts w:ascii="Arial" w:cs="Arial" w:eastAsia="Arial" w:hAnsi="Arial"/>
          <w:sz w:val="21"/>
          <w:szCs w:val="21"/>
          <w:color w:val="auto"/>
        </w:rPr>
        <w:t>. Notices and all other communications provided for in this Plan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If to the Company or the Committee:</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Marriott Vacations Worldwide Corporation</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9002 San Marco Court</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Orlando, Florida 32819</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Attn: Human Resources Department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With a copy to:</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Marriott Vacations Worldwide Corporation</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9002 San Marco Court</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Orlando, Florida 32819</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Attn: Law Department</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If to Executive, at Executive’s most recent home address on file in the Company’s employment records.</w:t>
      </w:r>
    </w:p>
    <w:p>
      <w:pPr>
        <w:spacing w:after="0" w:line="222" w:lineRule="exact"/>
        <w:rPr>
          <w:sz w:val="20"/>
          <w:szCs w:val="20"/>
          <w:color w:val="auto"/>
        </w:rPr>
      </w:pPr>
    </w:p>
    <w:p>
      <w:pPr>
        <w:jc w:val="both"/>
        <w:ind w:firstLine="618"/>
        <w:spacing w:after="0" w:line="247"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Section 409A</w:t>
      </w:r>
      <w:r>
        <w:rPr>
          <w:rFonts w:ascii="Arial" w:cs="Arial" w:eastAsia="Arial" w:hAnsi="Arial"/>
          <w:sz w:val="21"/>
          <w:szCs w:val="21"/>
          <w:color w:val="auto"/>
        </w:rPr>
        <w:t>. The payments and benefits hereunder are intended to be excluded from coverage under Section 409A of the Code as “short-term deferrals” or pursuant to another exception under Section 409A of the Code, and the Plan shall be interpreted accordingly. Notwithstanding the foregoing, if the Company reasonably determines that some or all of the payments and benefits provided by Section 2(b) are not exempt from Section 409A of the Code, and if the Executive is a “specified employee” within the meaning of Section 409A of the Code at the time of the Executive’s Termination, then to the extent necessary to comply with Section</w:t>
      </w:r>
    </w:p>
    <w:p>
      <w:pPr>
        <w:sectPr>
          <w:pgSz w:w="11900" w:h="16838" w:orient="portrait"/>
          <w:cols w:equalWidth="0" w:num="1">
            <w:col w:w="11240"/>
          </w:cols>
          <w:pgMar w:left="320" w:top="13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1"/>
          <w:szCs w:val="2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409A of the Code, such payments or benefits will not be paid or provided until the first day of the seventh month following the month of the Executive’s Termination (or if earlier, promptly following the Executive’s death).</w:t>
      </w:r>
    </w:p>
    <w:p>
      <w:pPr>
        <w:spacing w:after="0" w:line="162"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Spendthrift Provision</w:t>
      </w:r>
      <w:r>
        <w:rPr>
          <w:rFonts w:ascii="Arial" w:cs="Arial" w:eastAsia="Arial" w:hAnsi="Arial"/>
          <w:sz w:val="21"/>
          <w:szCs w:val="21"/>
          <w:color w:val="auto"/>
        </w:rPr>
        <w:t>. No right or interest of an Executive under this Plan may be assigned, transferred or alienated, in whole or in part, either directly or by operation of law, and no such right or interest shall be liable for or subject to any debt, obligation or liability of such Executive.</w:t>
      </w:r>
    </w:p>
    <w:p>
      <w:pPr>
        <w:spacing w:after="0" w:line="168"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Applicable Law</w:t>
      </w:r>
      <w:r>
        <w:rPr>
          <w:rFonts w:ascii="Arial" w:cs="Arial" w:eastAsia="Arial" w:hAnsi="Arial"/>
          <w:sz w:val="21"/>
          <w:szCs w:val="21"/>
          <w:color w:val="auto"/>
        </w:rPr>
        <w:t>. Except to the extent preempted by federal law, this Plan shall be governed and construed in accordance with the laws of the State of Delaware, without regard to principles of conflicts of laws.</w:t>
      </w:r>
    </w:p>
    <w:p>
      <w:pPr>
        <w:sectPr>
          <w:pgSz w:w="11900" w:h="16838" w:orient="portrait"/>
          <w:cols w:equalWidth="0" w:num="1">
            <w:col w:w="11240"/>
          </w:cols>
          <w:pgMar w:left="320" w:top="13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1"/>
          <w:szCs w:val="2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20"/>
        <w:spacing w:after="0"/>
        <w:rPr>
          <w:sz w:val="20"/>
          <w:szCs w:val="20"/>
          <w:color w:val="auto"/>
        </w:rPr>
      </w:pPr>
      <w:r>
        <w:rPr>
          <w:rFonts w:ascii="Arial" w:cs="Arial" w:eastAsia="Arial" w:hAnsi="Arial"/>
          <w:sz w:val="21"/>
          <w:szCs w:val="21"/>
          <w:b w:val="1"/>
          <w:bCs w:val="1"/>
          <w:u w:val="single" w:color="auto"/>
          <w:color w:val="auto"/>
        </w:rPr>
        <w:t>Acknowledgment of Plan Participant</w:t>
      </w:r>
    </w:p>
    <w:p>
      <w:pPr>
        <w:spacing w:after="0" w:line="215"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By signing below, I acknowledge that I have read, understand, and agree to abide by, and be bound by, all of the terms and conditions contained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Printed Name of Plan Participant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Signature of Plan Participant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color w:val="auto"/>
        </w:rPr>
        <w:t>Date of Signature of Plan Participant</w:t>
      </w:r>
    </w:p>
    <w:p>
      <w:pPr>
        <w:sectPr>
          <w:pgSz w:w="11900" w:h="16838" w:orient="portrait"/>
          <w:cols w:equalWidth="0" w:num="1">
            <w:col w:w="11240"/>
          </w:cols>
          <w:pgMar w:left="320" w:top="13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1"/>
          <w:szCs w:val="2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720"/>
        <w:spacing w:after="0"/>
        <w:rPr>
          <w:sz w:val="20"/>
          <w:szCs w:val="20"/>
          <w:color w:val="auto"/>
        </w:rPr>
      </w:pPr>
      <w:r>
        <w:rPr>
          <w:rFonts w:ascii="Arial" w:cs="Arial" w:eastAsia="Arial" w:hAnsi="Arial"/>
          <w:sz w:val="21"/>
          <w:szCs w:val="21"/>
          <w:b w:val="1"/>
          <w:bCs w:val="1"/>
          <w:u w:val="single" w:color="auto"/>
          <w:color w:val="auto"/>
        </w:rPr>
        <w:t>EXHIBIT A</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POSITIONS COVERED BY THE PLAN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President, Exchange &amp; Third-Party Management</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President, Vacation Ownership</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and Chief Financial Officer</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and General Counsel</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and Chief Human Resources Officer</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and Chief Information Officer</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and Chief Brand &amp; Digital Officer</w:t>
      </w:r>
    </w:p>
    <w:p>
      <w:pPr>
        <w:spacing w:after="0"/>
        <w:rPr>
          <w:sz w:val="20"/>
          <w:szCs w:val="20"/>
          <w:color w:val="auto"/>
        </w:rPr>
      </w:pPr>
      <w:r>
        <w:rPr>
          <w:rFonts w:ascii="Arial" w:cs="Arial" w:eastAsia="Arial" w:hAnsi="Arial"/>
          <w:sz w:val="21"/>
          <w:szCs w:val="21"/>
          <w:color w:val="auto"/>
        </w:rPr>
        <w:t>Executive Vice President and Chief Operating Officer – Hyatt Vacation Ownership</w:t>
      </w:r>
    </w:p>
    <w:p>
      <w:pPr>
        <w:sectPr>
          <w:pgSz w:w="11900" w:h="16838" w:orient="portrait"/>
          <w:cols w:equalWidth="0" w:num="1">
            <w:col w:w="11240"/>
          </w:cols>
          <w:pgMar w:left="320" w:top="13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1"/>
          <w:szCs w:val="2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B</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SAMPLE WAIVER AND RELEASE</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For and in consideration of the payments and other benefits due to ______________(“Executive”) pursuant to the Marriott</w:t>
      </w:r>
    </w:p>
    <w:p>
      <w:pPr>
        <w:spacing w:after="0" w:line="4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Vacations Worldwide Corporation Change in Control Severance Plan (the “Plan”), and for other good and valuable consideration, Executive hereby agrees, for Executive, Executive’s spouse and child or children (if any), Executive’s heirs, beneficiaries, devisees, executors, administrators, attorneys, personal representatives, successors and assigns, to forever waive and release all known and unknown claims and causes of action, arising on or before the date of Executive's execution of this Waiver and Release, against Marriott Vacations Worldwide Corporation (the “Company”) or any of its divisions, affiliates, subsidiaries, parents, branches, predecessors, successors, assigns, and with respect to such entities, their officers, directors, trustees, employees, agents, shareholders, administrators, general or limited partners, representatives, attorneys, insurers and fiduciaries, past, present and future (the “Released Parties”), including, but not limited to, all such claims and causes of action which in any way pertain to Executive’s employment with and/or termination of employment from the Company, all allegations of employment discrimination, harassment, retaliation, and whistleblower retaliation, and/or all other occurrences whatsoever, including but not limited to the Age Discrimination in Employment Act, Title VII of the Civil Rights Act of 1964, as amended, 42 U.S.C. Section 2000e et seq., the Fair Labor Standards Act, as amended, 29 U.S.C. Section 201 et seq., the Americans with Disabilities Act, as amended, 42 U.S.C. Section 12101 et seq., the Reconstruction Era Civil Rights Act, as amended, 42 U.S.C. Section 1981 et seq., the Rehabilitation Act of 1973, as amended, 29 U.S.C. Section 701 et seq., the Family and Medical Leave Act of 1993, 29 U.S.C. Section 2601 et seq., the Employee Retirement Income Security Act, 29 U.S.C. 1001 et seq., the Genetic Information Non-Discrimination Act, 42 U.S.C. Section 2000ff et seq., the False Claims Act, 31 U.S.C. Section 3729 et seq.; and any and all state or local laws regarding employment discrimination, harassment, retaliation, and whistleblower retaliation and/or federal, state or local laws and common laws of any type or description regarding employment, including but not limited to any claims arising from or derivative of Executive’s employment with the Company and its Affiliates, as well as any and all such claims under state contract, tort, or common law.</w:t>
      </w:r>
    </w:p>
    <w:p>
      <w:pPr>
        <w:spacing w:after="0" w:line="165" w:lineRule="exact"/>
        <w:rPr>
          <w:sz w:val="20"/>
          <w:szCs w:val="20"/>
          <w:color w:val="auto"/>
        </w:rPr>
      </w:pPr>
    </w:p>
    <w:p>
      <w:pPr>
        <w:jc w:val="both"/>
        <w:ind w:firstLine="618"/>
        <w:spacing w:after="0" w:line="295" w:lineRule="auto"/>
        <w:rPr>
          <w:sz w:val="20"/>
          <w:szCs w:val="20"/>
          <w:color w:val="auto"/>
        </w:rPr>
      </w:pPr>
      <w:r>
        <w:rPr>
          <w:rFonts w:ascii="Arial" w:cs="Arial" w:eastAsia="Arial" w:hAnsi="Arial"/>
          <w:sz w:val="18"/>
          <w:szCs w:val="18"/>
          <w:color w:val="auto"/>
        </w:rPr>
        <w:t>Executive also hereby agrees to comply with all reasonable requests from the Company or the Released Parties for assistance and/or information in connection with any matters relating to the duties and responsibilities of Executive's employment, including without limitation, consulting with any employees in connection with the transition of ongoing matters; consulting with attorneys of the Company or any Released Parties; appearing as a witness in connection with any dispute, controversy, action, or proceeding of any kind; and making himself/herself available to attorneys of the Company or any Released Parties in advance of witness appearances for purposes of preparation upon the request of the Company or the Released Parties and with reasonable advance notification without the need for a subpoena. In connection with any of Executive’s cooperation efforts, Executive shall be entitled to receive reimbursement of actual and proven lost wages and reasonable travel and other out-of-pocket expenses, provided that</w:t>
      </w:r>
    </w:p>
    <w:p>
      <w:pPr>
        <w:sectPr>
          <w:pgSz w:w="11900" w:h="16838" w:orient="portrait"/>
          <w:cols w:equalWidth="0" w:num="1">
            <w:col w:w="11240"/>
          </w:cols>
          <w:pgMar w:left="320" w:top="13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1"/>
          <w:szCs w:val="2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those expenses are submitted pursuant to and are in conformance with the Company’s then-applicable policy relating to expense reimbursement</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Executive has read this Waiver and Release carefully, acknowledges that Executive has been given at least forty-five (45) days to consider all of its terms and has been advised to consult with an attorney and any other advisors of Executive’s choice prior to executing this Waiver and Release, and Executive fully understands that by signing below Executive is voluntarily giving up any right which Executive may have to sue or bring any other claims against the Released Parties, including any rights and claims under the Age Discrimination in Employment Act. Executive also understands that Executive has a period of seven (7) days after signing this Waiver and Release within which to revoke his or her agreement, and that neither the Company nor any other person is obligated to make any payments or provide any other benefits to Executive pursuant to the Plan until eight (8) days have passed since Executive’s signing of this Waiver and Release without Executive’s signature having been revoked other than any accrued obligations or other benefits payable pursuant to the terms of the Company’s normal payroll practices or employee benefit plans. Finally, Executive has not been forced or pressured in any manner whatsoever to sign this Waiver and Release, and Executive agrees to all of its terms voluntarily.</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Notwithstanding anything else herein to the contrary, this Waiver and Release shall not affect: (i) the Company’s obligations under any compensation or employee benefit plan, program or arrangement (including, without limitation, obligations to Executive under any stock option, stock award or agreements or obligations under any pension, deferred compensation or retention plan) provided by the Affiliated Entities where Executive’s compensation or benefits are intended to continue or Executive is to be provided with compensation or benefits, in accordance with the express written terms of such plan, program or arrangement, beyond the date of Executive’s termination; or (ii) rights to indemnification or liability insurance coverage Executive may have under the by-laws of the Company or applicable law.</w:t>
      </w:r>
    </w:p>
    <w:p>
      <w:pPr>
        <w:spacing w:after="0" w:line="198"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In addition, excluded from this Waiver and Release are any claims which by law cannot be waived, including but not limited to the right to file a charge with or participate in an investigation by the Equal Employment Opportunity Commission ("EEOC"). Executive does, however, hereby waive all rights to recover any money, benefits or reinstatement should the EEOC or any other agency or individual pursue any claims on Executive's behalf.</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This Waiver and Release is final and binding and may not be changed or modified except in a writing signed by both parties.</w:t>
      </w: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 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Date Executive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 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Date CEO</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21"/>
          <w:szCs w:val="21"/>
          <w:color w:val="auto"/>
        </w:rPr>
        <w:t>Marriott Vacations Worldwide Corporation</w:t>
      </w:r>
    </w:p>
    <w:p>
      <w:pPr>
        <w:sectPr>
          <w:pgSz w:w="11900" w:h="16838" w:orient="portrait"/>
          <w:cols w:equalWidth="0" w:num="1">
            <w:col w:w="11240"/>
          </w:cols>
          <w:pgMar w:left="320" w:top="13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certify that:</w:t>
      </w:r>
    </w:p>
    <w:p>
      <w:pPr>
        <w:spacing w:after="0" w:line="114" w:lineRule="exact"/>
        <w:rPr>
          <w:sz w:val="20"/>
          <w:szCs w:val="20"/>
          <w:color w:val="auto"/>
        </w:rPr>
      </w:pPr>
    </w:p>
    <w:p>
      <w:pPr>
        <w:ind w:left="620" w:hanging="617"/>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Marriott Vacations Worldwide Corporation;</w:t>
      </w:r>
    </w:p>
    <w:p>
      <w:pPr>
        <w:spacing w:after="0" w:line="113" w:lineRule="exact"/>
        <w:rPr>
          <w:rFonts w:ascii="Arial" w:cs="Arial" w:eastAsia="Arial" w:hAnsi="Arial"/>
          <w:sz w:val="17"/>
          <w:szCs w:val="17"/>
          <w:color w:val="auto"/>
        </w:rPr>
      </w:pPr>
    </w:p>
    <w:p>
      <w:pPr>
        <w:ind w:left="620" w:right="160" w:hanging="617"/>
        <w:spacing w:after="0" w:line="348" w:lineRule="auto"/>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left="620" w:right="600" w:hanging="617"/>
        <w:spacing w:after="0" w:line="311" w:lineRule="auto"/>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240" w:right="260" w:hanging="619"/>
        <w:spacing w:after="0" w:line="266" w:lineRule="auto"/>
        <w:tabs>
          <w:tab w:leader="none" w:pos="1237"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240" w:right="560" w:hanging="619"/>
        <w:spacing w:after="0" w:line="266" w:lineRule="auto"/>
        <w:tabs>
          <w:tab w:leader="none" w:pos="1234"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240" w:right="720" w:hanging="619"/>
        <w:spacing w:after="0" w:line="348" w:lineRule="auto"/>
        <w:tabs>
          <w:tab w:leader="none" w:pos="1237"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240" w:right="260" w:hanging="619"/>
        <w:spacing w:after="0" w:line="266" w:lineRule="auto"/>
        <w:tabs>
          <w:tab w:leader="none" w:pos="1234"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0" w:right="340" w:hanging="617"/>
        <w:spacing w:after="0" w:line="311" w:lineRule="auto"/>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240" w:right="180" w:hanging="619"/>
        <w:spacing w:after="0" w:line="279" w:lineRule="auto"/>
        <w:tabs>
          <w:tab w:leader="none" w:pos="1237"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7"/>
          <w:szCs w:val="17"/>
          <w:color w:val="auto"/>
        </w:rPr>
      </w:pPr>
    </w:p>
    <w:p>
      <w:pPr>
        <w:ind w:left="1240" w:right="140" w:hanging="619"/>
        <w:spacing w:after="0" w:line="279" w:lineRule="auto"/>
        <w:tabs>
          <w:tab w:leader="none" w:pos="1234"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May 4, 2023</w:t>
      </w:r>
    </w:p>
    <w:p>
      <w:pPr>
        <w:spacing w:after="0" w:line="397"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31115</wp:posOffset>
            </wp:positionV>
            <wp:extent cx="32956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3295650" cy="8255"/>
                    </a:xfrm>
                    <a:prstGeom prst="rect">
                      <a:avLst/>
                    </a:prstGeom>
                    <a:noFill/>
                  </pic:spPr>
                </pic:pic>
              </a:graphicData>
            </a:graphic>
          </wp:anchor>
        </w:drawing>
      </w:r>
    </w:p>
    <w:p>
      <w:pPr>
        <w:spacing w:after="0" w:line="42"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John E. Geller, Jr.</w:t>
      </w:r>
    </w:p>
    <w:p>
      <w:pPr>
        <w:spacing w:after="0" w:line="36"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President and Chief Executive Officer</w:t>
      </w:r>
    </w:p>
    <w:p>
      <w:pPr>
        <w:spacing w:after="0" w:line="49"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20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Anthony E. Terry, certify that:</w:t>
      </w:r>
    </w:p>
    <w:p>
      <w:pPr>
        <w:spacing w:after="0" w:line="114" w:lineRule="exact"/>
        <w:rPr>
          <w:sz w:val="20"/>
          <w:szCs w:val="20"/>
          <w:color w:val="auto"/>
        </w:rPr>
      </w:pPr>
    </w:p>
    <w:p>
      <w:pPr>
        <w:ind w:left="620" w:hanging="61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Marriott Vacations Worldwide Corporation;</w:t>
      </w:r>
    </w:p>
    <w:p>
      <w:pPr>
        <w:spacing w:after="0" w:line="113" w:lineRule="exact"/>
        <w:rPr>
          <w:rFonts w:ascii="Arial" w:cs="Arial" w:eastAsia="Arial" w:hAnsi="Arial"/>
          <w:sz w:val="17"/>
          <w:szCs w:val="17"/>
          <w:color w:val="auto"/>
        </w:rPr>
      </w:pPr>
    </w:p>
    <w:p>
      <w:pPr>
        <w:ind w:left="620" w:right="160" w:hanging="617"/>
        <w:spacing w:after="0" w:line="348" w:lineRule="auto"/>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left="620" w:right="600" w:hanging="617"/>
        <w:spacing w:after="0" w:line="311" w:lineRule="auto"/>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6"/>
          <w:szCs w:val="16"/>
          <w:color w:val="auto"/>
        </w:rPr>
      </w:pPr>
    </w:p>
    <w:p>
      <w:pPr>
        <w:ind w:left="620" w:right="220" w:hanging="617"/>
        <w:spacing w:after="0" w:line="266"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240" w:right="260" w:hanging="619"/>
        <w:spacing w:after="0" w:line="266" w:lineRule="auto"/>
        <w:tabs>
          <w:tab w:leader="none" w:pos="1237"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240" w:right="560" w:hanging="619"/>
        <w:spacing w:after="0" w:line="266" w:lineRule="auto"/>
        <w:tabs>
          <w:tab w:leader="none" w:pos="1234"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240" w:right="720" w:hanging="619"/>
        <w:spacing w:after="0" w:line="348" w:lineRule="auto"/>
        <w:tabs>
          <w:tab w:leader="none" w:pos="1237"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240" w:right="260" w:hanging="619"/>
        <w:spacing w:after="0" w:line="266" w:lineRule="auto"/>
        <w:tabs>
          <w:tab w:leader="none" w:pos="1234"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0" w:right="340" w:hanging="617"/>
        <w:spacing w:after="0" w:line="311" w:lineRule="auto"/>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240" w:right="180" w:hanging="619"/>
        <w:spacing w:after="0" w:line="279" w:lineRule="auto"/>
        <w:tabs>
          <w:tab w:leader="none" w:pos="1237"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7"/>
          <w:szCs w:val="17"/>
          <w:color w:val="auto"/>
        </w:rPr>
      </w:pPr>
    </w:p>
    <w:p>
      <w:pPr>
        <w:ind w:left="1240" w:right="140" w:hanging="619"/>
        <w:spacing w:after="0" w:line="279" w:lineRule="auto"/>
        <w:tabs>
          <w:tab w:leader="none" w:pos="1234"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May 4, 2023</w:t>
      </w:r>
    </w:p>
    <w:p>
      <w:pPr>
        <w:spacing w:after="0" w:line="3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14605</wp:posOffset>
            </wp:positionV>
            <wp:extent cx="44811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4481195" cy="8255"/>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Anthony E. Terry</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Executive Vice President and Chief Financial Officer</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20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President and Chief Executive Officer of Marriott Vacations Worldwide Corporation (the “Company”) certify that:</w:t>
      </w:r>
    </w:p>
    <w:p>
      <w:pPr>
        <w:spacing w:after="0" w:line="114" w:lineRule="exact"/>
        <w:rPr>
          <w:sz w:val="20"/>
          <w:szCs w:val="20"/>
          <w:color w:val="auto"/>
        </w:rPr>
      </w:pPr>
    </w:p>
    <w:p>
      <w:pPr>
        <w:ind w:left="620" w:right="120" w:hanging="617"/>
        <w:spacing w:after="0" w:line="279" w:lineRule="auto"/>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2023 (the “Quarterly Report”), fully complies with the requirements of section 13(a) or 15(d) of the Securities Exchange Act of 1934 (15 U.S.C. 78m or 78o(d)); and</w:t>
      </w:r>
    </w:p>
    <w:p>
      <w:pPr>
        <w:spacing w:after="0" w:line="60" w:lineRule="exact"/>
        <w:rPr>
          <w:rFonts w:ascii="Arial" w:cs="Arial" w:eastAsia="Arial" w:hAnsi="Arial"/>
          <w:sz w:val="17"/>
          <w:szCs w:val="17"/>
          <w:color w:val="auto"/>
        </w:rPr>
      </w:pPr>
    </w:p>
    <w:p>
      <w:pPr>
        <w:ind w:left="620" w:hanging="617"/>
        <w:spacing w:after="0"/>
        <w:tabs>
          <w:tab w:leader="none" w:pos="6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information contained in the Quarterly Report fairly presents, in all material respects, the financial condition and results of operations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Dated: May 4, 2023</w:t>
      </w:r>
    </w:p>
    <w:p>
      <w:pPr>
        <w:spacing w:after="0" w:line="34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32956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3295650" cy="8255"/>
                    </a:xfrm>
                    <a:prstGeom prst="rect">
                      <a:avLst/>
                    </a:prstGeom>
                    <a:noFill/>
                  </pic:spPr>
                </pic:pic>
              </a:graphicData>
            </a:graphic>
          </wp:anchor>
        </w:drawing>
      </w:r>
    </w:p>
    <w:p>
      <w:pPr>
        <w:spacing w:after="0" w:line="4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John E. Geller, Jr.</w:t>
      </w:r>
    </w:p>
    <w:p>
      <w:pPr>
        <w:spacing w:after="0" w:line="6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President and Chief Executive Officer</w:t>
      </w:r>
    </w:p>
    <w:p>
      <w:pPr>
        <w:spacing w:after="0" w:line="6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20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Anthony E. Terry, Executive Vice President and Chief Financial Officer of Marriott Vacations Worldwide Corporation (the “Company”) certify that:</w:t>
      </w:r>
    </w:p>
    <w:p>
      <w:pPr>
        <w:spacing w:after="0" w:line="114" w:lineRule="exact"/>
        <w:rPr>
          <w:sz w:val="20"/>
          <w:szCs w:val="20"/>
          <w:color w:val="auto"/>
        </w:rPr>
      </w:pPr>
    </w:p>
    <w:p>
      <w:pPr>
        <w:ind w:left="620" w:right="120" w:hanging="617"/>
        <w:spacing w:after="0" w:line="279"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2023 (the “Quarterly Report”), fully complies with the requirements of section 13(a) or 15(d) of the Securities Exchange Act of 1934 (15 U.S.C. 78m or 78o(d)); and</w:t>
      </w:r>
    </w:p>
    <w:p>
      <w:pPr>
        <w:spacing w:after="0" w:line="60" w:lineRule="exact"/>
        <w:rPr>
          <w:rFonts w:ascii="Arial" w:cs="Arial" w:eastAsia="Arial" w:hAnsi="Arial"/>
          <w:sz w:val="17"/>
          <w:szCs w:val="17"/>
          <w:color w:val="auto"/>
        </w:rPr>
      </w:pPr>
    </w:p>
    <w:p>
      <w:pPr>
        <w:ind w:left="620" w:hanging="617"/>
        <w:spacing w:after="0"/>
        <w:tabs>
          <w:tab w:leader="none" w:pos="6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information contained in the Quarterly Report fairly presents, in all material respects, the financial condition and results of operations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Dated: May 4, 2023</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14605</wp:posOffset>
            </wp:positionV>
            <wp:extent cx="34264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pacing w:after="0" w:line="2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Anthony E. Terry</w:t>
      </w:r>
    </w:p>
    <w:p>
      <w:pPr>
        <w:spacing w:after="0" w:line="4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Executive Vice President and Chief Financial Officer</w:t>
      </w:r>
    </w:p>
    <w:p>
      <w:pPr>
        <w:spacing w:after="0" w:line="4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2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407"/>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5"/>
    </w:lvl>
  </w:abstractNum>
  <w:abstractNum w:abstractNumId="7">
    <w:nsid w:val="7C3DBD3D"/>
    <w:multiLevelType w:val="hybridMultilevel"/>
    <w:lvl w:ilvl="0">
      <w:lvlJc w:val="left"/>
      <w:lvlText w:val="%1."/>
      <w:numFmt w:val="decimal"/>
      <w:start w:val="6"/>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7"/>
    </w:lvl>
  </w:abstractNum>
  <w:abstractNum w:abstractNumId="12">
    <w:nsid w:val="3006C83E"/>
    <w:multiLevelType w:val="hybridMultilevel"/>
    <w:lvl w:ilvl="0">
      <w:lvlJc w:val="left"/>
      <w:lvlText w:val="%1."/>
      <w:numFmt w:val="decimal"/>
      <w:start w:val="8"/>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9"/>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0"/>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2"/>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3"/>
    </w:lvl>
  </w:abstractNum>
  <w:abstractNum w:abstractNumId="25">
    <w:nsid w:val="2D517796"/>
    <w:multiLevelType w:val="hybridMultilevel"/>
    <w:lvl w:ilvl="0">
      <w:lvlJc w:val="left"/>
      <w:lvlText w:val="%1."/>
      <w:numFmt w:val="decimal"/>
      <w:start w:val="14"/>
    </w:lvl>
  </w:abstractNum>
  <w:abstractNum w:abstractNumId="26">
    <w:nsid w:val="580BD78F"/>
    <w:multiLevelType w:val="hybridMultilevel"/>
    <w:lvl w:ilvl="0">
      <w:lvlJc w:val="left"/>
      <w:lvlText w:val="%1."/>
      <w:numFmt w:val="decimal"/>
      <w:start w:val="15"/>
    </w:lvl>
  </w:abstractNum>
  <w:abstractNum w:abstractNumId="27">
    <w:nsid w:val="153EA438"/>
    <w:multiLevelType w:val="hybridMultilevel"/>
    <w:lvl w:ilvl="0">
      <w:lvlJc w:val="left"/>
      <w:lvlText w:val="%1."/>
      <w:numFmt w:val="decimal"/>
      <w:start w:val="16"/>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lvl w:ilvl="1">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01"/>
    </w:lvl>
  </w:abstractNum>
  <w:abstractNum w:abstractNumId="35">
    <w:nsid w:val="57E4CCAF"/>
    <w:multiLevelType w:val="hybridMultilevel"/>
    <w:lvl w:ilvl="0">
      <w:lvlJc w:val="left"/>
      <w:lvlText w:val="%1"/>
      <w:numFmt w:val="decimal"/>
      <w:start w:val="104"/>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1"/>
    </w:lvl>
    <w:lvl w:ilvl="1">
      <w:lvlJc w:val="left"/>
      <w:lvlText w:val="(%2)"/>
      <w:numFmt w:val="decimal"/>
      <w:start w:val="1"/>
    </w:lvl>
  </w:abstractNum>
  <w:abstractNum w:abstractNumId="40">
    <w:nsid w:val="38437FDB"/>
    <w:multiLevelType w:val="hybridMultilevel"/>
    <w:lvl w:ilvl="0">
      <w:lvlJc w:val="left"/>
      <w:lvlText w:val="(%1)"/>
      <w:numFmt w:val="lowerLetter"/>
      <w:start w:val="7"/>
    </w:lvl>
    <w:lvl w:ilvl="1">
      <w:lvlJc w:val="left"/>
      <w:lvlText w:val="%2"/>
      <w:numFmt w:val="decimal"/>
      <w:start w:val="1"/>
    </w:lvl>
  </w:abstractNum>
  <w:abstractNum w:abstractNumId="41">
    <w:nsid w:val="7644A45C"/>
    <w:multiLevelType w:val="hybridMultilevel"/>
    <w:lvl w:ilvl="0">
      <w:lvlJc w:val="left"/>
      <w:lvlText w:val="%1"/>
      <w:numFmt w:val="decimal"/>
      <w:start w:val="1"/>
    </w:lvl>
    <w:lvl w:ilvl="1">
      <w:lvlJc w:val="left"/>
      <w:lvlText w:val="(%2)"/>
      <w:numFmt w:val="lowerLetter"/>
      <w:start w:val="12"/>
    </w:lvl>
  </w:abstractNum>
  <w:abstractNum w:abstractNumId="42">
    <w:nsid w:val="32FFF902"/>
    <w:multiLevelType w:val="hybridMultilevel"/>
    <w:lvl w:ilvl="0">
      <w:lvlJc w:val="left"/>
      <w:lvlText w:val="(%1)"/>
      <w:numFmt w:val="decimal"/>
      <w:start w:val="60"/>
    </w:lvl>
    <w:lvl w:ilvl="1">
      <w:lvlJc w:val="left"/>
      <w:lvlText w:val="(%2)"/>
      <w:numFmt w:val="lowerLetter"/>
      <w:start w:val="15"/>
    </w:lvl>
  </w:abstractNum>
  <w:abstractNum w:abstractNumId="43">
    <w:nsid w:val="684A481A"/>
    <w:multiLevelType w:val="hybridMultilevel"/>
    <w:lvl w:ilvl="0">
      <w:lvlJc w:val="left"/>
      <w:lvlText w:val="(%1)"/>
      <w:numFmt w:val="lowerLetter"/>
      <w:start w:val="19"/>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21" Type="http://schemas.openxmlformats.org/officeDocument/2006/relationships/hyperlink" Target="http://www.sec.gov/Archives/edgar/data/1524358/000119312518144431/d577638dex21.htm" TargetMode="External"/><Relationship Id="rId122" Type="http://schemas.openxmlformats.org/officeDocument/2006/relationships/hyperlink" Target="https://www.sec.gov/Archives/edgar/data/0001524358/000152435821000007/projectchampagne-mergeragr.htm" TargetMode="External"/><Relationship Id="rId123" Type="http://schemas.openxmlformats.org/officeDocument/2006/relationships/hyperlink" Target="http://www.sec.gov/Archives/edgar/data/1524358/000119312511320045/d256766dex31.htm" TargetMode="External"/><Relationship Id="rId124" Type="http://schemas.openxmlformats.org/officeDocument/2006/relationships/hyperlink" Target="http://www.sec.gov/Archives/edgar/data/1524358/000119312511320045/d256766dex32.htm" TargetMode="External"/><Relationship Id="rId125" Type="http://schemas.openxmlformats.org/officeDocument/2006/relationships/hyperlink" Target="http://www.sec.gov/Archives/edgar/data/1524358/000119312511271851/d197736dex41.htm" TargetMode="External"/><Relationship Id="rId126" Type="http://schemas.openxmlformats.org/officeDocument/2006/relationships/hyperlink" Target="http://www.sec.gov/Archives/edgar/data/1524358/000119312519259964/d812229dex41.htm" TargetMode="External"/><Relationship Id="rId127" Type="http://schemas.openxmlformats.org/officeDocument/2006/relationships/hyperlink" Target="http://www.sec.gov/Archives/edgar/data/1524358/000152435820000011/a201910-kex412suppleme.htm" TargetMode="External"/><Relationship Id="rId128" Type="http://schemas.openxmlformats.org/officeDocument/2006/relationships/hyperlink" Target="http://www.sec.gov/Archives/edgar/data/1524358/000152435820000011/a201910-kex413xseconds.htm" TargetMode="External"/><Relationship Id="rId129" Type="http://schemas.openxmlformats.org/officeDocument/2006/relationships/hyperlink" Target="http://www.sec.gov/Archives/edgar/data/1524358/000119312519259964/d812229dex43.htm" TargetMode="External"/><Relationship Id="rId130" Type="http://schemas.openxmlformats.org/officeDocument/2006/relationships/hyperlink" Target="http://www.sec.gov/Archives/edgar/data/1524358/000119312520143993/d931016dex41.htm" TargetMode="External"/><Relationship Id="rId131" Type="http://schemas.openxmlformats.org/officeDocument/2006/relationships/hyperlink" Target="https://www.sec.gov/Archives/edgar/data/0001524358/000119312521027303/d41256dex41.htm" TargetMode="External"/><Relationship Id="rId132" Type="http://schemas.openxmlformats.org/officeDocument/2006/relationships/hyperlink" Target="https://www.sec.gov/Archives/edgar/data/0001524358/000119312521027303/d41256dex41.htm#exa" TargetMode="External"/><Relationship Id="rId133" Type="http://schemas.openxmlformats.org/officeDocument/2006/relationships/hyperlink" Target="https://www.sec.gov/Archives/edgar/data/0001524358/000119312521195243/d158882dex41.htm" TargetMode="External"/><Relationship Id="rId134" Type="http://schemas.openxmlformats.org/officeDocument/2006/relationships/hyperlink" Target="https://www.sec.gov/Archives/edgar/data/0001524358/000119312521195243/d158882dex41.htm#tx158882_515" TargetMode="External"/><Relationship Id="rId146" Type="http://schemas.openxmlformats.org/officeDocument/2006/relationships/hyperlink" Target="https://www.sec.gov/Archives/edgar/data/1524358/000119312522301061/d433395dex41.htm" TargetMode="External"/><Relationship Id="rId147" Type="http://schemas.openxmlformats.org/officeDocument/2006/relationships/hyperlink" Target="https://www.sec.gov/Archives/edgar/data/1524358/000119312522301061/d433395dex41.htm#tx433395_1" TargetMode="External"/><Relationship Id="rId148" Type="http://schemas.openxmlformats.org/officeDocument/2006/relationships/hyperlink" Target="http://www.sec.gov/Archives/edgar/data/1524358/000152435820000011/a201910-kex416descript.htm" TargetMode="External"/><Relationship Id="rId149" Type="http://schemas.openxmlformats.org/officeDocument/2006/relationships/hyperlink" Target="https://www.sec.gov/Archives/edgar/data/1524358/000152435823000009/a2022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2023-05-05T05:27:45Z</dcterms:created>
  <dcterms:modified xsi:type="dcterms:W3CDTF">2023-05-05T05:27:45Z</dcterms:modified>
</cp:coreProperties>
</file>