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6,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45-2598330</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6649 Westwood Blvd.</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6"/>
              </w:rPr>
              <w:t>Orlando, FL</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32821</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(407) 206-6000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08"/>
        </w:trPr>
        <w:tc>
          <w:tcPr>
            <w:tcW w:w="752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852"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852"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852"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852"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outstanding of the issuer’s common stock, par value $0.01 per share, as of October 4, 2013 was 35,425,607.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852"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2"/>
          </w:tcPr>
          <w:p>
            <w:pPr>
              <w:ind w:left="160"/>
              <w:spacing w:after="0"/>
              <w:rPr>
                <w:sz w:val="20"/>
                <w:szCs w:val="20"/>
                <w:color w:val="auto"/>
              </w:rPr>
            </w:pPr>
            <w:r>
              <w:rPr>
                <w:rFonts w:ascii="Arial" w:cs="Arial" w:eastAsia="Arial" w:hAnsi="Arial"/>
                <w:sz w:val="18"/>
                <w:szCs w:val="18"/>
                <w:b w:val="1"/>
                <w:bCs w:val="1"/>
                <w:color w:val="auto"/>
              </w:rPr>
              <w:t>INDEX</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3660" w:type="dxa"/>
            <w:vAlign w:val="bottom"/>
            <w:gridSpan w:val="14"/>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6480" w:type="dxa"/>
            <w:vAlign w:val="bottom"/>
            <w:gridSpan w:val="6"/>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880" w:type="dxa"/>
            <w:vAlign w:val="bottom"/>
            <w:vMerge w:val="continue"/>
          </w:tcPr>
          <w:p>
            <w:pPr>
              <w:spacing w:after="0"/>
              <w:rPr>
                <w:sz w:val="14"/>
                <w:szCs w:val="14"/>
                <w:color w:val="auto"/>
              </w:rPr>
            </w:pPr>
          </w:p>
        </w:tc>
        <w:tc>
          <w:tcPr>
            <w:tcW w:w="3660" w:type="dxa"/>
            <w:vAlign w:val="bottom"/>
            <w:tcBorders>
              <w:bottom w:val="single" w:sz="8" w:color="0000EE"/>
            </w:tcBorders>
            <w:gridSpan w:val="14"/>
            <w:vMerge w:val="continue"/>
          </w:tcPr>
          <w:p>
            <w:pPr>
              <w:spacing w:after="0"/>
              <w:rPr>
                <w:sz w:val="14"/>
                <w:szCs w:val="14"/>
                <w:color w:val="auto"/>
              </w:rPr>
            </w:pPr>
          </w:p>
        </w:tc>
        <w:tc>
          <w:tcPr>
            <w:tcW w:w="648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14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Interim Consolidated Financial Statements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4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Interim Consolidated Statements of Operations</w:t>
              </w:r>
            </w:hyperlink>
          </w:p>
        </w:tc>
        <w:tc>
          <w:tcPr>
            <w:tcW w:w="67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Statements of Comprehensive Income</w:t>
              </w:r>
            </w:hyperlink>
          </w:p>
        </w:tc>
        <w:tc>
          <w:tcPr>
            <w:tcW w:w="582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6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Interim Consolidated Balance Sheets</w:t>
              </w:r>
            </w:hyperlink>
          </w:p>
        </w:tc>
        <w:tc>
          <w:tcPr>
            <w:tcW w:w="74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Interim Consolidated Statements of Cash Flows</w:t>
              </w:r>
            </w:hyperlink>
          </w:p>
        </w:tc>
        <w:tc>
          <w:tcPr>
            <w:tcW w:w="66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7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Notes to Interim Consolidated Financial Statements</w:t>
              </w:r>
            </w:hyperlink>
          </w:p>
        </w:tc>
        <w:tc>
          <w:tcPr>
            <w:tcW w:w="64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17"/>
                <w:szCs w:val="17"/>
                <w:color w:val="auto"/>
              </w:rPr>
            </w:pPr>
          </w:p>
        </w:tc>
        <w:tc>
          <w:tcPr>
            <w:tcW w:w="36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Controls and Procedures</w:t>
              </w:r>
            </w:hyperlink>
          </w:p>
        </w:tc>
        <w:tc>
          <w:tcPr>
            <w:tcW w:w="834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b w:val="1"/>
                <w:bCs w:val="1"/>
                <w:color w:val="auto"/>
              </w:rPr>
              <w:t>Part II.</w:t>
            </w:r>
          </w:p>
        </w:tc>
        <w:tc>
          <w:tcPr>
            <w:tcW w:w="10140" w:type="dxa"/>
            <w:vAlign w:val="bottom"/>
            <w:gridSpan w:val="20"/>
          </w:tcPr>
          <w:p>
            <w:pPr>
              <w:spacing w:after="0" w:line="196"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81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80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Unregistered Sales of Equity Securities and Use of Proceeds</w:t>
              </w:r>
            </w:hyperlink>
          </w:p>
        </w:tc>
        <w:tc>
          <w:tcPr>
            <w:tcW w:w="57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Defaults Upon Senior Securities</w:t>
              </w:r>
            </w:hyperlink>
          </w:p>
        </w:tc>
        <w:tc>
          <w:tcPr>
            <w:tcW w:w="780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Mine Safety Disclosures</w:t>
              </w:r>
            </w:hyperlink>
          </w:p>
        </w:tc>
        <w:tc>
          <w:tcPr>
            <w:tcW w:w="83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014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882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4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1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60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142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472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700"/>
              <w:spacing w:after="0"/>
              <w:rPr>
                <w:sz w:val="20"/>
                <w:szCs w:val="20"/>
                <w:color w:val="auto"/>
              </w:rPr>
            </w:pPr>
            <w:r>
              <w:rPr>
                <w:rFonts w:ascii="Arial" w:cs="Arial" w:eastAsia="Arial" w:hAnsi="Arial"/>
                <w:sz w:val="18"/>
                <w:szCs w:val="18"/>
                <w:b w:val="1"/>
                <w:bCs w:val="1"/>
                <w:color w:val="auto"/>
              </w:rPr>
              <w:t>TOTAL REVENUES</w:t>
            </w:r>
          </w:p>
        </w:tc>
        <w:tc>
          <w:tcPr>
            <w:tcW w:w="1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Cost of vacation ownership products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sales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Resort management and other services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Financing</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Rental</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Organizational and separation related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Consumer financing interest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Royalty fee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EXPENSES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Gains and other income</w:t>
            </w:r>
          </w:p>
        </w:tc>
        <w:tc>
          <w:tcPr>
            <w:tcW w:w="1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340"/>
              <w:spacing w:after="0"/>
              <w:rPr>
                <w:sz w:val="20"/>
                <w:szCs w:val="20"/>
                <w:color w:val="auto"/>
              </w:rPr>
            </w:pPr>
            <w:r>
              <w:rPr>
                <w:rFonts w:ascii="Arial" w:cs="Arial" w:eastAsia="Arial" w:hAnsi="Arial"/>
                <w:sz w:val="18"/>
                <w:szCs w:val="18"/>
                <w:color w:val="auto"/>
              </w:rPr>
              <w:t>Impairment reversals on equity investment</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4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earnings per share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earnings per share</w:t>
            </w:r>
          </w:p>
        </w:tc>
        <w:tc>
          <w:tcPr>
            <w:tcW w:w="1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Twelve Weeks Ended</w:t>
            </w:r>
          </w:p>
        </w:tc>
        <w:tc>
          <w:tcPr>
            <w:tcW w:w="1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4"/>
                <w:szCs w:val="14"/>
                <w:b w:val="1"/>
                <w:bCs w:val="1"/>
                <w:color w:val="auto"/>
              </w:rPr>
              <w:t>Thirty-Six Weeks Ended</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6,</w:t>
            </w:r>
          </w:p>
        </w:tc>
        <w:tc>
          <w:tcPr>
            <w:tcW w:w="66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660" w:type="dxa"/>
            <w:vAlign w:val="bottom"/>
          </w:tcPr>
          <w:p>
            <w:pPr>
              <w:spacing w:after="0"/>
              <w:rPr>
                <w:sz w:val="10"/>
                <w:szCs w:val="10"/>
                <w:color w:val="auto"/>
              </w:rPr>
            </w:pPr>
          </w:p>
        </w:tc>
        <w:tc>
          <w:tcPr>
            <w:tcW w:w="11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30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3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w w:val="71"/>
              </w:rPr>
              <w:t>5</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loss, net of tax</w:t>
            </w:r>
          </w:p>
        </w:tc>
        <w:tc>
          <w:tcPr>
            <w:tcW w:w="1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ind w:left="80"/>
              <w:spacing w:after="0"/>
              <w:rPr>
                <w:sz w:val="20"/>
                <w:szCs w:val="20"/>
                <w:color w:val="auto"/>
              </w:rPr>
            </w:pPr>
            <w:r>
              <w:rPr>
                <w:rFonts w:ascii="Arial" w:cs="Arial" w:eastAsia="Arial" w:hAnsi="Arial"/>
                <w:sz w:val="15"/>
                <w:szCs w:val="15"/>
                <w:color w:val="auto"/>
                <w:w w:val="71"/>
              </w:rPr>
              <w:t>1</w:t>
            </w:r>
          </w:p>
        </w:tc>
        <w:tc>
          <w:tcPr>
            <w:tcW w:w="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3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7"/>
              </w:rPr>
              <w:t>(Unaudited)</w:t>
            </w:r>
          </w:p>
        </w:tc>
        <w:tc>
          <w:tcPr>
            <w:tcW w:w="60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September 6,</w:t>
            </w:r>
          </w:p>
        </w:tc>
        <w:tc>
          <w:tcPr>
            <w:tcW w:w="6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$41 and $31 from VIEs, respectively)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Accounts and contracts receivable, net (including $5 and $5 from VIEs, respectively)</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net (including $784 and $727 from VIEs, respectively)</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978</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Advance deposits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$2 and $1 from VIEs, respectively)</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$747 and $674 from VIEs, respectively)</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Preferred stock — $.01 par value; 2,000,000 shares authorized; none issued or outstanding</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 $.01 par value; 100,000,000 shares authorized; 35,394,854 and 35,026,533 shares issued and</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respectively</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1,122</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3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Provision for loan losses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charges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Impairment reversals on equity investment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disposal of property and equipment,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Net change in assets and liabilities: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and contracts receivable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Notes receivable originations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Notes receivable collections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Accounts payable, advance deposits and accrued liabilities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Liability for Marriott Rewards customer loyalty program</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Payroll and benefit liabilities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Deferred compensation liability</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Decrease in restricted cash</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Dispositions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ind w:left="1060"/>
              <w:spacing w:after="0"/>
              <w:rPr>
                <w:sz w:val="20"/>
                <w:szCs w:val="20"/>
                <w:color w:val="auto"/>
              </w:rPr>
            </w:pPr>
            <w:r>
              <w:rPr>
                <w:rFonts w:ascii="Arial" w:cs="Arial" w:eastAsia="Arial" w:hAnsi="Arial"/>
                <w:sz w:val="18"/>
                <w:szCs w:val="18"/>
                <w:color w:val="auto"/>
              </w:rPr>
              <w:t>Net cash (used in) provided by investing activities</w:t>
            </w: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Borrowings from securitization transactions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361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debt related to securitization transactions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Borrowings on Revolving Corporate Credit Facility</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on Revolving Corporate Credit Facility</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Debt issuance costs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ind w:left="340"/>
              <w:spacing w:after="0"/>
              <w:rPr>
                <w:sz w:val="20"/>
                <w:szCs w:val="20"/>
                <w:color w:val="auto"/>
              </w:rPr>
            </w:pPr>
            <w:r>
              <w:rPr>
                <w:rFonts w:ascii="Arial" w:cs="Arial" w:eastAsia="Arial" w:hAnsi="Arial"/>
                <w:sz w:val="18"/>
                <w:szCs w:val="18"/>
                <w:color w:val="auto"/>
              </w:rPr>
              <w:t>Effect of changes in exchange rates on cash and cash equivalents</w:t>
            </w: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Non-cash reduction of Additional paid-in capital for increase in Deferred tax liabilities distributed to</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Marriott Vacations Worldwide at Spin-Off</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See Notes to Interim Consolidated Financial Statements</w:t>
      </w:r>
    </w:p>
    <w:p>
      <w:pPr>
        <w:sectPr>
          <w:pgSz w:w="11900" w:h="16838" w:orient="portrait"/>
          <w:cols w:equalWidth="0" w:num="1">
            <w:col w:w="11420"/>
          </w:cols>
          <w:pgMar w:left="240" w:top="459"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Inc. (“Marriott International”), generally provides on-site management for Ritz-Carlton branded properties.</w:t>
      </w:r>
    </w:p>
    <w:p>
      <w:pPr>
        <w:spacing w:after="0" w:line="16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business is grouped into three reportable segments: North America, Europe and Asia Pacific. We operate 63 properties in the United States and nine other countries and territories.</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On November 21, 2011, the spin-off of Marriott Vacations Worldwide (the “Spin-Off”) from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As a result of the Spin-Off, we became an independent company, and our common stock is listed on the New York Stock Exchange under the symbol “VAC.” Following the Spin-Off, we and Marriott International have operated independently, and neither company has any ownership interest in the other.</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order to provide for an orderly transition to our status as an independent, publicly owned company and to govern the ongoing relationship between us and Marriott International, we and Marriott International entered into material agreements pertaining to the provision by each company to the other of certain services, and the rights and obligations of each company, following the Spin-Off. These agreements also provide for each company to indemnify the other against certain liabilities arising from our respective businesses. The agreements include a License, Services, and Development Agreement with Marriott International and its subsidiary Marriott Worldwide Corporation and a License, Services, and Development Agreement with Ritz-Carlton under which we are granted the exclusive right, for the terms of the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117" w:lineRule="exact"/>
        <w:rPr>
          <w:sz w:val="20"/>
          <w:szCs w:val="20"/>
          <w:color w:val="auto"/>
        </w:rPr>
      </w:pPr>
    </w:p>
    <w:p>
      <w:pPr>
        <w:jc w:val="both"/>
        <w:ind w:right="300" w:firstLine="456"/>
        <w:spacing w:after="0" w:line="288" w:lineRule="auto"/>
        <w:rPr>
          <w:sz w:val="20"/>
          <w:szCs w:val="20"/>
          <w:color w:val="auto"/>
        </w:rPr>
      </w:pPr>
      <w:r>
        <w:rPr>
          <w:rFonts w:ascii="Arial" w:cs="Arial" w:eastAsia="Arial" w:hAnsi="Arial"/>
          <w:sz w:val="16"/>
          <w:szCs w:val="16"/>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w:t>
      </w:r>
    </w:p>
    <w:p>
      <w:pPr>
        <w:ind w:right="260"/>
        <w:spacing w:after="0" w:line="255" w:lineRule="auto"/>
        <w:rPr>
          <w:sz w:val="20"/>
          <w:szCs w:val="20"/>
          <w:color w:val="auto"/>
        </w:rPr>
      </w:pPr>
      <w:r>
        <w:rPr>
          <w:rFonts w:ascii="Arial" w:cs="Arial" w:eastAsia="Arial" w:hAnsi="Arial"/>
          <w:sz w:val="18"/>
          <w:szCs w:val="18"/>
          <w:color w:val="auto"/>
        </w:rPr>
        <w:t>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9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refer throughout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Fiscal Year</w:t>
            </w:r>
          </w:p>
        </w:tc>
        <w:tc>
          <w:tcPr>
            <w:tcW w:w="55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Quarter-End Date</w:t>
            </w: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2013</w:t>
            </w: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6, 2013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2013</w:t>
            </w: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June 14, 2013</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2013</w:t>
            </w: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22, 2013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2012</w:t>
            </w: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Third Quarter</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September 7, 2012</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2012</w:t>
            </w:r>
          </w:p>
        </w:tc>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15, 2012</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2012</w:t>
            </w:r>
          </w:p>
        </w:tc>
        <w:tc>
          <w:tcPr>
            <w:tcW w:w="5880" w:type="dxa"/>
            <w:vAlign w:val="bottom"/>
            <w:gridSpan w:val="2"/>
          </w:tcPr>
          <w:p>
            <w:pPr>
              <w:ind w:left="20"/>
              <w:spacing w:after="0"/>
              <w:rPr>
                <w:sz w:val="20"/>
                <w:szCs w:val="20"/>
                <w:color w:val="auto"/>
              </w:rPr>
            </w:pPr>
            <w:r>
              <w:rPr>
                <w:rFonts w:ascii="Arial" w:cs="Arial" w:eastAsia="Arial" w:hAnsi="Arial"/>
                <w:sz w:val="18"/>
                <w:szCs w:val="18"/>
                <w:color w:val="auto"/>
              </w:rPr>
              <w:t>First Quarter</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March 23, 2012</w:t>
            </w:r>
          </w:p>
        </w:tc>
      </w:tr>
    </w:tbl>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81" w:lineRule="exact"/>
        <w:rPr>
          <w:sz w:val="20"/>
          <w:szCs w:val="20"/>
          <w:color w:val="auto"/>
        </w:rPr>
      </w:pPr>
    </w:p>
    <w:p>
      <w:pPr>
        <w:jc w:val="both"/>
        <w:ind w:right="100" w:firstLine="456"/>
        <w:spacing w:after="0" w:line="257" w:lineRule="auto"/>
        <w:rPr>
          <w:sz w:val="20"/>
          <w:szCs w:val="20"/>
          <w:color w:val="auto"/>
        </w:rPr>
      </w:pPr>
      <w:r>
        <w:rPr>
          <w:rFonts w:ascii="Arial" w:cs="Arial" w:eastAsia="Arial" w:hAnsi="Arial"/>
          <w:sz w:val="18"/>
          <w:szCs w:val="18"/>
          <w:color w:val="auto"/>
        </w:rPr>
        <w:t>These Financial Statements have not been audited. We have condensed or omitted certain information and footnote disclosures normally included in financial statements presented in accordance with GAAP. Although we believe our footnote disclosures are adequate to make the information presented not misleading, you should read these interim Financial Statements in conjunction with the audited annual Consolidated Financial Statements and notes to those Consolidated Financial Statements included in our Annual Report on Form 10-K for the fiscal year ended December 28, 2012, subject to the restatement of certain items noted below.</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loss contingencies and exit and disposal activities reserves. Actual amounts may differ from these estimated amounts.</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have reclassified certain prior year amounts to conform to our 2013 presentation, including establishing the consumer financing interest expense line on the Statements of Operations.</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Consumer financing interest expense represents interest expense associated with the debt from our $250 million non-recourse warehouse credit facility (the “Warehouse Credit Facility”) and from the securitization of our vacation ownership notes receivable in the asset-backed securities (“ABS”) market.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 See Footnote No. 11, “Variable Interest Entities” for further discussion of these facilities.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Prior Financial Statements</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the second quarter of 2013, during the course of an internal review of certain sales documentation processes related to the sale of certain vacation ownership interests in properties associated with our Europe segment, we determined that the documentation we provided for certain sales of vacation ownership products was not strictly compliant. As a result, in accordance with applicable European regulation, the period of time during which purchasers of such interests may rescind their purchases was extended. We record revenues from the sale of vacation ownership products once the rescission period has ended. Originally, we recorded revenues from these sales of vacation ownership products based on the rescission periods in effect assuming compliant documentation had been provided to the purchasers rather than the extended periods. As a result, we recognized revenue in incorrect periods between fiscal years 2010 and 2013 and misstated revenues in our previously filed consolidated financial statements.</w:t>
      </w:r>
    </w:p>
    <w:p>
      <w:pPr>
        <w:spacing w:after="0" w:line="17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documentation issue described above was limited to sales documentation provided to purchasers of certain interests in properties associated with our Europe segment. We took corrective measures and, as a result, compliant documentation is being provided to purchasers. In addition, we provided compliant documentation to purchasers for whom the extended rescission period had not yet expired. The cumulative impact of these items through December 28, 2012 was a reduction in reported income before income taxes of $12 million. The cumulative impact of these items through March 22, 2013 was a reduction in reported income before income taxes of $11 million. However, as compliant documentation was subsequently provided as part of our corrective measures, the extended rescission period for most of the purchases at issue ended during the second quarter of 2013. As of September 6, 2013, sales having a net pre-tax impact of $1 million had been rescinded. As a result, approximately $1 million and $11 million of this cumulative impact is reflected as an increase in income before income taxes for the twelve and thirty-six weeks ended September 6, 2013, respectively.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consolidated restated financial statements will include certain other corrections related to the timing of recording adjustments to previously reported deferred tax balances. Certain deferred tax assets were determined to not be realizable in future years and thus were eliminated, albeit in the incorrect fiscal year for the years ended December 28, 2012, December 30, 2011 and December 31, 2010. The need for these corrections was identified while we were developing internal processes relating to deferred taxes after we became a standalone public company. In addition to the adjustments required as a result of the errors described above, the restated consolidated financial statements will include certain previously unrecorded immaterial adjustments to our financial statements for fiscal years 2010 and 2011 relating to cost reimbursements, which previously were recorded on a net basis.</w:t>
      </w:r>
    </w:p>
    <w:p>
      <w:pPr>
        <w:spacing w:after="0" w:line="16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adjustments necessary to correct all of the errors have no impact on previously reported cash flows from operations and do not have a material impact on our balance sheet as of any date. In accordance with applicable accounting guidance, an adjustment to the financial statements for each individual period presented is required to reflect the correction of the period-specific effects of the errors described above, if material. Based on our evaluation of relevant quantitative and qualitative factors, we determined the identified misstatements are not material to our individual prior period consolidated financial statements; however, the cumulative correction of the prior period errors would be material to our current year consolidated financial statements. Consequently, we will restate the consolidated Statements of Operations for the years ended December 28, 2012 and December 30, 2011, and the Statements of Operations for the periods ended March 22, 2013 and March 23, 2012. We have restated the accompanying consolidated Balance Sheet as of December 28, 2012 and the Statement of Operations for the twelve and thirty-six weeks ended September 7, 2012. We have also restated the opening December 29, 2012 balances presented in our shareholders’ equity table as of September 6, 2013 (included in Footnote No. 12, “Shareholders’ Equity”) appearing herein, from amounts previously reported, to correct the prior period misstatements.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cumulative impact of these misstatements on our 2012 annual and interim consolidated statements of cash flows is inconsequential as the impact on individual line items within operating activities is not material and had no impact on net cash provided by (used in) operating, investing or financing activities. However, we will restate the 2012 statement of cash flows when disclosed in our Annual Report on Form 10-K for the fiscal year ended January 3, 2014 to reflect changes to individual line items within operating activities.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impact of these adjustments on the financial statements is detailed in the tables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For the Twelve Weeks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6"/>
              </w:rPr>
              <w:t>March 22, 2013</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w w:val="96"/>
              </w:rPr>
              <w:t>As</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Previously</w:t>
            </w:r>
          </w:p>
        </w:tc>
        <w:tc>
          <w:tcPr>
            <w:tcW w:w="58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9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5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324"/>
        </w:trPr>
        <w:tc>
          <w:tcPr>
            <w:tcW w:w="44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0.52</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0.01</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0.01</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392"/>
        </w:trPr>
        <w:tc>
          <w:tcPr>
            <w:tcW w:w="4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As of December 28, 2012</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ind w:right="73"/>
              <w:spacing w:after="0" w:line="119" w:lineRule="exact"/>
              <w:rPr>
                <w:sz w:val="20"/>
                <w:szCs w:val="20"/>
                <w:color w:val="auto"/>
              </w:rPr>
            </w:pPr>
            <w:r>
              <w:rPr>
                <w:rFonts w:ascii="Arial" w:cs="Arial" w:eastAsia="Arial" w:hAnsi="Arial"/>
                <w:sz w:val="13"/>
                <w:szCs w:val="13"/>
                <w:b w:val="1"/>
                <w:bCs w:val="1"/>
                <w:color w:val="auto"/>
                <w:w w:val="96"/>
              </w:rPr>
              <w:t>As</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Previously</w:t>
            </w:r>
          </w:p>
        </w:tc>
        <w:tc>
          <w:tcPr>
            <w:tcW w:w="58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2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Reported</w:t>
            </w:r>
          </w:p>
        </w:tc>
        <w:tc>
          <w:tcPr>
            <w:tcW w:w="5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SHEETS</w:t>
            </w:r>
          </w:p>
        </w:tc>
        <w:tc>
          <w:tcPr>
            <w:tcW w:w="19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Inventory</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881</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2,604</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680" w:type="dxa"/>
            <w:vAlign w:val="bottom"/>
            <w:gridSpan w:val="4"/>
          </w:tcPr>
          <w:p>
            <w:pPr>
              <w:ind w:left="40"/>
              <w:spacing w:after="0"/>
              <w:rPr>
                <w:sz w:val="20"/>
                <w:szCs w:val="20"/>
                <w:color w:val="auto"/>
              </w:rPr>
            </w:pPr>
            <w:r>
              <w:rPr>
                <w:rFonts w:ascii="Arial" w:cs="Arial" w:eastAsia="Arial" w:hAnsi="Arial"/>
                <w:sz w:val="18"/>
                <w:szCs w:val="18"/>
                <w:color w:val="auto"/>
              </w:rPr>
              <w:t>$ 2,613</w:t>
            </w:r>
          </w:p>
        </w:tc>
        <w:tc>
          <w:tcPr>
            <w:tcW w:w="0" w:type="dxa"/>
            <w:vAlign w:val="bottom"/>
          </w:tcPr>
          <w:p>
            <w:pPr>
              <w:spacing w:after="0"/>
              <w:rPr>
                <w:sz w:val="1"/>
                <w:szCs w:val="1"/>
                <w:color w:val="auto"/>
              </w:rPr>
            </w:pPr>
          </w:p>
        </w:tc>
      </w:tr>
      <w:tr>
        <w:trPr>
          <w:trHeight w:val="94"/>
        </w:trPr>
        <w:tc>
          <w:tcPr>
            <w:tcW w:w="448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gridSpan w:val="2"/>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Advance deposits</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Deferred taxes</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$ 1,474</w:t>
            </w:r>
          </w:p>
        </w:tc>
        <w:tc>
          <w:tcPr>
            <w:tcW w:w="0" w:type="dxa"/>
            <w:vAlign w:val="bottom"/>
          </w:tcPr>
          <w:p>
            <w:pPr>
              <w:spacing w:after="0"/>
              <w:rPr>
                <w:sz w:val="1"/>
                <w:szCs w:val="1"/>
                <w:color w:val="auto"/>
              </w:rPr>
            </w:pPr>
          </w:p>
        </w:tc>
      </w:tr>
      <w:tr>
        <w:trPr>
          <w:trHeight w:val="324"/>
        </w:trPr>
        <w:tc>
          <w:tcPr>
            <w:tcW w:w="4480" w:type="dxa"/>
            <w:vAlign w:val="bottom"/>
          </w:tcPr>
          <w:p>
            <w:pPr>
              <w:spacing w:after="0"/>
              <w:rPr>
                <w:sz w:val="20"/>
                <w:szCs w:val="20"/>
                <w:color w:val="auto"/>
              </w:rPr>
            </w:pPr>
            <w:r>
              <w:rPr>
                <w:rFonts w:ascii="Arial" w:cs="Arial" w:eastAsia="Arial" w:hAnsi="Arial"/>
                <w:sz w:val="18"/>
                <w:szCs w:val="18"/>
                <w:color w:val="auto"/>
              </w:rPr>
              <w:t>Retained earnings (deficit)</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8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6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$ 1,139</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TOTAL LIABILITIES AND EQUITY</w:t>
            </w:r>
          </w:p>
        </w:tc>
        <w:tc>
          <w:tcPr>
            <w:tcW w:w="208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2,604</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680" w:type="dxa"/>
            <w:vAlign w:val="bottom"/>
            <w:gridSpan w:val="4"/>
          </w:tcPr>
          <w:p>
            <w:pPr>
              <w:ind w:left="40"/>
              <w:spacing w:after="0"/>
              <w:rPr>
                <w:sz w:val="20"/>
                <w:szCs w:val="20"/>
                <w:color w:val="auto"/>
              </w:rPr>
            </w:pPr>
            <w:r>
              <w:rPr>
                <w:rFonts w:ascii="Arial" w:cs="Arial" w:eastAsia="Arial" w:hAnsi="Arial"/>
                <w:sz w:val="18"/>
                <w:szCs w:val="18"/>
                <w:color w:val="auto"/>
              </w:rPr>
              <w:t>$ 2,613</w:t>
            </w:r>
          </w:p>
        </w:tc>
        <w:tc>
          <w:tcPr>
            <w:tcW w:w="0" w:type="dxa"/>
            <w:vAlign w:val="bottom"/>
          </w:tcPr>
          <w:p>
            <w:pPr>
              <w:spacing w:after="0"/>
              <w:rPr>
                <w:sz w:val="1"/>
                <w:szCs w:val="1"/>
                <w:color w:val="auto"/>
              </w:rPr>
            </w:pPr>
          </w:p>
        </w:tc>
      </w:tr>
      <w:tr>
        <w:trPr>
          <w:trHeight w:val="350"/>
        </w:trPr>
        <w:tc>
          <w:tcPr>
            <w:tcW w:w="4480" w:type="dxa"/>
            <w:vAlign w:val="bottom"/>
          </w:tcPr>
          <w:p>
            <w:pPr>
              <w:spacing w:after="0"/>
              <w:rPr>
                <w:sz w:val="24"/>
                <w:szCs w:val="24"/>
                <w:color w:val="auto"/>
              </w:rPr>
            </w:pPr>
          </w:p>
        </w:tc>
        <w:tc>
          <w:tcPr>
            <w:tcW w:w="1920" w:type="dxa"/>
            <w:vAlign w:val="bottom"/>
          </w:tcPr>
          <w:p>
            <w:pPr>
              <w:ind w:left="2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28, 2012</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As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Previously</w:t>
            </w:r>
          </w:p>
        </w:tc>
        <w:tc>
          <w:tcPr>
            <w:tcW w:w="40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Reported</w:t>
            </w:r>
          </w:p>
        </w:tc>
        <w:tc>
          <w:tcPr>
            <w:tcW w:w="4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627</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$ 1,639</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1,623</w:t>
            </w:r>
          </w:p>
        </w:tc>
        <w:tc>
          <w:tcPr>
            <w:tcW w:w="180" w:type="dxa"/>
            <w:vAlign w:val="bottom"/>
          </w:tcPr>
          <w:p>
            <w:pPr>
              <w:spacing w:after="0"/>
              <w:rPr>
                <w:sz w:val="20"/>
                <w:szCs w:val="20"/>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$ 1,620</w:t>
            </w:r>
          </w:p>
        </w:tc>
        <w:tc>
          <w:tcPr>
            <w:tcW w:w="0" w:type="dxa"/>
            <w:vAlign w:val="bottom"/>
          </w:tcPr>
          <w:p>
            <w:pPr>
              <w:spacing w:after="0"/>
              <w:rPr>
                <w:sz w:val="1"/>
                <w:szCs w:val="1"/>
                <w:color w:val="auto"/>
              </w:rPr>
            </w:pPr>
          </w:p>
        </w:tc>
      </w:tr>
      <w:tr>
        <w:trPr>
          <w:trHeight w:val="94"/>
        </w:trPr>
        <w:tc>
          <w:tcPr>
            <w:tcW w:w="5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240" w:type="dxa"/>
            <w:vAlign w:val="bottom"/>
            <w:gridSpan w:val="3"/>
          </w:tcPr>
          <w:p>
            <w:pPr>
              <w:ind w:left="10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0.44</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369"/>
        </w:trPr>
        <w:tc>
          <w:tcPr>
            <w:tcW w:w="5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6"/>
          </w:tcPr>
          <w:p>
            <w:pPr>
              <w:jc w:val="center"/>
              <w:ind w:left="253"/>
              <w:spacing w:after="0"/>
              <w:rPr>
                <w:sz w:val="20"/>
                <w:szCs w:val="20"/>
                <w:color w:val="auto"/>
              </w:rPr>
            </w:pPr>
            <w:r>
              <w:rPr>
                <w:rFonts w:ascii="Arial" w:cs="Arial" w:eastAsia="Arial" w:hAnsi="Arial"/>
                <w:sz w:val="14"/>
                <w:szCs w:val="14"/>
                <w:b w:val="1"/>
                <w:bCs w:val="1"/>
                <w:color w:val="auto"/>
                <w:w w:val="93"/>
              </w:rPr>
              <w:t>For the Twelve Weeks Ended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7, 2012</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As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Previously</w:t>
            </w:r>
          </w:p>
        </w:tc>
        <w:tc>
          <w:tcPr>
            <w:tcW w:w="40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0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Reported </w:t>
            </w:r>
            <w:r>
              <w:rPr>
                <w:rFonts w:ascii="Arial" w:cs="Arial" w:eastAsia="Arial" w:hAnsi="Arial"/>
                <w:sz w:val="7"/>
                <w:szCs w:val="7"/>
                <w:color w:val="auto"/>
              </w:rPr>
              <w:t>(1)</w:t>
            </w:r>
          </w:p>
        </w:tc>
        <w:tc>
          <w:tcPr>
            <w:tcW w:w="4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2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Marketing and sales</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4"/>
                <w:szCs w:val="24"/>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12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94"/>
        </w:trPr>
        <w:tc>
          <w:tcPr>
            <w:tcW w:w="5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64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24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20"/>
                <w:szCs w:val="20"/>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As previously reported amounts include interest expense amounts that have been reclassified as consumer financing interest expense to conform to our 2013 presentation.</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For the Thirty-Six Weeks Ended</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September 7, 2012</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Previously</w:t>
            </w:r>
          </w:p>
        </w:tc>
        <w:tc>
          <w:tcPr>
            <w:tcW w:w="40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10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Reported </w:t>
            </w:r>
            <w:r>
              <w:rPr>
                <w:rFonts w:ascii="Arial" w:cs="Arial" w:eastAsia="Arial" w:hAnsi="Arial"/>
                <w:sz w:val="7"/>
                <w:szCs w:val="7"/>
                <w:color w:val="auto"/>
              </w:rPr>
              <w:t>(1)</w:t>
            </w:r>
          </w:p>
        </w:tc>
        <w:tc>
          <w:tcPr>
            <w:tcW w:w="4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1,140</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1,092</w:t>
            </w:r>
          </w:p>
        </w:tc>
        <w:tc>
          <w:tcPr>
            <w:tcW w:w="180" w:type="dxa"/>
            <w:vAlign w:val="bottom"/>
          </w:tcPr>
          <w:p>
            <w:pPr>
              <w:spacing w:after="0"/>
              <w:rPr>
                <w:sz w:val="20"/>
                <w:szCs w:val="20"/>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1,089</w:t>
            </w:r>
          </w:p>
        </w:tc>
        <w:tc>
          <w:tcPr>
            <w:tcW w:w="0" w:type="dxa"/>
            <w:vAlign w:val="bottom"/>
          </w:tcPr>
          <w:p>
            <w:pPr>
              <w:spacing w:after="0"/>
              <w:rPr>
                <w:sz w:val="1"/>
                <w:szCs w:val="1"/>
                <w:color w:val="auto"/>
              </w:rPr>
            </w:pPr>
          </w:p>
        </w:tc>
      </w:tr>
      <w:tr>
        <w:trPr>
          <w:trHeight w:val="94"/>
        </w:trPr>
        <w:tc>
          <w:tcPr>
            <w:tcW w:w="5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0.68</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0.65</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As previously reported amounts include interest expense amounts that have been reclassified as consumer financing interest expense to conform to our 2013 presentation.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30, 2011</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As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Previously</w:t>
            </w:r>
          </w:p>
        </w:tc>
        <w:tc>
          <w:tcPr>
            <w:tcW w:w="40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Reported</w:t>
            </w:r>
          </w:p>
        </w:tc>
        <w:tc>
          <w:tcPr>
            <w:tcW w:w="4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634</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1,613</w:t>
            </w:r>
          </w:p>
        </w:tc>
        <w:tc>
          <w:tcPr>
            <w:tcW w:w="180" w:type="dxa"/>
            <w:vAlign w:val="bottom"/>
          </w:tcPr>
          <w:p>
            <w:pPr>
              <w:spacing w:after="0"/>
              <w:rPr>
                <w:sz w:val="20"/>
                <w:szCs w:val="20"/>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$ 1,624</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1,833</w:t>
            </w:r>
          </w:p>
        </w:tc>
        <w:tc>
          <w:tcPr>
            <w:tcW w:w="180" w:type="dxa"/>
            <w:vAlign w:val="bottom"/>
          </w:tcPr>
          <w:p>
            <w:pPr>
              <w:spacing w:after="0"/>
              <w:rPr>
                <w:sz w:val="20"/>
                <w:szCs w:val="20"/>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$ 1,847</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324"/>
        </w:trPr>
        <w:tc>
          <w:tcPr>
            <w:tcW w:w="6360" w:type="dxa"/>
            <w:vAlign w:val="bottom"/>
          </w:tcPr>
          <w:p>
            <w:pPr>
              <w:spacing w:after="0"/>
              <w:rPr>
                <w:sz w:val="20"/>
                <w:szCs w:val="20"/>
                <w:color w:val="auto"/>
              </w:rPr>
            </w:pPr>
            <w:r>
              <w:rPr>
                <w:rFonts w:ascii="Arial" w:cs="Arial" w:eastAsia="Arial" w:hAnsi="Arial"/>
                <w:sz w:val="18"/>
                <w:szCs w:val="18"/>
                <w:color w:val="auto"/>
              </w:rPr>
              <w:t>Basic loss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0.17</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 (5.12)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0.17</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 (5.12)</w:t>
            </w:r>
          </w:p>
        </w:tc>
        <w:tc>
          <w:tcPr>
            <w:tcW w:w="0" w:type="dxa"/>
            <w:vAlign w:val="bottom"/>
          </w:tcPr>
          <w:p>
            <w:pPr>
              <w:spacing w:after="0"/>
              <w:rPr>
                <w:sz w:val="1"/>
                <w:szCs w:val="1"/>
                <w:color w:val="auto"/>
              </w:rPr>
            </w:pPr>
          </w:p>
        </w:tc>
      </w:tr>
      <w:tr>
        <w:trPr>
          <w:trHeight w:val="369"/>
        </w:trPr>
        <w:tc>
          <w:tcPr>
            <w:tcW w:w="6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31, 2010</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6"/>
              </w:rPr>
              <w:t>As</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Previously</w:t>
            </w:r>
          </w:p>
        </w:tc>
        <w:tc>
          <w:tcPr>
            <w:tcW w:w="40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1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data)</w:t>
            </w: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Reported</w:t>
            </w:r>
          </w:p>
        </w:tc>
        <w:tc>
          <w:tcPr>
            <w:tcW w:w="40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w:t>
            </w: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635</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1,584</w:t>
            </w:r>
          </w:p>
        </w:tc>
        <w:tc>
          <w:tcPr>
            <w:tcW w:w="180" w:type="dxa"/>
            <w:vAlign w:val="bottom"/>
          </w:tcPr>
          <w:p>
            <w:pPr>
              <w:spacing w:after="0"/>
              <w:rPr>
                <w:sz w:val="20"/>
                <w:szCs w:val="20"/>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$ 1,592</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4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1,496</w:t>
            </w:r>
          </w:p>
        </w:tc>
        <w:tc>
          <w:tcPr>
            <w:tcW w:w="180" w:type="dxa"/>
            <w:vAlign w:val="bottom"/>
          </w:tcPr>
          <w:p>
            <w:pPr>
              <w:spacing w:after="0"/>
              <w:rPr>
                <w:sz w:val="20"/>
                <w:szCs w:val="20"/>
                <w:color w:val="auto"/>
              </w:rPr>
            </w:pP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$ 1,507</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640" w:type="dxa"/>
            <w:vAlign w:val="bottom"/>
            <w:gridSpan w:val="2"/>
          </w:tcPr>
          <w:p>
            <w:pPr>
              <w:spacing w:after="0"/>
              <w:rPr>
                <w:sz w:val="8"/>
                <w:szCs w:val="8"/>
                <w:color w:val="auto"/>
              </w:rPr>
            </w:pPr>
          </w:p>
        </w:tc>
        <w:tc>
          <w:tcPr>
            <w:tcW w:w="110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24"/>
        </w:trPr>
        <w:tc>
          <w:tcPr>
            <w:tcW w:w="63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The cumulative effect of the prior period misstatements of approximately $12 million was recorded as a reduction to retained earnings in our accompanying consolidated balance sheet as of December 28, 2012 and the opening December 29, 2012 balances presented in our stockholders’ equity disclosure as of September 6, 2013. The cumulative effect of the prior period misstatements of approximately $9 million will be presented in our Annual Report on Form 10-K for the fiscal year ended January 3, 2014 as a reduction to retained earnings as of January 1, 2011.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i w:val="1"/>
          <w:iCs w:val="1"/>
          <w:u w:val="single" w:color="auto"/>
          <w:color w:val="auto"/>
        </w:rPr>
        <w:t>Accounting Standards Update No. 2013-02 – “Comprehensive Income (Topic 220): Reporting of Amounts Reclassified Out of Accumulated Other Comprehensive Income” (“ASU No. 2013-02”)</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ASU No. 2013-02, which we adopted in the first quarter of 2013, amends existing guidance by requiring that additional information be disclosed about items reclassified (“reclassification adjustments”) out of accumulated other comprehensive income. The additional information includes a separate statement of the total change for each component of other comprehensive income (for example unrealized gains or losses on available-for-sale securities or foreign currency items) and separate disclosure of both current-period other comprehensive income and reclassification adjustments. Entities are also required to present, either on the face of the income statement or in the notes to the financial statements, significant amounts reclassified out of accumulated other comprehensive</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The adoption of this update did not have a material impact on our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Marriott Vacations Worldwide files U.S. consolidated federal and state tax returns, as well as separate tax filings for non-U.S. jurisdictions. On November 21, 2011, we entered into a Tax Sharing and Indemnification Agreement with Marriott International (as subsequently amended,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and each will indemnify and hold harmless the other from and against the taxes so allocated. We had unrecognized tax benefits of less than $1 million at both September 6, 2013 and December 28, 2012 relating to contested tax assessments, which, if realized, would have impacted our effective tax rate.</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Marriott Vacations Worldwide has joined in the Marriott International U.S. Federal tax consolidated filing for all years prior to 2011 and the portion of 2011 up to the date of the Spin-Off. The IRS has examined Marriott International’s federal income tax returns, and it has settled all issues related to the timeshare business for the tax years through the Spin-Off. Although we do not anticipate that a significant impact to our unrecognized tax benefit balance will occur during the next fiscal year as a result of audits by other tax jurisdictions, the amount of our liability for unrecognized tax benefits could change as a result of these audits. Pursuant to the Tax Sharing and Indemnification Agreement, Marriott International is liable and shall pay the relevant tax authority for all taxes related to our taxable income prior to the Spin-Off. Our tax years subsequent to the Spin-Off are subject to examination by relevant tax authorities.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September 6,</w:t>
            </w:r>
          </w:p>
        </w:tc>
        <w:tc>
          <w:tcPr>
            <w:tcW w:w="1680" w:type="dxa"/>
            <w:vAlign w:val="bottom"/>
            <w:gridSpan w:val="4"/>
          </w:tcPr>
          <w:p>
            <w:pPr>
              <w:ind w:left="740"/>
              <w:spacing w:after="0"/>
              <w:rPr>
                <w:sz w:val="20"/>
                <w:szCs w:val="20"/>
                <w:color w:val="auto"/>
              </w:rPr>
            </w:pPr>
            <w:r>
              <w:rPr>
                <w:rFonts w:ascii="Arial" w:cs="Arial" w:eastAsia="Arial" w:hAnsi="Arial"/>
                <w:sz w:val="14"/>
                <w:szCs w:val="14"/>
                <w:b w:val="1"/>
                <w:bCs w:val="1"/>
                <w:color w:val="auto"/>
              </w:rPr>
              <w:t>December 28,</w:t>
            </w:r>
          </w:p>
        </w:tc>
      </w:tr>
      <w:tr>
        <w:trPr>
          <w:trHeight w:val="171"/>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Eligible for securitization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 xml:space="preserve">Not eligible for securitization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Subtotal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7"/>
          <w:szCs w:val="17"/>
          <w:color w:val="auto"/>
        </w:rPr>
        <w:t>Refer to Footnote No. 4, “Financial Instruments,” for a discussion of the eligibility of our vacation ownership notes receivable for securitization.</w:t>
      </w:r>
    </w:p>
    <w:p>
      <w:pPr>
        <w:spacing w:after="0" w:line="237"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Non-Securitized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Securitized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Notes Receivable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2016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6, 2013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w w:val="92"/>
              </w:rPr>
              <w:t>Weighted average stated interest rate at September 6, 2013</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September 6, 2013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 to 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 to 18.7%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0.0% to 19.5%</w:t>
            </w:r>
          </w:p>
        </w:tc>
        <w:tc>
          <w:tcPr>
            <w:tcW w:w="0" w:type="dxa"/>
            <w:vAlign w:val="bottom"/>
          </w:tcPr>
          <w:p>
            <w:pPr>
              <w:spacing w:after="0"/>
              <w:rPr>
                <w:sz w:val="1"/>
                <w:szCs w:val="1"/>
                <w:color w:val="auto"/>
              </w:rPr>
            </w:pPr>
          </w:p>
        </w:tc>
      </w:tr>
      <w:tr>
        <w:trPr>
          <w:trHeight w:val="365"/>
        </w:trPr>
        <w:tc>
          <w:tcPr>
            <w:tcW w:w="446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Operations in the Financing revenues caption. The following table summarizes interest income associated with vacation ownership notes receivable: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Twelve Weeks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Thirty-Six Weeks Ended</w:t>
            </w: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12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w w:val="95"/>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00" w:type="dxa"/>
            <w:vAlign w:val="bottom"/>
          </w:tcPr>
          <w:p>
            <w:pPr>
              <w:spacing w:after="0"/>
              <w:rPr>
                <w:sz w:val="10"/>
                <w:szCs w:val="10"/>
                <w:color w:val="auto"/>
              </w:rPr>
            </w:pPr>
          </w:p>
        </w:tc>
      </w:tr>
      <w:tr>
        <w:trPr>
          <w:trHeight w:val="171"/>
        </w:trPr>
        <w:tc>
          <w:tcPr>
            <w:tcW w:w="5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9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Interest income associated with vacation ownership notes receivable —</w:t>
            </w: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securitized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line="201" w:lineRule="exact"/>
              <w:rPr>
                <w:sz w:val="20"/>
                <w:szCs w:val="20"/>
                <w:color w:val="auto"/>
              </w:rPr>
            </w:pPr>
            <w:r>
              <w:rPr>
                <w:rFonts w:ascii="Arial" w:cs="Arial" w:eastAsia="Arial" w:hAnsi="Arial"/>
                <w:sz w:val="18"/>
                <w:szCs w:val="18"/>
                <w:color w:val="auto"/>
                <w:w w:val="96"/>
              </w:rPr>
              <w:t>Interest income associated with vacation ownership notes receivable — non-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920" w:type="dxa"/>
            <w:vAlign w:val="bottom"/>
          </w:tcPr>
          <w:p>
            <w:pPr>
              <w:ind w:left="160"/>
              <w:spacing w:after="0"/>
              <w:rPr>
                <w:sz w:val="20"/>
                <w:szCs w:val="20"/>
                <w:color w:val="auto"/>
              </w:rPr>
            </w:pPr>
            <w:r>
              <w:rPr>
                <w:rFonts w:ascii="Arial" w:cs="Arial" w:eastAsia="Arial" w:hAnsi="Arial"/>
                <w:sz w:val="18"/>
                <w:szCs w:val="18"/>
                <w:color w:val="auto"/>
              </w:rPr>
              <w:t>securitized</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interest income associated with vacation ownership notes receivable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33</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our vacation ownership notes receivable reserve for the thirty-six weeks ended September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Non-Securitized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Securitized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220" w:type="dxa"/>
            <w:vAlign w:val="bottom"/>
          </w:tcPr>
          <w:p>
            <w:pPr>
              <w:spacing w:after="0"/>
              <w:rPr>
                <w:sz w:val="12"/>
                <w:szCs w:val="12"/>
                <w:color w:val="auto"/>
              </w:rPr>
            </w:pPr>
          </w:p>
        </w:tc>
        <w:tc>
          <w:tcPr>
            <w:tcW w:w="17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Reserve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Reserve</w:t>
            </w:r>
          </w:p>
        </w:tc>
        <w:tc>
          <w:tcPr>
            <w:tcW w:w="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year-end 2012</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Securitizations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 xml:space="preserve">Clean-up calls </w:t>
            </w:r>
            <w:r>
              <w:rPr>
                <w:rFonts w:ascii="Arial" w:cs="Arial" w:eastAsia="Arial" w:hAnsi="Arial"/>
                <w:sz w:val="15"/>
                <w:szCs w:val="15"/>
                <w:color w:val="auto"/>
              </w:rPr>
              <w:t>(1)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 xml:space="preserve">Defaulted notes receivable repurchase activity </w:t>
            </w:r>
            <w:r>
              <w:rPr>
                <w:rFonts w:ascii="Arial" w:cs="Arial" w:eastAsia="Arial" w:hAnsi="Arial"/>
                <w:sz w:val="15"/>
                <w:szCs w:val="15"/>
                <w:color w:val="auto"/>
              </w:rPr>
              <w:t>(2)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6, 2013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137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720" w:hanging="452"/>
        <w:spacing w:after="0" w:line="25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spacing w:after="0" w:line="1" w:lineRule="exact"/>
        <w:rPr>
          <w:rFonts w:ascii="Arial" w:cs="Arial" w:eastAsia="Arial" w:hAnsi="Arial"/>
          <w:sz w:val="15"/>
          <w:szCs w:val="15"/>
          <w:color w:val="auto"/>
        </w:rPr>
      </w:pPr>
    </w:p>
    <w:p>
      <w:pPr>
        <w:ind w:left="460" w:right="180" w:hanging="452"/>
        <w:spacing w:after="0" w:line="290"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7"/>
          <w:szCs w:val="17"/>
          <w:color w:val="auto"/>
        </w:rPr>
        <w:t>Decrease in securitized vacation ownership notes receivable reserve and increase in non-securitized vacation ownership notes receivable reserve was attributable to the transfer of the reserve when we voluntarily repurchased the vacation ownership notes receivable.</w:t>
      </w:r>
    </w:p>
    <w:p>
      <w:pPr>
        <w:spacing w:after="0" w:line="1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7.19 percent and 7.42 percent as of September 6, 2013 and December 28, 2012, respectively. A 0.5 percentage point increase in the estimated default rate would have resulted in an increase in our allowance for credit losses of $5 million as of September 6, 2013 and $6 million as of December 28, 2012.</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Non-Securitized</w:t>
            </w:r>
          </w:p>
        </w:tc>
        <w:tc>
          <w:tcPr>
            <w:tcW w:w="100" w:type="dxa"/>
            <w:vAlign w:val="bottom"/>
          </w:tcPr>
          <w:p>
            <w:pPr>
              <w:spacing w:after="0"/>
              <w:rPr>
                <w:sz w:val="14"/>
                <w:szCs w:val="14"/>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3"/>
              </w:rPr>
              <w:t>Securitized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17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Notes Receivable</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Investment in notes receivable on non-accrual status at September 6,</w:t>
            </w: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$ 78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w w:val="98"/>
              </w:rPr>
              <w:t>Investment in notes receivable on non-accrual status at December 28,</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r>
              <w:rPr>
                <w:rFonts w:ascii="Arial" w:cs="Arial" w:eastAsia="Arial" w:hAnsi="Arial"/>
                <w:sz w:val="18"/>
                <w:szCs w:val="18"/>
                <w:color w:val="auto"/>
                <w:w w:val="85"/>
              </w:rPr>
              <w:t>$ 84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investment in notes receivable on non-accrual status during</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thirty-six weeks ended September 6, 2013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$ 81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rPr>
              <w:t>Average investment in notes receivable on non-accrual status during</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the thirty-six weeks ended September 7, 2012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r>
              <w:rPr>
                <w:rFonts w:ascii="Arial" w:cs="Arial" w:eastAsia="Arial" w:hAnsi="Arial"/>
                <w:sz w:val="18"/>
                <w:szCs w:val="18"/>
                <w:color w:val="auto"/>
                <w:w w:val="85"/>
              </w:rPr>
              <w:t>$ 97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September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Non-Securitized</w:t>
            </w:r>
          </w:p>
        </w:tc>
        <w:tc>
          <w:tcPr>
            <w:tcW w:w="100" w:type="dxa"/>
            <w:vAlign w:val="bottom"/>
          </w:tcPr>
          <w:p>
            <w:pPr>
              <w:spacing w:after="0"/>
              <w:rPr>
                <w:sz w:val="14"/>
                <w:szCs w:val="14"/>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Securitized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72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1"/>
              </w:rPr>
              <w:t>Notes Receivable</w:t>
            </w:r>
          </w:p>
        </w:tc>
        <w:tc>
          <w:tcPr>
            <w:tcW w:w="100" w:type="dxa"/>
            <w:vAlign w:val="bottom"/>
          </w:tcPr>
          <w:p>
            <w:pPr>
              <w:spacing w:after="0"/>
              <w:rPr>
                <w:sz w:val="14"/>
                <w:szCs w:val="1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31–90 days past due</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91–150 days past due</w:t>
            </w: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past due</w:t>
            </w: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2012:</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Non-Securitized</w:t>
            </w:r>
          </w:p>
        </w:tc>
        <w:tc>
          <w:tcPr>
            <w:tcW w:w="100" w:type="dxa"/>
            <w:vAlign w:val="bottom"/>
          </w:tcPr>
          <w:p>
            <w:pPr>
              <w:spacing w:after="0"/>
              <w:rPr>
                <w:sz w:val="14"/>
                <w:szCs w:val="14"/>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Securitized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Notes Receivable</w:t>
            </w:r>
          </w:p>
        </w:tc>
        <w:tc>
          <w:tcPr>
            <w:tcW w:w="100" w:type="dxa"/>
            <w:vAlign w:val="bottom"/>
          </w:tcPr>
          <w:p>
            <w:pPr>
              <w:spacing w:after="0"/>
              <w:rPr>
                <w:sz w:val="14"/>
                <w:szCs w:val="1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31–90 days past due</w:t>
            </w:r>
          </w:p>
        </w:tc>
        <w:tc>
          <w:tcPr>
            <w:tcW w:w="1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91–150 days past due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past due</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vacation ownership notes receivable</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80" w:type="dxa"/>
            <w:vAlign w:val="bottom"/>
            <w:vMerge w:val="restart"/>
          </w:tcPr>
          <w:p>
            <w:pPr>
              <w:jc w:val="right"/>
              <w:ind w:right="3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current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and Accounts payable, which had fair values approximating their carrying amounts due to the short maturities and liquidity of these instruments.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7"/>
              </w:rPr>
              <w:t>At September 6, 2013</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8"/>
              </w:rPr>
              <w:t>At December 28,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7"/>
                <w:szCs w:val="7"/>
                <w:color w:val="auto"/>
              </w:rPr>
              <w:t>(1)</w:t>
            </w:r>
          </w:p>
        </w:tc>
        <w:tc>
          <w:tcPr>
            <w:tcW w:w="200" w:type="dxa"/>
            <w:vAlign w:val="bottom"/>
          </w:tcPr>
          <w:p>
            <w:pPr>
              <w:spacing w:after="0"/>
              <w:rPr>
                <w:sz w:val="10"/>
                <w:szCs w:val="10"/>
                <w:color w:val="auto"/>
              </w:rPr>
            </w:pPr>
          </w:p>
        </w:tc>
        <w:tc>
          <w:tcPr>
            <w:tcW w:w="8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20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71"/>
        </w:trPr>
        <w:tc>
          <w:tcPr>
            <w:tcW w:w="5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620" w:type="dxa"/>
            <w:vAlign w:val="bottom"/>
          </w:tcPr>
          <w:p>
            <w:pPr>
              <w:spacing w:after="0"/>
              <w:rPr>
                <w:sz w:val="14"/>
                <w:szCs w:val="1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978</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1,056</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Non-recourse debt associated with vacation ownership notes receivable</w:t>
            </w: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securitizations</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(674)</w:t>
            </w: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debt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Fair value of financial instruments has been determined using Level 3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 The following table shows the bifurcation of our non-securitized vacation ownership notes receivable into those eligible and not eligible for securitization based upon the aforementioned eligibility criteria:</w:t>
      </w:r>
    </w:p>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6"/>
              </w:rPr>
              <w:t>At September 6, 2013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w w:val="95"/>
              </w:rPr>
              <w:t>At December 28, 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26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0"/>
                <w:szCs w:val="10"/>
                <w:color w:val="auto"/>
              </w:rPr>
            </w:pPr>
          </w:p>
        </w:tc>
        <w:tc>
          <w:tcPr>
            <w:tcW w:w="1100" w:type="dxa"/>
            <w:vAlign w:val="bottom"/>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1"/>
        </w:trPr>
        <w:tc>
          <w:tcPr>
            <w:tcW w:w="5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700" w:type="dxa"/>
            <w:vAlign w:val="bottom"/>
          </w:tcPr>
          <w:p>
            <w:pPr>
              <w:spacing w:after="0"/>
              <w:rPr>
                <w:sz w:val="14"/>
                <w:szCs w:val="14"/>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Vacation ownership notes receivable — eligible for securitization</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Vacation ownership notes receivable — not eligible for securitization</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 — non-securitized</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timeshare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We estimate the fair value of the future redemption obligation by adjusting the contractual discount rate to an estimate of that of a market participant with similar nonperformance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17"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We estimate the fair value of our other liabilities that are financial instruments using expected future payments discounted at risk-adjusted rates. These liabilities represent guarantee costs and reserves and deposit liabilities. The carrying values of our guarantee costs and reserves approximate their fair values. We estimate the fair value of our deposit liabilities primarily by discounting future payments at a risk-adjusted rate.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2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Basic earnings per common share is calculated by dividing net income attributable to common shareholders by the weighted average number of shares of common stock issued and outstanding during the reporting period.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table below illustrates the reconciliation of the earnings and number of shares used in our calculation of basic and diluted earnings per share.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6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7"/>
                <w:szCs w:val="7"/>
                <w:color w:val="auto"/>
              </w:rPr>
              <w:t>(1)</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7"/>
                <w:szCs w:val="7"/>
                <w:color w:val="auto"/>
              </w:rPr>
              <w:t>(2)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7"/>
                <w:szCs w:val="7"/>
                <w:color w:val="auto"/>
              </w:rPr>
              <w:t>(1)</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 xml:space="preserve">2012 </w:t>
            </w:r>
            <w:r>
              <w:rPr>
                <w:rFonts w:ascii="Arial" w:cs="Arial" w:eastAsia="Arial" w:hAnsi="Arial"/>
                <w:sz w:val="7"/>
                <w:szCs w:val="7"/>
                <w:color w:val="auto"/>
              </w:rPr>
              <w:t>(2)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Computation of Basic Earnings Per Share</w:t>
            </w: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Basic earnings per share</w:t>
            </w:r>
          </w:p>
        </w:tc>
        <w:tc>
          <w:tcPr>
            <w:tcW w:w="1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Computation of Diluted Earnings Per Share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4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426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26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Shares for diluted earnings per share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80" w:type="dxa"/>
            <w:vAlign w:val="bottom"/>
            <w:vMerge w:val="restart"/>
          </w:tcPr>
          <w:p>
            <w:pPr>
              <w:jc w:val="right"/>
              <w:ind w:right="51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00" w:hanging="452"/>
        <w:spacing w:after="0" w:line="256"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229,000 shares of common stock, the maximum issuable as of September 6, 2013 upon the vesting of certain performance-based awards, because the performance conditions required for such shares to vest were not achieved by the end of the reporting period.</w:t>
      </w:r>
    </w:p>
    <w:p>
      <w:pPr>
        <w:ind w:left="460" w:right="100" w:hanging="452"/>
        <w:spacing w:after="0" w:line="25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computations of diluted earnings per share exclude approximately 157,000 shares of common stock, the maximum issuable as of September 7, 2012 upon the vesting of certain performance-based awards, because the performance conditions required for such shares to vest were not achieved by the end of the reporting period.</w:t>
      </w:r>
    </w:p>
    <w:p>
      <w:pPr>
        <w:spacing w:after="0" w:line="190"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For the twelve week and thirty-six week periods ended September 6, 2013, we have not excluded any stock options or stock appreciation rights (“SARs”) from our calculation of diluted earnings per share as no exercise prices were greater than the average market prices for the applicable period.</w:t>
      </w:r>
    </w:p>
    <w:p>
      <w:pPr>
        <w:spacing w:after="0" w:line="124"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In accordance with the applicable accounting guidance for calculating earnings per share, for the twelve week period ended September 7, 2012, we excluded 1,183 SARs with an exercise price of $32.74 from our calculation of diluted earnings per share because this exercise price was greater than the average market prices for the applicable period.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thirty-six week period ended September 7, 2012, we excluded 38,487 stock options and SARs, with exercise prices ranging from $28.16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$32.74, from our calculation of diluted earnings per share because these exercise prices were greater than the average market prices for the applicable periods.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1"/>
              </w:rPr>
              <w:t>At September 6,</w:t>
            </w:r>
          </w:p>
        </w:tc>
        <w:tc>
          <w:tcPr>
            <w:tcW w:w="2080" w:type="dxa"/>
            <w:vAlign w:val="bottom"/>
            <w:gridSpan w:val="4"/>
          </w:tcPr>
          <w:p>
            <w:pPr>
              <w:ind w:left="940"/>
              <w:spacing w:after="0"/>
              <w:rPr>
                <w:sz w:val="20"/>
                <w:szCs w:val="20"/>
                <w:color w:val="auto"/>
              </w:rPr>
            </w:pPr>
            <w:r>
              <w:rPr>
                <w:rFonts w:ascii="Arial" w:cs="Arial" w:eastAsia="Arial" w:hAnsi="Arial"/>
                <w:sz w:val="14"/>
                <w:szCs w:val="14"/>
                <w:b w:val="1"/>
                <w:bCs w:val="1"/>
                <w:color w:val="auto"/>
              </w:rPr>
              <w:t>At December 28,</w:t>
            </w:r>
          </w:p>
        </w:tc>
      </w:tr>
      <w:tr>
        <w:trPr>
          <w:trHeight w:val="171"/>
        </w:trPr>
        <w:tc>
          <w:tcPr>
            <w:tcW w:w="5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Finished goods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Real estate inventory</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853</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9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Represents completed inventory that is either registered or unregistered and available for sale in its current form.</w:t>
      </w:r>
    </w:p>
    <w:p>
      <w:pPr>
        <w:spacing w:after="0" w:line="225"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sales of vacation ownership products for the North America and Asia Pacific segments. The terms of guarantees to lenders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177"/>
              <w:spacing w:after="0"/>
              <w:rPr>
                <w:sz w:val="20"/>
                <w:szCs w:val="20"/>
                <w:color w:val="auto"/>
              </w:rPr>
            </w:pPr>
            <w:r>
              <w:rPr>
                <w:rFonts w:ascii="Arial" w:cs="Arial" w:eastAsia="Arial" w:hAnsi="Arial"/>
                <w:sz w:val="14"/>
                <w:szCs w:val="14"/>
                <w:b w:val="1"/>
                <w:bCs w:val="1"/>
                <w:color w:val="auto"/>
              </w:rPr>
              <w:t>Maximum Potential</w:t>
            </w:r>
          </w:p>
        </w:tc>
        <w:tc>
          <w:tcPr>
            <w:tcW w:w="2200" w:type="dxa"/>
            <w:vAlign w:val="bottom"/>
            <w:gridSpan w:val="4"/>
          </w:tcPr>
          <w:p>
            <w:pPr>
              <w:jc w:val="center"/>
              <w:ind w:left="559"/>
              <w:spacing w:after="0"/>
              <w:rPr>
                <w:sz w:val="20"/>
                <w:szCs w:val="20"/>
                <w:color w:val="auto"/>
              </w:rPr>
            </w:pPr>
            <w:r>
              <w:rPr>
                <w:rFonts w:ascii="Arial" w:cs="Arial" w:eastAsia="Arial" w:hAnsi="Arial"/>
                <w:sz w:val="14"/>
                <w:szCs w:val="14"/>
                <w:b w:val="1"/>
                <w:bCs w:val="1"/>
                <w:color w:val="auto"/>
                <w:w w:val="96"/>
              </w:rPr>
              <w:t>Liability for Expected</w:t>
            </w:r>
          </w:p>
        </w:tc>
      </w:tr>
      <w:tr>
        <w:trPr>
          <w:trHeight w:val="149"/>
        </w:trPr>
        <w:tc>
          <w:tcPr>
            <w:tcW w:w="474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Amount of Future Fundings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Future Fundings</w:t>
            </w:r>
          </w:p>
        </w:tc>
      </w:tr>
      <w:tr>
        <w:trPr>
          <w:trHeight w:val="171"/>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At September 6, 2013</w:t>
            </w:r>
          </w:p>
        </w:tc>
        <w:tc>
          <w:tcPr>
            <w:tcW w:w="76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At September 6, 2013</w:t>
            </w:r>
          </w:p>
        </w:tc>
      </w:tr>
      <w:tr>
        <w:trPr>
          <w:trHeight w:val="196"/>
        </w:trPr>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Asia Pacific</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Total guarantees where we are the primary obligor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included our liability of less than $1 million for expected future fundings for guarantees in our Balance Sheet at September 6, 2013 in the Other caption within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the guarantees we note in the preceding paragraphs, as of September 6, 2013, we had the following commitments outstanding:</w:t>
      </w:r>
    </w:p>
    <w:p>
      <w:pPr>
        <w:spacing w:after="0" w:line="142" w:lineRule="exact"/>
        <w:rPr>
          <w:sz w:val="20"/>
          <w:szCs w:val="20"/>
          <w:color w:val="auto"/>
        </w:rPr>
      </w:pPr>
    </w:p>
    <w:p>
      <w:pPr>
        <w:ind w:left="900" w:right="4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$46 million, of which we expect $5 million, $14 million, $13 million, $8 million and $6 million will be paid in 2013, 2014, 2015, 2016 and 2017, respectively.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$2 million, which we expect will be paid in 2013.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purchase commitments of $1 million (approximately €1 million) that we expect to fund during 2014.</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Surety bonds issued as of September 6, 2013 totaled $89 million, the majority of which were requested by federal, state or local governments related to our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Spin-Off, Marriott International also guaranteed our performance using letters of credit under certain agreements necessary to operate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Europe segment. Following the Spin-Off, Marriott International continues to hold less than $1 million of standby letters of credit related to these guarantees.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If Marriott International is required to fund any draws under these letters of credit it would seek recourse from us.</w:t>
      </w:r>
    </w:p>
    <w:p>
      <w:pPr>
        <w:spacing w:after="0" w:line="21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Additionally, as of September 6, 2013, we had $4 million of letters of credit outstanding under our $200 million revolving credit facility (the “Revolving Corporate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2012, we agreed to settle two lawsuits in which certain of our subsidiaries were defendants. The plaintiffs in the lawsuits, residential unit owners at The Ritz-Carlton Club and Residences, San Francisco (the “RCC San Francisco”), a project within our North America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In March 2013, we agreed to settle a third lawsuit in which another residential unit owner at the RCC San Francisco had asserted similar claims. As a result of these matters, we recorded a charge of $41 million in the year ended December 28, 2012. In addition, as a result of the agreement to settle the third lawsuit in the thirty-six weeks ended September 6, 2013 we reversed $1 million of previously recognized expense. An additional lawsuit was filed against us in June 2013 primarily related to disclosure provided to a purchaser of a residential unit at the RCC San Francisco. We dispute the material allegations in the complaint and intend to defend this action vigorously. Given the early stages of the action and the inherent uncertainties of litigation, we cannot estimate a range of the potential liability, if any, at this time.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December 21, 2012, Jon Benner, an owner of fractional interests in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This lawsuit has been referred to a judicial referee. This lawsuit is distinct from the other lawsuits described above relating to the RCC San Francisco because the disclosure process for the sale of fractional interests differs from that applicable to the sale of whole-ownership units. We dispute the material allegations in the complaint and intend to defend this action vigorously. Given the early stages of the action and the inherent uncertainties of litigation, we cannot estimate a range of the potential liability, if any, at this time.</w:t>
      </w:r>
    </w:p>
    <w:p>
      <w:pPr>
        <w:sectPr>
          <w:pgSz w:w="11900" w:h="16838" w:orient="portrait"/>
          <w:cols w:equalWidth="0" w:num="1">
            <w:col w:w="11360"/>
          </w:cols>
          <w:pgMar w:left="240" w:top="459" w:right="299" w:bottom="1440" w:gutter="0" w:footer="0" w:header="0"/>
        </w:sectPr>
      </w:pP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459" w:right="2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December 11, 2012, Steven B. Hoyt and Bradley A. Hoyt, purchasers of fractional interests in two Ritz-Carlton Club projects, filed suit in the United States District Court for the District of Minnesota against us, certain of our subsidiaries and The Ritz-Carlton Hotel Company, L.L.C. on behalf of a putative class consisting of all purchasers of fractional interests at Ritz-Carlton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In response to our motion to dismiss the original complaint, plaintiffs filed an amended complaint. We dispute the material allegations in the amended complaint and intend to continue to defend this action vigorously. Given the early stages of the action and the inherent uncertainties of litigation, we cannot estimate a range of the potential liability, if any, at this time.</w:t>
      </w:r>
    </w:p>
    <w:p>
      <w:pPr>
        <w:spacing w:after="0" w:line="19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January 30, 2013, Krishna and Sherrie Narayan and other owners of 12 residential units at the resort formerly known as The Ritz-Carlton Residences, Kapalua Bay (“Kapalua Bay”) were granted leave by the Court to file, and subsequently did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this action vigorously. On August 23, 2013, the Hawaii Intermediate Court of Appeals reversed the Maui Circuit Court’s denial of our motion to compel arbitration on the claims asserted by plaintiffs. We have renewed that motion in the Circuit Court. Given the inherent uncertainties of litigation, we cannot estimate a range of the potential liability, if any, at this time.</w:t>
      </w:r>
    </w:p>
    <w:p>
      <w:pPr>
        <w:spacing w:after="0" w:line="17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September 26, 2012, we filed an arbitration demand against the Kapalua Bay Association for reimbursement of amounts advanced on behalf of the Kapalua Bay Association pursuant to the terms of the management agreement under which one of our subsidiaries provided services to the Kapalua Bay Association. Effective December 31, 2012, the management agreement was terminated as discussed in Footnote No. 11, “Variable Interest Entities.” On April 15, 2013, the Kapalua Bay Association filed a counterclaim against certain of our subsidiaries in the arbitration proceeding. In the counterclaim, the Kapalua Bay Association alleges breach of contract, misrepresentation, breach of fiduciary duty, unfair and deceptive trade practices and unjust enrichment. The relief sought consists of unspecified damages. We dispute the material allegations in the counterclaim and intend to defend this action vigorously. Given the early stages of the action and the inherent uncertainties of arbitration, we cannot estimate a range of potential liability, if any, at this time.</w:t>
      </w:r>
    </w:p>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June 19,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amended complaint supersedes a prior complaint that was not served on any defendant.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We dispute the material allegations in the amended complaint and intend to defend this action vigorously. Given the early stages of the action and the inherent uncertainties of litigation, we cannot estimate a range of the potential liability, if any, at this time.</w:t>
      </w:r>
    </w:p>
    <w:p>
      <w:pPr>
        <w:spacing w:after="0" w:line="16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On June 28, 2013, owners of 35 residences and lots at The Abaco Club on Winding Bay filed a complaint in Orange County, Florida Circuit Court against us, one of our subsidiaries, certain subsidiaries of Marriott International and the resort’s owners’ association, alleging that the defendants failed to maintain the golf course, golf clubhouse, roads, water supply system, and other facilities and equipment in a manner commensurate with a five-star luxury resort, and deficiencies in the quality of services provided at the resort. Plaintiffs also allege that the defendants failed to honor an obligation to extend a right of first offer to club owners in connection with plans to sell the club property. Plaintiffs allege statutory and common law claims for breach of contract, breach of fiduciary duty, and fraud and seek compensatory and punitive damages. Given the early stages of the action and the inherent uncertainties of litigation, we cannot estimate a range of the potential liability, if any, at this time.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estimate the cash outflow associated with completing the phases of our existing portfolio of vacation ownership projects currently under development will be approximately $97 million, of which $15 million is included within liabilities on our Balance Sheet. This estimate is based on our current development plans, which remain subject to change, and we expect the phases currently under development will be completed by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340" w:type="dxa"/>
            <w:vAlign w:val="bottom"/>
            <w:gridSpan w:val="3"/>
          </w:tcPr>
          <w:p>
            <w:pPr>
              <w:ind w:left="340"/>
              <w:spacing w:after="0"/>
              <w:rPr>
                <w:sz w:val="20"/>
                <w:szCs w:val="20"/>
                <w:color w:val="auto"/>
              </w:rPr>
            </w:pPr>
            <w:r>
              <w:rPr>
                <w:rFonts w:ascii="Arial" w:cs="Arial" w:eastAsia="Arial" w:hAnsi="Arial"/>
                <w:sz w:val="14"/>
                <w:szCs w:val="14"/>
                <w:b w:val="1"/>
                <w:bCs w:val="1"/>
                <w:color w:val="auto"/>
                <w:w w:val="91"/>
              </w:rPr>
              <w:t>At September 6,</w:t>
            </w:r>
          </w:p>
        </w:tc>
        <w:tc>
          <w:tcPr>
            <w:tcW w:w="1700" w:type="dxa"/>
            <w:vAlign w:val="bottom"/>
            <w:gridSpan w:val="4"/>
          </w:tcPr>
          <w:p>
            <w:pPr>
              <w:ind w:left="560"/>
              <w:spacing w:after="0"/>
              <w:rPr>
                <w:sz w:val="20"/>
                <w:szCs w:val="20"/>
                <w:color w:val="auto"/>
              </w:rPr>
            </w:pPr>
            <w:r>
              <w:rPr>
                <w:rFonts w:ascii="Arial" w:cs="Arial" w:eastAsia="Arial" w:hAnsi="Arial"/>
                <w:sz w:val="14"/>
                <w:szCs w:val="14"/>
                <w:b w:val="1"/>
                <w:bCs w:val="1"/>
                <w:color w:val="auto"/>
              </w:rPr>
              <w:t>At December 28,</w:t>
            </w:r>
          </w:p>
        </w:tc>
      </w:tr>
      <w:tr>
        <w:trPr>
          <w:trHeight w:val="171"/>
        </w:trPr>
        <w:tc>
          <w:tcPr>
            <w:tcW w:w="5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82"/>
        </w:trPr>
        <w:tc>
          <w:tcPr>
            <w:tcW w:w="5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Vacation ownership notes receivable securitizations, interest rates ranging</w:t>
            </w: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from 2.2% to 7.2% (weighted average interest rate of 3.5%) </w:t>
            </w:r>
            <w:r>
              <w:rPr>
                <w:rFonts w:ascii="Arial" w:cs="Arial" w:eastAsia="Arial" w:hAnsi="Arial"/>
                <w:sz w:val="15"/>
                <w:szCs w:val="15"/>
                <w:color w:val="auto"/>
              </w:rPr>
              <w:t>(1)</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20"/>
                <w:szCs w:val="20"/>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Interest rates are as of September 6, 2013.</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See Footnote No. 11,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The Warehouse Credit Facility currently terminates on September 5, 2015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We generally expect to securitize our vacation ownership notes receivable, including any vacation ownership notes receivable held in the Warehouse Credit Facility, in the asset-backed securities market once a year.</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During the third quarter of 2013, we completed the securitization of a pool of $263 million of vacation ownership notes receivable. In connection with the securitization, investors purchased $250 million in vacation ownership loan backed notes (the “Notes”) from the MVW Owner Trust 2013-1 (the “2013-1 Trust”) in a private placement. The 2013-1 Trust issued two classes of Notes: $224 million of Class A Notes and $26 million of Class B Notes. The Class A Notes have an interest rate of 2.15 percent and the Class B Notes have an interest rate of 2.74 percent, for an overall weighted average interest rate of 2.21 percent.</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Although no cash borrowings were outstanding under our Revolving Corporate Credit Facility as of September 6, 2013, any amounts that are borrowed under that facility, as well as obligations with respect to letters of credit issued pursuant to that facility, are secured by a perfected first priority security interest in substantially all of our assets and the assets of the guarantors of that facility, in each case including inventory, subject to certain exceptions.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14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Notes Receivable</w:t>
            </w:r>
          </w:p>
        </w:tc>
        <w:tc>
          <w:tcPr>
            <w:tcW w:w="360" w:type="dxa"/>
            <w:vAlign w:val="bottom"/>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340" w:type="dxa"/>
            <w:vAlign w:val="bottom"/>
          </w:tcPr>
          <w:p>
            <w:pPr>
              <w:spacing w:after="0"/>
              <w:rPr>
                <w:sz w:val="12"/>
                <w:szCs w:val="12"/>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414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Securitizations </w:t>
            </w:r>
            <w:r>
              <w:rPr>
                <w:rFonts w:ascii="Arial" w:cs="Arial" w:eastAsia="Arial" w:hAnsi="Arial"/>
                <w:sz w:val="7"/>
                <w:szCs w:val="7"/>
                <w:color w:val="auto"/>
              </w:rPr>
              <w:t>(1)</w:t>
            </w:r>
          </w:p>
        </w:tc>
        <w:tc>
          <w:tcPr>
            <w:tcW w:w="36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1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2014</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2016</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4</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September 6, 2013</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747</w:t>
            </w:r>
          </w:p>
        </w:tc>
        <w:tc>
          <w:tcPr>
            <w:tcW w:w="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vacation ownership notes receivable securitizations are non-recourse to us.</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paid cash for interest, net of amounts capitalized, of $26 million in the thirty-six weeks ended September 6, 2013 and $33 million in the thirty-six weeks ended September 7,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Each of our securitized vacation ownership notes receivable pools is subject to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During the thirty-six weeks ended September 6, 2013, and as of September 6, 2013, no pools were out of compliance with performance triggers. As of September 6, 2013, we had 7 securitized vacation ownership notes receivable pools outstanding.</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Renewal of Warehouse Credit Facility</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September 6, 2013, we entered into an amendment (the “Amendment”) to certain of the agreements associated with the Warehouse Credit Facility. As a result of the Amendment, the revolving period was extended to September 5, 2015, and borrowings under the Warehouse Credit Facility bear interest at a rate based on the one-month LIBOR and bank conduit commercial paper rates plus 1.2 percent per annum and are generally limited at any point to the sum of the products of the applicable advance rates and the eligible vacation ownership notes receivable at such time. The Amendment also expands the eligibility for certain collateral by permitting some vacation ownership notes receivable from domestic borrowers with low or no credit scores to be securitized through the Warehouse Credit Facility. Other terms of the Warehouse Credit Facility are substantially similar to those in effect prior to the amendment and restatement. In addition to the amendments described above, the Amendment also includes certain modifications intended to comply with provisions of the Dodd-Frank Wall Street Reform and Consumer Protection Act and A Global Regulatory Framework for More Resilient Banks and Banking Systems developed by the Basel Committee on Banking Supervision, initially published in December 2010 and generally referred to as “Basel III.”</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MANDATORILY REDEEMABLE PREFERRED STOCK OF CONSOLIDATED SUBSIDIARY</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beginning in October 2016. The Series A preferred stock has an aggregate liquidation preference of $40 million plus any accrued and unpaid dividends and an additional premium if liquidation occurs during the first five years after the issuance of the preferred stock. As of September 6, 2013,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“Marriott Vacations Worldwide Stock Plan”). As of September 6, 2013, approximately 2 million shares were available for grants under the Marriott Vacations Worldwide Stock Plan.</w:t>
      </w:r>
    </w:p>
    <w:p>
      <w:pPr>
        <w:spacing w:after="0" w:line="18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For share-based awards with service-only vesting conditions, we measure compensation expense related to share-based payment transactions with our employees and non-employee directors at fair value on the grant date. With respect to transactions with our employees, we recognize this expense in the Statement of Operations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$3 million for each of the twelve weeks ended September 6, 2013 and September 7, 2012, and $8 million for each of the thirty-six weeks ended September 6, 2013 and September 7, 2012. Our deferred compensation liability related to unvested awards held by our employees totaled $16 million and $14 million at September 6, 2013 and December 28, 2012 respectively.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11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granted 199,895 RSUs to our employees and non-employee directors during the thirty-six weeks ended September 6, 2013. The RSUs granted to employees generally vest over four year periods in annual installments commencing one year after the date of the grant. The RSUs granted to non-employee directors were vested at the date of the grant. RSUs granted in the thirty-six weeks ended September 6, 2013 had a weighted average grant-date fair value of $40.43.</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During the thirty-six weeks ended September 6, 2013, we granted RSUs with performance vesting conditions to members of management. The number of RSUs earned, if any, will be determined following the end of a three-year performance period based upon our cumulative achievement over that period of specific quantitative operating financial measures. For the RSUs with performance-based vesting criteria issued during the thirty-six weeks ended September 6, 2013, the maximum amount of RSUs that may vest under the performance-based RSUs is approximately 72,000.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 (“SARs”)</w:t>
      </w:r>
    </w:p>
    <w:p>
      <w:pPr>
        <w:spacing w:after="0" w:line="11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We granted 66,422 SARs to our employees during the thirty-six weeks ended September 6, 2013. These SARs had a weighted average grant-date fair value of $21.68 and a weighted average exercise price of $39.93. SARs generally expire ten years after the date of grant and both vest and may be exercised in cumulative installments of one quarter of the number of SARs granted at the end of each of the first four years following the date of grant.</w:t>
      </w:r>
    </w:p>
    <w:p>
      <w:pPr>
        <w:spacing w:after="0" w:line="14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We use the Black-Scholes model to estimate the fair value of the stock options or SARs granted. For SARs granted under the Marriott Vacations Worldwide Stock Plan in the thirty-six weeks ended September 6, 2013,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outlines the assumptions used to estimate the fair value of grants during the thirty-six weeks ended September 6, 2013:</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Dividend yield</w:t>
            </w:r>
          </w:p>
        </w:tc>
        <w:tc>
          <w:tcPr>
            <w:tcW w:w="330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300" w:type="dxa"/>
            <w:vAlign w:val="bottom"/>
          </w:tcPr>
          <w:p>
            <w:pPr>
              <w:jc w:val="right"/>
              <w:ind w:right="130"/>
              <w:spacing w:after="0"/>
              <w:rPr>
                <w:sz w:val="20"/>
                <w:szCs w:val="20"/>
                <w:color w:val="auto"/>
              </w:rPr>
            </w:pPr>
            <w:r>
              <w:rPr>
                <w:rFonts w:ascii="Arial" w:cs="Arial" w:eastAsia="Arial" w:hAnsi="Arial"/>
                <w:sz w:val="18"/>
                <w:szCs w:val="18"/>
                <w:color w:val="auto"/>
              </w:rPr>
              <w:t>6.25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in our Balance Sheet at September 6,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Warehouse</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Securitizations</w:t>
            </w:r>
          </w:p>
        </w:tc>
        <w:tc>
          <w:tcPr>
            <w:tcW w:w="3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4"/>
              </w:rPr>
              <w:t>Credit Facility</w:t>
            </w:r>
          </w:p>
        </w:tc>
        <w:tc>
          <w:tcPr>
            <w:tcW w:w="76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920" w:type="dxa"/>
            <w:vAlign w:val="bottom"/>
            <w:gridSpan w:val="2"/>
          </w:tcPr>
          <w:p>
            <w:pPr>
              <w:ind w:left="82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784</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784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830</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830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Liabilities:</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Debt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747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747</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749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September 6,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Warehouse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Notes Receivable</w:t>
            </w:r>
          </w:p>
        </w:tc>
        <w:tc>
          <w:tcPr>
            <w:tcW w:w="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0"/>
              </w:rPr>
              <w:t>Securitizations</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Credit Facility</w:t>
            </w:r>
          </w:p>
        </w:tc>
        <w:tc>
          <w:tcPr>
            <w:tcW w:w="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8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thirty-six weeks ended September 6,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Vacation Ownership</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w w:val="90"/>
              </w:rPr>
              <w:t>Warehouse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Securitizations</w:t>
            </w:r>
          </w:p>
        </w:tc>
        <w:tc>
          <w:tcPr>
            <w:tcW w:w="40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Credit Facility</w:t>
            </w:r>
          </w:p>
        </w:tc>
        <w:tc>
          <w:tcPr>
            <w:tcW w:w="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1640" w:type="dxa"/>
            <w:vAlign w:val="bottom"/>
            <w:gridSpan w:val="2"/>
          </w:tcPr>
          <w:p>
            <w:pPr>
              <w:ind w:left="15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8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164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thirty-six weeks ended September 6, 2013 and September 7, 2012:</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2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460" w:type="dxa"/>
            <w:vAlign w:val="bottom"/>
          </w:tcPr>
          <w:p>
            <w:pPr>
              <w:spacing w:after="0"/>
              <w:rPr>
                <w:sz w:val="18"/>
                <w:szCs w:val="18"/>
                <w:color w:val="auto"/>
              </w:rPr>
            </w:pPr>
          </w:p>
        </w:tc>
        <w:tc>
          <w:tcPr>
            <w:tcW w:w="5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Interest receipts</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Cash outflows: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w w:val="97"/>
              </w:rPr>
              <w:t>Voluntary repurchases of defaulted vacation ownership notes receivable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Voluntary clean-up call</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Interest to investors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Net Cash Flows</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24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shows cash flows between us and the Warehouse Credit Facility variable interest entity during the thirty-six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2013 and September 7, 2012:</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220" w:type="dxa"/>
            <w:vAlign w:val="bottom"/>
            <w:tcBorders>
              <w:top w:val="single" w:sz="8" w:color="auto"/>
            </w:tcBorders>
            <w:gridSpan w:val="3"/>
          </w:tcPr>
          <w:p>
            <w:pPr>
              <w:ind w:left="420"/>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20" w:type="dxa"/>
            <w:vAlign w:val="bottom"/>
          </w:tcPr>
          <w:p>
            <w:pPr>
              <w:spacing w:after="0"/>
              <w:rPr>
                <w:sz w:val="10"/>
                <w:szCs w:val="10"/>
                <w:color w:val="auto"/>
              </w:rPr>
            </w:pPr>
          </w:p>
        </w:tc>
      </w:tr>
      <w:tr>
        <w:trPr>
          <w:trHeight w:val="171"/>
        </w:trPr>
        <w:tc>
          <w:tcPr>
            <w:tcW w:w="5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46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receipts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to investors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7"/>
              </w:rPr>
              <w:t>Voluntary repurchases of defaulted vacation ownership notes receivable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Repayment of Warehouse Credit Facility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20"/>
                <w:szCs w:val="20"/>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an equity investment in, and notes receivable due from a variable interest entity that previously developed and marketed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of this entity, as power to direct the activities that most significantly impact the entity’s economic performance is shared among the variable interest holders and, therefore, we do not consolidate the entity. We provided a completion guarantee in favor of the project lenders for which the joint venture has delivered a completed operational project. Although we have not received a release of the guarantee, we do not believe we have any exposure for funding under the guarantee. In 2009, we fully impaired our equity investment in the entity and in certain notes receivable due from the entity. In 2010, the continued application of equity losses to our investment in the remaining outstanding notes receivable balance reduced its carrying value to zero. In addition, the venture was unable to pay promissory notes that matured on December 31, 2010 and August 1, 2011. Subsequently, the lenders issued a notice of default to the venture. The lenders initiated foreclosure proceedings with respect to unsold interests in the project. A foreclosure auction was held and, on January 31, 2013, a bid was accepted and confirmed. The sale was completed, and on June 13, 2013, we received $7 million of cash as a partial repayment of our previously fully reserved receivables due from the entity.</w:t>
      </w:r>
    </w:p>
    <w:p>
      <w:pPr>
        <w:spacing w:after="0" w:line="18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gave notice of breach or termination of various agreements, including management agreements with the owners’ associations at the project, marketing and sales agreements with the venture, and other agreements pursuant to which we provided services to the venture and, as we were unable to reach agreement with the owners’ associations with respect to our continued provision of services, termination of these agreements was effective on December 31, 2012. During the thirty-six weeks ended September 6, 2013, we recorded $7 million of expense to increase our accrual for remaining costs expected to be incurred relating to our interests in this joint venture exclusive of any outstanding litigation matters discussed in Footnote No. 7, “Contingencies and Commitments.” Including reserves for outstanding receivables, at September 6, 2013, we have an accrual of $16 million for potential future funding, representing our remaining expected exposure to loss related to our involvement with this entity. In addition, several owners at the project have filed suit against several parties involved in the project, including us and certain of our subsidiaries, which could result in additional exposures which are not estimable at this time.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SHAREHOLDERS’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changes in shareholders’ equity during the thirty-six weeks ended September 6, 2013:</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360" w:type="dxa"/>
            <w:vAlign w:val="bottom"/>
          </w:tcPr>
          <w:p>
            <w:pPr>
              <w:spacing w:after="0"/>
              <w:rPr>
                <w:sz w:val="14"/>
                <w:szCs w:val="14"/>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00" w:type="dxa"/>
            <w:vAlign w:val="bottom"/>
          </w:tcPr>
          <w:p>
            <w:pPr>
              <w:spacing w:after="0"/>
              <w:rPr>
                <w:sz w:val="14"/>
                <w:szCs w:val="14"/>
                <w:color w:val="auto"/>
              </w:rPr>
            </w:pPr>
          </w:p>
        </w:tc>
        <w:tc>
          <w:tcPr>
            <w:tcW w:w="1820" w:type="dxa"/>
            <w:vAlign w:val="bottom"/>
            <w:gridSpan w:val="2"/>
          </w:tcPr>
          <w:p>
            <w:pPr>
              <w:jc w:val="right"/>
              <w:ind w:right="1080"/>
              <w:spacing w:after="0"/>
              <w:rPr>
                <w:sz w:val="20"/>
                <w:szCs w:val="20"/>
                <w:color w:val="auto"/>
              </w:rPr>
            </w:pPr>
            <w:r>
              <w:rPr>
                <w:rFonts w:ascii="Arial" w:cs="Arial" w:eastAsia="Arial" w:hAnsi="Arial"/>
                <w:sz w:val="14"/>
                <w:szCs w:val="14"/>
                <w:b w:val="1"/>
                <w:bCs w:val="1"/>
                <w:color w:val="auto"/>
              </w:rPr>
              <w:t>Income</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3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year-end 2012</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5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Amounts related to share-based compensation</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6, 2013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29" w:lineRule="exact"/>
        <w:rPr>
          <w:sz w:val="20"/>
          <w:szCs w:val="20"/>
          <w:color w:val="auto"/>
        </w:rPr>
      </w:pPr>
    </w:p>
    <w:p>
      <w:pPr>
        <w:ind w:left="900" w:right="140" w:hanging="325"/>
        <w:spacing w:after="0" w:line="28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our Europe segment, we develop, market, sell and manage vacation ownership products in several locations in Europe.</w:t>
      </w:r>
    </w:p>
    <w:p>
      <w:pPr>
        <w:spacing w:after="0" w:line="130" w:lineRule="exact"/>
        <w:rPr>
          <w:rFonts w:ascii="Arial" w:cs="Arial" w:eastAsia="Arial" w:hAnsi="Arial"/>
          <w:sz w:val="18"/>
          <w:szCs w:val="18"/>
          <w:color w:val="auto"/>
        </w:rPr>
      </w:pPr>
    </w:p>
    <w:p>
      <w:pPr>
        <w:ind w:left="900" w:right="40" w:hanging="325"/>
        <w:spacing w:after="0" w:line="308"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our Asia Pacific segment, we develop, market, sell and manage the Marriott Vacation Club, Asia Pacific, a right-to-use points program that we specifically designed to appeal to vacation preferences of the Asian market, as well as a weeks-based right-to-use product.</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Effective December 29, 2012, we combined the reporting of the financial results of the former Luxury segment with the North America segment based upon our decision to scale back separate development activity for the Luxury market and to aggregate future marketing and sales of upscale and luxury inventory. Existing service standards and on-site management remain unaffected by our reporting changes. Prior year amounts have been recast for consistency with the current year’s presentation.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or other financing expenses to our segments. During the twelve weeks ended March 22, 2013, we reviewed the allocation of general and administrative expenses to our reportable segments as a result of the realignment of our management structure. Based on this review, we determined to no longer allocate certain general and administrative expenses to our reportable segments. This change, which was effective December 29, 2012, had no impact on our Financial Statements for any prior period. Prior period reportable segment information has been adjusted to reflect the change in reportable segment reporting.</w:t>
      </w:r>
    </w:p>
    <w:p>
      <w:pPr>
        <w:spacing w:after="0" w:line="193"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and other gains or losses that are not allocable to our segments.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6"/>
          </w:tcPr>
          <w:p>
            <w:pPr>
              <w:ind w:left="28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3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3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6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00" w:type="dxa"/>
            <w:vAlign w:val="bottom"/>
          </w:tcPr>
          <w:p>
            <w:pPr>
              <w:spacing w:after="0"/>
              <w:rPr>
                <w:sz w:val="10"/>
                <w:szCs w:val="10"/>
                <w:color w:val="auto"/>
              </w:rPr>
            </w:pPr>
          </w:p>
        </w:tc>
      </w:tr>
      <w:tr>
        <w:trPr>
          <w:trHeight w:val="171"/>
        </w:trPr>
        <w:tc>
          <w:tcPr>
            <w:tcW w:w="36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6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332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Europe</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44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23"/>
        </w:trPr>
        <w:tc>
          <w:tcPr>
            <w:tcW w:w="3620" w:type="dxa"/>
            <w:vAlign w:val="bottom"/>
          </w:tcPr>
          <w:p>
            <w:pPr>
              <w:ind w:left="360"/>
              <w:spacing w:after="0"/>
              <w:rPr>
                <w:sz w:val="20"/>
                <w:szCs w:val="20"/>
                <w:color w:val="auto"/>
              </w:rPr>
            </w:pPr>
            <w:r>
              <w:rPr>
                <w:rFonts w:ascii="Arial" w:cs="Arial" w:eastAsia="Arial" w:hAnsi="Arial"/>
                <w:sz w:val="18"/>
                <w:szCs w:val="18"/>
                <w:color w:val="auto"/>
              </w:rPr>
              <w:t>Total segment revenues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79"/>
              </w:rPr>
              <w:t>383</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383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202"/>
              <w:spacing w:after="0"/>
              <w:rPr>
                <w:sz w:val="20"/>
                <w:szCs w:val="20"/>
                <w:color w:val="auto"/>
              </w:rPr>
            </w:pPr>
            <w:r>
              <w:rPr>
                <w:rFonts w:ascii="Arial" w:cs="Arial" w:eastAsia="Arial" w:hAnsi="Arial"/>
                <w:sz w:val="14"/>
                <w:szCs w:val="14"/>
                <w:b w:val="1"/>
                <w:bCs w:val="1"/>
                <w:color w:val="auto"/>
              </w:rPr>
              <w:t>Twelve Weeks Ended</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49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740" w:type="dxa"/>
            <w:vAlign w:val="bottom"/>
          </w:tcPr>
          <w:p>
            <w:pPr>
              <w:spacing w:after="0"/>
              <w:rPr>
                <w:sz w:val="10"/>
                <w:szCs w:val="10"/>
                <w:color w:val="auto"/>
              </w:rPr>
            </w:pPr>
          </w:p>
        </w:tc>
        <w:tc>
          <w:tcPr>
            <w:tcW w:w="12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00" w:type="dxa"/>
            <w:vAlign w:val="bottom"/>
          </w:tcPr>
          <w:p>
            <w:pPr>
              <w:spacing w:after="0"/>
              <w:rPr>
                <w:sz w:val="10"/>
                <w:szCs w:val="10"/>
                <w:color w:val="auto"/>
              </w:rPr>
            </w:pPr>
          </w:p>
        </w:tc>
      </w:tr>
      <w:tr>
        <w:trPr>
          <w:trHeight w:val="171"/>
        </w:trPr>
        <w:tc>
          <w:tcPr>
            <w:tcW w:w="4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ind w:right="7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Total segment financial results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7"/>
              </w:rPr>
              <w:t>(55)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8"/>
                <w:szCs w:val="18"/>
                <w:color w:val="auto"/>
                <w:w w:val="87"/>
              </w:rPr>
              <w:t>(11)</w:t>
            </w:r>
          </w:p>
        </w:tc>
        <w:tc>
          <w:tcPr>
            <w:tcW w:w="1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7"/>
        </w:trPr>
        <w:tc>
          <w:tcPr>
            <w:tcW w:w="4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At Period-End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6,</w:t>
            </w:r>
          </w:p>
        </w:tc>
        <w:tc>
          <w:tcPr>
            <w:tcW w:w="1540" w:type="dxa"/>
            <w:vAlign w:val="bottom"/>
            <w:gridSpan w:val="3"/>
          </w:tcPr>
          <w:p>
            <w:pPr>
              <w:ind w:left="700"/>
              <w:spacing w:after="0" w:line="119" w:lineRule="exact"/>
              <w:rPr>
                <w:sz w:val="20"/>
                <w:szCs w:val="20"/>
                <w:color w:val="auto"/>
              </w:rPr>
            </w:pPr>
            <w:r>
              <w:rPr>
                <w:rFonts w:ascii="Arial" w:cs="Arial" w:eastAsia="Arial" w:hAnsi="Arial"/>
                <w:sz w:val="13"/>
                <w:szCs w:val="13"/>
                <w:b w:val="1"/>
                <w:bCs w:val="1"/>
                <w:color w:val="auto"/>
                <w:w w:val="96"/>
              </w:rPr>
              <w:t>December 28,</w:t>
            </w:r>
          </w:p>
        </w:tc>
        <w:tc>
          <w:tcPr>
            <w:tcW w:w="100" w:type="dxa"/>
            <w:vAlign w:val="bottom"/>
          </w:tcPr>
          <w:p>
            <w:pPr>
              <w:spacing w:after="0"/>
              <w:rPr>
                <w:sz w:val="10"/>
                <w:szCs w:val="10"/>
                <w:color w:val="auto"/>
              </w:rPr>
            </w:pPr>
          </w:p>
        </w:tc>
      </w:tr>
      <w:tr>
        <w:trPr>
          <w:trHeight w:val="171"/>
        </w:trPr>
        <w:tc>
          <w:tcPr>
            <w:tcW w:w="6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segment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2,305</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r>
      <w:tr>
        <w:trPr>
          <w:trHeight w:val="223"/>
        </w:trPr>
        <w:tc>
          <w:tcPr>
            <w:tcW w:w="6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ORGANIZATIONAL AND SEPARATION RELATED CHARGES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the Spin-Off, Marriott International has continued to provide us with certain information technology and other administrative services pursuant to transition services agreements.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functions and reorganizing certain existing administrative organizations to support our stand-alone public company needs. We expect these efforts to continue through 2014. Organizational and separation related charges as reflected in our Statements of Operations, were $4 million and $3 million for the twelve weeks ended September 6, 2013 and September 7, 2012, respectively, and $7 million and $9 million for the thirty-six weeks ended September 6, 2013 and September 7, 2012, respectively. In addition, $4 million and $1 million of additional separation related charges was capitalized to Property and equipment on our Balance Sheets during the thirty-six weeks ended September 6, 2013 and September 7, 2012,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October 8, 2013, our Board of Directors authorized a share repurchase program under which we may purchase up to 3,500,000 shares of our common stock prior to March 28, 2015. The specific timing, amount and other terms of the repurchases will be dependent on market conditions, corporate and regulatory requirements and other factors. In connection with the repurchase program, we may adopt one or more plans pursuant to the provisions of Rule 10b5-1 under the Securities and Exchange Act of 1934.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 and can be identified by the use of forward-looking terminology such as the words “believe,” “expect,” “plan,” “intend,” “anticipate,” “estimate,” “predict,” “potential,” “continue,” “may,” “might,” “should,” “could” or the negative of these terms or similar expressions.</w:t>
      </w:r>
    </w:p>
    <w:p>
      <w:pPr>
        <w:spacing w:after="0" w:line="18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except as required by law.</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risk factors discussed in “Risk Factors” in our most recent Annual Report on Form 10-K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and cash flows may be in the future. We refer to (i) our Interim Consolidated Financial Statements as our “Financial Statements,” (ii) our Interim Consolidated Statements of Operations as our “Statements of Operations,” (iii) our Interim Consolidated Balance Sheets as our “Balance Sheets,” and (iv) our Interim Consolidated Statements of Cash Flows as our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November 21, 2011, the spin-off of our company (the “Spin-Off”) from Marriott International, Inc.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As a result of the Spin-Off, we are an independent company, and our common stock is listed on the New York Stock Exchange under the symbol “VAC.” Following the Spin-Off, we and Marriott International have operated independently, and neither company has any ownership interest in the other.</w:t>
      </w:r>
    </w:p>
    <w:p>
      <w:pPr>
        <w:spacing w:after="0" w:line="17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the Spin-Off, we entered into several material agreements with Marriott International pertaining to the rights and obligations of each company following the Spin-Off. The agreements include a License, Services, and Development Agreement with Marriott International and its subsidiary Marriott Worldwide Corporation (the “Marriott License Agreement”) and a License, Services, and Development Agreement with The Ritz-Carlton Hotel Company, L.L.C. (the “Ritz-Carlton License Agreement” and, together with the Marriott License Agreement, the “License Agreements”).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the Spin-Off, Marriott International has continued to provide us with certain information technology and other administrative services pursuant to transition services agreements. In connection with our continued organizational and separation related activities, we have incurred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Organizational and separation related charges were $7 million and $9 million for the thirty-six weeks ended September 6, 2013 and September 7, 2012, respectively, as reflected in our Statements of Operations. In addition, during the thirty-six weeks ended September 6, 2013 and September 7, 2012, $4 million and $1 million, respectively, of additional separation related charges was capitalized to Property and equipment on our Balance Sheets. We expect to incur an additional $10 million to $15 million in connection with these organizational and separation related efforts through 2014. Once completed, we expect these efforts will generate approximately $15 million to $20 million of annualized savings. Approximately $3 million of these incremental savings are reflected in our financial results for the thirty-six weeks ended September 6, 2013.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generally provides on-site management for Ritz-Carlton branded properties.</w:t>
      </w:r>
    </w:p>
    <w:p>
      <w:pPr>
        <w:spacing w:after="0" w:line="15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business is grouped into three reportable segments: North America, Europe and Asia Pacific. Effective December 29, 2012, we combined the reporting of the financial results of the former Luxury segment with the North America segment based upon our decision to scale back separate development activity for the Luxury market and to aggregate future marketing and sales of upscale and luxury inventory. Existing service standards and on-site management remain unaffected by our reporting changes. Prior year amounts have been recast for consistency with the current year’s presentation.</w:t>
      </w:r>
    </w:p>
    <w:p>
      <w:pPr>
        <w:spacing w:after="0" w:line="154"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operate 63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the sale of vacation ownership products when all of the following conditions exist:</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receivable is deemed collectible;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criteria for percentage of completion accounting are met;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Plus points are redeemable for stays at our resorts, generally within one to two years from the date of issuance. Sales incentives are only awarded if the sale is closed.</w:t>
      </w:r>
    </w:p>
    <w:p>
      <w:pPr>
        <w:spacing w:after="0" w:line="15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66"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report, on a supplemental basis, contract sales for each of our three segments. Contract sales represent the total amount of vacation ownership product sales from purchase agreements signed during the period where we have received a down payment of at least ten percent of the contract price, reduced by actual rescissions during the period. Contract sales differ from revenues from the sale of vacation ownership products that we report in our Statements of Operations due to the requirements for revenue recognition described above. We consider contract sales to be an important operating measure because it reflects the pace of sales in our business.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in our Statements of Operations to true-up revenues and costs in that period to those that would have been recorded historically if the revised estimates had been used. These true-ups, which we refer to as product cost true-ups, will have a positive or negative impact on our Statements of Operations.</w:t>
      </w:r>
    </w:p>
    <w:p>
      <w:pPr>
        <w:spacing w:after="0" w:line="178"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resort management and other services revenues includes revenues we earn for managing our resorts, for providing ancillary offerings including food and beverage, retail, and golf and spa offerings, from annual club dues and certain transaction-based fees charged to owners and other third parties for services, and for providing other services to our guests.</w:t>
      </w:r>
    </w:p>
    <w:p>
      <w:pPr>
        <w:spacing w:after="0" w:line="18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total costs to operate the resorts or a fixed fee arrangement. We earn these fees regardless of usage or occupancy.</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offer financing to qualified customers for the purchase of our vacation ownership products. The average FICO score of customers who were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citizens or residents who financed a vacation ownership purchase was as follows: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3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38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0" w:type="dxa"/>
            <w:vAlign w:val="bottom"/>
          </w:tcPr>
          <w:p>
            <w:pPr>
              <w:spacing w:after="0" w:line="119" w:lineRule="exact"/>
              <w:rPr>
                <w:sz w:val="20"/>
                <w:szCs w:val="20"/>
                <w:color w:val="auto"/>
              </w:rPr>
            </w:pPr>
            <w:r>
              <w:rPr>
                <w:rFonts w:ascii="Arial" w:cs="Arial" w:eastAsia="Arial" w:hAnsi="Arial"/>
                <w:sz w:val="13"/>
                <w:szCs w:val="13"/>
                <w:b w:val="1"/>
                <w:bCs w:val="1"/>
                <w:color w:val="auto"/>
                <w:w w:val="95"/>
              </w:rPr>
              <w:t>September 6,</w:t>
            </w:r>
          </w:p>
        </w:tc>
        <w:tc>
          <w:tcPr>
            <w:tcW w:w="1580" w:type="dxa"/>
            <w:vAlign w:val="bottom"/>
            <w:gridSpan w:val="2"/>
          </w:tcPr>
          <w:p>
            <w:pPr>
              <w:ind w:left="760"/>
              <w:spacing w:after="0" w:line="119" w:lineRule="exact"/>
              <w:rPr>
                <w:sz w:val="20"/>
                <w:szCs w:val="20"/>
                <w:color w:val="auto"/>
              </w:rPr>
            </w:pPr>
            <w:r>
              <w:rPr>
                <w:rFonts w:ascii="Arial" w:cs="Arial" w:eastAsia="Arial" w:hAnsi="Arial"/>
                <w:sz w:val="13"/>
                <w:szCs w:val="13"/>
                <w:b w:val="1"/>
                <w:bCs w:val="1"/>
                <w:color w:val="auto"/>
                <w:w w:val="97"/>
              </w:rPr>
              <w:t>September 7,</w:t>
            </w:r>
          </w:p>
        </w:tc>
      </w:tr>
      <w:tr>
        <w:trPr>
          <w:trHeight w:val="171"/>
        </w:trPr>
        <w:tc>
          <w:tcPr>
            <w:tcW w:w="3880" w:type="dxa"/>
            <w:vAlign w:val="bottom"/>
          </w:tcPr>
          <w:p>
            <w:pPr>
              <w:spacing w:after="0"/>
              <w:rPr>
                <w:sz w:val="14"/>
                <w:szCs w:val="14"/>
                <w:color w:val="auto"/>
              </w:rPr>
            </w:pPr>
          </w:p>
        </w:tc>
        <w:tc>
          <w:tcPr>
            <w:tcW w:w="3220" w:type="dxa"/>
            <w:vAlign w:val="bottom"/>
            <w:gridSpan w:val="2"/>
          </w:tcPr>
          <w:p>
            <w:pPr>
              <w:jc w:val="right"/>
              <w:ind w:right="184"/>
              <w:spacing w:after="0"/>
              <w:rPr>
                <w:sz w:val="20"/>
                <w:szCs w:val="20"/>
                <w:color w:val="auto"/>
              </w:rPr>
            </w:pPr>
            <w:r>
              <w:rPr>
                <w:rFonts w:ascii="Arial" w:cs="Arial" w:eastAsia="Arial" w:hAnsi="Arial"/>
                <w:sz w:val="14"/>
                <w:szCs w:val="14"/>
                <w:b w:val="1"/>
                <w:bCs w:val="1"/>
                <w:color w:val="auto"/>
              </w:rPr>
              <w:t>2013</w:t>
            </w:r>
          </w:p>
        </w:tc>
        <w:tc>
          <w:tcPr>
            <w:tcW w:w="15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2012</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FICO score</w:t>
            </w:r>
          </w:p>
        </w:tc>
        <w:tc>
          <w:tcPr>
            <w:tcW w:w="2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84"/>
              <w:spacing w:after="0"/>
              <w:rPr>
                <w:sz w:val="20"/>
                <w:szCs w:val="20"/>
                <w:color w:val="auto"/>
              </w:rPr>
            </w:pPr>
            <w:r>
              <w:rPr>
                <w:rFonts w:ascii="Arial" w:cs="Arial" w:eastAsia="Arial" w:hAnsi="Arial"/>
                <w:sz w:val="18"/>
                <w:szCs w:val="18"/>
                <w:color w:val="auto"/>
              </w:rPr>
              <w:t>731</w:t>
            </w:r>
          </w:p>
        </w:tc>
        <w:tc>
          <w:tcPr>
            <w:tcW w:w="7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730</w:t>
            </w:r>
          </w:p>
        </w:tc>
      </w:tr>
    </w:tbl>
    <w:p>
      <w:pPr>
        <w:spacing w:after="0" w:line="20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vacation ownership notes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4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leveled out since then. As a result, we expect that interest income will continue to decline over the next few years until new originations outpace the decline in principal of the existing vacation ownership notes receivable portfolio.</w:t>
      </w:r>
    </w:p>
    <w:p>
      <w:pPr>
        <w:spacing w:after="0" w:line="17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typically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in our Statements of Operations. Historical default rates, which represent defaults as a percentage of each year’s beginning gross vacation ownership notes receivable balance,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29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820" w:type="dxa"/>
            <w:vAlign w:val="bottom"/>
          </w:tcPr>
          <w:p>
            <w:pPr>
              <w:spacing w:after="0" w:line="119" w:lineRule="exact"/>
              <w:rPr>
                <w:sz w:val="20"/>
                <w:szCs w:val="20"/>
                <w:color w:val="auto"/>
              </w:rPr>
            </w:pPr>
            <w:r>
              <w:rPr>
                <w:rFonts w:ascii="Arial" w:cs="Arial" w:eastAsia="Arial" w:hAnsi="Arial"/>
                <w:sz w:val="13"/>
                <w:szCs w:val="13"/>
                <w:b w:val="1"/>
                <w:bCs w:val="1"/>
                <w:color w:val="auto"/>
                <w:w w:val="97"/>
              </w:rPr>
              <w:t>September 6,</w:t>
            </w:r>
          </w:p>
        </w:tc>
        <w:tc>
          <w:tcPr>
            <w:tcW w:w="1660" w:type="dxa"/>
            <w:vAlign w:val="bottom"/>
            <w:gridSpan w:val="2"/>
          </w:tcPr>
          <w:p>
            <w:pPr>
              <w:ind w:left="840"/>
              <w:spacing w:after="0" w:line="119" w:lineRule="exact"/>
              <w:rPr>
                <w:sz w:val="20"/>
                <w:szCs w:val="20"/>
                <w:color w:val="auto"/>
              </w:rPr>
            </w:pPr>
            <w:r>
              <w:rPr>
                <w:rFonts w:ascii="Arial" w:cs="Arial" w:eastAsia="Arial" w:hAnsi="Arial"/>
                <w:sz w:val="13"/>
                <w:szCs w:val="13"/>
                <w:b w:val="1"/>
                <w:bCs w:val="1"/>
                <w:color w:val="auto"/>
                <w:w w:val="97"/>
              </w:rPr>
              <w:t>September 7,</w:t>
            </w:r>
          </w:p>
        </w:tc>
      </w:tr>
      <w:tr>
        <w:trPr>
          <w:trHeight w:val="171"/>
        </w:trPr>
        <w:tc>
          <w:tcPr>
            <w:tcW w:w="2940" w:type="dxa"/>
            <w:vAlign w:val="bottom"/>
          </w:tcPr>
          <w:p>
            <w:pPr>
              <w:spacing w:after="0"/>
              <w:rPr>
                <w:sz w:val="14"/>
                <w:szCs w:val="14"/>
                <w:color w:val="auto"/>
              </w:rPr>
            </w:pPr>
          </w:p>
        </w:tc>
        <w:tc>
          <w:tcPr>
            <w:tcW w:w="408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rPr>
              <w:t>2013</w:t>
            </w:r>
          </w:p>
        </w:tc>
        <w:tc>
          <w:tcPr>
            <w:tcW w:w="16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2012</w:t>
            </w:r>
          </w:p>
        </w:tc>
      </w:tr>
      <w:tr>
        <w:trPr>
          <w:trHeight w:val="210"/>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3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8"/>
                <w:szCs w:val="18"/>
                <w:color w:val="auto"/>
              </w:rPr>
              <w:t>3.2%</w:t>
            </w:r>
          </w:p>
        </w:tc>
        <w:tc>
          <w:tcPr>
            <w:tcW w:w="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r>
      <w:tr>
        <w:trPr>
          <w:trHeight w:val="365"/>
        </w:trPr>
        <w:tc>
          <w:tcPr>
            <w:tcW w:w="2940" w:type="dxa"/>
            <w:vAlign w:val="bottom"/>
          </w:tcPr>
          <w:p>
            <w:pPr>
              <w:spacing w:after="0"/>
              <w:rPr>
                <w:sz w:val="24"/>
                <w:szCs w:val="24"/>
                <w:color w:val="auto"/>
              </w:rPr>
            </w:pPr>
          </w:p>
        </w:tc>
        <w:tc>
          <w:tcPr>
            <w:tcW w:w="3260" w:type="dxa"/>
            <w:vAlign w:val="bottom"/>
          </w:tcPr>
          <w:p>
            <w:pPr>
              <w:jc w:val="right"/>
              <w:ind w:right="1699"/>
              <w:spacing w:after="0"/>
              <w:rPr>
                <w:sz w:val="20"/>
                <w:szCs w:val="20"/>
                <w:color w:val="auto"/>
              </w:rPr>
            </w:pPr>
            <w:r>
              <w:rPr>
                <w:rFonts w:ascii="Arial" w:cs="Arial" w:eastAsia="Arial" w:hAnsi="Arial"/>
                <w:sz w:val="18"/>
                <w:szCs w:val="18"/>
                <w:color w:val="auto"/>
              </w:rPr>
              <w:t>27</w:t>
            </w:r>
          </w:p>
        </w:tc>
        <w:tc>
          <w:tcPr>
            <w:tcW w:w="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Inventory we control because owners have elected various usage options.</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 xml:space="preserve">Rental revenues are primarily the revenues we earn from renting this inventory. We also recognize rental revenue from the utilization of plus points under the Marriott Vacation Club Destinations </w:t>
      </w:r>
      <w:r>
        <w:rPr>
          <w:rFonts w:ascii="Arial" w:cs="Arial" w:eastAsia="Arial" w:hAnsi="Arial"/>
          <w:sz w:val="15"/>
          <w:szCs w:val="15"/>
          <w:color w:val="auto"/>
        </w:rPr>
        <w:t>TM</w:t>
      </w:r>
      <w:r>
        <w:rPr>
          <w:rFonts w:ascii="Arial" w:cs="Arial" w:eastAsia="Arial" w:hAnsi="Arial"/>
          <w:sz w:val="18"/>
          <w:szCs w:val="18"/>
          <w:color w:val="auto"/>
        </w:rPr>
        <w:t xml:space="preserve"> (“MVCD”) program when those points are redeemed for rental stays at one of our resorts or upon expiration of the points.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13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to provide alternate usage options, including Marriott Rewards Points, for owners who elect to exchange their inventory;</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the MVCD program.</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inventory at our Ritz-Carlton branded properties and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also record other revenues and expenses which are primarily comprised of fees received from our external exchange company and settlement fees and expenses from the sale of vacation ownership products.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Cost reimbursements revenues include direct and indirect costs that property owners’ associations and joint ventures in which we participate reimburse to us. In accordance with the accounting guidance for “gross versus net” presentation, we record these revenues on a gross basis. We recognize cost reimbursements revenue when we incur the related reimbursable costs. These costs primarily consist of payroll and payroll related expenses for management of the property owners’ associations and other services we provide where we are the employer, and for development and marketing and sales services that joint ventures contract with us to perform. Cost reimbursements are based upon actual expenses with no added margin.</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Consumer Financing Interest Expense</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Consumer financing interest expense represents interest expense associated with the debt from our $250 million non-recourse warehouse credit facility (the “Warehouse Credit Facility”) and from the securitization of our vacation ownership notes receivable in the asset-backed securities (“ABS”) market.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ectPr>
          <w:pgSz w:w="11900" w:h="16838" w:orient="portrait"/>
          <w:cols w:equalWidth="0" w:num="1">
            <w:col w:w="11360"/>
          </w:cols>
          <w:pgMar w:left="240" w:top="459" w:right="299" w:bottom="1440" w:gutter="0" w:footer="0" w:header="0"/>
        </w:sectPr>
      </w:pP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60"/>
          </w:cols>
          <w:pgMar w:left="240" w:top="459" w:right="2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3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contract sales, excluding fractional and residential sales, telesales and other sales that are not attributed to a tour at a sales location, by the number of sales tours in a given period. We believe this operating metric is valuable in evaluating the effectiveness of the sales process as it combines the impact of average contract price with the number of touring guests who make a purchase.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Rounding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Restatement of Prior Financial Statements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the second quarter of 2013, during the course of an internal review of certain sales documentation processes related to the sale of certain vacation ownership interests in properties associated with our Europe segment, we determined that the documentation we provided for certain sales of vacation ownership products was not strictly compliant. As a result, in accordance with applicable European regulation, the period of time during which purchasers of such interests may rescind their purchases was extended. We record revenues from the sale of vacation ownership products once the rescission period has ended. Originally, we recorded revenues from these sales of vacation ownership products based on the rescission periods in effect assuming compliant documentation had been provided to the purchasers rather than the extended periods. As a result, we recognized revenue in incorrect periods between fiscal years 2010 and 2013 and misstated revenues in our previously filed consolidated financial statements.</w:t>
      </w:r>
    </w:p>
    <w:p>
      <w:pPr>
        <w:spacing w:after="0" w:line="17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The documentation issue described above was limited to sales documentation provided to purchasers of certain interests in properties associated with our Europe segment. We took corrective measures and, as a result, compliant documentation is being provided to purchasers. In addition, we provided compliant documentation to purchasers for whom the extended rescission period had not yet expired. The cumulative impact of these items through December 28, 2012 was a reduction in reported income before income taxes of $12 million. The cumulative impact of these items through March 22, 2013 was a reduction in reported income before income taxes of $11 million. However, as compliant documentation was subsequently provided as part of our corrective measures, the extended rescission period for most of the purchases at issue ended during the second quarter of 2013. As of September 6, 2013, sales having a net pre-tax impact of $1 million had been rescinded. As a result, approximately $1 million and $11 million of this cumulative impact is reflected as an increase in income before income taxes for the twelve and thirty-six weeks ended September 6, 2013, respectively.</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consolidated restated financial statements will include certain other corrections related to the timing of recording adjustments to previously reported deferred tax balances. Certain deferred tax assets were determined to not be realizable in future years and thus were eliminated, albeit in the incorrect fiscal year for the years ended December 28, 2012, December 30, 2011 and December 31, 2010. The need for these corrections was identified while we were developing internal processes relating to deferred taxes after we became a standalone public company. In addition to the adjustments required as a result of the errors described above, the restated consolidated financial statements will include certain previously unrecorded immaterial adjustments to our financial statements for fiscal years 2010 and 2011 relating to cost reimbursements, which previously were recorded on a net basis.</w:t>
      </w:r>
    </w:p>
    <w:p>
      <w:pPr>
        <w:spacing w:after="0" w:line="16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adjustments necessary to correct all of the errors have no impact on previously reported cash flows from operations and do not have a material impact on our balance sheet as of any date. In accordance with applicable accounting guidance, an adjustment to the financial statements for each individual period presented is required to reflect the correction of the period-specific effects of the errors described above, if material. Based on our evaluation of relevant quantitative and qualitative factors, we determined the identified misstatements are not material to our individual prior period consolidated financial statements; however, the cumulative correction of the prior period errors would be material to our current year consolidated financial statements. Consequently, we will restate the consolidated Statements of Operations for the years ended December 28, 2012 and December 30, 2011, and the Statements of Operations for the periods ended March 22, 2013 and March 23, 2012. We have restated the consolidated Balance Sheet as of December 28, 2012 and the Statement of Operations for the twelve and thirty-six weeks ended September 7, 2012.</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cumulative impact of these misstatements on our 2012 annual and interim consolidated statements of cash flows is inconsequential as the impact on individual line items within operating activities is not material and had no impact on net cash provided by (used in) operating, investing or financing activities. However, we will restate the 2012 statement of cash flows when disclosed in our Annual Report on Form 10-K for the fiscal year ended January 3, 2014 to reflect changes to individual line items within operating activities.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thirty-six weeks ended September 6, 2013, compared to the twelve and thirty-six weeks ended September 7,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7"/>
          </w:tcPr>
          <w:p>
            <w:pPr>
              <w:ind w:left="40"/>
              <w:spacing w:after="0"/>
              <w:rPr>
                <w:sz w:val="20"/>
                <w:szCs w:val="20"/>
                <w:color w:val="auto"/>
              </w:rPr>
            </w:pPr>
            <w:r>
              <w:rPr>
                <w:rFonts w:ascii="Arial" w:cs="Arial" w:eastAsia="Arial" w:hAnsi="Arial"/>
                <w:sz w:val="14"/>
                <w:szCs w:val="14"/>
                <w:b w:val="1"/>
                <w:bCs w:val="1"/>
                <w:color w:val="auto"/>
              </w:rPr>
              <w:t>Twelve Weeks Ended</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60" w:type="dxa"/>
            <w:vAlign w:val="bottom"/>
            <w:tcBorders>
              <w:top w:val="single" w:sz="8" w:color="auto"/>
            </w:tcBorders>
            <w:gridSpan w:val="7"/>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Borders>
              <w:top w:val="single" w:sz="8" w:color="auto"/>
            </w:tcBorders>
            <w:gridSpan w:val="6"/>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720" w:type="dxa"/>
            <w:vAlign w:val="bottom"/>
            <w:gridSpan w:val="5"/>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9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32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w w:val="93"/>
              </w:rPr>
              <w:t>162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350"/>
              <w:spacing w:after="0"/>
              <w:rPr>
                <w:sz w:val="20"/>
                <w:szCs w:val="20"/>
                <w:color w:val="auto"/>
              </w:rPr>
            </w:pPr>
            <w:r>
              <w:rPr>
                <w:rFonts w:ascii="Arial" w:cs="Arial" w:eastAsia="Arial" w:hAnsi="Arial"/>
                <w:sz w:val="18"/>
                <w:szCs w:val="18"/>
                <w:color w:val="auto"/>
                <w:w w:val="86"/>
              </w:rPr>
              <w:t>143</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472</w:t>
            </w:r>
          </w:p>
        </w:tc>
        <w:tc>
          <w:tcPr>
            <w:tcW w:w="30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5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reimbursements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3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412</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383</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Cost of vacation ownership products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sales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Resort management and other services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Financing</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Rental</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169</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Litigation settlement</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Organizational and separation related</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5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Consumer financing interest</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Royalty fee</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260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370</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w w:val="86"/>
              </w:rPr>
              <w:t>362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1,101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Gains and other income</w:t>
            </w:r>
          </w:p>
        </w:tc>
        <w:tc>
          <w:tcPr>
            <w:tcW w:w="9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Impairment reversals on equity investment</w:t>
            </w:r>
          </w:p>
        </w:tc>
        <w:tc>
          <w:tcPr>
            <w:tcW w:w="9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3"/>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114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68"/>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9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0" w:type="dxa"/>
            <w:vAlign w:val="bottom"/>
            <w:gridSpan w:val="2"/>
          </w:tcPr>
          <w:p>
            <w:pPr>
              <w:ind w:left="460"/>
              <w:spacing w:after="0"/>
              <w:rPr>
                <w:sz w:val="20"/>
                <w:szCs w:val="20"/>
                <w:color w:val="auto"/>
              </w:rPr>
            </w:pPr>
            <w:r>
              <w:rPr>
                <w:rFonts w:ascii="Arial" w:cs="Arial" w:eastAsia="Arial" w:hAnsi="Arial"/>
                <w:sz w:val="18"/>
                <w:szCs w:val="18"/>
                <w:i w:val="1"/>
                <w:iCs w:val="1"/>
                <w:color w:val="auto"/>
              </w:rPr>
              <w:t>Twelve Weeks Ended September 6, 2013</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8"/>
          </w:tcPr>
          <w:p>
            <w:pPr>
              <w:ind w:left="80"/>
              <w:spacing w:after="0"/>
              <w:rPr>
                <w:sz w:val="20"/>
                <w:szCs w:val="20"/>
                <w:color w:val="auto"/>
              </w:rPr>
            </w:pPr>
            <w:r>
              <w:rPr>
                <w:rFonts w:ascii="Arial" w:cs="Arial" w:eastAsia="Arial" w:hAnsi="Arial"/>
                <w:sz w:val="14"/>
                <w:szCs w:val="14"/>
                <w:b w:val="1"/>
                <w:bCs w:val="1"/>
                <w:color w:val="auto"/>
              </w:rPr>
              <w:t>Twelve Weeks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80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9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44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340" w:type="dxa"/>
            <w:vAlign w:val="bottom"/>
          </w:tcPr>
          <w:p>
            <w:pPr>
              <w:ind w:left="360"/>
              <w:spacing w:after="0"/>
              <w:rPr>
                <w:sz w:val="20"/>
                <w:szCs w:val="20"/>
                <w:color w:val="auto"/>
              </w:rPr>
            </w:pPr>
            <w:r>
              <w:rPr>
                <w:rFonts w:ascii="Arial" w:cs="Arial" w:eastAsia="Arial" w:hAnsi="Arial"/>
                <w:sz w:val="18"/>
                <w:szCs w:val="18"/>
                <w:color w:val="auto"/>
              </w:rPr>
              <w:t>Total contract sales</w:t>
            </w:r>
          </w:p>
        </w:tc>
        <w:tc>
          <w:tcPr>
            <w:tcW w:w="13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color w:val="auto"/>
                <w:w w:val="86"/>
              </w:rPr>
              <w:t>171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$3 million decrease in total contract sales was driven by $8 million of lower contract sales in our Asia Pacific segment (due to the closure of our off-site sales locations in Hong Kong and Japan in the fourth quarter of 2012) and $5 million of lower contract sales in our Europe segment (as we continued to sell through existing inventory), offset partially by $10 million of higher contract sales in our key North America segment.</w:t>
      </w:r>
    </w:p>
    <w:p>
      <w:pPr>
        <w:spacing w:after="0" w:line="16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increase in contract sales in our North America segment included $7 million of residential contract sales (compared to $0 in the prior year comparable period) as we continue to execute our strategy to dispose of excess inventory, and a $3 million, or 2 percent, increase in vacation ownership contract sales. The increase in vacation ownership contract sales reflected a 6.6 percent increase in VPG to $3,252 in the twelve weeks ended September 6, 2013 from $3,051 in the prior year comparable period. This increase in VPG was due to a 5 percent price increase and a nearly 1 percentage point increase in closing efficiency resulting from improved marketing and sales execution. These increases were partially offset by a 4 percent decline in tours in the twelve weeks ended September 6, 2013. The decline in tours was driven by an increase in weeks-based owner utilization of the MVCD program, with owners taking advantage of the program’s flexibility through shorter stays and alternative usage options. This has reduced our existing owner tour-flow, which we intend to increase in the future through new programs for existing owners. In addition, we are focused on new sales channels targeted toward first time buyers.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80" w:type="dxa"/>
            <w:vAlign w:val="bottom"/>
            <w:gridSpan w:val="6"/>
          </w:tcPr>
          <w:p>
            <w:pPr>
              <w:ind w:left="220"/>
              <w:spacing w:after="0"/>
              <w:rPr>
                <w:sz w:val="20"/>
                <w:szCs w:val="20"/>
                <w:color w:val="auto"/>
              </w:rPr>
            </w:pPr>
            <w:r>
              <w:rPr>
                <w:rFonts w:ascii="Arial" w:cs="Arial" w:eastAsia="Arial" w:hAnsi="Arial"/>
                <w:sz w:val="14"/>
                <w:szCs w:val="14"/>
                <w:b w:val="1"/>
                <w:bCs w:val="1"/>
                <w:color w:val="auto"/>
              </w:rPr>
              <w:t>Thirty-Six Weeks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5"/>
              </w:rPr>
              <w:t>September 6,</w:t>
            </w:r>
          </w:p>
        </w:tc>
        <w:tc>
          <w:tcPr>
            <w:tcW w:w="6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660" w:type="dxa"/>
            <w:vAlign w:val="bottom"/>
          </w:tcPr>
          <w:p>
            <w:pPr>
              <w:spacing w:after="0"/>
              <w:rPr>
                <w:sz w:val="10"/>
                <w:szCs w:val="10"/>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473</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contract sales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6"/>
              </w:rPr>
              <w:t>493</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$12 million decrease in total contract sales was driven by $19 million of lower contract sales in our Asia Pacific segment (due to the closure of our off-site sales locations in Hong Kong and Japan in the fourth quarter of 2012) and $11 million of lower contract sales in our Europe segment (as we continued to sell through existing inventory and as a result of higher rescission activity due to the extended rescission periods in our Europe segment during the second quarter of 2013). These decreases were partially offset by an increase of $18 million, or 4 percent, in contract sales in our key North America segment.</w:t>
      </w:r>
    </w:p>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increase in contract sales in our North America segment included $8 million of residential contract sales (compared to $0 in the prior year comparable period) as we continue to execute our strategy to dispose of excess inventory, and a $10 million, or 2 percent, increase in vacation ownership contract sales. The increase in vacation ownership contract sales reflected a nearly 9 percent increase in VPG to $3,243 in the thirty-six weeks ended September 6, 2013 from $2,988 in the prior year comparable period. This increase in VPG was due to a nearly 4 percent price increase and a 1 percentage point increase in closing efficiency resulting from improved marketing and sales execution. These increases were partially offset by a 5 percent decline in tours. The decline in tours was driven by an increase in weeks-based owner utilization of the MVCD program, with owners taking advantage of the program’s flexibility through shorter stays and alternative usage options. This has reduced our existing owner tour-flow, which we intend to increase in the future through new programs for existing owners. In addition, we are focused on new sales channels targeted toward first time buyers.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660" w:type="dxa"/>
            <w:vAlign w:val="bottom"/>
          </w:tcPr>
          <w:p>
            <w:pPr>
              <w:spacing w:after="0"/>
              <w:rPr>
                <w:sz w:val="10"/>
                <w:szCs w:val="10"/>
                <w:color w:val="auto"/>
              </w:rPr>
            </w:pPr>
          </w:p>
        </w:tc>
        <w:tc>
          <w:tcPr>
            <w:tcW w:w="12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5.5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increase in revenues from the sale of vacation ownership products was due to $24 million of higher revenue reportability compared to the prior year comparable period, offset partially by the $3 million decrease in contract sales and $2 million of higher vacation ownership notes receivable reserve activity due to the higher revenue reportability in our North America segment in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twelve weeks ended September 6, 2013, net of the impact of lower estimated default and delinquency activity. The $24 million of higher revenue reportability resulted from $5 million of higher revenue reportability in the twelve weeks ended September 6, 2013 compared to $19 million of lower revenue reportability in the prior year comparable period. Revenue reportability was higher in the current year quarter because the rescission period related to certain sales made in the current or prior periods expired in the current quarter and certain sales made in the current or prior periods met the down payment requirement for revenue recognition purposes prior to the end of the period. The lower reportability in the prior year quarter reflected the fact that certain sales made during that quarter or prior periods did not meet the down payment requirement for revenue recognition purposes prior to the end of the period. Revenue reportability can affect quarter-to-quarter earnings but historically has had no material impact on year-over-year earnings. However, given the impact of the extended rescission periods in our Europe segment, we expect that revenue reportability will have a positive material impact on year-over-year comparability of our 2013 earnings.</w:t>
      </w:r>
    </w:p>
    <w:p>
      <w:pPr>
        <w:spacing w:after="0" w:line="182"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increase in development margin reflected $13 million from higher revenue reportability year-over-year, a $9 million increase from lower contract sales volume net of lower direct variable expenses (i.e., cost of vacation ownership products and marketing and sales) due to more efficient marketing and sales spending and a favorable mix of lower cost real estate inventory being sold, and $1 million of higher than expected redemption costs associated with Marriott Rewards Points issued prior to the Spin-Off in the prior year comparable period. These increases were partially offset by $10 million of lower favorable product cost true-ups ($3 million in the twelve weeks ended September 6, 2013 compared to $13 million in the prior year comparable period) and a $1 million impact from the higher vacation ownership notes receivable reserve activity.</w:t>
      </w:r>
    </w:p>
    <w:p>
      <w:pPr>
        <w:spacing w:after="0" w:line="17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5.5 percentage point improvement in the development margin percentage reflected a 6 percentage point increase due to higher revenue reportability year-over-year and a 4 percentage point increase due to increased efficiency in marketing and sales spending. These increases were offset partially by a</w:t>
      </w:r>
    </w:p>
    <w:p>
      <w:pPr>
        <w:ind w:right="160"/>
        <w:spacing w:after="0" w:line="261" w:lineRule="auto"/>
        <w:rPr>
          <w:sz w:val="20"/>
          <w:szCs w:val="20"/>
          <w:color w:val="auto"/>
        </w:rPr>
      </w:pPr>
      <w:r>
        <w:rPr>
          <w:rFonts w:ascii="Arial" w:cs="Arial" w:eastAsia="Arial" w:hAnsi="Arial"/>
          <w:sz w:val="18"/>
          <w:szCs w:val="18"/>
          <w:color w:val="auto"/>
        </w:rPr>
        <w:t>5 percentage point decrease from the higher cost of vacation ownership products resulting from unfavorable product cost true-up activity year-over-year, net of a favorable mix of lower cost real estate inventory being sold in the twelve weeks ended September 6, 2013.</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660" w:type="dxa"/>
            <w:vAlign w:val="bottom"/>
          </w:tcPr>
          <w:p>
            <w:pPr>
              <w:spacing w:after="0"/>
              <w:rPr>
                <w:sz w:val="10"/>
                <w:szCs w:val="10"/>
                <w:color w:val="auto"/>
              </w:rPr>
            </w:pPr>
          </w:p>
        </w:tc>
        <w:tc>
          <w:tcPr>
            <w:tcW w:w="12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56</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49</w:t>
            </w:r>
          </w:p>
        </w:tc>
        <w:tc>
          <w:tcPr>
            <w:tcW w:w="6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9.1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increase in revenues from the sale of vacation ownership products was due to $67 million of higher revenue reportability compared to the prior year comparable period and $3 million of lower vacation ownership notes receivable reserve activity, partially offset by the $12 million decrease in contract sales and $2 million of higher sales incentives issued in the current period for plus points. Plus points will ultimately be recognized as rental revenues upon usage or expiration of the plus points rather than revenues from the sale of vacation ownership products. The $67 million of higher revenue reportability resulted from $28 million of higher revenue reportability in the thirty-six weeks ended September 6, 2013 compared to $39 million of lower revenue reportability in the prior year comparable period. Revenue reportability was higher in the current year period because the rescission period related to certain sales made in the current or prior periods had expired, of which $20 million related to impact of the extended rescission periods in our Europe segment, and certain sales made in the current or prior periods met the down payment requirement for revenue recognition purposes prior to the end of the period. The lower reportability in the prior year period reflected the fact that certain sales made during, or prior to, that period remained in the statutory rescission period or did not meet the down payment requirement for revenue recognition purposes prior to the end of the period. Revenue reportability can affect quarter-to-quarter earnings, but historically has had no material impact on year-over-year earnings. However, given the impact of the extended rescission periods in our Europe segment, we expect that revenue reportability will have a positive material impact on year-over-year comparability of our 2013 earnings.</w:t>
      </w:r>
    </w:p>
    <w:p>
      <w:pPr>
        <w:spacing w:after="0" w:line="16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increase in development margin reflected $38 million from higher revenue reportability year-over-year (of which $17 million is related to the impact of the extended rescission periods in our Europe segment), a $19 million increase from lower contract sales volume net of lower direct variable expenses (i.e., cost of vacation ownership products and marketing and sales) due to more efficient marketing and sales spending and a favorable mix of lower cost real estate inventory being sold, a $1 million benefit from the lower vacation ownership notes receivable reserve activity and $1 million of higher than expected redemption costs associated with Marriott Rewards Points issued prior to the Spin-Off in the prior year comparable period. These increases were partially offset by $9 million of lower favorable product cost true-ups ($9 million in the thirty-six weeks ended September 6, 2013 compared to $18 million in the prior year comparable period) and $2 million of severance charges related to the restructuring of sales locations in Europe in early 2013.</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favorable product cost true-ups recorded in the thirty-six weeks ended September 6, 2013 were the result of nearly $4 million from changes in sequencing of inventory into the MVCD program due to the continued reacquisition of previously sold inventory, more than $3 million from lower construction costs, and nearly $2 million from an increase in estimated future revenues associated with our Asia Pacific product.</w:t>
      </w:r>
    </w:p>
    <w:p>
      <w:pPr>
        <w:spacing w:after="0" w:line="166"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9 percentage point improvement in the development margin percentage reflected a 6 percentage point increase due to higher revenue reportability year-over-year, a 3 percentage point increase due to increased efficiency in marketing and sales spending and a 2 percentage point increase from the lower cost of vacation ownership products due to a favorable mix of lower cost real estate inventory being sold. These increases were partially offset by a 2 percentage point decrease due to the lower favorable product cost true-up activity compared to the prior year comparable period.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Twelve Weeks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5"/>
              </w:rPr>
              <w:t>7.6 pts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increase in resort management and other services revenues was driven by $1 million of higher management fees, resulting from the cumulative increase in the number of vacation ownership products sold and higher operating costs across the system, and nearly $1 million of additional annual club dues earned in connection with the MVCD program due to the cumulative increase in owners enrolled in the program. Ancillary revenues were in line with the prior year comparable period, and included a nearly $2 million decline due to the disposition of a golf course and related assets at one of our Ritz-Carlton branded projects late in 2012 and a nearly $2 million increase in ancillary revenues from food and beverage and golf offerings at our resorts.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improvement in the resort management and other services margin reflected $2 million of higher ancillary revenues net of expenses primarily due to the disposition of a golf course and related assets at one of our Ritz-Carlton branded projects late in 2012, which experienced an operating loss in the prior year comparable period, $1 million of higher management fees, and $1 million of additional annual club dues earned in connection with the MVCD program net of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Thirty-Six Weeks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5"/>
              </w:rPr>
              <w:t>6.1 pts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increase in resort management and other services revenues reflected $4 million of additional annual club dues earned in connection with the MVCD program due to the cumulative increase in owners enrolled in the program and $2 million of higher management fees resulting from the cumulative increase in the number of vacation ownership products sold and higher operating costs across the system. These increases were partially offset by $3 million of lower ancillary revenues, which reflected a $7 million decline due to the disposition of a golf course and related assets at one of our Ritz-Carlton branded projects late in 2012, partially offset by a $4 million increase in ancillary revenues from food and beverage and golf offerings at our resorts.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color w:val="auto"/>
        </w:rPr>
        <w:t>The improvement in the resort management and other services margin reflected $5 million of additional annual club dues earned in connection with the MVCD program net of expenses, $4 million of higher ancillary revenues net of expenses primarily due to the disposition of a golf course and related assets at one of our Ritz-Carlton branded projects late in 2012, which experienced an operating loss in the prior year comparable period, $1 million of higher customer services margin resulting from lower operating expenses, and a $1 million increase in management fees net of expenses.</w:t>
      </w:r>
    </w:p>
    <w:p>
      <w:pPr>
        <w:spacing w:after="0" w:line="276" w:lineRule="exact"/>
        <w:rPr>
          <w:sz w:val="20"/>
          <w:szCs w:val="20"/>
          <w:color w:val="auto"/>
        </w:rPr>
      </w:pPr>
    </w:p>
    <w:p>
      <w:pPr>
        <w:jc w:val="right"/>
        <w:ind w:right="8060"/>
        <w:spacing w:after="0"/>
        <w:rPr>
          <w:sz w:val="20"/>
          <w:szCs w:val="20"/>
          <w:color w:val="auto"/>
        </w:rPr>
      </w:pPr>
      <w:r>
        <w:rPr>
          <w:rFonts w:ascii="Arial" w:cs="Arial" w:eastAsia="Arial" w:hAnsi="Arial"/>
          <w:sz w:val="16"/>
          <w:szCs w:val="16"/>
          <w:b w:val="1"/>
          <w:bCs w:val="1"/>
          <w:color w:val="auto"/>
        </w:rPr>
        <w:t>Financing Revenues, Expenses and Margin</w:t>
      </w:r>
    </w:p>
    <w:p>
      <w:pPr>
        <w:spacing w:after="0" w:line="144" w:lineRule="exact"/>
        <w:rPr>
          <w:sz w:val="20"/>
          <w:szCs w:val="20"/>
          <w:color w:val="auto"/>
        </w:rPr>
      </w:pPr>
    </w:p>
    <w:p>
      <w:pPr>
        <w:jc w:val="right"/>
        <w:ind w:right="804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5"/>
              </w:rPr>
              <w:t>September 6,</w:t>
            </w:r>
          </w:p>
        </w:tc>
        <w:tc>
          <w:tcPr>
            <w:tcW w:w="3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Financing expenses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206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20" w:type="dxa"/>
            <w:vAlign w:val="bottom"/>
            <w:gridSpan w:val="2"/>
            <w:vMerge w:val="continue"/>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decrease in financing revenues was due to a $107 million decline in the average gross vacation ownership notes receivable balance. This decline reflected our continued collection of existing vacation ownership notes receivable at a faster pace than our origination of new vacation ownership notes receivable. The $3 million decrease in financing margin from the prior year comparable period reflected the lower interest income and the timing of expenses compared to the prior year comparable period.</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Financing margin net of consumer financing interest expense was flat at $20 million in both the twelve weeks ended September 6, 2013 and in the prior year comparable period. See “Consumer Financing Interest Expense” below for further discussion.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Thirty-Six Weeks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w w:val="95"/>
              </w:rPr>
              <w:t>September 6,</w:t>
            </w: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660" w:type="dxa"/>
            <w:vAlign w:val="bottom"/>
          </w:tcPr>
          <w:p>
            <w:pPr>
              <w:spacing w:after="0"/>
              <w:rPr>
                <w:sz w:val="10"/>
                <w:szCs w:val="10"/>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vMerge w:val="continue"/>
            <w:shd w:val="clear" w:color="auto" w:fill="CCEEFF"/>
          </w:tcPr>
          <w:p>
            <w:pPr>
              <w:spacing w:after="0"/>
              <w:rPr>
                <w:sz w:val="18"/>
                <w:szCs w:val="18"/>
                <w:color w:val="auto"/>
              </w:rPr>
            </w:pPr>
          </w:p>
        </w:tc>
        <w:tc>
          <w:tcPr>
            <w:tcW w:w="19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6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Financing expenses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940" w:type="dxa"/>
            <w:vAlign w:val="bottom"/>
            <w:gridSpan w:val="2"/>
          </w:tcPr>
          <w:p>
            <w:pPr>
              <w:jc w:val="right"/>
              <w:ind w:right="68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2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740" w:type="dxa"/>
            <w:vAlign w:val="bottom"/>
            <w:gridSpan w:val="2"/>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The decrease in financing revenues was due to a $113 million decline in the average gross vacation ownership notes receivable balance. This decline reflected our continued collection of existing vacation ownership notes receivable at a faster pace than our origination of new vacation ownership notes receivable. The $7 million decrease in financing margin from the prior year comparable period reflected the lower interest income, partially offset by lower expenses due to lower foreclosure activity and lower expenses associated with our $200 million revolving credit facility (the “Revolving Corporate Credit Facility”).</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Financing margin net of consumer financing interest expense increased $1 million to $59 million in the thirty-six weeks ended September 6, 2013 from $58 million in the prior year comparable period. See “Consumer Financing Interest Expense” below for further discussion.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Twelve Weeks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3"/>
              </w:rPr>
              <w:t>September 7,</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Unsold maintenance fees</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vMerge w:val="restart"/>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w:t>
            </w:r>
          </w:p>
        </w:tc>
        <w:tc>
          <w:tcPr>
            <w:tcW w:w="7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14.3 pts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Twelve Weeks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160" w:type="dxa"/>
            <w:vAlign w:val="bottom"/>
            <w:tcBorders>
              <w:top w:val="single" w:sz="8" w:color="auto"/>
            </w:tcBorders>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w w:val="95"/>
              </w:rPr>
              <w:t>September 7,</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256,760</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231,377</w:t>
            </w: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25,383</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840" w:type="dxa"/>
            <w:vAlign w:val="bottom"/>
            <w:gridSpan w:val="3"/>
          </w:tcPr>
          <w:p>
            <w:pPr>
              <w:ind w:left="16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221.71</w:t>
            </w:r>
          </w:p>
        </w:tc>
        <w:tc>
          <w:tcPr>
            <w:tcW w:w="3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201.86</w:t>
            </w:r>
          </w:p>
        </w:tc>
        <w:tc>
          <w:tcPr>
            <w:tcW w:w="3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rPr>
              <w:t>19.85</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(0.3 pts)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increase in rental revenues was due to a company-wide 11 percent increase in transient keys rented (nearly $5 million), which were primarily sourced from a 6 percent increase in available keys (25,000 additional available keys) resulting from an increase in the number of owners choosing to exchange their vacation ownership interests for alternative usage options and lower utilization of plus points for stays at our resorts, as well as a company-wide 10 percent increase in average transient rate ($5 million) driven by stronger consumer demand and a favorable mix of available inventory. These increases were partially offset by more than $1 million of lower plus points revenue (which is recognized upon utilization of plus points for stays at our resorts or upon expiration of the points).</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increase in rental margin reflected $4 million from higher than expected redemption costs associated with Marriott Rewards Points issued prior to the Spin-Off in the prior year comparable period and $3 million of higher rental revenues net of direct variable expenses (such as housekeeping), expenses incurred due to owners choosing alternative usage options, and higher unsold maintenance fees. These increases were partially offset by the more than $1 million decline in plus points revenue resulting from the decline in new enrollments in the MVCD program by existing owners (due to the maturity of the MVCD program), and corresponding issuance of plus points as incentives for enrollment in the MVCD program.</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Thirty-Six Weeks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8"/>
                <w:szCs w:val="18"/>
                <w:color w:val="auto"/>
              </w:rPr>
              <w:t>Unsold maintenance fees</w:t>
            </w:r>
          </w:p>
        </w:tc>
        <w:tc>
          <w:tcPr>
            <w:tcW w:w="1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3"/>
        </w:trPr>
        <w:tc>
          <w:tcPr>
            <w:tcW w:w="408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Rental margin</w:t>
            </w:r>
          </w:p>
        </w:tc>
        <w:tc>
          <w:tcPr>
            <w:tcW w:w="1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5"/>
              </w:rPr>
              <w:t>6.9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8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Thirty-Six Weeks Ended</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4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September 7,</w:t>
            </w:r>
          </w:p>
        </w:tc>
        <w:tc>
          <w:tcPr>
            <w:tcW w:w="620" w:type="dxa"/>
            <w:vAlign w:val="bottom"/>
          </w:tcPr>
          <w:p>
            <w:pPr>
              <w:spacing w:after="0"/>
              <w:rPr>
                <w:sz w:val="10"/>
                <w:szCs w:val="10"/>
                <w:color w:val="auto"/>
              </w:rPr>
            </w:pPr>
          </w:p>
        </w:tc>
        <w:tc>
          <w:tcPr>
            <w:tcW w:w="12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8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800" w:type="dxa"/>
            <w:vAlign w:val="bottom"/>
          </w:tcPr>
          <w:p>
            <w:pPr>
              <w:jc w:val="right"/>
              <w:ind w:right="178"/>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776,005</w:t>
            </w:r>
          </w:p>
        </w:tc>
        <w:tc>
          <w:tcPr>
            <w:tcW w:w="6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681,492</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94,513</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   212.10</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   197.59</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  14.51</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90.2%</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90.4%</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increase in rental revenues was due to a company-wide 14 percent increase in transient keys rented ($18 million), which were primarily sourced from an 8 percent increase in available keys (103,000 additional available keys) resulting from an increase in the number of owners choosing to exchange their vacation ownership interests for alternative usage options, additional inventory from a new phase completed at one of our projects in Hawaii after the end of the second quarter of 2012 and a lower utilization of plus points for stays at our resorts, as well as a company-wide 7 percent increase in average transient rate ($13 million) driven by stronger consumer demand and a favorable mix of available inventory. These increases were partially offset by a $5 million decrease in plus points revenue (which is recognized upon utilization of plus points for stays at our resorts or upon expiration of the points) resulting from the decline in new enrollments in the MVCD program by existing owners (due to the maturity of the MVCD program), and corresponding issuance of plus points as incentives for enrollment in the MVCD program.</w:t>
      </w:r>
    </w:p>
    <w:p>
      <w:pPr>
        <w:spacing w:after="0" w:line="17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increase in rental margin reflected $13 million of higher rental revenues net of direct variable expenses (such as housekeeping), expenses incurred due to owners choosing alternative usage options, and higher unsold maintenance fees, as well as $4 million from higher than expected redemption costs associated with Marriott Rewards Points issued prior to the Spin-Off in the prior year comparable period. These increases were partially offset by the $5 million decline in plus points revenue. The increase in unsold maintenance fees reflected the addition of new inventory upon completion of a phase at one of our projects in Hawaii in 2012, as well as increased expenses associated with our inventory repurchase program.</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2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expenses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Other revenues net of expenses decreased mainly as a result of slightly higher expenses due to more MVCD owners utilizing an external exchange company and higher settlement costs due to an increase in the number of closed contracts in the twelve weeks ended September 6, 2013 compared to the prior year comparable period.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Thirty-Six Weeks Ended</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2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revenues</w:t>
            </w:r>
          </w:p>
        </w:tc>
        <w:tc>
          <w:tcPr>
            <w:tcW w:w="1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expenses</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Other revenues net of expenses decreased in the thirty-six weeks ended September 6, 2013 compared to the prior year comparable period mainly as a result of higher expenses due to more MVCD owners utilizing an external exchange company and other miscellaneous expenses, offset partially by higher settlement and other miscellaneous revenues.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reimbursements increased $3 million, or 3 percent, over the prior year comparable period, reflecting growth across the system.</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Cost reimbursements increased $6 million, or 2 percent, over the prior year comparable period, reflecting an increase of $8 million in cost reimbursements due to growth across the system, partially offset by $2 million of lower costs associated with the termination of the management contract for a joint venture project in early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 increased $3 million (from $20 million to $23 million) over the prior year comparable period due to $3 million of higher legal and audit related expenses and $2 million of higher personnel related costs. These increases were offset by $1 million of savings related to organizational and separation related efforts in the human resources, information technology and finance and accounting areas and $1 million of lower depreciation expense.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General and administrative expense increased $7 million (from $59 million to $66 million) over the prior year comparable period due to $6 million of higher legal and audit related expenses, $5 million of higher personnel related costs, and $2 million of higher stand-alone public company costs. These increases were offset by $3 million of savings related to organizational and separation related efforts in the human resources, information technology and finance and accounting areas, $2 million from lower depreciation expense and $1 million from the favorable resolution of an international tax (non-income tax) matter.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 Interest Expense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Consumer financing interest expense decreased $3 million (from $10 million to $7 million) due to lower outstanding debt balances of securitized vacation ownership notes receivable and associated interest costs ($1 million) as well as a lower average interest rate ($2 million).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Consumer financing interest expense decreased $8 million (from $30 million to $22 million) due to lower outstanding debt balances of securitized vacation ownership notes receivable and associated interest costs ($4 million) as well as a lower average interest rate ($4 million). The lower average interest rate reflected the continued pay-down of older securitization transactions that carried higher overall interest rates and the benefit of lower interest rates applicable to our most recently completed securitizations of vacation ownership notes receivable.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Interest expense decreased $3 million (from $5 million to $2 million) due to an approximately $1 million decline in expense associated with our liability for Marriott Rewards Points under the Marriott Rewards Affiliation Agreement between us and Marriott International and an increase of approximately $1 million in capitalized interest costs.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117"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Interest expense decreased $3 million (from $12 million to $9 million) due to a $2 million decline in expense associated with our liability for Marriott Rewards Points under the Marriott Rewards Affiliation Agreement between us and Marriott International and a $1 million decline in other interest expense.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Royalty fee expense decreased $1 million to $13 million in the twelve weeks ended September 6, 2013 compared to $14 million in the prior year comparable period due to a higher portion of sales of pre-owned inventory, which carries a lower royalty fee as compared to initial sales of our real estate inventory (1 percent versus 2 percent).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Royalty fee expense was flat at $41 million for the thirty-six weeks ended September 6, 2013 and September 7,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11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Income tax expense increased $4 million to $15 million, compared to $11 million in the prior year comparable period. The increase in income tax expense was primarily related to an increase in the 2013 pretax income attributable to the United States as noted in the discussion of our North America segment results below.</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Income tax expense increased $17 million to $40 million, compared to $23 million in the prior year comparable period. The increase in income tax expense was primarily related to an increase in the 2013 pretax income attributable to the United States as noted in the discussion of our North America segment results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EBITDA, a financial measure which is not prescribed or authorized by GAAP, is defined as earnings, or net income, before interest expense (excluding consumer financing interest expense), provision for income taxes, depreciation and amortization. For the purposes of our EBITDA calculation (which previously adjusted for consumer financing interest expense),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w:t>
      </w:r>
    </w:p>
    <w:p>
      <w:pPr>
        <w:spacing w:after="0" w:line="17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66"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Twelve Weeks Ended</w:t>
            </w:r>
          </w:p>
        </w:tc>
        <w:tc>
          <w:tcPr>
            <w:tcW w:w="2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Thirty-Six Weeks Ended</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gridSpan w:val="3"/>
          </w:tcPr>
          <w:p>
            <w:pPr>
              <w:jc w:val="right"/>
              <w:ind w:right="700"/>
              <w:spacing w:after="0" w:line="119" w:lineRule="exact"/>
              <w:rPr>
                <w:sz w:val="20"/>
                <w:szCs w:val="20"/>
                <w:color w:val="auto"/>
              </w:rPr>
            </w:pPr>
            <w:r>
              <w:rPr>
                <w:rFonts w:ascii="Arial" w:cs="Arial" w:eastAsia="Arial" w:hAnsi="Arial"/>
                <w:sz w:val="13"/>
                <w:szCs w:val="13"/>
                <w:b w:val="1"/>
                <w:bCs w:val="1"/>
                <w:color w:val="auto"/>
                <w:w w:val="95"/>
              </w:rPr>
              <w:t>September 6,</w:t>
            </w: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00" w:type="dxa"/>
            <w:vAlign w:val="bottom"/>
          </w:tcPr>
          <w:p>
            <w:pPr>
              <w:spacing w:after="0"/>
              <w:rPr>
                <w:sz w:val="10"/>
                <w:szCs w:val="10"/>
                <w:color w:val="auto"/>
              </w:rPr>
            </w:pPr>
          </w:p>
        </w:tc>
      </w:tr>
      <w:tr>
        <w:trPr>
          <w:trHeight w:val="171"/>
        </w:trPr>
        <w:tc>
          <w:tcPr>
            <w:tcW w:w="36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(1)</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Tax provision</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11</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w:t>
            </w:r>
          </w:p>
        </w:tc>
        <w:tc>
          <w:tcPr>
            <w:tcW w:w="10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8"/>
                <w:szCs w:val="18"/>
                <w:color w:val="auto"/>
              </w:rPr>
            </w:pPr>
          </w:p>
        </w:tc>
      </w:tr>
      <w:tr>
        <w:trPr>
          <w:trHeight w:val="27"/>
        </w:trPr>
        <w:tc>
          <w:tcPr>
            <w:tcW w:w="3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16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w:t>
            </w:r>
          </w:p>
        </w:tc>
        <w:tc>
          <w:tcPr>
            <w:tcW w:w="100" w:type="dxa"/>
            <w:vAlign w:val="bottom"/>
            <w:shd w:val="clear" w:color="auto" w:fill="CCEEFF"/>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Interest expense excludes consumer financing interest expense.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business is grouped into three reportable business segments: North America, Europe and Asia Pacific. Prior to 2013, our business was grouped into four reportable segments: North America, Luxury, Europe and Asia Pacific. Effective December 29, 2012, we combined the reporting of the financial results of the former Luxury segment with the North America segment based upon our decision to scale back separate development activity for the Luxury market and to aggregate future marketing and sales of upscale and luxury inventory. Existing service standards and on-site management remain unaffected by our reporting changes. Prior year amounts have been recast for consistency with the current year’s presentation. See Footnote No. 13, “Business Segments,” of the Notes to our Financial Statements for further information on our segments.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6, 2013, we operated the following 63 properties by segment:</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7"/>
              </w:rPr>
              <w:t xml:space="preserve">U.S. </w:t>
            </w:r>
            <w:r>
              <w:rPr>
                <w:rFonts w:ascii="Arial" w:cs="Arial" w:eastAsia="Arial" w:hAnsi="Arial"/>
                <w:sz w:val="12"/>
                <w:szCs w:val="12"/>
                <w:b w:val="1"/>
                <w:bCs w:val="1"/>
                <w:color w:val="auto"/>
                <w:w w:val="87"/>
              </w:rPr>
              <w:t>(1)</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Non-U.S.</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Total</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Europe</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23"/>
        </w:trPr>
        <w:tc>
          <w:tcPr>
            <w:tcW w:w="7120" w:type="dxa"/>
            <w:vAlign w:val="bottom"/>
          </w:tcPr>
          <w:p>
            <w:pPr>
              <w:ind w:left="36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Includes incorporated U.S. territories.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ind w:left="280"/>
              <w:spacing w:after="0"/>
              <w:rPr>
                <w:sz w:val="20"/>
                <w:szCs w:val="20"/>
                <w:color w:val="auto"/>
              </w:rPr>
            </w:pPr>
            <w:r>
              <w:rPr>
                <w:rFonts w:ascii="Arial" w:cs="Arial" w:eastAsia="Arial" w:hAnsi="Arial"/>
                <w:sz w:val="14"/>
                <w:szCs w:val="14"/>
                <w:b w:val="1"/>
                <w:bCs w:val="1"/>
                <w:color w:val="auto"/>
              </w:rPr>
              <w:t>Twelve Weeks Ended</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2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00" w:type="dxa"/>
            <w:vAlign w:val="bottom"/>
          </w:tcPr>
          <w:p>
            <w:pPr>
              <w:spacing w:after="0"/>
              <w:rPr>
                <w:sz w:val="10"/>
                <w:szCs w:val="10"/>
                <w:color w:val="auto"/>
              </w:rPr>
            </w:pPr>
          </w:p>
        </w:tc>
      </w:tr>
      <w:tr>
        <w:trPr>
          <w:trHeight w:val="171"/>
        </w:trPr>
        <w:tc>
          <w:tcPr>
            <w:tcW w:w="4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12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122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30"/>
        </w:trPr>
        <w:tc>
          <w:tcPr>
            <w:tcW w:w="20" w:type="dxa"/>
            <w:vAlign w:val="bottom"/>
          </w:tcPr>
          <w:p>
            <w:pPr>
              <w:spacing w:after="0"/>
              <w:rPr>
                <w:sz w:val="20"/>
                <w:szCs w:val="20"/>
                <w:color w:val="auto"/>
              </w:rPr>
            </w:pPr>
          </w:p>
        </w:tc>
        <w:tc>
          <w:tcPr>
            <w:tcW w:w="428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0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Cost of vacation ownership products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sales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Resort management and other services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Litigation settlement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Organizational and separation related</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Royalty fee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expenses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23"/>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Gains and other income</w:t>
            </w:r>
          </w:p>
        </w:tc>
        <w:tc>
          <w:tcPr>
            <w:tcW w:w="10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reversals on equity investment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20" w:type="dxa"/>
            <w:vAlign w:val="bottom"/>
          </w:tcPr>
          <w:p>
            <w:pPr>
              <w:spacing w:after="0"/>
              <w:rPr>
                <w:sz w:val="19"/>
                <w:szCs w:val="19"/>
                <w:color w:val="auto"/>
              </w:rPr>
            </w:pPr>
          </w:p>
        </w:tc>
        <w:tc>
          <w:tcPr>
            <w:tcW w:w="4280" w:type="dxa"/>
            <w:vAlign w:val="bottom"/>
          </w:tcPr>
          <w:p>
            <w:pPr>
              <w:ind w:left="340"/>
              <w:spacing w:after="0"/>
              <w:rPr>
                <w:sz w:val="20"/>
                <w:szCs w:val="20"/>
                <w:color w:val="auto"/>
              </w:rPr>
            </w:pPr>
            <w:r>
              <w:rPr>
                <w:rFonts w:ascii="Arial" w:cs="Arial" w:eastAsia="Arial" w:hAnsi="Arial"/>
                <w:sz w:val="18"/>
                <w:szCs w:val="18"/>
                <w:color w:val="auto"/>
              </w:rPr>
              <w:t>Segment financial results</w:t>
            </w:r>
          </w:p>
        </w:tc>
        <w:tc>
          <w:tcPr>
            <w:tcW w:w="10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20" w:type="dxa"/>
            <w:vAlign w:val="bottom"/>
            <w:gridSpan w:val="2"/>
          </w:tcPr>
          <w:p>
            <w:pPr>
              <w:jc w:val="right"/>
              <w:ind w:right="102"/>
              <w:spacing w:after="0"/>
              <w:rPr>
                <w:sz w:val="20"/>
                <w:szCs w:val="20"/>
                <w:color w:val="auto"/>
              </w:rPr>
            </w:pPr>
            <w:r>
              <w:rPr>
                <w:rFonts w:ascii="Arial" w:cs="Arial" w:eastAsia="Arial" w:hAnsi="Arial"/>
                <w:sz w:val="18"/>
                <w:szCs w:val="18"/>
                <w:color w:val="auto"/>
              </w:rPr>
              <w:t>39</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Weeks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4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142</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contract sales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142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increase in contract sales in our North America segment included $7 million of residential contract sales (compared to $0 in the prior year comparable period) as we continue to execute our strategy to dispose of excess inventory, and a $3 million, or 2 percent, increase in vacation ownership contract sales. The increase in vacation ownership contract sales reflected a 6.6 percent increase in VPG to $3,252 in the twelve weeks ended September 6, 2013 from $3,051 in the prior year comparable period. This increase in VPG was due to a 5 percent price increase and a nearly 1 percentage point increase in closing efficiency resulting from improved marketing and sales execution. These increases were partially offset by a 4 percent decline in tours in the twelve weeks ended September 6, 2013. The decline in tours was driven by an increase in weeks-based owner utilization of the MVCD program, with owners taking advantage of the program’s flexibility through shorter stays and alternative usage options. This has reduced our existing owner tour-flow, which we intend to increase in the future through new programs for existing owners. In addition, we are focused on new sales channels targeted toward first time buyers.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ind w:left="220"/>
              <w:spacing w:after="0"/>
              <w:rPr>
                <w:sz w:val="20"/>
                <w:szCs w:val="20"/>
                <w:color w:val="auto"/>
              </w:rPr>
            </w:pPr>
            <w:r>
              <w:rPr>
                <w:rFonts w:ascii="Arial" w:cs="Arial" w:eastAsia="Arial" w:hAnsi="Arial"/>
                <w:sz w:val="14"/>
                <w:szCs w:val="14"/>
                <w:b w:val="1"/>
                <w:bCs w:val="1"/>
                <w:color w:val="auto"/>
              </w:rPr>
              <w:t>Thirty-Six Weeks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48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85"/>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419</w:t>
            </w:r>
          </w:p>
        </w:tc>
        <w:tc>
          <w:tcPr>
            <w:tcW w:w="5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60"/>
              <w:spacing w:after="0"/>
              <w:rPr>
                <w:sz w:val="20"/>
                <w:szCs w:val="20"/>
                <w:color w:val="auto"/>
              </w:rPr>
            </w:pPr>
            <w:r>
              <w:rPr>
                <w:rFonts w:ascii="Arial" w:cs="Arial" w:eastAsia="Arial" w:hAnsi="Arial"/>
                <w:sz w:val="18"/>
                <w:szCs w:val="18"/>
                <w:color w:val="auto"/>
              </w:rPr>
              <w:t>10</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Residential products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Total contract sales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419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increase in contract sales in our North America segment included $8 million of residential contract sales (compared to $0 in the prior year comparable period) as we continue to execute our strategy to dispose of excess inventory, and a $10 million, or 2 percent, increase in vacation ownership contract sales. The increase in vacation ownership contract sales reflected a nearly 9 percent increase in VPG to $3,243 in the thirty-six weeks ended September 6, 2013 from $2,988 in the prior year comparable period. This increase in VPG was due to a nearly 4 percent price increase and a 1 percentage point increase in closing efficiency resulting from improved marketing and sales execution. These increases were partially offset by a 5 percent decline in tours. The decline in tours was driven by an increase in weeks-based owner utilization of the MVCD program, with owners taking advantage of the program’s flexibility through shorter stays and alternative usage options. This has reduced our existing owner tour-flow, which we intend to increase in the future through new programs for existing owners. In addition, we are focused on new sales channels targeted toward first time buyers.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660" w:type="dxa"/>
            <w:vAlign w:val="bottom"/>
          </w:tcPr>
          <w:p>
            <w:pPr>
              <w:spacing w:after="0"/>
              <w:rPr>
                <w:sz w:val="10"/>
                <w:szCs w:val="10"/>
                <w:color w:val="auto"/>
              </w:rPr>
            </w:pPr>
          </w:p>
        </w:tc>
        <w:tc>
          <w:tcPr>
            <w:tcW w:w="12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Development margin</w:t>
            </w:r>
          </w:p>
        </w:tc>
        <w:tc>
          <w:tcPr>
            <w:tcW w:w="1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3.5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00" w:type="dxa"/>
            <w:vAlign w:val="bottom"/>
          </w:tcPr>
          <w:p>
            <w:pPr>
              <w:spacing w:after="0"/>
              <w:rPr>
                <w:sz w:val="24"/>
                <w:szCs w:val="24"/>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increase in revenues from the sale of vacation ownership products was due to $15 million of higher revenue reportability compared to the prior year comparable period and the $10 million increase in contract sales, partially offset by $2 million of higher vacation ownership notes receivable reserve activity (due to the higher contract sales volume and revenue reportability, net of lower estimated default and delinquency activity in the twelve weeks ended September 6, 2013). The $15 million of higher revenue reportability resulted from $2 million of higher revenue reportability in the twelve weeks ended September 6, 2013 compared to $13 million of lower revenue reportability in the prior year comparable period. The impact of revenue reportability was higher in the current year quarter because more sales met the down payment requirement for revenue recognition purposes in the current period than in the prior year comparable period.</w:t>
      </w:r>
    </w:p>
    <w:p>
      <w:pPr>
        <w:spacing w:after="0" w:line="18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increase in development margin reflected a $9 million increase from higher contract sales volume net of lower direct variable expenses (i.e., cost of vacation ownership products and marketing and sales) due to a favorable mix of lower cost real estate inventory being sold and more efficient marketing and sales spending, $8 million from higher revenue reportability year-over-year, and $1 million of higher than expected redemption costs associated with Marriott Rewards Points issued prior to the Spin-Off in the prior year comparable period. These increases were partially offset by nearly $8 million of lower favorable product cost true-ups (less than $3 million in the twelve weeks ended September 6, 2013 compared to $11 million in the prior year comparable period), and a $1 million impact from the higher vacation ownership notes receivable reserve activity.</w:t>
      </w:r>
    </w:p>
    <w:p>
      <w:pPr>
        <w:spacing w:after="0" w:line="178"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3.5 percentage point improvement in the development margin percentage reflected a 4 percentage point increase due to higher revenue reportability year-over-year and a 4 percentage point increase due to increased efficiency in marketing and sales spending. These increases were partially offset by a nearly 5 percentage point decrease from higher cost of vacation ownership products, which included a 7 percentage point decrease resulting from higher unfavorable product cost true-up activity in the prior year and a 2 percentage point increase from a favorable mix of lower cost real estate inventory being sold.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Thirty-Six Weeks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660" w:type="dxa"/>
            <w:vAlign w:val="bottom"/>
          </w:tcPr>
          <w:p>
            <w:pPr>
              <w:spacing w:after="0"/>
              <w:rPr>
                <w:sz w:val="10"/>
                <w:szCs w:val="10"/>
                <w:color w:val="auto"/>
              </w:rPr>
            </w:pPr>
          </w:p>
        </w:tc>
        <w:tc>
          <w:tcPr>
            <w:tcW w:w="12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5.1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increase in revenues from the sale of vacation ownership products was due to $31 million of higher revenue reportability in the thirty-six weeks ended September 6, 2013 compared to the prior year comparable period, the $18 million increase in contract sales and $1 million of lower vacation ownership notes receivable reserve activity (due to lower estimated default and delinquency activity, net of higher contract sales volume and revenue reportability in the thirty-six weeks ended September 6, 2013). These increases were partially offset by $2 million of higher sales incentives issued in the current year period for plus points. Plus points will ultimately be recognized as rental revenues upon usage or expiration of the plus points rather than revenues from the sale of vacation ownership products. The $31 million of higher revenue reportability resulted from $2 million of higher revenue reportability in the thirty-six weeks ended September 6, 2013 compared to $29 million of lower revenue reportability in the prior year comparable period. Revenue reportability was higher in the current year period because certain sales made during, or prior to, the current period met the down payment requirement for revenue recognition purposes prior to the end of the period, offset partially by the fact that certain sales made during, or prior to, the current period remained in the statutory rescission period at the end of the period. In the prior year comparable period, revenue reportability was lower because certain sales made during, or prior to, the prior year period did not meet the down payment requirement for revenue recognition purposes by the end of the period and certain sales did not meet the rescission requirement for revenue recognition purposes by the end of the period.</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increase in development margin reflected an $18 million increase from higher contract sales volume net of direct variable expenses (i.e., cost of vacation ownership products and marketing and sales) due to a favorable mix of lower cost real estate inventory being sold and more efficient marketing and sales spending, $17 million from higher revenue reportability year-over-year, and $1 million of higher than expected redemption costs associated with Marriott Rewards Points issued prior to the Spin-Off in the prior year comparable period. These increases were partially offset by $8 million of higher favorable product cost true-ups in the prior year (more than $7 million in the thirty-six weeks ended September 6, 2013 compared to nearly $16 million in the prior year comparable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 favorable product cost true-ups recorded in the thirty-six weeks ended September 6, 2013 were the result of $4 million from changes in sequencing of inventory into the MVCD program due to the continued reacquisition of previously sold inventory and $3 million from lower construction costs.</w:t>
      </w:r>
    </w:p>
    <w:p>
      <w:pPr>
        <w:spacing w:after="0" w:line="12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5 percentage point improvement in the development margin percentage reflected a 3 percentage point increase due to higher revenue reportability year-over-year and a 2 percentage point increase due to increased efficiency in marketing and sales spending. The cost of vacation ownership products as a percentage of revenue from the sale of vacation ownership products was nearly unchanged from the prior year comparable period, and included a 3 percentage point decrease resulting from unfavorable product cost true-up activity year-over-year and a 3 percentage point increase from a favorable mix of lower cost real estate inventory being sold.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Twelve Weeks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5"/>
              </w:rPr>
              <w:t>8.3 pts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increase in resort management and other services revenues was driven by nearly $1 million of higher management fees resulting from the cumulative increase in the number of vacation ownership products sold and higher operating costs across the system and $1 million of additional annual club dues earned in connection with the MVCD program due to the cumulative increase in owners enrolled in the program. Ancillary revenues were in line with the prior year comparable period, and included a nearly $2 million decline due to the disposition of a golf course and related assets at one of our Ritz-Carlton branded projects late in 2012 and a nearly $2 million increase in ancillary revenues from food and beverage and golf offerings at our resorts.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improvement in the resort management and other services margin reflected $2 million of higher ancillary revenues net of expenses primarily due to the disposition of a golf course and related assets at one of our Ritz-Carlton branded projects late in 2012, which experienced an operating loss in the prior year comparable period, $1 million of higher customer services margin resulting from lower operating expenses, and $1 million of additional annual club dues earned in connection with the MVCD program net of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Thirty-Six Weeks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102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6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5"/>
              </w:rPr>
              <w:t>7.4 pts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20" w:firstLine="456"/>
        <w:spacing w:after="0" w:line="297" w:lineRule="auto"/>
        <w:rPr>
          <w:sz w:val="20"/>
          <w:szCs w:val="20"/>
          <w:color w:val="auto"/>
        </w:rPr>
      </w:pPr>
      <w:r>
        <w:rPr>
          <w:rFonts w:ascii="Arial" w:cs="Arial" w:eastAsia="Arial" w:hAnsi="Arial"/>
          <w:sz w:val="16"/>
          <w:szCs w:val="16"/>
          <w:color w:val="auto"/>
        </w:rPr>
        <w:t>The increase in resort management and other services revenues was driven by $4 million of additional annual club dues earned in connection with the MVCD program due to the cumulative increase in owners enrolled in the program and $2 million of higher management fees resulting from the cumulative increase in the number of vacation ownership products sold and higher operating costs across the system. These increases were partially offset by $3 million of lower ancillary revenues, which reflected a $7 million decline due to the disposition of a golf course and related assets at one of our Ritz-Carlton branded projects late in 2012 partially offset by a $4 million increase in ancillary revenues from food and beverage and golf offerings at our resorts.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improvement in the resort management and other services margin reflected $4 million of additional annual club dues earned in connection with the MVCD program net of expenses, nearly $4 million of higher ancillary revenues net of expenses primarily due to the disposition of a golf course and related assets at one of our Ritz-Carlton branded projects late in 2012, which experienced an operating loss in the prior year comparable period, a $2 million increase in customer services margin resulting from lower operating expenses, and a nearly $2 million increase in management fees net of expenses.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7"/>
              </w:rPr>
              <w:t>Twelve Weeks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5"/>
              </w:rPr>
              <w:t>Thirty-Six Weeks Ended</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40" w:type="dxa"/>
            <w:vAlign w:val="bottom"/>
          </w:tcPr>
          <w:p>
            <w:pPr>
              <w:spacing w:after="0"/>
              <w:rPr>
                <w:sz w:val="10"/>
                <w:szCs w:val="10"/>
                <w:color w:val="auto"/>
              </w:rPr>
            </w:pPr>
          </w:p>
        </w:tc>
        <w:tc>
          <w:tcPr>
            <w:tcW w:w="10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4"/>
                <w:szCs w:val="14"/>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3"/>
              </w:rPr>
              <w:t>(9%)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760" w:type="dxa"/>
            <w:vAlign w:val="bottom"/>
            <w:gridSpan w:val="2"/>
          </w:tcPr>
          <w:p>
            <w:pPr>
              <w:ind w:left="36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6"/>
              </w:rPr>
              <w:t>Twelve Weeks Ended</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6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640" w:type="dxa"/>
            <w:vAlign w:val="bottom"/>
            <w:gridSpan w:val="4"/>
          </w:tcPr>
          <w:p>
            <w:pPr>
              <w:ind w:left="2340"/>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3"/>
              <w:spacing w:after="0"/>
              <w:rPr>
                <w:sz w:val="20"/>
                <w:szCs w:val="20"/>
                <w:color w:val="auto"/>
              </w:rPr>
            </w:pPr>
            <w:r>
              <w:rPr>
                <w:rFonts w:ascii="Arial" w:cs="Arial" w:eastAsia="Arial" w:hAnsi="Arial"/>
                <w:sz w:val="18"/>
                <w:szCs w:val="18"/>
                <w:color w:val="auto"/>
                <w:w w:val="93"/>
              </w:rPr>
              <w:t>(11)</w:t>
            </w:r>
          </w:p>
        </w:tc>
        <w:tc>
          <w:tcPr>
            <w:tcW w:w="1020" w:type="dxa"/>
            <w:vAlign w:val="bottom"/>
            <w:gridSpan w:val="5"/>
          </w:tcPr>
          <w:p>
            <w:pPr>
              <w:jc w:val="right"/>
              <w:ind w:right="8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4"/>
              </w:rPr>
              <w:t>(14)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3"/>
              </w:rPr>
              <w:t>(35)</w:t>
            </w:r>
          </w:p>
        </w:tc>
        <w:tc>
          <w:tcPr>
            <w:tcW w:w="10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7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3040" w:type="dxa"/>
            <w:vAlign w:val="bottom"/>
            <w:gridSpan w:val="6"/>
            <w:shd w:val="clear" w:color="auto" w:fill="CCEEFF"/>
          </w:tcPr>
          <w:p>
            <w:pPr>
              <w:jc w:val="right"/>
              <w:ind w:right="73"/>
              <w:spacing w:after="0"/>
              <w:rPr>
                <w:sz w:val="20"/>
                <w:szCs w:val="20"/>
                <w:color w:val="auto"/>
              </w:rPr>
            </w:pPr>
            <w:r>
              <w:rPr>
                <w:rFonts w:ascii="Arial" w:cs="Arial" w:eastAsia="Arial" w:hAnsi="Arial"/>
                <w:sz w:val="18"/>
                <w:szCs w:val="18"/>
                <w:color w:val="auto"/>
              </w:rPr>
              <w:t>11.7%</w:t>
            </w:r>
          </w:p>
        </w:tc>
        <w:tc>
          <w:tcPr>
            <w:tcW w:w="10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17.1 pts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80" w:type="dxa"/>
            <w:vAlign w:val="bottom"/>
            <w:gridSpan w:val="8"/>
          </w:tcPr>
          <w:p>
            <w:pPr>
              <w:ind w:left="340"/>
              <w:spacing w:after="0"/>
              <w:rPr>
                <w:sz w:val="20"/>
                <w:szCs w:val="20"/>
                <w:color w:val="auto"/>
              </w:rPr>
            </w:pPr>
            <w:r>
              <w:rPr>
                <w:rFonts w:ascii="Arial" w:cs="Arial" w:eastAsia="Arial" w:hAnsi="Arial"/>
                <w:sz w:val="14"/>
                <w:szCs w:val="14"/>
                <w:b w:val="1"/>
                <w:bCs w:val="1"/>
                <w:color w:val="auto"/>
              </w:rPr>
              <w:t>Twelve Weeks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w w:val="95"/>
              </w:rPr>
              <w:t>September 6,</w:t>
            </w: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17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232,272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6"/>
              </w:rPr>
              <w:t>207,061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25,211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640" w:type="dxa"/>
            <w:vAlign w:val="bottom"/>
            <w:gridSpan w:val="4"/>
          </w:tcPr>
          <w:p>
            <w:pPr>
              <w:jc w:val="right"/>
              <w:ind w:right="100"/>
              <w:spacing w:after="0"/>
              <w:rPr>
                <w:sz w:val="20"/>
                <w:szCs w:val="20"/>
                <w:color w:val="auto"/>
              </w:rPr>
            </w:pPr>
            <w:r>
              <w:rPr>
                <w:rFonts w:ascii="Arial" w:cs="Arial" w:eastAsia="Arial" w:hAnsi="Arial"/>
                <w:sz w:val="18"/>
                <w:szCs w:val="18"/>
                <w:color w:val="auto"/>
              </w:rPr>
              <w:t>$   206.04</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183.11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22.93</w:t>
            </w:r>
          </w:p>
        </w:tc>
        <w:tc>
          <w:tcPr>
            <w:tcW w:w="22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2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0.2 pts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ectPr>
          <w:pgSz w:w="11900" w:h="16838" w:orient="portrait"/>
          <w:cols w:equalWidth="0" w:num="1">
            <w:col w:w="11360"/>
          </w:cols>
          <w:pgMar w:left="240" w:top="459" w:right="299" w:bottom="1440" w:gutter="0" w:footer="0" w:header="0"/>
        </w:sectPr>
      </w:pP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459" w:right="2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increase in rental revenues was due to a 12 percent increase in transient keys rented (nearly $5 million), which were primarily sourced from a 7 percent increase in available keys (25,000 additional available keys) resulting from an increase in the number of owners choosing to exchange their vacation ownership interests for alternative usage options and lower utilization of plus points for stays at our resorts, as well as a nearly 13 percent increase in average transient rate ($5 million) driven by stronger consumer demand and a favorable mix of available inventory. These increases were partially offset by more than $1 million of lower plus points revenue (which is recognized upon utilization of plus points for stays at our resorts or upon expiration of the points) resulting from the decline in new enrollments in the MVCD program by existing owners (due to the maturity of the MVCD program).</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increase in rental margin reflected $7 million of higher rental revenues net of direct variable expenses (such as housekeeping) and expenses incurred due to owners choosing alternative usage options, as well as $4 million from higher than expected redemption costs associated with Marriott Rewards Points issued prior to the Spin-Off in the prior year comparable period. These increases were partially offset by the more than $1 million decline in plus points revenue.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Thirty-Six Weeks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Unsold maintenance fees</w:t>
            </w:r>
          </w:p>
        </w:tc>
        <w:tc>
          <w:tcPr>
            <w:tcW w:w="1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Rental margin</w:t>
            </w:r>
          </w:p>
        </w:tc>
        <w:tc>
          <w:tcPr>
            <w:tcW w:w="19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7.4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2160" w:type="dxa"/>
            <w:vAlign w:val="bottom"/>
            <w:gridSpan w:val="4"/>
          </w:tcPr>
          <w:p>
            <w:pPr>
              <w:ind w:left="180"/>
              <w:spacing w:after="0"/>
              <w:rPr>
                <w:sz w:val="20"/>
                <w:szCs w:val="20"/>
                <w:color w:val="auto"/>
              </w:rPr>
            </w:pPr>
            <w:r>
              <w:rPr>
                <w:rFonts w:ascii="Arial" w:cs="Arial" w:eastAsia="Arial" w:hAnsi="Arial"/>
                <w:sz w:val="14"/>
                <w:szCs w:val="14"/>
                <w:b w:val="1"/>
                <w:bCs w:val="1"/>
                <w:color w:val="auto"/>
              </w:rPr>
              <w:t>Thirty-Six Weeks Ended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72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5"/>
              </w:rPr>
              <w:t>September 6,</w:t>
            </w: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60" w:type="dxa"/>
            <w:vAlign w:val="bottom"/>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800" w:type="dxa"/>
            <w:vAlign w:val="bottom"/>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Transient keys rented </w:t>
            </w:r>
            <w:r>
              <w:rPr>
                <w:rFonts w:ascii="Arial" w:cs="Arial" w:eastAsia="Arial" w:hAnsi="Arial"/>
                <w:sz w:val="15"/>
                <w:szCs w:val="15"/>
                <w:color w:val="auto"/>
              </w:rPr>
              <w:t>(1)</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709,553</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617,975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91,578</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   204.92</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   187.55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$ 17.37</w:t>
            </w: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91.3%</w:t>
            </w: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0.0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Transient keys rented exclude those obtained through the use of plus points.</w:t>
      </w:r>
    </w:p>
    <w:p>
      <w:pPr>
        <w:spacing w:after="0" w:line="22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increase in rental revenues was due to a 15 percent increase in transient keys rented ($17 million), which were primarily sourced from a 9 percent increase in available keys (98,000 additional available keys) resulting from an increase in the number of owners choosing to exchange their vacation ownership interests for alternative usage options, additional inventory from a new phase completed at one of our projects in Hawaii after the end of the second quarter of 2012 and a lower utilization of plus points for stays at our resorts, as well as a 9 percent increase in average transient rate ($12 million) driven by stronger consumer demand and a favorable mix of available inventory. These increases were partially offset by a $5 million decrease in plus points revenue (which is recognized upon utilization of plus points for stays at our resorts or upon expiration of the points) resulting from the decline in new enrollments in the MVCD program by existing owners (due to the maturity of the MVCD program) and corresponding issuance of plus points as incentives for enrollment in the MVCD program.</w:t>
      </w:r>
    </w:p>
    <w:p>
      <w:pPr>
        <w:spacing w:after="0" w:line="19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increase in rental margin reflected $16 million of higher rental revenues net of direct variable expenses (such as housekeeping) and expenses incurred due to owners choosing alternative usage options and higher unsold maintenance fees, as well as $4 million from higher than expected redemption costs associated with Marriott Rewards Points issued prior to the Spin-Off in the prior year comparable period. These increases were partially offset by the $5 million decline in plus points revenue. The increase in unsold maintenance fees reflected the addition of new inventory upon completion of a phase at one of our projects in Hawaii in 2012, as well as increased expenses associated with our inventory repurchase program.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7"/>
              </w:rPr>
              <w:t>Twelve Weeks Ended</w:t>
            </w:r>
          </w:p>
        </w:tc>
        <w:tc>
          <w:tcPr>
            <w:tcW w:w="140" w:type="dxa"/>
            <w:vAlign w:val="bottom"/>
          </w:tcPr>
          <w:p>
            <w:pPr>
              <w:spacing w:after="0"/>
              <w:rPr>
                <w:sz w:val="14"/>
                <w:szCs w:val="14"/>
                <w:color w:val="auto"/>
              </w:rPr>
            </w:pPr>
          </w:p>
        </w:tc>
        <w:tc>
          <w:tcPr>
            <w:tcW w:w="18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Thirty-Six Weeks Ended</w:t>
            </w:r>
          </w:p>
        </w:tc>
      </w:tr>
      <w:tr>
        <w:trPr>
          <w:trHeight w:val="119"/>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5"/>
              </w:rPr>
              <w:t>September 6,</w:t>
            </w: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8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00" w:type="dxa"/>
            <w:vAlign w:val="bottom"/>
          </w:tcPr>
          <w:p>
            <w:pPr>
              <w:spacing w:after="0"/>
              <w:rPr>
                <w:sz w:val="10"/>
                <w:szCs w:val="10"/>
                <w:color w:val="auto"/>
              </w:rPr>
            </w:pPr>
          </w:p>
        </w:tc>
      </w:tr>
      <w:tr>
        <w:trPr>
          <w:trHeight w:val="171"/>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Segment financial results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1"/>
              </w:rPr>
              <w:t>Twelve Weeks Ended</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580" w:type="dxa"/>
            <w:vAlign w:val="bottom"/>
          </w:tcPr>
          <w:p>
            <w:pPr>
              <w:ind w:left="260"/>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color w:val="auto"/>
              </w:rPr>
              <w:t>The decline in contract sales reflected our strategy to sell through existing inventory.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060" w:type="dxa"/>
            <w:vAlign w:val="bottom"/>
          </w:tcPr>
          <w:p>
            <w:pPr>
              <w:spacing w:after="0"/>
              <w:rPr>
                <w:sz w:val="20"/>
                <w:szCs w:val="20"/>
                <w:color w:val="auto"/>
              </w:rPr>
            </w:pPr>
            <w:r>
              <w:rPr>
                <w:rFonts w:ascii="Arial" w:cs="Arial" w:eastAsia="Arial" w:hAnsi="Arial"/>
                <w:sz w:val="18"/>
                <w:szCs w:val="18"/>
                <w:i w:val="1"/>
                <w:iCs w:val="1"/>
                <w:color w:val="auto"/>
              </w:rPr>
              <w:t>Thirty-Six Weeks Ended September 6, 2013</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5"/>
              </w:rPr>
              <w:t>Thirty-Six Weeks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580" w:type="dxa"/>
            <w:vAlign w:val="bottom"/>
          </w:tcPr>
          <w:p>
            <w:pPr>
              <w:ind w:left="260"/>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31</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decline in contract sales reflected our strategy to sell through existing inventory and higher rescission activity due to the extended rescission periods in this segment during the second quarter of 2013.</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240" w:top="459" w:right="6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Twelve Weeks Ended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9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5"/>
                <w:szCs w:val="15"/>
                <w:color w:val="auto"/>
                <w:w w:val="71"/>
              </w:rPr>
              <w:t>3</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3</w:t>
            </w:r>
          </w:p>
        </w:tc>
        <w:tc>
          <w:tcPr>
            <w:tcW w:w="22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28.1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higher revenue from the sale of vacation ownership products reflected $8 million of higher revenue reportability, partially offset by a $5 million decline in contract sales. The $8 million of higher revenue reportability resulted from $2 million of higher revenue reportability in the twelve weeks ended September 6, 2013 compared to $6 million of lower revenue reportability in the prior year comparable period. Revenue reportability was higher in the current year quarter because the rescission period related to certain sales made in the current or prior periods expired before the end of the quarter. The lower reportability in the prior year quarter reflected the fact that certain sales made during or prior to that period either remained in the statutory rescission period at the end of the period or did not meet the down payment requirement for revenue recognition purposes by the end of the period. Revenue reportability can affect quarter-to-quarter earnings but historically has had no material impact on year-over-year earnings. However, given the impact of the extended rescission periods in this segment, we expect that revenue reportability will have a positive material impact on year-over-year comparability of our 2013 earnings.</w:t>
      </w:r>
    </w:p>
    <w:p>
      <w:pPr>
        <w:spacing w:after="0" w:line="19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The increase in development margin reflected $4 million from higher revenue reportability year-over-year (of which $3 million related to the impact of the extended rescission periods in this segment), partially offset by a $1 million favorable product cost true-up in the prior year period.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Thirty-Six Weeks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9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6,</w:t>
            </w: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September 7,</w:t>
            </w: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higher revenue from the sale of vacation ownership products reflected $35 million of higher revenue reportability and $1 million of lower vacation ownership notes receivable reserve activity, partially offset by an $11 million decline in contract sales. The $35 million of higher revenue reportability resulted from $25 million of higher revenue reportability in the thirty-six weeks ended September 6, 2013 compared to $10 million of lower revenue reportability in the prior year comparable period. Revenue reportability was higher in the current year quarter because the rescission period related to certain sales made in the current or prior periods expired before the end of the quarter, of which $20 million related to the impact of the extended rescission periods in this segment. The lower reportability in the prior year quarter reflected the fact that certain sales made during or prior to that period remained in the statutory rescission period at the end of the period. Revenue reportability can affect quarter-to-quarter earnings but historically has had no material impact on year-over-year earnings. However, given the impact of the extended rescission periods in this segment, we expect that revenue reportability will have a positive material impact on year-over-year comparability of our 2013 earnings.</w:t>
      </w:r>
    </w:p>
    <w:p>
      <w:pPr>
        <w:spacing w:after="0" w:line="182"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The increase in development margin reflected $18 million from higher revenue reportability year-over-year (of which $17 million related to the impact of the extended rescission periods in this segment), a $2 million increase from lower contract sales volume net of lower direct variable expenses (i.e., cost of vacation ownership products and marketing and sales) due to a favorable mix of lower cost real estate inventory being sold, and a $1 million benefit from the lower estimated default and delinquency activity. These increases were partially offset by $2 million of severance charges related to the restructuring of sales locations in early 2013.</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Asia Pacific</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7"/>
              </w:rPr>
              <w:t>Twelve Weeks Ended</w:t>
            </w:r>
          </w:p>
        </w:tc>
        <w:tc>
          <w:tcPr>
            <w:tcW w:w="14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Thirty-Six Weeks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8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00" w:type="dxa"/>
            <w:vAlign w:val="bottom"/>
          </w:tcPr>
          <w:p>
            <w:pPr>
              <w:spacing w:after="0"/>
              <w:rPr>
                <w:sz w:val="10"/>
                <w:szCs w:val="10"/>
                <w:color w:val="auto"/>
              </w:rPr>
            </w:pPr>
          </w:p>
        </w:tc>
      </w:tr>
      <w:tr>
        <w:trPr>
          <w:trHeight w:val="171"/>
        </w:trPr>
        <w:tc>
          <w:tcPr>
            <w:tcW w:w="6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40</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59</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Marketing and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28</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Rental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fee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7"/>
        </w:trPr>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55</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Segment financial results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our Asia Pacific segment, we continue to identify opportunities for development margin improvement and, as a result, we closed our off-site sales locations in Hong Kong and Japan in the fourth quarter of 2012. Our on-site sales locations are more efficient sales channels than our off-site sales locations and we plan to focus on future inventory acquisitions with strong on-site sales distribution potential.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Twelve Weeks Ended</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15</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decline in contract sales reflected the closure of off-site sales locations in 2012, partially offset by improvements at existing sales locations. These changes resulted in a 61 percent decrease in sales tours and a $697 increase in VPG.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w w:val="95"/>
              </w:rPr>
              <w:t>Thirty-Six Weeks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6,</w:t>
            </w:r>
          </w:p>
        </w:tc>
        <w:tc>
          <w:tcPr>
            <w:tcW w:w="200" w:type="dxa"/>
            <w:vAlign w:val="bottom"/>
          </w:tcPr>
          <w:p>
            <w:pPr>
              <w:spacing w:after="0"/>
              <w:rPr>
                <w:sz w:val="10"/>
                <w:szCs w:val="10"/>
                <w:color w:val="auto"/>
              </w:rPr>
            </w:pPr>
          </w:p>
        </w:tc>
        <w:tc>
          <w:tcPr>
            <w:tcW w:w="8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0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4"/>
                <w:szCs w:val="14"/>
                <w:color w:val="auto"/>
              </w:rPr>
            </w:pPr>
          </w:p>
        </w:tc>
        <w:tc>
          <w:tcPr>
            <w:tcW w:w="680" w:type="dxa"/>
            <w:vAlign w:val="bottom"/>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 Sales</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720"/>
              <w:spacing w:after="0"/>
              <w:rPr>
                <w:sz w:val="20"/>
                <w:szCs w:val="20"/>
                <w:color w:val="auto"/>
              </w:rPr>
            </w:pPr>
            <w:r>
              <w:rPr>
                <w:rFonts w:ascii="Arial" w:cs="Arial" w:eastAsia="Arial" w:hAnsi="Arial"/>
                <w:sz w:val="18"/>
                <w:szCs w:val="18"/>
                <w:color w:val="auto"/>
              </w:rPr>
              <w:t>Vacation ownership</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contract 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decline in contract sales reflected the closure of off-site sales locations in 2012, partially offset by improvements at existing sales locations. These changes resulted in a 59 percent decrease in sales tours and an $842 increase in VPG.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00"/>
          </w:cols>
          <w:pgMar w:left="24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Twelve Weeks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7"/>
              </w:rPr>
              <w:t>Change</w:t>
            </w:r>
          </w:p>
        </w:tc>
        <w:tc>
          <w:tcPr>
            <w:tcW w:w="220" w:type="dxa"/>
            <w:vAlign w:val="bottom"/>
            <w:vMerge w:val="restart"/>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Development margin</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2.8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Although flat when compared to the prior year comparable period, development margin in the twelve weeks ended September 6, 2013 reflects lower sales volume net of direct variable expenses (i.e., cost of vacation ownership products and marketing and sales).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5"/>
              </w:rPr>
              <w:t>Thirty-Six Weeks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4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4"/>
                <w:szCs w:val="14"/>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Development margin</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11.5 pts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increase in development margin was due to the lower sales volume net of direct variable expenses (i.e., cost of vacation ownership products and marketing and sales) as a result of more efficient marketing and sales spending at our existing sales locations in the thirty-six weeks ended September 6, 2013.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Twelve Weeks Ended</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Thirty-Six Weeks Ended</w:t>
            </w:r>
          </w:p>
        </w:tc>
      </w:tr>
      <w:tr>
        <w:trPr>
          <w:trHeight w:val="119"/>
        </w:trPr>
        <w:tc>
          <w:tcPr>
            <w:tcW w:w="6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28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00" w:type="dxa"/>
            <w:vAlign w:val="bottom"/>
          </w:tcPr>
          <w:p>
            <w:pPr>
              <w:spacing w:after="0"/>
              <w:rPr>
                <w:sz w:val="10"/>
                <w:szCs w:val="10"/>
                <w:color w:val="auto"/>
              </w:rPr>
            </w:pPr>
          </w:p>
        </w:tc>
      </w:tr>
      <w:tr>
        <w:trPr>
          <w:trHeight w:val="171"/>
        </w:trPr>
        <w:tc>
          <w:tcPr>
            <w:tcW w:w="6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Organizational and separation related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Royalty fee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55</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Corporate and Other consists of information not specifically attributable to an individual segment, including expenses in support of our financing operations, non-capitalizable development expenses supporting overall company development, company-wide general and administrative costs, the fixed royalty fee payable under our License Agreements and interest expense.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Twelve Weeks Ended September 6, 2013</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Total expenses decreased $1 million from the prior year comparable period. The decrease was the result of $3 million of lower consumer financing interest expense, and $3 million of lower interest expense, partially offset by $3 million of higher general and administrative expenses and $2 million of higher organizational and separation related expenses.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$3 million decline in consumer financing interest expense was due to the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the lower interest rates applicable to our most recently completed securitization of vacation ownership notes receivable.</w:t>
      </w:r>
    </w:p>
    <w:p>
      <w:pPr>
        <w:spacing w:after="0" w:line="187" w:lineRule="exact"/>
        <w:rPr>
          <w:sz w:val="20"/>
          <w:szCs w:val="20"/>
          <w:color w:val="auto"/>
        </w:rPr>
      </w:pPr>
    </w:p>
    <w:p>
      <w:pPr>
        <w:jc w:val="both"/>
        <w:ind w:right="320" w:firstLine="456"/>
        <w:spacing w:after="0" w:line="342" w:lineRule="auto"/>
        <w:rPr>
          <w:sz w:val="20"/>
          <w:szCs w:val="20"/>
          <w:color w:val="auto"/>
        </w:rPr>
      </w:pPr>
      <w:r>
        <w:rPr>
          <w:rFonts w:ascii="Arial" w:cs="Arial" w:eastAsia="Arial" w:hAnsi="Arial"/>
          <w:sz w:val="16"/>
          <w:szCs w:val="16"/>
          <w:color w:val="auto"/>
        </w:rPr>
        <w:t>The $3 million of lower interest expense was primarily driven by a $1 million decline in expense associated with our liability for Marriott Rewards Points under the Marriott Rewards Affiliation Agreement between us and Marriott International and an increase of $1 million in capitalized interest costs.</w:t>
      </w:r>
    </w:p>
    <w:p>
      <w:pPr>
        <w:spacing w:after="0" w:line="124"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The $3 million of higher general and administrative expense was due to $3 million of higher legal and audit related expenses and $2 million of higher personnel related costs. These increases were offset by $1 million of savings related to organizational and separation related efforts in the human resources, information technology and finance and accounting areas and $1 million of lower depreciation expense.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Thirty-Six Weeks Ended September 6, 2013</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Total expenses decreased $7 million over the prior year comparable period. The decrease was the result of $8 million of lower consumer financing interest expense, $3 million of lower interest expense, $2 million of lower financing expenses due to lower foreclosure activity and lower expenses associated with our Revolving Corporate Credit Facility and $1 million of lower organizational and separation related expenses, partially offset by $7 million of higher general and administrative expenses.</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$8 million decline in consumer financing interest expense was due to the lower outstanding debt balances of securitized vacation ownership notes receivable and associated interest costs as well as a lower average interest rate. The lower average interest rate reflected the continued pay-down of older securitization transactions that carried higher overall interest rates and the benefit of the lower interest rates applicable to our most recently completed securitization of vacation ownership notes receivable.</w:t>
      </w:r>
    </w:p>
    <w:p>
      <w:pPr>
        <w:spacing w:after="0" w:line="18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$3 million of lower interest expense was primarily driven by a $2 million decline in expense associated with our liability for Marriott Rewards Points under the Marriott Rewards Affiliation Agreement between us and Marriott International.</w:t>
      </w:r>
    </w:p>
    <w:p>
      <w:pPr>
        <w:spacing w:after="0" w:line="170"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The $7 million of higher general and administrative expense was due to $6 million of higher legal and audit related expenses, $5 million of higher personnel related costs, and $2 million of higher standalone public company costs. These increases were offset by $3 million of savings related to organizational and separation related efforts in the human resources, information technology and finance and accounting areas, $2 million from lower depreciation expense and $1 million from the favorable resolution of an international tax (non-income tax) matter.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See Footnote No. 1 to our Financial Statements, “Summary of Significant Accounting Policies,” for information related to our adoption of new accounting standards in the thirty-six weeks ended September 6,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capital needs are supported by cash on hand ($288 million at the end of the third quarter of 2013), cash generated from operations, our ability to raise capital through securitizations in the ABS market, and to the extent necessary, funds available under the Warehouse Credit Facility and the Revolving Corporate Credit Facility. We believe these sources will be adequate to meet our short-term and long-term liquidity requirements, finance our long-term growth plans, satisfy debt service requirements, and fulfill other cash requirements. At the end of the third quarter of 2013, $747 million of the $751 million of total debt outstanding was non-recourse debt associated with securitized vacation ownership notes receivable. In addition, we have $40 million of mandatorily redeemable preferred stock of a consolidated subsidiary that we are not required to redeem until October 2021; however we may redeem the preferred stock after October 2016 at our option.</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sufficient real estate inventory to meet expected demand for our vacation ownership products for the next several years. At the end of the third quarter of 2013, we had $853 million of real estate inventory on hand, comprised of $390 million of finished goods, $193 million of work-in-process, and $270 million of land and infrastructure. As a result, we expect our real estate inventory spending (discussed below) will be less than or in line with cost of sales for the near term. We also expect to sell excess Ritz-Carlton branded inventory and dispose of undeveloped land over the next few years, and plan to sell most of our remaining Ritz-Carlton branded inventory through the MVCD program, in order to generate incremental cash and reduce related carrying costs.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vacation ownership product offerings also allow us to utilize our real estate inventory more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expect to have fewer resorts under construction at any given time and expect to better leverage successful sales locations at completed resorts. We expect that this will allow us to maintain long-term sales locations and minimize the need to develop and staff on-site sales locations at smaller projects in the future. We believe these points-based programs better position us to align our construction of real estate inventory with the pace of sales of vacation ownership products by slowing down or accelerating construction as demand across our portfolio and market conditions dictate.</w:t>
      </w:r>
    </w:p>
    <w:p>
      <w:pPr>
        <w:spacing w:after="0" w:line="17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During the thirty-six weeks ended September 6, 2013 we had a net increase in cash and cash equivalents of $185 million compared to a $102 million net increase in cash and cash equivalents during the thirty-six weeks ended September 7, 2012. The following table summarizes these changes: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6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w w:val="95"/>
              </w:rPr>
              <w:t>September 6,</w:t>
            </w:r>
          </w:p>
        </w:tc>
        <w:tc>
          <w:tcPr>
            <w:tcW w:w="110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7,</w:t>
            </w:r>
          </w:p>
        </w:tc>
        <w:tc>
          <w:tcPr>
            <w:tcW w:w="120" w:type="dxa"/>
            <w:vAlign w:val="bottom"/>
          </w:tcPr>
          <w:p>
            <w:pPr>
              <w:spacing w:after="0"/>
              <w:rPr>
                <w:sz w:val="10"/>
                <w:szCs w:val="10"/>
                <w:color w:val="auto"/>
              </w:rPr>
            </w:pPr>
          </w:p>
        </w:tc>
      </w:tr>
      <w:tr>
        <w:trPr>
          <w:trHeight w:val="171"/>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80" w:type="dxa"/>
            <w:vAlign w:val="bottom"/>
            <w:gridSpan w:val="2"/>
          </w:tcPr>
          <w:p>
            <w:pPr>
              <w:jc w:val="right"/>
              <w:ind w:right="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8"/>
                <w:szCs w:val="18"/>
                <w:color w:val="auto"/>
              </w:rPr>
            </w:pP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changes in exchange rates on cash and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23"/>
        </w:trPr>
        <w:tc>
          <w:tcPr>
            <w:tcW w:w="6300" w:type="dxa"/>
            <w:vAlign w:val="bottom"/>
          </w:tcPr>
          <w:p>
            <w:pPr>
              <w:ind w:left="720"/>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In the thirty-six weeks ended September 6, 2013, we generated $123 million of cash flows from operating activities, compared to $158 million in the thirty-six weeks ended September 7, 2012. 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or turnkey purchases of new inventory as well as funding our working capital needs.</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minimize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development.</w:t>
      </w:r>
    </w:p>
    <w:p>
      <w:pPr>
        <w:spacing w:after="0" w:line="18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During the thirty-six weeks ended September 6, 2013, cash from operating activities was impacted by the timing of unsold maintenance fee payments to property owners’ associations as compared to the prior year comparable period, higher bonus payments associated with 2012 financial performance and payment of previously accrued legal settlements.</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We recorded $8 million of residential contract sales in the thirty-six weeks ended September 6, 2013, as we continue to execute our strategy to dispose of excess inventory. In addition to these residences, we recently received final registration for ten units at The Ritz-Carlton Club and Residences, San Francisco, which we bought back as part of a legal settlement at the end of 2012. We expect to dispose of these units over the next six to nine months, beginning in the fourth quarter of 2013, which should generate approximately $17 million of net cash proceeds.</w:t>
      </w:r>
    </w:p>
    <w:p>
      <w:pPr>
        <w:spacing w:after="0" w:line="17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In addition to net income and adjustments for non-cash items, the following operating activities are key drivers of our cash flow from operating activities: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6"/>
          </w:tcPr>
          <w:p>
            <w:pPr>
              <w:ind w:left="32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119"/>
        </w:trPr>
        <w:tc>
          <w:tcPr>
            <w:tcW w:w="42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2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Real estate inventory spending</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1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Real estate inventory spending less than cost of sales</w:t>
            </w:r>
          </w:p>
        </w:tc>
        <w:tc>
          <w:tcPr>
            <w:tcW w:w="204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60" w:type="dxa"/>
            <w:vAlign w:val="bottom"/>
            <w:vMerge w:val="restart"/>
          </w:tcPr>
          <w:p>
            <w:pPr>
              <w:jc w:val="right"/>
              <w:ind w:right="1550"/>
              <w:spacing w:after="0"/>
              <w:rPr>
                <w:sz w:val="20"/>
                <w:szCs w:val="20"/>
                <w:color w:val="auto"/>
              </w:rPr>
            </w:pPr>
            <w:r>
              <w:rPr>
                <w:rFonts w:ascii="Arial" w:cs="Arial" w:eastAsia="Arial" w:hAnsi="Arial"/>
                <w:sz w:val="18"/>
                <w:szCs w:val="18"/>
                <w:color w:val="auto"/>
                <w:w w:val="99"/>
              </w:rPr>
              <w:t>50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in our Statements of Operations related to sale of vacation ownership products (a non-cash item).</w:t>
      </w:r>
    </w:p>
    <w:p>
      <w:pPr>
        <w:spacing w:after="0" w:line="124"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Given the significant level of completed real estate inventory on hand, as well as the capital efficiency resulting from the MVCD program, our spending for real estate inventory remained below the amount of real estate inventory costs in each of the thirty-six week periods ended September 6, 2013 and September 7, 2012. We expect our real estate inventory spending to remain in line with or below real estate inventory costs in the near term.</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Through our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 for the next several years.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Thirty-Six Weeks Ended</w:t>
            </w:r>
          </w:p>
        </w:tc>
      </w:tr>
      <w:tr>
        <w:trPr>
          <w:trHeight w:val="119"/>
        </w:trPr>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12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7,</w:t>
            </w:r>
          </w:p>
        </w:tc>
        <w:tc>
          <w:tcPr>
            <w:tcW w:w="120" w:type="dxa"/>
            <w:vAlign w:val="bottom"/>
          </w:tcPr>
          <w:p>
            <w:pPr>
              <w:spacing w:after="0"/>
              <w:rPr>
                <w:sz w:val="10"/>
                <w:szCs w:val="10"/>
                <w:color w:val="auto"/>
              </w:rPr>
            </w:pPr>
          </w:p>
        </w:tc>
      </w:tr>
      <w:tr>
        <w:trPr>
          <w:trHeight w:val="171"/>
        </w:trPr>
        <w:tc>
          <w:tcPr>
            <w:tcW w:w="6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collections — non-securitized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Vacation ownership notes receivable collections — securitized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New vacation ownership notes receivable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r>
      <w:tr>
        <w:trPr>
          <w:trHeight w:val="209"/>
        </w:trPr>
        <w:tc>
          <w:tcPr>
            <w:tcW w:w="6280" w:type="dxa"/>
            <w:vAlign w:val="bottom"/>
          </w:tcPr>
          <w:p>
            <w:pPr>
              <w:ind w:left="360"/>
              <w:spacing w:after="0"/>
              <w:rPr>
                <w:sz w:val="20"/>
                <w:szCs w:val="20"/>
                <w:color w:val="auto"/>
              </w:rPr>
            </w:pPr>
            <w:r>
              <w:rPr>
                <w:rFonts w:ascii="Arial" w:cs="Arial" w:eastAsia="Arial" w:hAnsi="Arial"/>
                <w:sz w:val="18"/>
                <w:szCs w:val="18"/>
                <w:color w:val="auto"/>
              </w:rPr>
              <w:t>Vacation ownership notes receivable collections in excess of new</w:t>
            </w: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280" w:type="dxa"/>
            <w:vAlign w:val="bottom"/>
          </w:tcPr>
          <w:p>
            <w:pPr>
              <w:ind w:left="540"/>
              <w:spacing w:after="0"/>
              <w:rPr>
                <w:sz w:val="20"/>
                <w:szCs w:val="20"/>
                <w:color w:val="auto"/>
              </w:rPr>
            </w:pPr>
            <w:r>
              <w:rPr>
                <w:rFonts w:ascii="Arial" w:cs="Arial" w:eastAsia="Arial" w:hAnsi="Arial"/>
                <w:sz w:val="18"/>
                <w:szCs w:val="18"/>
                <w:color w:val="auto"/>
              </w:rPr>
              <w:t>mortgages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0"/>
                <w:szCs w:val="20"/>
                <w:color w:val="auto"/>
              </w:rPr>
            </w:pP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Vacation ownership notes receivable collections include principal from non-securitized and securitized vacation ownership notes receivable for all periods reported. Total collections and new vacation ownership notes receivable originated in the thirty-six weeks ended September 6, 2013 remained in line with the prior year comparable period. Financing propensity was 42 percent for both the thirty-six weeks ended September 6, 2013 and September 7, 2012. During the thirty-six weeks ended September 6, 2013, and as of September 6, 2013, no pools were out of compliance with performance triggers.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Thirty-Six Weeks Ended</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1220" w:type="dxa"/>
            <w:vAlign w:val="bottom"/>
            <w:gridSpan w:val="3"/>
          </w:tcPr>
          <w:p>
            <w:pPr>
              <w:ind w:left="420"/>
              <w:spacing w:after="0" w:line="119" w:lineRule="exact"/>
              <w:rPr>
                <w:sz w:val="20"/>
                <w:szCs w:val="20"/>
                <w:color w:val="auto"/>
              </w:rPr>
            </w:pPr>
            <w:r>
              <w:rPr>
                <w:rFonts w:ascii="Arial" w:cs="Arial" w:eastAsia="Arial" w:hAnsi="Arial"/>
                <w:sz w:val="13"/>
                <w:szCs w:val="13"/>
                <w:b w:val="1"/>
                <w:bCs w:val="1"/>
                <w:color w:val="auto"/>
                <w:w w:val="95"/>
              </w:rPr>
              <w:t>September 7,</w:t>
            </w:r>
          </w:p>
        </w:tc>
        <w:tc>
          <w:tcPr>
            <w:tcW w:w="120" w:type="dxa"/>
            <w:vAlign w:val="bottom"/>
          </w:tcPr>
          <w:p>
            <w:pPr>
              <w:spacing w:after="0"/>
              <w:rPr>
                <w:sz w:val="10"/>
                <w:szCs w:val="10"/>
                <w:color w:val="auto"/>
              </w:rPr>
            </w:pPr>
          </w:p>
        </w:tc>
      </w:tr>
      <w:tr>
        <w:trPr>
          <w:trHeight w:val="171"/>
        </w:trPr>
        <w:tc>
          <w:tcPr>
            <w:tcW w:w="60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2"/>
              </w:rPr>
              <w:t>(11)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23"/>
        </w:trPr>
        <w:tc>
          <w:tcPr>
            <w:tcW w:w="6060" w:type="dxa"/>
            <w:vAlign w:val="bottom"/>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for ancillary offerings, such as food and beverage offerings at locations where these are provided.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the thirty-six weeks ended September 6, 2013, capital expenditures for property and equipment of $11 million included $7 million of spending to support normal business operations (such as sales locations and ancillary assets) and $4 million for technology spending.</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the thirty-six weeks ended September 7, 2012, capital expenditures for property and equipment of $11 million included $8 million of spending to support normal business operations (such as sales locations and ancillary assets) and $3 million for technology spending.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Decrease in Restricted Cash</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vacation ownership products that are held in escrow until the associated contract has closed or the period in which it can be rescinded has expired, depending on legal requirements. The decrease in restricted cash in the thirty-six weeks ended September 6, 2013 reflects payments to property owners’ associations for maintenance fees collected on their behalf prior to the end of 2012, offset partially by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 increase in cash received related to securitized vacation ownership notes receivable that was distributed to investors after the end of the quarter. We expect the fluctuation in restricted cash for maintenance fee activity to be relatively stable, with cash inflows occurring in the fourth quarter upon receipt of maintenance fees and cash out flows occurring in the first quarter upon remittance to property owners’ associations.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Dispositions in the thirty-six weeks ended September 6, 2013 related to the sale of a multi-family parcel and several lots in St. Thomas, USVI.</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Thirty-Six Weeks Ended</w:t>
            </w:r>
          </w:p>
        </w:tc>
      </w:t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September 6,</w:t>
            </w:r>
          </w:p>
        </w:tc>
        <w:tc>
          <w:tcPr>
            <w:tcW w:w="98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September 7,</w:t>
            </w:r>
          </w:p>
        </w:tc>
        <w:tc>
          <w:tcPr>
            <w:tcW w:w="120" w:type="dxa"/>
            <w:vAlign w:val="bottom"/>
          </w:tcPr>
          <w:p>
            <w:pPr>
              <w:spacing w:after="0"/>
              <w:rPr>
                <w:sz w:val="10"/>
                <w:szCs w:val="10"/>
                <w:color w:val="auto"/>
              </w:rPr>
            </w:pPr>
          </w:p>
        </w:tc>
      </w:tr>
      <w:tr>
        <w:trPr>
          <w:trHeight w:val="171"/>
        </w:trPr>
        <w:tc>
          <w:tcPr>
            <w:tcW w:w="6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Borrowings from securitization transactions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Borrowings on Warehouse Credit Facility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 transactions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Warehouse Credit Facility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r>
      <w:tr>
        <w:trPr>
          <w:trHeight w:val="230"/>
        </w:trPr>
        <w:tc>
          <w:tcPr>
            <w:tcW w:w="20" w:type="dxa"/>
            <w:vAlign w:val="bottom"/>
          </w:tcPr>
          <w:p>
            <w:pPr>
              <w:spacing w:after="0"/>
              <w:rPr>
                <w:sz w:val="20"/>
                <w:szCs w:val="20"/>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Repayment of Revolving Corporate Credit Facility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20" w:type="dxa"/>
            <w:vAlign w:val="bottom"/>
          </w:tcPr>
          <w:p>
            <w:pPr>
              <w:spacing w:after="0"/>
              <w:rPr>
                <w:sz w:val="19"/>
                <w:szCs w:val="19"/>
                <w:color w:val="auto"/>
              </w:rPr>
            </w:pPr>
          </w:p>
        </w:tc>
        <w:tc>
          <w:tcPr>
            <w:tcW w:w="6500" w:type="dxa"/>
            <w:vAlign w:val="bottom"/>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Renewal of Warehouse Credit Facility</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the third quarter of 2013, we entered into an amendment (the “Amendment”) to certain of the agreements associated with the Warehouse Credit Facility. As a result of the Amendment, the revolving period was extended to September 5, 2015, and borrowings under the Warehouse Credit Facility bear interest at a rate based on the one-month LIBOR and bank conduit commercial paper rates plus 1.2 percent per annum and are generally limited at any point to the sum of the products of the applicable advance rates and the eligible vacation ownership notes receivable at such time. The Amendment also expands the eligibility for certain collateral by permitting some vacation ownership notes receivable from domestic borrowers with low or no credit scores to be securitized through the Warehouse Credit Facility. Other terms of the Warehouse Credit Facility are substantially similar to those in effect prior to the amendment and restatement. In addition to the amendments described above, the Amendment also includes certain modifications intended to comply with provisions of the Dodd-Frank Wall Street Reform and Consumer Protection Act and A Global Regulatory Framework for More Resilient Banks and Banking Systems developed by the Basel Committee on Banking Supervision, initially published in December 2010 and generally referred to as “Basel III.”</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At September 6, 2013, no amounts were outstanding under the Warehouse Credit Facility and $17 million of gross vacation ownership notes receivable were eligible for securitization.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Borrowings / Repayments of debt related to securitizations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and we reflect payments of bonds associated with vacation ownership notes receivable securitizations and on the Warehouse Credit Facility, including vacation ownership notes receivable repurchases, as “Repayment of debt related to securitization transactions,” within “Cash from Financing Activities.”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Repayments on the non-recourse debt associated with our securitized vacation ownership notes receivable totaled $288 million (including $51 million for voluntary retirement clean-up calls) and $295 million (including $30 million for voluntary clean-up calls) in each of the thirty-six weeks ended September 6, 2013 and September 7, 2012,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During the third quarter of 2013, we completed the securitization of a pool of $263 million of vacation ownership notes receivable. In connection with the securitization, investors purchased $250 million in vacation ownership loan backed notes (the “Notes”) from the MVW Owner Trust 2013-1 (the “2013-1 Trust”) in a private placement. The 2013-1 Trust issued two classes of Notes: $224 million of Class A Notes and $26 million of Class B Notes. The Class A Notes have an interest rate of 2.15 percent and the Class B Notes have an interest rate of 2.74 percent, for an overall weighted average interest rate of 2.21 percent.</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have accounted for the securitization as a secured borrowing and therefore did not recognize a gain or loss in the third quarter of 2013 as a result of this transaction. The results of operations of the 2013-1 Trust are consolidated within our results of operations as the 2013-1 Trust is a variable interest entity for which we are the primary beneficiary.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December 28, 2012, other than those resulting from changes in the amount of debt outstanding. As of the end of the third quarter of 2013, debt increased by $73 million to $751 million compared to $678 million at year-end 2012, all of which related to an increase in non-recourse debt associated with securitized vacation ownership notes receivable. At the end of the third quarter of 2013, future debt payments to be paid out of collections from our vacation ownership notes receivable, including principal and interest, totaled $842 million and are due as follows: $45 million in 2013; $140 million in 2014; $137 million in 2015; $126 million in 2016; $94 million in 2017; and $300 million thereafter.</w:t>
      </w:r>
    </w:p>
    <w:p>
      <w:pPr>
        <w:spacing w:after="0" w:line="18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provided guarantees to certain lenders in connection with the provision of third-party financing for our vacation ownership product sales, which guarantees generally have a stated maximum amount of funding and a term of five to ten years. The terms of the guarantees require us to fund if the purchaser fails to pay under the terms of the note payable. We are then entitled to repossess the property securing the debt and retain the proceeds from its resale. Our commitments under these guarantees diminish as principal payments are made by the purchaser to the third-party lender. Our current exposure under such guarantees as of the end of the third quarter of 2013 in the Asia Pacific and North America segments was $13 million and $3 million, respectively, and the underlying debt to third-party lenders will mature between 2013 and 2022.</w:t>
      </w:r>
    </w:p>
    <w:p>
      <w:pPr>
        <w:spacing w:after="0" w:line="17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Additionally, in connection with an equity method investment, we provided a completion guarantee in favor of the project lenders. The joint venture has since delivered a completed operational project. Although we have not received a release of our guarantee, we do not believe we have any funding exposure under this guarantee.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7, “Contingencies and Commitments,” of the Notes to our Financial Statements.</w:t>
      </w:r>
    </w:p>
    <w:p>
      <w:pPr>
        <w:spacing w:after="0" w:line="170"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October 8, 2013, our Board of Directors authorized a share repurchase program under which we may purchase up to 3,500,000 shares of our common stock prior to March 28, 2015. The specific timing, amount and other terms of the repurchases will be dependent on market conditions, corporate and regulatory requirements and other factors. In connection with the repurchase program, we may adopt one or more plans pursuant to the provisions of Rule 10b5-1 under the Securities and Exchange Act of 1934.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ectPr>
          <w:pgSz w:w="11900" w:h="16838" w:orient="portrait"/>
          <w:cols w:equalWidth="0" w:num="1">
            <w:col w:w="11420"/>
          </w:cols>
          <w:pgMar w:left="240" w:top="459" w:right="239" w:bottom="1440"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December 28, 2012.</w:t>
      </w:r>
    </w:p>
    <w:p>
      <w:pPr>
        <w:spacing w:after="0" w:line="3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continue to use Marriott International’s financial systems to process and record various transactions and we expect to implement additional new controls as we continue to replace services provided by Marriott International.</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the third quarter of 2013, we ceased using services from Marriott International and Marriott International’s data center to host certain financial systems, consisting of applications and supporting databases. These financial systems are now hosted on new servers by a third party and we implemented new internal controls over the retention of data from these financial systems and the new servers.</w:t>
      </w:r>
    </w:p>
    <w:p>
      <w:pPr>
        <w:spacing w:after="0" w:line="181"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Other than those noted above, 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7, “Contingencies and Commitments,” to our Consolidated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December 28, 2012.</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459" w:right="2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our Annual Meeting of Shareholders held on June 7, 2013 (the “Annual Meeting”), our shareholders voted, on a nonbinding advisory basis, on the frequency of future shareholder votes on the compensation of our named executive officers. As previously reported in the Current Report on Form 8-K we filed with the United States Securities and Exchange Commission on June 13, 2013, 23,053,999 shares were voted in favor of an annual vote, 82,172 shares were voted in favor of a biennial vote, and 3,186,266 shares were voted in favor of a triennial vote, and there were 41,498 abstentions and 5,168,325 broker non-votes. In light of these voting results, and as recommended by the Compensation Policy Committee, our Board of Directors has determined to hold an advisory vote on executive compensation on an annual basis. The Board of Directors may, in its discretion, determine to change the frequency with which we will hold this vote.</w:t>
      </w:r>
    </w:p>
    <w:p>
      <w:pPr>
        <w:spacing w:after="0" w:line="3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MARRIOTT VACATIONS WORLDWIDE CORPORATION</w:t>
      </w:r>
    </w:p>
    <w:p>
      <w:pPr>
        <w:spacing w:after="0" w:line="225"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October 10, 2013</w:t>
      </w:r>
      <w:r>
        <w:rPr>
          <w:sz w:val="20"/>
          <w:szCs w:val="20"/>
          <w:color w:val="auto"/>
        </w:rPr>
        <w:tab/>
      </w:r>
      <w:r>
        <w:rPr>
          <w:rFonts w:ascii="Arial" w:cs="Arial" w:eastAsia="Arial" w:hAnsi="Arial"/>
          <w:sz w:val="15"/>
          <w:szCs w:val="15"/>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740"/>
          </w:cols>
          <w:pgMar w:left="240" w:top="459" w:right="9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380"/>
          </w:cols>
          <w:pgMar w:left="240" w:top="459" w:right="279" w:bottom="1440" w:gutter="0" w:footer="0" w:header="0"/>
        </w:sect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5080</wp:posOffset>
            </wp:positionV>
            <wp:extent cx="2914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Restated Certificate of Incorporation of Marriott Vacations Worldwide Corporation, incorporated by reference to Exhibit 3.1 of our Current Report on Form 8-K filed on November 22, 2011.</w:t>
      </w:r>
    </w:p>
    <w:p>
      <w:pPr>
        <w:spacing w:after="0" w:line="62" w:lineRule="exact"/>
        <w:rPr>
          <w:sz w:val="20"/>
          <w:szCs w:val="20"/>
          <w:color w:val="auto"/>
        </w:rPr>
      </w:pPr>
    </w:p>
    <w:p>
      <w:pPr>
        <w:sectPr>
          <w:pgSz w:w="11900" w:h="16838" w:orient="portrait"/>
          <w:cols w:equalWidth="0" w:num="2">
            <w:col w:w="580" w:space="580"/>
            <w:col w:w="10220"/>
          </w:cols>
          <w:pgMar w:left="240" w:top="459" w:right="2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Restated Bylaws of Marriott Vacations Worldwide Corporation, incorporated by reference to Exhibit 3.2 of our Current Report on Form 8-K</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filed on November 22, 2011.</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10.1</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Omnibus Amendment No. 2, dated September 6, 2013, among Marriott Vacations Worldwide Corporation, Marriott Ownership Resorts, Inc.</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89"/>
              </w:rPr>
              <w:t>and the other parties named therein to, among other agreements, the Second Amended and Restated Indenture and Servicing Agreement and</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the Amended and Restated Sale Agreement (which are filed as Exhibit 10.25 and Exhibit 10.26, respectively, to our Annual Report on Form</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3"/>
              </w:rPr>
              <w:t>10-K filed on February 22, 2013) incorporated by reference to Exhibit 10.1 to our Current Report on Form 8-K filed on September 9, 2013.</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10.2</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Second Amendment, dated October 4, 2013, among Marriott Vacations Worldwide Corporation, Marriott Ownership Resorts, Inc., the several</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banks and other financial institutions or entities from time to time party thereto, Bank of America, N.A. and Deutsche Bank Securities Inc., as</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co-documentation agents, Merrill Lynch, Pierce, Fenner &amp; Smith Incorporated and Deutsche Bank Securities Inc., as co-syndication agents,</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and JPMorgan Chase Bank, N.A., as administrative agent, to the Amended and Restated Credit Agreement (which is filed as Exhibit 10.29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our Annual Report on Form 10-K filed on February 22, 2013).</w:t>
            </w:r>
          </w:p>
        </w:tc>
      </w:tr>
      <w:tr>
        <w:trPr>
          <w:trHeight w:val="338"/>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0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report: (i) the Interim Consolidated Statements of Operations for the twelve and thirty-six weeks ended September 6, 2013 and September 7, 2012, respectively; (ii) the Interim Consolidated Statements of Comprehensive Income for the twelve and thirty-six weeks ended September 6, 2013 and September 7, 2012, respectively;</w:t>
      </w:r>
    </w:p>
    <w:p>
      <w:pPr>
        <w:ind w:right="120" w:firstLine="8"/>
        <w:spacing w:after="0" w:line="295" w:lineRule="auto"/>
        <w:tabs>
          <w:tab w:leader="none" w:pos="3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Interim Consolidated Balance Sheets at September 6, 2013 and December 28, 2012; and (iv) the Interim Consolidated Statements of Cash Flows for the thirty-six weeks ended September 6, 2013 and September 7, 2012, respectively. Pursuant to Rule 406T of Regulation S-T, the interactive data files in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380"/>
          </w:cols>
          <w:pgMar w:left="240" w:top="459" w:right="27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w:t>
      </w:r>
    </w:p>
    <w:p>
      <w:pPr>
        <w:spacing w:after="0" w:line="171"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SECOND AMENDMENT, dated as of October 4, 2013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Amended and Restated Credit Agreement, dated as of November 30, 2012 (as amended, supplemented or otherwise modified prior to the date hereof, including as amended by the First Amendment, dated as of June 12, 2013,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among Marriott Vacations Worldwide Corporation, a Delaware corporation (“</w:t>
      </w:r>
      <w:r>
        <w:rPr>
          <w:rFonts w:ascii="Arial" w:cs="Arial" w:eastAsia="Arial" w:hAnsi="Arial"/>
          <w:sz w:val="16"/>
          <w:szCs w:val="16"/>
          <w:u w:val="single" w:color="auto"/>
          <w:color w:val="auto"/>
        </w:rPr>
        <w:t>MVWC</w:t>
      </w:r>
      <w:r>
        <w:rPr>
          <w:rFonts w:ascii="Arial" w:cs="Arial" w:eastAsia="Arial" w:hAnsi="Arial"/>
          <w:sz w:val="16"/>
          <w:szCs w:val="16"/>
          <w:color w:val="auto"/>
        </w:rPr>
        <w:t>”), Marriott Ownership Resorts,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several banks and other financial institutions or entities from time to time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Bank of America, N.A. and Deutsche Bank Securities Inc., as co-documentation agents, Merrill Lynch, Pierce, Fenner &amp; Smith Incorporated and Deutsche Bank Securities Inc. as co-syndication agents and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20"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W I T N E S S E T H</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pursuant to the Credit Agreement, the Lenders have agreed to make certain loans and other extensions of credit to the Borrower;</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Borrower has further requested that the Credit Agreement be amended as set forth herein;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Required Lenders are willing to agree to this Amendment on the terms set forth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in consideration of the premises and mutual covenants contained herein, the parties hereto agree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Capitalized Terms</w:t>
      </w:r>
      <w:r>
        <w:rPr>
          <w:rFonts w:ascii="Arial" w:cs="Arial" w:eastAsia="Arial" w:hAnsi="Arial"/>
          <w:sz w:val="16"/>
          <w:szCs w:val="16"/>
          <w:color w:val="auto"/>
        </w:rPr>
        <w:t>. Capitalized terms used but not defined herein shall have the meanings assigned to such terms in the Credit Agreement.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Amendments</w:t>
      </w:r>
      <w:r>
        <w:rPr>
          <w:rFonts w:ascii="Arial" w:cs="Arial" w:eastAsia="Arial" w:hAnsi="Arial"/>
          <w:sz w:val="16"/>
          <w:szCs w:val="16"/>
          <w:color w:val="auto"/>
        </w:rPr>
        <w:t>. The Credit Agreement shall be amended as of the Amendment Effective Date (as defined below) as set forth below.</w:t>
      </w:r>
    </w:p>
    <w:p>
      <w:pPr>
        <w:spacing w:after="0" w:line="194" w:lineRule="exact"/>
        <w:rPr>
          <w:sz w:val="20"/>
          <w:szCs w:val="20"/>
          <w:color w:val="auto"/>
        </w:rPr>
      </w:pPr>
    </w:p>
    <w:p>
      <w:pPr>
        <w:ind w:right="340" w:firstLine="921"/>
        <w:spacing w:after="0" w:line="268" w:lineRule="auto"/>
        <w:tabs>
          <w:tab w:leader="none" w:pos="115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Amendments to Section 1.1 (Defined Terms)</w:t>
      </w:r>
      <w:r>
        <w:rPr>
          <w:rFonts w:ascii="Arial" w:cs="Arial" w:eastAsia="Arial" w:hAnsi="Arial"/>
          <w:sz w:val="18"/>
          <w:szCs w:val="18"/>
          <w:color w:val="auto"/>
        </w:rPr>
        <w:t>. Section 1.1 of the Credit Agreement is hereby amended by inserting the following definition of “Second Amendment” in proper alphabetical order:</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w:t>
      </w:r>
      <w:r>
        <w:rPr>
          <w:rFonts w:ascii="Arial" w:cs="Arial" w:eastAsia="Arial" w:hAnsi="Arial"/>
          <w:sz w:val="18"/>
          <w:szCs w:val="18"/>
          <w:color w:val="auto"/>
        </w:rPr>
        <w:t>” means the Second Amendment to this Agreement dated as of October 4, 2013.</w:t>
      </w:r>
    </w:p>
    <w:p>
      <w:pPr>
        <w:spacing w:after="0" w:line="171" w:lineRule="exact"/>
        <w:rPr>
          <w:sz w:val="20"/>
          <w:szCs w:val="20"/>
          <w:color w:val="auto"/>
        </w:rPr>
      </w:pPr>
    </w:p>
    <w:p>
      <w:pPr>
        <w:ind w:right="100" w:firstLine="921"/>
        <w:spacing w:after="0" w:line="332" w:lineRule="auto"/>
        <w:tabs>
          <w:tab w:leader="none" w:pos="1161"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Amendments to Section 7.9 (Investments)</w:t>
      </w:r>
      <w:r>
        <w:rPr>
          <w:rFonts w:ascii="Arial" w:cs="Arial" w:eastAsia="Arial" w:hAnsi="Arial"/>
          <w:sz w:val="16"/>
          <w:szCs w:val="16"/>
          <w:color w:val="auto"/>
        </w:rPr>
        <w:t>. Section 7.9 of the Credit Agreement is hereby amended by deleting the “and” at the end of clause (i), replacing the period at the end of clause (j) with “; and”, and adding the following new clause (k) immediately after clause (j) thereof:</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 Investments constituting Restricted Payments permitted by Section 7.7.”</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Conditions to Effectiveness of Amendment</w:t>
      </w:r>
      <w:r>
        <w:rPr>
          <w:rFonts w:ascii="Arial" w:cs="Arial" w:eastAsia="Arial" w:hAnsi="Arial"/>
          <w:sz w:val="18"/>
          <w:szCs w:val="18"/>
          <w:color w:val="auto"/>
        </w:rPr>
        <w:t>. This Amendment shall become effective on the date on which the following conditions precedent have been satisfied or waived (the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60" w:name="page61"/>
    <w:bookmarkEnd w:id="60"/>
    <w:p>
      <w:pPr>
        <w:ind w:right="3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have received a counterpart of this Amendment, executed and delivered by a duly authorized officer of each of (i) the Borrower and MVWC, (ii) the Required Lenders and (iii) the Administrative Agent.</w:t>
      </w:r>
    </w:p>
    <w:p>
      <w:pPr>
        <w:spacing w:after="0" w:line="132"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xml:space="preserve">. Each of the Borrower and MVWC hereby represents and warrants that (a) each of the representations and warranties contained in Section 4 of the Credit Agreement are, after giving effect to this Amendment, true and correct in all material respects (and in all respects if qualified by materiality) as if made on and as of the Amendment Effective Date (or to the extent such representations and warranties expressly relate to a specific earlier date, as of such earlier date); </w:t>
      </w:r>
      <w:r>
        <w:rPr>
          <w:rFonts w:ascii="Arial" w:cs="Arial" w:eastAsia="Arial" w:hAnsi="Arial"/>
          <w:sz w:val="15"/>
          <w:szCs w:val="15"/>
          <w:u w:val="single" w:color="auto"/>
          <w:color w:val="auto"/>
        </w:rPr>
        <w:t>provided</w:t>
      </w:r>
      <w:r>
        <w:rPr>
          <w:rFonts w:ascii="Arial" w:cs="Arial" w:eastAsia="Arial" w:hAnsi="Arial"/>
          <w:sz w:val="15"/>
          <w:szCs w:val="15"/>
          <w:color w:val="auto"/>
        </w:rPr>
        <w:t>, that each reference to the Credit Agreement therein shall be deemed to be a reference to the Credit Agreement after giving effect to this Amendment and (b) after giving effect to this Amendment, no Default or Event of Default has occurred and is continuing.</w:t>
      </w:r>
    </w:p>
    <w:p>
      <w:pPr>
        <w:spacing w:after="0" w:line="10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Effects on Credit Documents</w:t>
      </w:r>
      <w:r>
        <w:rPr>
          <w:rFonts w:ascii="Arial" w:cs="Arial" w:eastAsia="Arial" w:hAnsi="Arial"/>
          <w:sz w:val="18"/>
          <w:szCs w:val="18"/>
          <w:color w:val="auto"/>
        </w:rPr>
        <w:t>. (a) Except as specifically amended herein, all Loan Documents shall continue to be in full force and effect and are hereby in all respects ratified and confirmed.</w:t>
      </w:r>
    </w:p>
    <w:p>
      <w:pPr>
        <w:spacing w:after="0" w:line="132" w:lineRule="exact"/>
        <w:rPr>
          <w:sz w:val="20"/>
          <w:szCs w:val="20"/>
          <w:color w:val="auto"/>
        </w:rPr>
      </w:pPr>
    </w:p>
    <w:p>
      <w:pPr>
        <w:ind w:right="160" w:firstLine="921"/>
        <w:spacing w:after="0" w:line="268" w:lineRule="auto"/>
        <w:tabs>
          <w:tab w:leader="none" w:pos="11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any Lender or the Administrative Agent under any of the Loan Documents, nor constitute a waiver of any provision of the Loan Documents.</w:t>
      </w:r>
    </w:p>
    <w:p>
      <w:pPr>
        <w:spacing w:after="0" w:line="1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Expenses</w:t>
      </w:r>
      <w:r>
        <w:rPr>
          <w:rFonts w:ascii="Arial" w:cs="Arial" w:eastAsia="Arial" w:hAnsi="Arial"/>
          <w:sz w:val="16"/>
          <w:szCs w:val="16"/>
          <w:color w:val="auto"/>
        </w:rPr>
        <w:t>. The Borrower agrees to pay and reimburse the Administrative Agent for all of its reasonable out-of-pocket costs and expenses incurred in connection with the preparation and delivery of this Amendment, and any other documents prepared in connection herewith and the transactions contemplated hereby, including, without limitation, the reasonable fees and disbursements of legal counsel.</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THIS AMENDMENT AND THE RIGHTS AND OBLIGATIONS OF THE PARTIES HEREUNDER SHALL BE GOVERNED BY, AND CONSTRUED AND INTERPRETED IN ACCORDANCE WITH, THE LAW OF THE STATE OF NEW YORK. EACH PARTY HERETO HEREBY AGREES AS SET FORTH FURTHER IN SECTION 10.16 OF THE CREDIT AGREEMENT AS IF SUCH SECTION WERE SET FORTH IN FULL HEREIN.</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Amendments; Execution in Counterparts</w:t>
      </w:r>
      <w:r>
        <w:rPr>
          <w:rFonts w:ascii="Arial" w:cs="Arial" w:eastAsia="Arial" w:hAnsi="Arial"/>
          <w:sz w:val="18"/>
          <w:szCs w:val="18"/>
          <w:color w:val="auto"/>
        </w:rPr>
        <w:t>. (a) This Amendment shall not constitute an amendment of any other provision of the Credit Agreement not referred to herein and shall not be construed as a waiver or consent to any further or future action on the part of the Loan Parties that would require a waiver or consent of the Required Lenders or the Administrative Agent. Except as expressly amended hereby, the provisions of the Credit Agreement are and shall remain in full force and effect.</w:t>
      </w:r>
    </w:p>
    <w:p>
      <w:pPr>
        <w:spacing w:after="0" w:line="143" w:lineRule="exact"/>
        <w:rPr>
          <w:sz w:val="20"/>
          <w:szCs w:val="20"/>
          <w:color w:val="auto"/>
        </w:rPr>
      </w:pPr>
    </w:p>
    <w:p>
      <w:pPr>
        <w:ind w:right="160" w:firstLine="921"/>
        <w:spacing w:after="0" w:line="256" w:lineRule="auto"/>
        <w:tabs>
          <w:tab w:leader="none" w:pos="11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Amendment may not be amended nor may any provision hereof be waived except pursuant to a writing signed by the Borrower, MVWC, the Administrative Agent and the Required Lenders. This Amendment may be executed in any number of counterparts and by the different parties hereto on separate counterparts, including by means of facsimile or electronic transmission, each of which when so executed and delivered shall be an original, but all of which shall together constitute one and the same instrument.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320"/>
          </w:cols>
          <w:pgMar w:left="240" w:top="280" w:right="339" w:bottom="1440" w:gutter="0" w:footer="0" w:header="0"/>
        </w:sectPr>
      </w:pPr>
    </w:p>
    <w:bookmarkStart w:id="61" w:name="page62"/>
    <w:bookmarkEnd w:id="61"/>
    <w:p>
      <w:pPr>
        <w:ind w:right="5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to be duly executed and delivered by their respective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10795</wp:posOffset>
            </wp:positionV>
            <wp:extent cx="2727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Joseph J. Bramuchi</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65"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11200"/>
          </w:cols>
          <w:pgMar w:left="240" w:top="280" w:right="459" w:bottom="1440" w:gutter="0" w:footer="0" w:header="0"/>
        </w:sectPr>
      </w:pPr>
    </w:p>
    <w:bookmarkStart w:id="62" w:name="page63"/>
    <w:bookmarkEnd w:id="6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MARRIOTT OWNERSHIP RESORTS,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Joseph J. Bramuchi</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6"/>
          <w:szCs w:val="16"/>
          <w:color w:val="auto"/>
        </w:rPr>
        <w:t>Title:</w:t>
        <w:tab/>
        <w:t>Vice President and Treasurer</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9019"/>
          </w:cols>
          <w:pgMar w:left="1440" w:top="280"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JPMORGAN CHASE BANK, N.A., as Administrative Agent</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and a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Marc Costantino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Marc Costantino</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Executive Director</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10000"/>
          </w:cols>
          <w:pgMar w:left="1440" w:top="280" w:right="459" w:bottom="1440" w:gutter="0" w:footer="0" w:header="0"/>
        </w:sectPr>
      </w:pPr>
    </w:p>
    <w:bookmarkStart w:id="64" w:name="page65"/>
    <w:bookmarkEnd w:id="64"/>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Suzanne Eaddy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Suzanne Eaddy</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[Signature Page to Second Amendment to Amended and Restated Credit Agreement]</w:t>
      </w:r>
    </w:p>
    <w:p>
      <w:pPr>
        <w:sectPr>
          <w:pgSz w:w="11900" w:h="16838" w:orient="portrait"/>
          <w:cols w:equalWidth="0" w:num="1">
            <w:col w:w="9019"/>
          </w:cols>
          <w:pgMar w:left="1440" w:top="280" w:right="1440" w:bottom="1440" w:gutter="0" w:footer="0" w:header="0"/>
        </w:sectPr>
      </w:pPr>
    </w:p>
    <w:bookmarkStart w:id="65" w:name="page66"/>
    <w:bookmarkEnd w:id="65"/>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DEUTSCHE BANK AG NEW YORK BRANCH,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Mary Kay Coyle</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Peter Cucchiara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Peter Cucchiara</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10060"/>
          </w:cols>
          <w:pgMar w:left="1440" w:top="280" w:right="39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CAYMAN ISLANDS BRANCH, as a</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William O’Daly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William O’Daly</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Philipp Horat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Philipp Horat</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Authorized Signatory</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9980"/>
          </w:cols>
          <w:pgMar w:left="1440" w:top="280" w:right="479" w:bottom="1440" w:gutter="0" w:footer="0" w:header="0"/>
        </w:sectPr>
      </w:pPr>
    </w:p>
    <w:bookmarkStart w:id="67" w:name="page68"/>
    <w:bookmarkEnd w:id="6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 BANK OF SCOTLAND,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Timothy J. McNaught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Timothy J. McNaught</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9320"/>
          </w:cols>
          <w:pgMar w:left="1440" w:top="280" w:right="1139" w:bottom="1440" w:gutter="0" w:footer="0" w:header="0"/>
        </w:sectPr>
      </w:pPr>
    </w:p>
    <w:bookmarkStart w:id="68" w:name="page69"/>
    <w:bookmarkEnd w:id="68"/>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Johnetta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Johnetta Bush</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[Signature Page to Second Amendment to Amended and Restated Credit Agreement]</w:t>
      </w:r>
    </w:p>
    <w:p>
      <w:pPr>
        <w:sectPr>
          <w:pgSz w:w="11900" w:h="16838" w:orient="portrait"/>
          <w:cols w:equalWidth="0" w:num="1">
            <w:col w:w="9019"/>
          </w:cols>
          <w:pgMar w:left="1440" w:top="280" w:right="1440" w:bottom="1440" w:gutter="0" w:footer="0" w:header="0"/>
        </w:sectPr>
      </w:pPr>
    </w:p>
    <w:bookmarkStart w:id="69" w:name="page70"/>
    <w:bookmarkEnd w:id="69"/>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OF HAWAII,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Donovan Koki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Donovan Koki</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5"/>
          <w:szCs w:val="15"/>
          <w:color w:val="auto"/>
        </w:rPr>
        <w:t>Title:</w:t>
        <w:tab/>
        <w:t>Senior Vice President</w:t>
      </w:r>
    </w:p>
    <w:p>
      <w:pPr>
        <w:spacing w:after="0" w:line="199"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[Signature Page to Second Amendment to Amended and Restated Credit Agreement]</w:t>
      </w:r>
    </w:p>
    <w:p>
      <w:pPr>
        <w:sectPr>
          <w:pgSz w:w="11900" w:h="16838" w:orient="portrait"/>
          <w:cols w:equalWidth="0" w:num="1">
            <w:col w:w="9019"/>
          </w:cols>
          <w:pgMar w:left="1440" w:top="280" w:right="1440" w:bottom="1440" w:gutter="0" w:footer="0" w:header="0"/>
        </w:sectPr>
      </w:pPr>
    </w:p>
    <w:bookmarkStart w:id="70" w:name="page71"/>
    <w:bookmarkEnd w:id="7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HAWAIIAN BANK,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Derek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Derek Chang</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9019"/>
          </w:cols>
          <w:pgMar w:left="1440" w:top="280" w:right="1440" w:bottom="1440" w:gutter="0" w:footer="0" w:header="0"/>
        </w:sectPr>
      </w:pPr>
    </w:p>
    <w:bookmarkStart w:id="71" w:name="page72"/>
    <w:bookmarkEnd w:id="71"/>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Steven L. Sawyer</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9480"/>
          </w:cols>
          <w:pgMar w:left="1440" w:top="280" w:right="979" w:bottom="1440" w:gutter="0" w:footer="0" w:header="0"/>
        </w:sectPr>
      </w:pPr>
    </w:p>
    <w:bookmarkStart w:id="72" w:name="page73"/>
    <w:bookmarkEnd w:id="7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CAPITAL FINANCE, LLC, as a Lender</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10795</wp:posOffset>
            </wp:positionV>
            <wp:extent cx="2727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Ajay Jagsi</w:t>
      </w:r>
    </w:p>
    <w:p>
      <w:pPr>
        <w:spacing w:after="0" w:line="15"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[Signature Page to Second Amendment to Amended and Restated Credit Agreement]</w:t>
      </w:r>
    </w:p>
    <w:p>
      <w:pPr>
        <w:sectPr>
          <w:pgSz w:w="11900" w:h="16838" w:orient="portrait"/>
          <w:cols w:equalWidth="0" w:num="1">
            <w:col w:w="9760"/>
          </w:cols>
          <w:pgMar w:left="1440" w:top="280" w:right="6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3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31"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460" w:right="7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6, 2013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10,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54" w:lineRule="exact"/>
        <w:rPr>
          <w:sz w:val="20"/>
          <w:szCs w:val="20"/>
          <w:color w:val="auto"/>
        </w:rPr>
      </w:pPr>
    </w:p>
    <w:p>
      <w:pPr>
        <w:ind w:left="460" w:right="72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6, 2013 (the “Quarterly Report”),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460" w:right="620" w:hanging="452"/>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10, 2013</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Roman"/>
      <w:start w:val="3"/>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2"/>
    </w:lvl>
  </w:abstractNum>
  <w:abstractNum w:abstractNumId="24">
    <w:nsid w:val="71F32454"/>
    <w:multiLevelType w:val="hybridMultilevel"/>
    <w:lvl w:ilvl="0">
      <w:lvlJc w:val="left"/>
      <w:lvlText w:val="(%1)"/>
      <w:numFmt w:val="lowerLetter"/>
      <w:start w:val="2"/>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2019-12-08T02:03:06Z</dcterms:created>
  <dcterms:modified xsi:type="dcterms:W3CDTF">2019-12-08T02:03:06Z</dcterms:modified>
</cp:coreProperties>
</file>