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0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1329690</wp:posOffset>
            </wp:positionH>
            <wp:positionV relativeFrom="page">
              <wp:posOffset>756920</wp:posOffset>
            </wp:positionV>
            <wp:extent cx="5280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page">
              <wp:posOffset>1329690</wp:posOffset>
            </wp:positionH>
            <wp:positionV relativeFrom="page">
              <wp:posOffset>724535</wp:posOffset>
            </wp:positionV>
            <wp:extent cx="5280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80660" cy="8255"/>
                    </a:xfrm>
                    <a:prstGeom prst="rect">
                      <a:avLst/>
                    </a:prstGeom>
                    <a:noFill/>
                  </pic:spPr>
                </pic:pic>
              </a:graphicData>
            </a:graphic>
          </wp:anchor>
        </w:drawing>
        <w:t>UNITED STATES</w:t>
      </w:r>
    </w:p>
    <w:p>
      <w:pPr>
        <w:spacing w:after="0" w:line="39" w:lineRule="exact"/>
        <w:rPr>
          <w:sz w:val="24"/>
          <w:szCs w:val="24"/>
          <w:color w:val="auto"/>
        </w:rPr>
      </w:pPr>
    </w:p>
    <w:p>
      <w:pPr>
        <w:jc w:val="center"/>
        <w:ind w:left="600"/>
        <w:spacing w:after="0"/>
        <w:rPr>
          <w:sz w:val="20"/>
          <w:szCs w:val="20"/>
          <w:color w:val="auto"/>
        </w:rPr>
      </w:pPr>
      <w:r>
        <w:rPr>
          <w:rFonts w:ascii="Arial" w:cs="Arial" w:eastAsia="Arial" w:hAnsi="Arial"/>
          <w:sz w:val="31"/>
          <w:szCs w:val="31"/>
          <w:b w:val="1"/>
          <w:bCs w:val="1"/>
          <w:color w:val="auto"/>
        </w:rPr>
        <w:t>SECURITIES AND EXCHANGE COMMISSION</w:t>
      </w:r>
    </w:p>
    <w:p>
      <w:pPr>
        <w:spacing w:after="0" w:line="10" w:lineRule="exact"/>
        <w:rPr>
          <w:sz w:val="24"/>
          <w:szCs w:val="24"/>
          <w:color w:val="auto"/>
        </w:rPr>
      </w:pPr>
    </w:p>
    <w:p>
      <w:pPr>
        <w:ind w:left="4680"/>
        <w:spacing w:after="0"/>
        <w:rPr>
          <w:sz w:val="20"/>
          <w:szCs w:val="20"/>
          <w:color w:val="auto"/>
        </w:rPr>
      </w:pPr>
      <w:r>
        <w:rPr>
          <w:rFonts w:ascii="Arial" w:cs="Arial" w:eastAsia="Arial" w:hAnsi="Arial"/>
          <w:sz w:val="21"/>
          <w:szCs w:val="21"/>
          <w:b w:val="1"/>
          <w:bCs w:val="1"/>
          <w:color w:val="auto"/>
        </w:rPr>
        <w:t>WASHINGTON, D.C. 20549</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7"/>
          <w:szCs w:val="17"/>
          <w:color w:val="auto"/>
        </w:rPr>
        <w:t>_________________________</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20"/>
        <w:spacing w:after="0"/>
        <w:rPr>
          <w:sz w:val="20"/>
          <w:szCs w:val="20"/>
          <w:color w:val="auto"/>
        </w:rPr>
      </w:pPr>
      <w:r>
        <w:rPr>
          <w:rFonts w:ascii="Arial" w:cs="Arial" w:eastAsia="Arial" w:hAnsi="Arial"/>
          <w:sz w:val="10"/>
          <w:szCs w:val="10"/>
          <w:color w:val="auto"/>
        </w:rPr>
        <w:t>___________________________________________</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20" w:lineRule="exact"/>
        <w:rPr>
          <w:sz w:val="24"/>
          <w:szCs w:val="24"/>
          <w:color w:val="auto"/>
        </w:rPr>
      </w:pPr>
    </w:p>
    <w:p>
      <w:pPr>
        <w:ind w:left="1900" w:hanging="417"/>
        <w:spacing w:after="0"/>
        <w:tabs>
          <w:tab w:leader="none" w:pos="1900" w:val="left"/>
        </w:tabs>
        <w:numPr>
          <w:ilvl w:val="0"/>
          <w:numId w:val="1"/>
        </w:numPr>
        <w:rPr>
          <w:rFonts w:ascii="MS PGothic" w:cs="MS PGothic" w:eastAsia="MS PGothic" w:hAnsi="MS PGothic"/>
          <w:sz w:val="17"/>
          <w:szCs w:val="17"/>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For the quarterly period ended September 30, 2023</w:t>
      </w:r>
    </w:p>
    <w:p>
      <w:pPr>
        <w:spacing w:after="0" w:line="61"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OR</w:t>
      </w:r>
    </w:p>
    <w:p>
      <w:pPr>
        <w:spacing w:after="0" w:line="130" w:lineRule="exact"/>
        <w:rPr>
          <w:sz w:val="24"/>
          <w:szCs w:val="24"/>
          <w:color w:val="auto"/>
        </w:rPr>
      </w:pPr>
    </w:p>
    <w:p>
      <w:pPr>
        <w:ind w:left="1900" w:hanging="417"/>
        <w:spacing w:after="0"/>
        <w:tabs>
          <w:tab w:leader="none" w:pos="190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28" w:lineRule="exact"/>
        <w:rPr>
          <w:sz w:val="24"/>
          <w:szCs w:val="24"/>
          <w:color w:val="auto"/>
        </w:rPr>
      </w:pPr>
    </w:p>
    <w:p>
      <w:pPr>
        <w:ind w:left="3520"/>
        <w:spacing w:after="0"/>
        <w:tabs>
          <w:tab w:leader="none" w:pos="6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3670935</wp:posOffset>
            </wp:positionH>
            <wp:positionV relativeFrom="paragraph">
              <wp:posOffset>-5715</wp:posOffset>
            </wp:positionV>
            <wp:extent cx="1231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Commission file number 001-35219</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7"/>
          <w:szCs w:val="17"/>
          <w:color w:val="auto"/>
        </w:rPr>
        <w:t>_________________________</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38"/>
          <w:szCs w:val="38"/>
          <w:b w:val="1"/>
          <w:bCs w:val="1"/>
          <w:color w:val="auto"/>
        </w:rPr>
        <w:t>Marriott Vacations Worldwide Corporation</w:t>
      </w:r>
    </w:p>
    <w:p>
      <w:pPr>
        <w:spacing w:after="0" w:line="47"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7"/>
          <w:szCs w:val="17"/>
          <w:color w:val="auto"/>
        </w:rPr>
        <w:t>_________________________</w:t>
      </w:r>
    </w:p>
    <w:p>
      <w:pPr>
        <w:spacing w:after="0" w:line="121" w:lineRule="exact"/>
        <w:rPr>
          <w:sz w:val="24"/>
          <w:szCs w:val="24"/>
          <w:color w:val="auto"/>
        </w:rPr>
      </w:pPr>
    </w:p>
    <w:tbl>
      <w:tblPr>
        <w:tblLayout w:type="fixed"/>
        <w:tblInd w:w="2300" w:type="dxa"/>
        <w:tblCellMar>
          <w:top w:w="0" w:type="dxa"/>
          <w:left w:w="0" w:type="dxa"/>
          <w:bottom w:w="0" w:type="dxa"/>
          <w:right w:w="0" w:type="dxa"/>
        </w:tblCellMar>
      </w:tblPr>
      <w:tr>
        <w:trPr>
          <w:trHeight w:val="222"/>
        </w:trPr>
        <w:tc>
          <w:tcPr>
            <w:tcW w:w="3880" w:type="dxa"/>
            <w:vAlign w:val="bottom"/>
          </w:tcPr>
          <w:p>
            <w:pPr>
              <w:jc w:val="center"/>
              <w:ind w:right="1045"/>
              <w:spacing w:after="0"/>
              <w:rPr>
                <w:sz w:val="20"/>
                <w:szCs w:val="20"/>
                <w:color w:val="auto"/>
              </w:rPr>
            </w:pPr>
            <w:r>
              <w:rPr>
                <w:rFonts w:ascii="Arial" w:cs="Arial" w:eastAsia="Arial" w:hAnsi="Arial"/>
                <w:sz w:val="17"/>
                <w:szCs w:val="17"/>
                <w:b w:val="1"/>
                <w:bCs w:val="1"/>
                <w:color w:val="auto"/>
                <w:w w:val="91"/>
              </w:rPr>
              <w:t>Delaware</w:t>
            </w:r>
          </w:p>
        </w:tc>
        <w:tc>
          <w:tcPr>
            <w:tcW w:w="2260" w:type="dxa"/>
            <w:vAlign w:val="bottom"/>
          </w:tcPr>
          <w:p>
            <w:pPr>
              <w:jc w:val="right"/>
              <w:ind w:right="45"/>
              <w:spacing w:after="0"/>
              <w:rPr>
                <w:sz w:val="20"/>
                <w:szCs w:val="20"/>
                <w:color w:val="auto"/>
              </w:rPr>
            </w:pPr>
            <w:r>
              <w:rPr>
                <w:rFonts w:ascii="Arial" w:cs="Arial" w:eastAsia="Arial" w:hAnsi="Arial"/>
                <w:sz w:val="17"/>
                <w:szCs w:val="17"/>
                <w:b w:val="1"/>
                <w:bCs w:val="1"/>
                <w:color w:val="auto"/>
              </w:rPr>
              <w:t>45-2598330</w:t>
            </w:r>
          </w:p>
        </w:tc>
      </w:tr>
      <w:tr>
        <w:trPr>
          <w:trHeight w:val="197"/>
        </w:trPr>
        <w:tc>
          <w:tcPr>
            <w:tcW w:w="3880" w:type="dxa"/>
            <w:vAlign w:val="bottom"/>
          </w:tcPr>
          <w:p>
            <w:pPr>
              <w:jc w:val="center"/>
              <w:ind w:right="1045"/>
              <w:spacing w:after="0"/>
              <w:rPr>
                <w:sz w:val="20"/>
                <w:szCs w:val="20"/>
                <w:color w:val="auto"/>
              </w:rPr>
            </w:pPr>
            <w:r>
              <w:rPr>
                <w:rFonts w:ascii="Arial" w:cs="Arial" w:eastAsia="Arial" w:hAnsi="Arial"/>
                <w:sz w:val="14"/>
                <w:szCs w:val="14"/>
                <w:b w:val="1"/>
                <w:bCs w:val="1"/>
                <w:color w:val="auto"/>
                <w:w w:val="89"/>
              </w:rPr>
              <w:t>(State or other jurisdiction of</w:t>
            </w:r>
          </w:p>
        </w:tc>
        <w:tc>
          <w:tcPr>
            <w:tcW w:w="2260" w:type="dxa"/>
            <w:vAlign w:val="bottom"/>
          </w:tcPr>
          <w:p>
            <w:pPr>
              <w:jc w:val="center"/>
              <w:ind w:left="1105"/>
              <w:spacing w:after="0"/>
              <w:rPr>
                <w:sz w:val="20"/>
                <w:szCs w:val="20"/>
                <w:color w:val="auto"/>
              </w:rPr>
            </w:pPr>
            <w:r>
              <w:rPr>
                <w:rFonts w:ascii="Arial" w:cs="Arial" w:eastAsia="Arial" w:hAnsi="Arial"/>
                <w:sz w:val="14"/>
                <w:szCs w:val="14"/>
                <w:b w:val="1"/>
                <w:bCs w:val="1"/>
                <w:color w:val="auto"/>
                <w:w w:val="93"/>
              </w:rPr>
              <w:t>(I.R.S. Employer</w:t>
            </w:r>
          </w:p>
        </w:tc>
      </w:tr>
      <w:tr>
        <w:trPr>
          <w:trHeight w:val="178"/>
        </w:trPr>
        <w:tc>
          <w:tcPr>
            <w:tcW w:w="3880" w:type="dxa"/>
            <w:vAlign w:val="bottom"/>
          </w:tcPr>
          <w:p>
            <w:pPr>
              <w:jc w:val="center"/>
              <w:ind w:right="1045"/>
              <w:spacing w:after="0"/>
              <w:rPr>
                <w:sz w:val="20"/>
                <w:szCs w:val="20"/>
                <w:color w:val="auto"/>
              </w:rPr>
            </w:pPr>
            <w:r>
              <w:rPr>
                <w:rFonts w:ascii="Arial" w:cs="Arial" w:eastAsia="Arial" w:hAnsi="Arial"/>
                <w:sz w:val="14"/>
                <w:szCs w:val="14"/>
                <w:b w:val="1"/>
                <w:bCs w:val="1"/>
                <w:color w:val="auto"/>
                <w:w w:val="90"/>
              </w:rPr>
              <w:t>incorporation or organization)</w:t>
            </w:r>
          </w:p>
        </w:tc>
        <w:tc>
          <w:tcPr>
            <w:tcW w:w="2260" w:type="dxa"/>
            <w:vAlign w:val="bottom"/>
          </w:tcPr>
          <w:p>
            <w:pPr>
              <w:jc w:val="center"/>
              <w:ind w:left="1105"/>
              <w:spacing w:after="0"/>
              <w:rPr>
                <w:sz w:val="20"/>
                <w:szCs w:val="20"/>
                <w:color w:val="auto"/>
              </w:rPr>
            </w:pPr>
            <w:r>
              <w:rPr>
                <w:rFonts w:ascii="Arial" w:cs="Arial" w:eastAsia="Arial" w:hAnsi="Arial"/>
                <w:sz w:val="14"/>
                <w:szCs w:val="14"/>
                <w:b w:val="1"/>
                <w:bCs w:val="1"/>
                <w:color w:val="auto"/>
                <w:w w:val="91"/>
              </w:rPr>
              <w:t>Identification No.)</w:t>
            </w:r>
          </w:p>
        </w:tc>
      </w:tr>
      <w:tr>
        <w:trPr>
          <w:trHeight w:val="246"/>
        </w:trPr>
        <w:tc>
          <w:tcPr>
            <w:tcW w:w="3880" w:type="dxa"/>
            <w:vAlign w:val="bottom"/>
          </w:tcPr>
          <w:p>
            <w:pPr>
              <w:spacing w:after="0"/>
              <w:rPr>
                <w:sz w:val="20"/>
                <w:szCs w:val="20"/>
                <w:color w:val="auto"/>
              </w:rPr>
            </w:pPr>
            <w:r>
              <w:rPr>
                <w:rFonts w:ascii="Arial" w:cs="Arial" w:eastAsia="Arial" w:hAnsi="Arial"/>
                <w:sz w:val="17"/>
                <w:szCs w:val="17"/>
                <w:b w:val="1"/>
                <w:bCs w:val="1"/>
                <w:color w:val="auto"/>
              </w:rPr>
              <w:t>9002 San Marco Court  Orlando FL</w:t>
            </w:r>
          </w:p>
        </w:tc>
        <w:tc>
          <w:tcPr>
            <w:tcW w:w="2260" w:type="dxa"/>
            <w:vAlign w:val="bottom"/>
          </w:tcPr>
          <w:p>
            <w:pPr>
              <w:jc w:val="right"/>
              <w:ind w:right="245"/>
              <w:spacing w:after="0"/>
              <w:rPr>
                <w:sz w:val="20"/>
                <w:szCs w:val="20"/>
                <w:color w:val="auto"/>
              </w:rPr>
            </w:pPr>
            <w:r>
              <w:rPr>
                <w:rFonts w:ascii="Arial" w:cs="Arial" w:eastAsia="Arial" w:hAnsi="Arial"/>
                <w:sz w:val="17"/>
                <w:szCs w:val="17"/>
                <w:b w:val="1"/>
                <w:bCs w:val="1"/>
                <w:color w:val="auto"/>
              </w:rPr>
              <w:t>32819</w:t>
            </w:r>
          </w:p>
        </w:tc>
      </w:tr>
      <w:tr>
        <w:trPr>
          <w:trHeight w:val="178"/>
        </w:trPr>
        <w:tc>
          <w:tcPr>
            <w:tcW w:w="3880" w:type="dxa"/>
            <w:vAlign w:val="bottom"/>
          </w:tcPr>
          <w:p>
            <w:pPr>
              <w:jc w:val="center"/>
              <w:ind w:right="1045"/>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60" w:type="dxa"/>
            <w:vAlign w:val="bottom"/>
          </w:tcPr>
          <w:p>
            <w:pPr>
              <w:jc w:val="center"/>
              <w:ind w:left="1105"/>
              <w:spacing w:after="0"/>
              <w:rPr>
                <w:sz w:val="20"/>
                <w:szCs w:val="20"/>
                <w:color w:val="auto"/>
              </w:rPr>
            </w:pPr>
            <w:r>
              <w:rPr>
                <w:rFonts w:ascii="Arial" w:cs="Arial" w:eastAsia="Arial" w:hAnsi="Arial"/>
                <w:sz w:val="14"/>
                <w:szCs w:val="14"/>
                <w:b w:val="1"/>
                <w:bCs w:val="1"/>
                <w:color w:val="auto"/>
                <w:w w:val="92"/>
              </w:rPr>
              <w:t>(Zip Code)</w:t>
            </w:r>
          </w:p>
        </w:tc>
      </w:tr>
    </w:tbl>
    <w:p>
      <w:pPr>
        <w:spacing w:after="0" w:line="108" w:lineRule="exact"/>
        <w:rPr>
          <w:sz w:val="24"/>
          <w:szCs w:val="24"/>
          <w:color w:val="auto"/>
        </w:rPr>
      </w:pPr>
    </w:p>
    <w:p>
      <w:pPr>
        <w:ind w:left="3220" w:right="3120" w:firstLine="305"/>
        <w:spacing w:after="0" w:line="301" w:lineRule="auto"/>
        <w:tabs>
          <w:tab w:leader="none" w:pos="393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206-6000 </w:t>
      </w:r>
      <w:r>
        <w:rPr>
          <w:rFonts w:ascii="Arial" w:cs="Arial" w:eastAsia="Arial" w:hAnsi="Arial"/>
          <w:sz w:val="12"/>
          <w:szCs w:val="12"/>
          <w:b w:val="1"/>
          <w:bCs w:val="1"/>
          <w:color w:val="auto"/>
        </w:rPr>
        <w:t>(Registrant’s telephone number, including area code)</w:t>
      </w:r>
      <w:r>
        <w:rPr>
          <w:rFonts w:ascii="Arial" w:cs="Arial" w:eastAsia="Arial" w:hAnsi="Arial"/>
          <w:sz w:val="16"/>
          <w:szCs w:val="16"/>
          <w:b w:val="1"/>
          <w:bCs w:val="1"/>
          <w:color w:val="auto"/>
        </w:rPr>
        <w:t xml:space="preserve"> </w:t>
      </w:r>
      <w:r>
        <w:rPr>
          <w:rFonts w:ascii="Arial" w:cs="Arial" w:eastAsia="Arial" w:hAnsi="Arial"/>
          <w:sz w:val="12"/>
          <w:szCs w:val="12"/>
          <w:b w:val="1"/>
          <w:bCs w:val="1"/>
          <w:color w:val="auto"/>
        </w:rPr>
        <w:t>(Former name, former address and former fiscal year, if changed since last report)</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0" w:lineRule="exact"/>
        <w:rPr>
          <w:sz w:val="24"/>
          <w:szCs w:val="24"/>
          <w:color w:val="auto"/>
        </w:rPr>
      </w:pPr>
    </w:p>
    <w:tbl>
      <w:tblPr>
        <w:tblLayout w:type="fixed"/>
        <w:tblInd w:w="1470" w:type="dxa"/>
        <w:tblCellMar>
          <w:top w:w="0" w:type="dxa"/>
          <w:left w:w="0" w:type="dxa"/>
          <w:bottom w:w="0" w:type="dxa"/>
          <w:right w:w="0" w:type="dxa"/>
        </w:tblCellMar>
      </w:tblPr>
      <w:tr>
        <w:trPr>
          <w:trHeight w:val="198"/>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Trading Symbol(s)</w:t>
            </w:r>
          </w:p>
        </w:tc>
        <w:tc>
          <w:tcPr>
            <w:tcW w:w="3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07"/>
        </w:trPr>
        <w:tc>
          <w:tcPr>
            <w:tcW w:w="3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$0.01 Par Value</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VAC</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24"/>
        </w:trPr>
        <w:tc>
          <w:tcPr>
            <w:tcW w:w="3080" w:type="dxa"/>
            <w:vAlign w:val="bottom"/>
            <w:tcBorders>
              <w:left w:val="single" w:sz="8" w:color="auto"/>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175" w:lineRule="exact"/>
        <w:rPr>
          <w:sz w:val="24"/>
          <w:szCs w:val="24"/>
          <w:color w:val="auto"/>
        </w:rPr>
      </w:pPr>
    </w:p>
    <w:p>
      <w:pPr>
        <w:ind w:right="260"/>
        <w:spacing w:after="0" w:line="20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7" w:lineRule="exact"/>
        <w:rPr>
          <w:sz w:val="24"/>
          <w:szCs w:val="24"/>
          <w:color w:val="auto"/>
        </w:rPr>
      </w:pPr>
    </w:p>
    <w:p>
      <w:pPr>
        <w:ind w:right="28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4" w:lineRule="exact"/>
        <w:rPr>
          <w:sz w:val="24"/>
          <w:szCs w:val="24"/>
          <w:color w:val="auto"/>
        </w:rPr>
      </w:pPr>
    </w:p>
    <w:p>
      <w:pPr>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1369" w:right="439" w:bottom="1440" w:gutter="0" w:footer="0" w:header="0"/>
        </w:sectPr>
      </w:pPr>
    </w:p>
    <w:p>
      <w:pPr>
        <w:spacing w:after="0" w:line="25" w:lineRule="exact"/>
        <w:rPr>
          <w:sz w:val="24"/>
          <w:szCs w:val="24"/>
          <w:color w:val="auto"/>
        </w:rPr>
      </w:pPr>
    </w:p>
    <w:p>
      <w:pPr>
        <w:ind w:left="8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tabs>
          <w:tab w:leader="none" w:pos="4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4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2120" w:space="720"/>
            <w:col w:w="1640" w:space="720"/>
            <w:col w:w="1860" w:space="680"/>
            <w:col w:w="2340" w:space="720"/>
            <w:col w:w="340"/>
          </w:cols>
          <w:pgMar w:left="320" w:top="1369" w:right="43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4" w:lineRule="exact"/>
        <w:rPr>
          <w:sz w:val="24"/>
          <w:szCs w:val="24"/>
          <w:color w:val="auto"/>
        </w:rPr>
      </w:pPr>
    </w:p>
    <w:p>
      <w:pPr>
        <w:sectPr>
          <w:pgSz w:w="11900" w:h="16838" w:orient="portrait"/>
          <w:cols w:equalWidth="0" w:num="2">
            <w:col w:w="2120" w:space="720"/>
            <w:col w:w="8300"/>
          </w:cols>
          <w:pgMar w:left="320" w:top="1369" w:right="439" w:bottom="1440" w:gutter="0" w:footer="0" w:header="0"/>
          <w:type w:val="continuous"/>
        </w:sectPr>
      </w:pPr>
    </w:p>
    <w:p>
      <w:pPr>
        <w:ind w:right="4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3" w:lineRule="exact"/>
        <w:rPr>
          <w:sz w:val="24"/>
          <w:szCs w:val="24"/>
          <w:color w:val="auto"/>
        </w:rPr>
      </w:pPr>
    </w:p>
    <w:p>
      <w:pPr>
        <w:ind w:right="2600"/>
        <w:spacing w:after="0" w:line="27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r>
        <w:rPr>
          <w:rFonts w:ascii="Arial" w:cs="Arial" w:eastAsia="Arial" w:hAnsi="Arial"/>
          <w:sz w:val="14"/>
          <w:szCs w:val="14"/>
          <w:color w:val="auto"/>
        </w:rPr>
        <w:t xml:space="preserve"> The number of shares outstanding of the issuer’s common stock, par value $0.01 per share, as of October 30, 2023 was 35,517,203.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706755</wp:posOffset>
            </wp:positionV>
            <wp:extent cx="716470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41910"/>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107950</wp:posOffset>
            </wp:positionV>
            <wp:extent cx="5280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75565</wp:posOffset>
            </wp:positionV>
            <wp:extent cx="5280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ectPr>
          <w:pgSz w:w="11900" w:h="16838" w:orient="portrait"/>
          <w:cols w:equalWidth="0" w:num="1">
            <w:col w:w="11140"/>
          </w:cols>
          <w:pgMar w:left="320" w:top="1369" w:right="439" w:bottom="1440" w:gutter="0" w:footer="0" w:header="0"/>
          <w:type w:val="continuous"/>
        </w:sectPr>
      </w:pPr>
    </w:p>
    <w:bookmarkStart w:id="1" w:name="page2"/>
    <w:bookmarkEnd w:id="1"/>
    <w:p>
      <w:pPr>
        <w:jc w:val="center"/>
        <w:ind w:left="62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FORM 10-Q TABLE OF CONTENTS</w:t>
      </w:r>
    </w:p>
    <w:p>
      <w:pPr>
        <w:spacing w:after="0" w:line="40" w:lineRule="exact"/>
        <w:rPr>
          <w:sz w:val="20"/>
          <w:szCs w:val="20"/>
          <w:color w:val="auto"/>
        </w:rPr>
      </w:pPr>
    </w:p>
    <w:tbl>
      <w:tblPr>
        <w:tblLayout w:type="fixed"/>
        <w:tblInd w:w="1480" w:type="dxa"/>
        <w:tblCellMar>
          <w:top w:w="0" w:type="dxa"/>
          <w:left w:w="0" w:type="dxa"/>
          <w:bottom w:w="0" w:type="dxa"/>
          <w:right w:w="0" w:type="dxa"/>
        </w:tblCellMar>
      </w:tblPr>
      <w:tr>
        <w:trPr>
          <w:trHeight w:val="178"/>
        </w:trPr>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gridSpan w:val="3"/>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960" w:type="dxa"/>
            <w:vAlign w:val="bottom"/>
            <w:vMerge w:val="restart"/>
          </w:tcPr>
          <w:p>
            <w:pPr>
              <w:spacing w:after="0"/>
              <w:rPr>
                <w:sz w:val="20"/>
                <w:szCs w:val="20"/>
                <w:color w:val="auto"/>
              </w:rPr>
            </w:pPr>
            <w:r>
              <w:rPr>
                <w:rFonts w:ascii="Arial" w:cs="Arial" w:eastAsia="Arial" w:hAnsi="Arial"/>
                <w:sz w:val="16"/>
                <w:szCs w:val="16"/>
                <w:b w:val="1"/>
                <w:bCs w:val="1"/>
                <w:color w:val="auto"/>
              </w:rPr>
              <w:t>Part I.</w:t>
            </w:r>
          </w:p>
        </w:tc>
        <w:tc>
          <w:tcPr>
            <w:tcW w:w="6460" w:type="dxa"/>
            <w:vAlign w:val="bottom"/>
            <w:gridSpan w:val="27"/>
            <w:vMerge w:val="restart"/>
          </w:tcPr>
          <w:p>
            <w:pPr>
              <w:spacing w:after="0"/>
              <w:rPr>
                <w:sz w:val="20"/>
                <w:szCs w:val="20"/>
                <w:color w:val="auto"/>
              </w:rPr>
            </w:pPr>
            <w:r>
              <w:rPr>
                <w:rFonts w:ascii="Arial" w:cs="Arial" w:eastAsia="Arial" w:hAnsi="Arial"/>
                <w:sz w:val="16"/>
                <w:szCs w:val="16"/>
                <w:b w:val="1"/>
                <w:bCs w:val="1"/>
                <w:color w:val="0000FF"/>
              </w:rPr>
              <w:t>FINANCIAL INFORMATION</w:t>
            </w: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960" w:type="dxa"/>
            <w:vAlign w:val="bottom"/>
            <w:vMerge w:val="continue"/>
          </w:tcPr>
          <w:p>
            <w:pPr>
              <w:spacing w:after="0"/>
              <w:rPr>
                <w:sz w:val="13"/>
                <w:szCs w:val="13"/>
                <w:color w:val="auto"/>
              </w:rPr>
            </w:pPr>
          </w:p>
        </w:tc>
        <w:tc>
          <w:tcPr>
            <w:tcW w:w="6460" w:type="dxa"/>
            <w:vAlign w:val="bottom"/>
            <w:gridSpan w:val="27"/>
            <w:vMerge w:val="continue"/>
          </w:tcPr>
          <w:p>
            <w:pPr>
              <w:spacing w:after="0"/>
              <w:rPr>
                <w:sz w:val="13"/>
                <w:szCs w:val="13"/>
                <w:color w:val="auto"/>
              </w:rPr>
            </w:pPr>
          </w:p>
        </w:tc>
        <w:tc>
          <w:tcPr>
            <w:tcW w:w="480" w:type="dxa"/>
            <w:vAlign w:val="bottom"/>
            <w:gridSpan w:val="2"/>
          </w:tcPr>
          <w:p>
            <w:pPr>
              <w:jc w:val="center"/>
              <w:ind w:left="319"/>
              <w:spacing w:after="0" w:line="160" w:lineRule="exact"/>
              <w:rPr>
                <w:sz w:val="20"/>
                <w:szCs w:val="20"/>
                <w:color w:val="auto"/>
              </w:rPr>
            </w:pPr>
            <w:r>
              <w:rPr>
                <w:rFonts w:ascii="Arial" w:cs="Arial" w:eastAsia="Arial" w:hAnsi="Arial"/>
                <w:sz w:val="16"/>
                <w:szCs w:val="16"/>
                <w:color w:val="0000FF"/>
                <w:w w:val="89"/>
              </w:rPr>
              <w:t>1</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ind w:left="200"/>
              <w:spacing w:after="0"/>
              <w:rPr>
                <w:sz w:val="20"/>
                <w:szCs w:val="20"/>
                <w:color w:val="auto"/>
              </w:rPr>
            </w:pPr>
            <w:r>
              <w:rPr>
                <w:rFonts w:ascii="Arial" w:cs="Arial" w:eastAsia="Arial" w:hAnsi="Arial"/>
                <w:sz w:val="16"/>
                <w:szCs w:val="16"/>
                <w:color w:val="auto"/>
              </w:rPr>
              <w:t>Item 1.</w:t>
            </w:r>
          </w:p>
        </w:tc>
        <w:tc>
          <w:tcPr>
            <w:tcW w:w="200" w:type="dxa"/>
            <w:vAlign w:val="bottom"/>
          </w:tcPr>
          <w:p>
            <w:pPr>
              <w:spacing w:after="0"/>
              <w:rPr>
                <w:sz w:val="19"/>
                <w:szCs w:val="19"/>
                <w:color w:val="auto"/>
              </w:rPr>
            </w:pPr>
          </w:p>
        </w:tc>
        <w:tc>
          <w:tcPr>
            <w:tcW w:w="1340" w:type="dxa"/>
            <w:vAlign w:val="bottom"/>
            <w:gridSpan w:val="7"/>
          </w:tcPr>
          <w:p>
            <w:pPr>
              <w:spacing w:after="0"/>
              <w:rPr>
                <w:sz w:val="20"/>
                <w:szCs w:val="20"/>
                <w:color w:val="auto"/>
              </w:rPr>
            </w:pPr>
            <w:r>
              <w:rPr>
                <w:rFonts w:ascii="Arial" w:cs="Arial" w:eastAsia="Arial" w:hAnsi="Arial"/>
                <w:sz w:val="16"/>
                <w:szCs w:val="16"/>
                <w:color w:val="0000FF"/>
                <w:w w:val="86"/>
              </w:rPr>
              <w:t>Financial Statements</w:t>
            </w:r>
          </w:p>
        </w:tc>
        <w:tc>
          <w:tcPr>
            <w:tcW w:w="600" w:type="dxa"/>
            <w:vAlign w:val="bottom"/>
            <w:gridSpan w:val="3"/>
          </w:tcPr>
          <w:p>
            <w:pPr>
              <w:spacing w:after="0"/>
              <w:rPr>
                <w:sz w:val="19"/>
                <w:szCs w:val="19"/>
                <w:color w:val="auto"/>
              </w:rPr>
            </w:pPr>
          </w:p>
        </w:tc>
        <w:tc>
          <w:tcPr>
            <w:tcW w:w="4320" w:type="dxa"/>
            <w:vAlign w:val="bottom"/>
            <w:gridSpan w:val="16"/>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40" w:type="dxa"/>
            <w:vAlign w:val="bottom"/>
            <w:gridSpan w:val="25"/>
          </w:tcPr>
          <w:p>
            <w:pPr>
              <w:spacing w:after="0"/>
              <w:rPr>
                <w:sz w:val="20"/>
                <w:szCs w:val="20"/>
                <w:color w:val="auto"/>
              </w:rPr>
            </w:pPr>
            <w:r>
              <w:rPr>
                <w:rFonts w:ascii="Arial" w:cs="Arial" w:eastAsia="Arial" w:hAnsi="Arial"/>
                <w:sz w:val="16"/>
                <w:szCs w:val="16"/>
                <w:color w:val="0000FF"/>
              </w:rPr>
              <w:t>Interim Consolidated Statements of Income</w:t>
            </w: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40" w:type="dxa"/>
            <w:vAlign w:val="bottom"/>
            <w:gridSpan w:val="25"/>
          </w:tcPr>
          <w:p>
            <w:pPr>
              <w:spacing w:after="0"/>
              <w:rPr>
                <w:sz w:val="20"/>
                <w:szCs w:val="20"/>
                <w:color w:val="auto"/>
              </w:rPr>
            </w:pPr>
            <w:r>
              <w:rPr>
                <w:rFonts w:ascii="Arial" w:cs="Arial" w:eastAsia="Arial" w:hAnsi="Arial"/>
                <w:sz w:val="16"/>
                <w:szCs w:val="16"/>
                <w:color w:val="0000FF"/>
              </w:rPr>
              <w:t>Interim Consolidated Statements of Comprehensive Income</w:t>
            </w: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15"/>
          </w:tcPr>
          <w:p>
            <w:pPr>
              <w:spacing w:after="0"/>
              <w:rPr>
                <w:sz w:val="20"/>
                <w:szCs w:val="20"/>
                <w:color w:val="auto"/>
              </w:rPr>
            </w:pPr>
            <w:r>
              <w:rPr>
                <w:rFonts w:ascii="Arial" w:cs="Arial" w:eastAsia="Arial" w:hAnsi="Arial"/>
                <w:sz w:val="16"/>
                <w:szCs w:val="16"/>
                <w:color w:val="0000FF"/>
                <w:w w:val="88"/>
              </w:rPr>
              <w:t>Interim Consolidated Balance Sheets</w:t>
            </w:r>
          </w:p>
        </w:tc>
        <w:tc>
          <w:tcPr>
            <w:tcW w:w="1540" w:type="dxa"/>
            <w:vAlign w:val="bottom"/>
            <w:gridSpan w:val="6"/>
          </w:tcPr>
          <w:p>
            <w:pPr>
              <w:spacing w:after="0"/>
              <w:rPr>
                <w:sz w:val="19"/>
                <w:szCs w:val="19"/>
                <w:color w:val="auto"/>
              </w:rPr>
            </w:pPr>
          </w:p>
        </w:tc>
        <w:tc>
          <w:tcPr>
            <w:tcW w:w="2140" w:type="dxa"/>
            <w:vAlign w:val="bottom"/>
            <w:gridSpan w:val="4"/>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20" w:type="dxa"/>
            <w:vAlign w:val="bottom"/>
            <w:gridSpan w:val="19"/>
          </w:tcPr>
          <w:p>
            <w:pPr>
              <w:spacing w:after="0"/>
              <w:rPr>
                <w:sz w:val="20"/>
                <w:szCs w:val="20"/>
                <w:color w:val="auto"/>
              </w:rPr>
            </w:pPr>
            <w:r>
              <w:rPr>
                <w:rFonts w:ascii="Arial" w:cs="Arial" w:eastAsia="Arial" w:hAnsi="Arial"/>
                <w:sz w:val="16"/>
                <w:szCs w:val="16"/>
                <w:color w:val="0000FF"/>
                <w:w w:val="91"/>
              </w:rPr>
              <w:t>Interim Consolidated Statements of Cash Flows</w:t>
            </w:r>
          </w:p>
        </w:tc>
        <w:tc>
          <w:tcPr>
            <w:tcW w:w="2920" w:type="dxa"/>
            <w:vAlign w:val="bottom"/>
            <w:gridSpan w:val="6"/>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gridSpan w:val="20"/>
          </w:tcPr>
          <w:p>
            <w:pPr>
              <w:spacing w:after="0"/>
              <w:rPr>
                <w:sz w:val="20"/>
                <w:szCs w:val="20"/>
                <w:color w:val="auto"/>
              </w:rPr>
            </w:pPr>
            <w:r>
              <w:rPr>
                <w:rFonts w:ascii="Arial" w:cs="Arial" w:eastAsia="Arial" w:hAnsi="Arial"/>
                <w:sz w:val="16"/>
                <w:szCs w:val="16"/>
                <w:color w:val="0000FF"/>
                <w:w w:val="91"/>
              </w:rPr>
              <w:t>Interim Consolidated Statements of Shareholders’ Equity</w:t>
            </w:r>
          </w:p>
        </w:tc>
        <w:tc>
          <w:tcPr>
            <w:tcW w:w="2340" w:type="dxa"/>
            <w:vAlign w:val="bottom"/>
            <w:gridSpan w:val="5"/>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60" w:type="dxa"/>
            <w:vAlign w:val="bottom"/>
            <w:gridSpan w:val="26"/>
          </w:tcPr>
          <w:p>
            <w:pPr>
              <w:ind w:left="220"/>
              <w:spacing w:after="0"/>
              <w:rPr>
                <w:sz w:val="20"/>
                <w:szCs w:val="20"/>
                <w:color w:val="auto"/>
              </w:rPr>
            </w:pPr>
            <w:r>
              <w:rPr>
                <w:rFonts w:ascii="Arial" w:cs="Arial" w:eastAsia="Arial" w:hAnsi="Arial"/>
                <w:sz w:val="16"/>
                <w:szCs w:val="16"/>
                <w:color w:val="0000FF"/>
              </w:rPr>
              <w:t>Interim Condensed Notes to Consolidated Financial Statements</w:t>
            </w: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460" w:type="dxa"/>
            <w:vAlign w:val="bottom"/>
            <w:gridSpan w:val="2"/>
          </w:tcPr>
          <w:p>
            <w:pPr>
              <w:ind w:left="320"/>
              <w:spacing w:after="0"/>
              <w:rPr>
                <w:sz w:val="20"/>
                <w:szCs w:val="20"/>
                <w:color w:val="auto"/>
              </w:rPr>
            </w:pPr>
            <w:r>
              <w:rPr>
                <w:rFonts w:ascii="Arial" w:cs="Arial" w:eastAsia="Arial" w:hAnsi="Arial"/>
                <w:sz w:val="16"/>
                <w:szCs w:val="16"/>
                <w:color w:val="0000FF"/>
                <w:w w:val="89"/>
              </w:rPr>
              <w:t>1.</w:t>
            </w:r>
          </w:p>
        </w:tc>
        <w:tc>
          <w:tcPr>
            <w:tcW w:w="3660" w:type="dxa"/>
            <w:vAlign w:val="bottom"/>
            <w:gridSpan w:val="20"/>
          </w:tcPr>
          <w:p>
            <w:pPr>
              <w:ind w:left="20"/>
              <w:spacing w:after="0"/>
              <w:rPr>
                <w:sz w:val="20"/>
                <w:szCs w:val="20"/>
                <w:color w:val="auto"/>
              </w:rPr>
            </w:pPr>
            <w:r>
              <w:rPr>
                <w:rFonts w:ascii="Arial" w:cs="Arial" w:eastAsia="Arial" w:hAnsi="Arial"/>
                <w:sz w:val="16"/>
                <w:szCs w:val="16"/>
                <w:color w:val="0000FF"/>
              </w:rPr>
              <w:t>Basis of Presentation</w:t>
            </w:r>
          </w:p>
        </w:tc>
        <w:tc>
          <w:tcPr>
            <w:tcW w:w="1920" w:type="dxa"/>
            <w:vAlign w:val="bottom"/>
            <w:gridSpan w:val="3"/>
          </w:tcPr>
          <w:p>
            <w:pPr>
              <w:spacing w:after="0"/>
              <w:rPr>
                <w:sz w:val="19"/>
                <w:szCs w:val="19"/>
                <w:color w:val="auto"/>
              </w:rPr>
            </w:pP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880" w:type="dxa"/>
            <w:vAlign w:val="bottom"/>
            <w:gridSpan w:val="4"/>
          </w:tcPr>
          <w:p>
            <w:pPr>
              <w:ind w:left="740"/>
              <w:spacing w:after="0"/>
              <w:rPr>
                <w:sz w:val="20"/>
                <w:szCs w:val="20"/>
                <w:color w:val="auto"/>
              </w:rPr>
            </w:pPr>
            <w:r>
              <w:rPr>
                <w:rFonts w:ascii="Arial" w:cs="Arial" w:eastAsia="Arial" w:hAnsi="Arial"/>
                <w:sz w:val="16"/>
                <w:szCs w:val="16"/>
                <w:color w:val="0000FF"/>
                <w:w w:val="89"/>
              </w:rPr>
              <w:t>2.</w:t>
            </w:r>
          </w:p>
        </w:tc>
        <w:tc>
          <w:tcPr>
            <w:tcW w:w="5580" w:type="dxa"/>
            <w:vAlign w:val="bottom"/>
            <w:gridSpan w:val="23"/>
          </w:tcPr>
          <w:p>
            <w:pPr>
              <w:ind w:left="20"/>
              <w:spacing w:after="0"/>
              <w:rPr>
                <w:sz w:val="20"/>
                <w:szCs w:val="20"/>
                <w:color w:val="auto"/>
              </w:rPr>
            </w:pPr>
            <w:r>
              <w:rPr>
                <w:rFonts w:ascii="Arial" w:cs="Arial" w:eastAsia="Arial" w:hAnsi="Arial"/>
                <w:sz w:val="16"/>
                <w:szCs w:val="16"/>
                <w:color w:val="0000FF"/>
              </w:rPr>
              <w:t>Significant Accounting Policies and Recent Accounting Standards</w:t>
            </w: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0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880" w:type="dxa"/>
            <w:vAlign w:val="bottom"/>
            <w:gridSpan w:val="4"/>
          </w:tcPr>
          <w:p>
            <w:pPr>
              <w:ind w:left="740"/>
              <w:spacing w:after="0"/>
              <w:rPr>
                <w:sz w:val="20"/>
                <w:szCs w:val="20"/>
                <w:color w:val="auto"/>
              </w:rPr>
            </w:pPr>
            <w:r>
              <w:rPr>
                <w:rFonts w:ascii="Arial" w:cs="Arial" w:eastAsia="Arial" w:hAnsi="Arial"/>
                <w:sz w:val="16"/>
                <w:szCs w:val="16"/>
                <w:color w:val="0000FF"/>
                <w:w w:val="89"/>
              </w:rPr>
              <w:t>3.</w:t>
            </w:r>
          </w:p>
        </w:tc>
        <w:tc>
          <w:tcPr>
            <w:tcW w:w="5580" w:type="dxa"/>
            <w:vAlign w:val="bottom"/>
            <w:gridSpan w:val="23"/>
          </w:tcPr>
          <w:p>
            <w:pPr>
              <w:ind w:left="20"/>
              <w:spacing w:after="0"/>
              <w:rPr>
                <w:sz w:val="20"/>
                <w:szCs w:val="20"/>
                <w:color w:val="auto"/>
              </w:rPr>
            </w:pPr>
            <w:r>
              <w:rPr>
                <w:rFonts w:ascii="Arial" w:cs="Arial" w:eastAsia="Arial" w:hAnsi="Arial"/>
                <w:sz w:val="16"/>
                <w:szCs w:val="16"/>
                <w:color w:val="0000FF"/>
              </w:rPr>
              <w:t>Acquisitions and Dispositions</w:t>
            </w:r>
          </w:p>
        </w:tc>
        <w:tc>
          <w:tcPr>
            <w:tcW w:w="480" w:type="dxa"/>
            <w:vAlign w:val="bottom"/>
            <w:gridSpan w:val="2"/>
          </w:tcPr>
          <w:p>
            <w:pPr>
              <w:jc w:val="center"/>
              <w:ind w:left="319"/>
              <w:spacing w:after="0"/>
              <w:rPr>
                <w:sz w:val="20"/>
                <w:szCs w:val="20"/>
                <w:color w:val="auto"/>
              </w:rPr>
            </w:pPr>
            <w:r>
              <w:rPr>
                <w:rFonts w:ascii="Arial" w:cs="Arial" w:eastAsia="Arial" w:hAnsi="Arial"/>
                <w:sz w:val="16"/>
                <w:szCs w:val="16"/>
                <w:color w:val="0000FF"/>
                <w:w w:val="89"/>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880" w:type="dxa"/>
            <w:vAlign w:val="bottom"/>
            <w:gridSpan w:val="4"/>
          </w:tcPr>
          <w:p>
            <w:pPr>
              <w:ind w:left="740"/>
              <w:spacing w:after="0"/>
              <w:rPr>
                <w:sz w:val="20"/>
                <w:szCs w:val="20"/>
                <w:color w:val="auto"/>
              </w:rPr>
            </w:pPr>
            <w:r>
              <w:rPr>
                <w:rFonts w:ascii="Arial" w:cs="Arial" w:eastAsia="Arial" w:hAnsi="Arial"/>
                <w:sz w:val="16"/>
                <w:szCs w:val="16"/>
                <w:color w:val="0000FF"/>
                <w:w w:val="89"/>
              </w:rPr>
              <w:t>4.</w:t>
            </w:r>
          </w:p>
        </w:tc>
        <w:tc>
          <w:tcPr>
            <w:tcW w:w="5580" w:type="dxa"/>
            <w:vAlign w:val="bottom"/>
            <w:gridSpan w:val="23"/>
          </w:tcPr>
          <w:p>
            <w:pPr>
              <w:ind w:left="20"/>
              <w:spacing w:after="0"/>
              <w:rPr>
                <w:sz w:val="20"/>
                <w:szCs w:val="20"/>
                <w:color w:val="auto"/>
              </w:rPr>
            </w:pPr>
            <w:r>
              <w:rPr>
                <w:rFonts w:ascii="Arial" w:cs="Arial" w:eastAsia="Arial" w:hAnsi="Arial"/>
                <w:sz w:val="16"/>
                <w:szCs w:val="16"/>
                <w:color w:val="0000FF"/>
              </w:rPr>
              <w:t>Revenue and Receivables</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10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880" w:type="dxa"/>
            <w:vAlign w:val="bottom"/>
            <w:gridSpan w:val="4"/>
          </w:tcPr>
          <w:p>
            <w:pPr>
              <w:ind w:left="740"/>
              <w:spacing w:after="0"/>
              <w:rPr>
                <w:sz w:val="20"/>
                <w:szCs w:val="20"/>
                <w:color w:val="auto"/>
              </w:rPr>
            </w:pPr>
            <w:r>
              <w:rPr>
                <w:rFonts w:ascii="Arial" w:cs="Arial" w:eastAsia="Arial" w:hAnsi="Arial"/>
                <w:sz w:val="16"/>
                <w:szCs w:val="16"/>
                <w:color w:val="0000FF"/>
                <w:w w:val="89"/>
              </w:rPr>
              <w:t>5.</w:t>
            </w:r>
          </w:p>
        </w:tc>
        <w:tc>
          <w:tcPr>
            <w:tcW w:w="5580" w:type="dxa"/>
            <w:vAlign w:val="bottom"/>
            <w:gridSpan w:val="23"/>
          </w:tcPr>
          <w:p>
            <w:pPr>
              <w:ind w:left="20"/>
              <w:spacing w:after="0"/>
              <w:rPr>
                <w:sz w:val="20"/>
                <w:szCs w:val="20"/>
                <w:color w:val="auto"/>
              </w:rPr>
            </w:pPr>
            <w:r>
              <w:rPr>
                <w:rFonts w:ascii="Arial" w:cs="Arial" w:eastAsia="Arial" w:hAnsi="Arial"/>
                <w:sz w:val="16"/>
                <w:szCs w:val="16"/>
                <w:color w:val="0000FF"/>
              </w:rPr>
              <w:t>Income Taxes</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13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880" w:type="dxa"/>
            <w:vAlign w:val="bottom"/>
            <w:gridSpan w:val="4"/>
          </w:tcPr>
          <w:p>
            <w:pPr>
              <w:ind w:left="740"/>
              <w:spacing w:after="0"/>
              <w:rPr>
                <w:sz w:val="20"/>
                <w:szCs w:val="20"/>
                <w:color w:val="auto"/>
              </w:rPr>
            </w:pPr>
            <w:r>
              <w:rPr>
                <w:rFonts w:ascii="Arial" w:cs="Arial" w:eastAsia="Arial" w:hAnsi="Arial"/>
                <w:sz w:val="16"/>
                <w:szCs w:val="16"/>
                <w:color w:val="0000FF"/>
                <w:w w:val="89"/>
              </w:rPr>
              <w:t>6.</w:t>
            </w:r>
          </w:p>
        </w:tc>
        <w:tc>
          <w:tcPr>
            <w:tcW w:w="5580" w:type="dxa"/>
            <w:vAlign w:val="bottom"/>
            <w:gridSpan w:val="23"/>
          </w:tcPr>
          <w:p>
            <w:pPr>
              <w:ind w:left="20"/>
              <w:spacing w:after="0"/>
              <w:rPr>
                <w:sz w:val="20"/>
                <w:szCs w:val="20"/>
                <w:color w:val="auto"/>
              </w:rPr>
            </w:pPr>
            <w:r>
              <w:rPr>
                <w:rFonts w:ascii="Arial" w:cs="Arial" w:eastAsia="Arial" w:hAnsi="Arial"/>
                <w:sz w:val="16"/>
                <w:szCs w:val="16"/>
                <w:color w:val="0000FF"/>
              </w:rPr>
              <w:t>Vacation Ownership Notes Receivable</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14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880" w:type="dxa"/>
            <w:vAlign w:val="bottom"/>
            <w:gridSpan w:val="4"/>
          </w:tcPr>
          <w:p>
            <w:pPr>
              <w:ind w:left="740"/>
              <w:spacing w:after="0"/>
              <w:rPr>
                <w:sz w:val="20"/>
                <w:szCs w:val="20"/>
                <w:color w:val="auto"/>
              </w:rPr>
            </w:pPr>
            <w:r>
              <w:rPr>
                <w:rFonts w:ascii="Arial" w:cs="Arial" w:eastAsia="Arial" w:hAnsi="Arial"/>
                <w:sz w:val="16"/>
                <w:szCs w:val="16"/>
                <w:color w:val="0000FF"/>
                <w:w w:val="89"/>
              </w:rPr>
              <w:t>7.</w:t>
            </w:r>
          </w:p>
        </w:tc>
        <w:tc>
          <w:tcPr>
            <w:tcW w:w="5580" w:type="dxa"/>
            <w:vAlign w:val="bottom"/>
            <w:gridSpan w:val="23"/>
          </w:tcPr>
          <w:p>
            <w:pPr>
              <w:ind w:left="20"/>
              <w:spacing w:after="0"/>
              <w:rPr>
                <w:sz w:val="20"/>
                <w:szCs w:val="20"/>
                <w:color w:val="auto"/>
              </w:rPr>
            </w:pPr>
            <w:r>
              <w:rPr>
                <w:rFonts w:ascii="Arial" w:cs="Arial" w:eastAsia="Arial" w:hAnsi="Arial"/>
                <w:sz w:val="16"/>
                <w:szCs w:val="16"/>
                <w:color w:val="0000FF"/>
              </w:rPr>
              <w:t>Financial Instruments</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19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880" w:type="dxa"/>
            <w:vAlign w:val="bottom"/>
            <w:gridSpan w:val="4"/>
          </w:tcPr>
          <w:p>
            <w:pPr>
              <w:ind w:left="740"/>
              <w:spacing w:after="0"/>
              <w:rPr>
                <w:sz w:val="20"/>
                <w:szCs w:val="20"/>
                <w:color w:val="auto"/>
              </w:rPr>
            </w:pPr>
            <w:r>
              <w:rPr>
                <w:rFonts w:ascii="Arial" w:cs="Arial" w:eastAsia="Arial" w:hAnsi="Arial"/>
                <w:sz w:val="16"/>
                <w:szCs w:val="16"/>
                <w:color w:val="0000FF"/>
                <w:w w:val="89"/>
              </w:rPr>
              <w:t>8.</w:t>
            </w:r>
          </w:p>
        </w:tc>
        <w:tc>
          <w:tcPr>
            <w:tcW w:w="5580" w:type="dxa"/>
            <w:vAlign w:val="bottom"/>
            <w:gridSpan w:val="23"/>
          </w:tcPr>
          <w:p>
            <w:pPr>
              <w:ind w:left="20"/>
              <w:spacing w:after="0"/>
              <w:rPr>
                <w:sz w:val="20"/>
                <w:szCs w:val="20"/>
                <w:color w:val="auto"/>
              </w:rPr>
            </w:pPr>
            <w:r>
              <w:rPr>
                <w:rFonts w:ascii="Arial" w:cs="Arial" w:eastAsia="Arial" w:hAnsi="Arial"/>
                <w:sz w:val="16"/>
                <w:szCs w:val="16"/>
                <w:color w:val="0000FF"/>
              </w:rPr>
              <w:t>Earnings Per Share</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880" w:type="dxa"/>
            <w:vAlign w:val="bottom"/>
            <w:gridSpan w:val="4"/>
          </w:tcPr>
          <w:p>
            <w:pPr>
              <w:ind w:left="740"/>
              <w:spacing w:after="0"/>
              <w:rPr>
                <w:sz w:val="20"/>
                <w:szCs w:val="20"/>
                <w:color w:val="auto"/>
              </w:rPr>
            </w:pPr>
            <w:r>
              <w:rPr>
                <w:rFonts w:ascii="Arial" w:cs="Arial" w:eastAsia="Arial" w:hAnsi="Arial"/>
                <w:sz w:val="16"/>
                <w:szCs w:val="16"/>
                <w:color w:val="0000FF"/>
                <w:w w:val="89"/>
              </w:rPr>
              <w:t>9.</w:t>
            </w:r>
          </w:p>
        </w:tc>
        <w:tc>
          <w:tcPr>
            <w:tcW w:w="5580" w:type="dxa"/>
            <w:vAlign w:val="bottom"/>
            <w:gridSpan w:val="23"/>
          </w:tcPr>
          <w:p>
            <w:pPr>
              <w:ind w:left="20"/>
              <w:spacing w:after="0"/>
              <w:rPr>
                <w:sz w:val="20"/>
                <w:szCs w:val="20"/>
                <w:color w:val="auto"/>
              </w:rPr>
            </w:pPr>
            <w:r>
              <w:rPr>
                <w:rFonts w:ascii="Arial" w:cs="Arial" w:eastAsia="Arial" w:hAnsi="Arial"/>
                <w:sz w:val="16"/>
                <w:szCs w:val="16"/>
                <w:color w:val="0000FF"/>
              </w:rPr>
              <w:t>Inventory</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700" w:type="dxa"/>
            <w:vAlign w:val="bottom"/>
            <w:gridSpan w:val="24"/>
          </w:tcPr>
          <w:p>
            <w:pPr>
              <w:spacing w:after="0"/>
              <w:rPr>
                <w:sz w:val="20"/>
                <w:szCs w:val="20"/>
                <w:color w:val="auto"/>
              </w:rPr>
            </w:pPr>
            <w:r>
              <w:rPr>
                <w:rFonts w:ascii="Arial" w:cs="Arial" w:eastAsia="Arial" w:hAnsi="Arial"/>
                <w:sz w:val="16"/>
                <w:szCs w:val="16"/>
                <w:color w:val="0000FF"/>
              </w:rPr>
              <w:t>10. Contingencies and Commitments</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gridSpan w:val="15"/>
          </w:tcPr>
          <w:p>
            <w:pPr>
              <w:spacing w:after="0"/>
              <w:rPr>
                <w:sz w:val="20"/>
                <w:szCs w:val="20"/>
                <w:color w:val="auto"/>
              </w:rPr>
            </w:pPr>
            <w:r>
              <w:rPr>
                <w:rFonts w:ascii="Arial" w:cs="Arial" w:eastAsia="Arial" w:hAnsi="Arial"/>
                <w:sz w:val="16"/>
                <w:szCs w:val="16"/>
                <w:color w:val="0000FF"/>
              </w:rPr>
              <w:t>11. Securitized Debt</w:t>
            </w:r>
          </w:p>
        </w:tc>
        <w:tc>
          <w:tcPr>
            <w:tcW w:w="3320" w:type="dxa"/>
            <w:vAlign w:val="bottom"/>
            <w:gridSpan w:val="9"/>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Arial" w:cs="Arial" w:eastAsia="Arial" w:hAnsi="Arial"/>
                <w:sz w:val="16"/>
                <w:szCs w:val="16"/>
                <w:color w:val="0000FF"/>
                <w:w w:val="85"/>
              </w:rPr>
              <w:t>12. Debt</w:t>
            </w:r>
          </w:p>
        </w:tc>
        <w:tc>
          <w:tcPr>
            <w:tcW w:w="760" w:type="dxa"/>
            <w:vAlign w:val="bottom"/>
            <w:gridSpan w:val="4"/>
          </w:tcPr>
          <w:p>
            <w:pPr>
              <w:spacing w:after="0"/>
              <w:rPr>
                <w:sz w:val="19"/>
                <w:szCs w:val="19"/>
                <w:color w:val="auto"/>
              </w:rPr>
            </w:pPr>
          </w:p>
        </w:tc>
        <w:tc>
          <w:tcPr>
            <w:tcW w:w="4400" w:type="dxa"/>
            <w:vAlign w:val="bottom"/>
            <w:gridSpan w:val="17"/>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11"/>
          </w:tcPr>
          <w:p>
            <w:pPr>
              <w:spacing w:after="0"/>
              <w:rPr>
                <w:sz w:val="20"/>
                <w:szCs w:val="20"/>
                <w:color w:val="auto"/>
              </w:rPr>
            </w:pPr>
            <w:r>
              <w:rPr>
                <w:rFonts w:ascii="Arial" w:cs="Arial" w:eastAsia="Arial" w:hAnsi="Arial"/>
                <w:sz w:val="16"/>
                <w:szCs w:val="16"/>
                <w:color w:val="0000FF"/>
                <w:w w:val="90"/>
              </w:rPr>
              <w:t>13. Shareholders’ Equity</w:t>
            </w:r>
          </w:p>
        </w:tc>
        <w:tc>
          <w:tcPr>
            <w:tcW w:w="4100" w:type="dxa"/>
            <w:vAlign w:val="bottom"/>
            <w:gridSpan w:val="13"/>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29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700" w:type="dxa"/>
            <w:vAlign w:val="bottom"/>
            <w:gridSpan w:val="24"/>
          </w:tcPr>
          <w:p>
            <w:pPr>
              <w:spacing w:after="0"/>
              <w:rPr>
                <w:sz w:val="20"/>
                <w:szCs w:val="20"/>
                <w:color w:val="auto"/>
              </w:rPr>
            </w:pPr>
            <w:r>
              <w:rPr>
                <w:rFonts w:ascii="Arial" w:cs="Arial" w:eastAsia="Arial" w:hAnsi="Arial"/>
                <w:sz w:val="16"/>
                <w:szCs w:val="16"/>
                <w:color w:val="0000FF"/>
              </w:rPr>
              <w:t>14. Share-Based Compensation</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30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gridSpan w:val="14"/>
          </w:tcPr>
          <w:p>
            <w:pPr>
              <w:spacing w:after="0"/>
              <w:rPr>
                <w:sz w:val="20"/>
                <w:szCs w:val="20"/>
                <w:color w:val="auto"/>
              </w:rPr>
            </w:pPr>
            <w:r>
              <w:rPr>
                <w:rFonts w:ascii="Arial" w:cs="Arial" w:eastAsia="Arial" w:hAnsi="Arial"/>
                <w:sz w:val="16"/>
                <w:szCs w:val="16"/>
                <w:color w:val="0000FF"/>
                <w:w w:val="98"/>
              </w:rPr>
              <w:t>15. Variable Interest Entities</w:t>
            </w:r>
          </w:p>
        </w:tc>
        <w:tc>
          <w:tcPr>
            <w:tcW w:w="3680" w:type="dxa"/>
            <w:vAlign w:val="bottom"/>
            <w:gridSpan w:val="10"/>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31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9"/>
          </w:tcPr>
          <w:p>
            <w:pPr>
              <w:spacing w:after="0"/>
              <w:rPr>
                <w:sz w:val="20"/>
                <w:szCs w:val="20"/>
                <w:color w:val="auto"/>
              </w:rPr>
            </w:pPr>
            <w:r>
              <w:rPr>
                <w:rFonts w:ascii="Arial" w:cs="Arial" w:eastAsia="Arial" w:hAnsi="Arial"/>
                <w:sz w:val="16"/>
                <w:szCs w:val="16"/>
                <w:color w:val="0000FF"/>
                <w:w w:val="85"/>
              </w:rPr>
              <w:t>16. Business Segments</w:t>
            </w:r>
          </w:p>
        </w:tc>
        <w:tc>
          <w:tcPr>
            <w:tcW w:w="340" w:type="dxa"/>
            <w:vAlign w:val="bottom"/>
            <w:gridSpan w:val="4"/>
          </w:tcPr>
          <w:p>
            <w:pPr>
              <w:spacing w:after="0"/>
              <w:rPr>
                <w:sz w:val="19"/>
                <w:szCs w:val="19"/>
                <w:color w:val="auto"/>
              </w:rPr>
            </w:pPr>
          </w:p>
        </w:tc>
        <w:tc>
          <w:tcPr>
            <w:tcW w:w="3880" w:type="dxa"/>
            <w:vAlign w:val="bottom"/>
            <w:gridSpan w:val="11"/>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34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ind w:left="200"/>
              <w:spacing w:after="0"/>
              <w:rPr>
                <w:sz w:val="20"/>
                <w:szCs w:val="20"/>
                <w:color w:val="auto"/>
              </w:rPr>
            </w:pPr>
            <w:r>
              <w:rPr>
                <w:rFonts w:ascii="Arial" w:cs="Arial" w:eastAsia="Arial" w:hAnsi="Arial"/>
                <w:sz w:val="16"/>
                <w:szCs w:val="16"/>
                <w:color w:val="auto"/>
              </w:rPr>
              <w:t>Item 2.</w:t>
            </w:r>
          </w:p>
        </w:tc>
        <w:tc>
          <w:tcPr>
            <w:tcW w:w="200" w:type="dxa"/>
            <w:vAlign w:val="bottom"/>
          </w:tcPr>
          <w:p>
            <w:pPr>
              <w:spacing w:after="0"/>
              <w:rPr>
                <w:sz w:val="19"/>
                <w:szCs w:val="19"/>
                <w:color w:val="auto"/>
              </w:rPr>
            </w:pPr>
          </w:p>
        </w:tc>
        <w:tc>
          <w:tcPr>
            <w:tcW w:w="6260" w:type="dxa"/>
            <w:vAlign w:val="bottom"/>
            <w:gridSpan w:val="26"/>
          </w:tcPr>
          <w:p>
            <w:pPr>
              <w:spacing w:after="0"/>
              <w:rPr>
                <w:sz w:val="20"/>
                <w:szCs w:val="20"/>
                <w:color w:val="auto"/>
              </w:rPr>
            </w:pPr>
            <w:r>
              <w:rPr>
                <w:rFonts w:ascii="Arial" w:cs="Arial" w:eastAsia="Arial" w:hAnsi="Arial"/>
                <w:sz w:val="16"/>
                <w:szCs w:val="16"/>
                <w:color w:val="0000FF"/>
                <w:w w:val="99"/>
              </w:rPr>
              <w:t>Management’s Discussion and Analysis of Financial Condition and Results of Operations</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36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tcBorders>
              <w:left w:val="single" w:sz="8" w:color="0000FF"/>
            </w:tcBorders>
            <w:gridSpan w:val="13"/>
            <w:shd w:val="clear" w:color="auto" w:fill="0000FF"/>
          </w:tcPr>
          <w:p>
            <w:pPr>
              <w:spacing w:after="0" w:line="20" w:lineRule="exact"/>
              <w:rPr>
                <w:sz w:val="1"/>
                <w:szCs w:val="1"/>
                <w:color w:val="auto"/>
              </w:rPr>
            </w:pPr>
          </w:p>
        </w:tc>
        <w:tc>
          <w:tcPr>
            <w:tcW w:w="190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ind w:left="200"/>
              <w:spacing w:after="0"/>
              <w:rPr>
                <w:sz w:val="20"/>
                <w:szCs w:val="20"/>
                <w:color w:val="auto"/>
              </w:rPr>
            </w:pPr>
            <w:r>
              <w:rPr>
                <w:rFonts w:ascii="Arial" w:cs="Arial" w:eastAsia="Arial" w:hAnsi="Arial"/>
                <w:sz w:val="16"/>
                <w:szCs w:val="16"/>
                <w:color w:val="auto"/>
              </w:rPr>
              <w:t>Item 3.</w:t>
            </w:r>
          </w:p>
        </w:tc>
        <w:tc>
          <w:tcPr>
            <w:tcW w:w="200" w:type="dxa"/>
            <w:vAlign w:val="bottom"/>
          </w:tcPr>
          <w:p>
            <w:pPr>
              <w:spacing w:after="0"/>
              <w:rPr>
                <w:sz w:val="19"/>
                <w:szCs w:val="19"/>
                <w:color w:val="auto"/>
              </w:rPr>
            </w:pPr>
          </w:p>
        </w:tc>
        <w:tc>
          <w:tcPr>
            <w:tcW w:w="3920" w:type="dxa"/>
            <w:vAlign w:val="bottom"/>
            <w:gridSpan w:val="21"/>
          </w:tcPr>
          <w:p>
            <w:pPr>
              <w:spacing w:after="0"/>
              <w:rPr>
                <w:sz w:val="20"/>
                <w:szCs w:val="20"/>
                <w:color w:val="auto"/>
              </w:rPr>
            </w:pPr>
            <w:r>
              <w:rPr>
                <w:rFonts w:ascii="Arial" w:cs="Arial" w:eastAsia="Arial" w:hAnsi="Arial"/>
                <w:sz w:val="16"/>
                <w:szCs w:val="16"/>
                <w:color w:val="0000FF"/>
                <w:w w:val="92"/>
              </w:rPr>
              <w:t>Quantitative and Qualitative Disclosures About Market Risk</w:t>
            </w:r>
          </w:p>
        </w:tc>
        <w:tc>
          <w:tcPr>
            <w:tcW w:w="1900" w:type="dxa"/>
            <w:vAlign w:val="bottom"/>
            <w:gridSpan w:val="4"/>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ind w:left="200"/>
              <w:spacing w:after="0"/>
              <w:rPr>
                <w:sz w:val="20"/>
                <w:szCs w:val="20"/>
                <w:color w:val="auto"/>
              </w:rPr>
            </w:pPr>
            <w:r>
              <w:rPr>
                <w:rFonts w:ascii="Arial" w:cs="Arial" w:eastAsia="Arial" w:hAnsi="Arial"/>
                <w:sz w:val="16"/>
                <w:szCs w:val="16"/>
                <w:color w:val="auto"/>
              </w:rPr>
              <w:t>Item 4.</w:t>
            </w:r>
          </w:p>
        </w:tc>
        <w:tc>
          <w:tcPr>
            <w:tcW w:w="200" w:type="dxa"/>
            <w:vAlign w:val="bottom"/>
          </w:tcPr>
          <w:p>
            <w:pPr>
              <w:spacing w:after="0"/>
              <w:rPr>
                <w:sz w:val="19"/>
                <w:szCs w:val="19"/>
                <w:color w:val="auto"/>
              </w:rPr>
            </w:pPr>
          </w:p>
        </w:tc>
        <w:tc>
          <w:tcPr>
            <w:tcW w:w="1600" w:type="dxa"/>
            <w:vAlign w:val="bottom"/>
            <w:gridSpan w:val="8"/>
          </w:tcPr>
          <w:p>
            <w:pPr>
              <w:spacing w:after="0"/>
              <w:rPr>
                <w:sz w:val="20"/>
                <w:szCs w:val="20"/>
                <w:color w:val="auto"/>
              </w:rPr>
            </w:pPr>
            <w:r>
              <w:rPr>
                <w:rFonts w:ascii="Arial" w:cs="Arial" w:eastAsia="Arial" w:hAnsi="Arial"/>
                <w:sz w:val="16"/>
                <w:szCs w:val="16"/>
                <w:color w:val="0000FF"/>
                <w:w w:val="88"/>
              </w:rPr>
              <w:t>Controls and Procedures</w:t>
            </w:r>
          </w:p>
        </w:tc>
        <w:tc>
          <w:tcPr>
            <w:tcW w:w="2320" w:type="dxa"/>
            <w:vAlign w:val="bottom"/>
            <w:gridSpan w:val="13"/>
          </w:tcPr>
          <w:p>
            <w:pPr>
              <w:spacing w:after="0"/>
              <w:rPr>
                <w:sz w:val="19"/>
                <w:szCs w:val="19"/>
                <w:color w:val="auto"/>
              </w:rPr>
            </w:pPr>
          </w:p>
        </w:tc>
        <w:tc>
          <w:tcPr>
            <w:tcW w:w="2340" w:type="dxa"/>
            <w:vAlign w:val="bottom"/>
            <w:gridSpan w:val="5"/>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13"/>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6460" w:type="dxa"/>
            <w:vAlign w:val="bottom"/>
            <w:gridSpan w:val="27"/>
          </w:tcPr>
          <w:p>
            <w:pPr>
              <w:spacing w:after="0"/>
              <w:rPr>
                <w:sz w:val="20"/>
                <w:szCs w:val="20"/>
                <w:color w:val="auto"/>
              </w:rPr>
            </w:pPr>
            <w:r>
              <w:rPr>
                <w:rFonts w:ascii="Arial" w:cs="Arial" w:eastAsia="Arial" w:hAnsi="Arial"/>
                <w:sz w:val="16"/>
                <w:szCs w:val="16"/>
                <w:b w:val="1"/>
                <w:bCs w:val="1"/>
                <w:color w:val="0000FF"/>
              </w:rPr>
              <w:t>OTHER INFORMATION</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tcBorders>
              <w:left w:val="single" w:sz="8" w:color="0000FF"/>
            </w:tcBorders>
            <w:gridSpan w:val="13"/>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ind w:left="200"/>
              <w:spacing w:after="0"/>
              <w:rPr>
                <w:sz w:val="20"/>
                <w:szCs w:val="20"/>
                <w:color w:val="auto"/>
              </w:rPr>
            </w:pPr>
            <w:r>
              <w:rPr>
                <w:rFonts w:ascii="Arial" w:cs="Arial" w:eastAsia="Arial" w:hAnsi="Arial"/>
                <w:sz w:val="16"/>
                <w:szCs w:val="16"/>
                <w:color w:val="auto"/>
              </w:rPr>
              <w:t>Item 1.</w:t>
            </w:r>
          </w:p>
        </w:tc>
        <w:tc>
          <w:tcPr>
            <w:tcW w:w="200" w:type="dxa"/>
            <w:vAlign w:val="bottom"/>
          </w:tcPr>
          <w:p>
            <w:pPr>
              <w:spacing w:after="0"/>
              <w:rPr>
                <w:sz w:val="19"/>
                <w:szCs w:val="19"/>
                <w:color w:val="auto"/>
              </w:rPr>
            </w:pPr>
          </w:p>
        </w:tc>
        <w:tc>
          <w:tcPr>
            <w:tcW w:w="1600" w:type="dxa"/>
            <w:vAlign w:val="bottom"/>
            <w:gridSpan w:val="8"/>
          </w:tcPr>
          <w:p>
            <w:pPr>
              <w:spacing w:after="0"/>
              <w:rPr>
                <w:sz w:val="20"/>
                <w:szCs w:val="20"/>
                <w:color w:val="auto"/>
              </w:rPr>
            </w:pPr>
            <w:r>
              <w:rPr>
                <w:rFonts w:ascii="Arial" w:cs="Arial" w:eastAsia="Arial" w:hAnsi="Arial"/>
                <w:sz w:val="16"/>
                <w:szCs w:val="16"/>
                <w:color w:val="0000FF"/>
              </w:rPr>
              <w:t>Legal Proceedings</w:t>
            </w:r>
          </w:p>
        </w:tc>
        <w:tc>
          <w:tcPr>
            <w:tcW w:w="4660" w:type="dxa"/>
            <w:vAlign w:val="bottom"/>
            <w:gridSpan w:val="18"/>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740" w:type="dxa"/>
            <w:vAlign w:val="bottom"/>
            <w:tcBorders>
              <w:left w:val="single" w:sz="8" w:color="0000FF"/>
            </w:tcBorders>
            <w:gridSpan w:val="15"/>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ind w:left="200"/>
              <w:spacing w:after="0"/>
              <w:rPr>
                <w:sz w:val="20"/>
                <w:szCs w:val="20"/>
                <w:color w:val="auto"/>
              </w:rPr>
            </w:pPr>
            <w:r>
              <w:rPr>
                <w:rFonts w:ascii="Arial" w:cs="Arial" w:eastAsia="Arial" w:hAnsi="Arial"/>
                <w:sz w:val="16"/>
                <w:szCs w:val="16"/>
                <w:color w:val="auto"/>
              </w:rPr>
              <w:t>Item 1A.</w:t>
            </w:r>
          </w:p>
        </w:tc>
        <w:tc>
          <w:tcPr>
            <w:tcW w:w="200" w:type="dxa"/>
            <w:vAlign w:val="bottom"/>
          </w:tcPr>
          <w:p>
            <w:pPr>
              <w:spacing w:after="0"/>
              <w:rPr>
                <w:sz w:val="19"/>
                <w:szCs w:val="19"/>
                <w:color w:val="auto"/>
              </w:rPr>
            </w:pPr>
          </w:p>
        </w:tc>
        <w:tc>
          <w:tcPr>
            <w:tcW w:w="800" w:type="dxa"/>
            <w:vAlign w:val="bottom"/>
            <w:gridSpan w:val="4"/>
          </w:tcPr>
          <w:p>
            <w:pPr>
              <w:spacing w:after="0"/>
              <w:rPr>
                <w:sz w:val="20"/>
                <w:szCs w:val="20"/>
                <w:color w:val="auto"/>
              </w:rPr>
            </w:pPr>
            <w:r>
              <w:rPr>
                <w:rFonts w:ascii="Arial" w:cs="Arial" w:eastAsia="Arial" w:hAnsi="Arial"/>
                <w:sz w:val="16"/>
                <w:szCs w:val="16"/>
                <w:color w:val="0000FF"/>
                <w:w w:val="85"/>
              </w:rPr>
              <w:t>Risk Factors</w:t>
            </w:r>
          </w:p>
        </w:tc>
        <w:tc>
          <w:tcPr>
            <w:tcW w:w="380" w:type="dxa"/>
            <w:vAlign w:val="bottom"/>
            <w:gridSpan w:val="2"/>
          </w:tcPr>
          <w:p>
            <w:pPr>
              <w:spacing w:after="0"/>
              <w:rPr>
                <w:sz w:val="19"/>
                <w:szCs w:val="19"/>
                <w:color w:val="auto"/>
              </w:rPr>
            </w:pPr>
          </w:p>
        </w:tc>
        <w:tc>
          <w:tcPr>
            <w:tcW w:w="5080" w:type="dxa"/>
            <w:vAlign w:val="bottom"/>
            <w:gridSpan w:val="20"/>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2"/>
          </w:tcPr>
          <w:p>
            <w:pPr>
              <w:spacing w:after="0" w:line="20" w:lineRule="exact"/>
              <w:rPr>
                <w:sz w:val="1"/>
                <w:szCs w:val="1"/>
                <w:color w:val="auto"/>
              </w:rPr>
            </w:pPr>
          </w:p>
        </w:tc>
        <w:tc>
          <w:tcPr>
            <w:tcW w:w="2740" w:type="dxa"/>
            <w:vAlign w:val="bottom"/>
            <w:gridSpan w:val="15"/>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ind w:left="200"/>
              <w:spacing w:after="0"/>
              <w:rPr>
                <w:sz w:val="20"/>
                <w:szCs w:val="20"/>
                <w:color w:val="auto"/>
              </w:rPr>
            </w:pPr>
            <w:r>
              <w:rPr>
                <w:rFonts w:ascii="Arial" w:cs="Arial" w:eastAsia="Arial" w:hAnsi="Arial"/>
                <w:sz w:val="16"/>
                <w:szCs w:val="16"/>
                <w:color w:val="auto"/>
              </w:rPr>
              <w:t>Item 2.</w:t>
            </w:r>
          </w:p>
        </w:tc>
        <w:tc>
          <w:tcPr>
            <w:tcW w:w="200" w:type="dxa"/>
            <w:vAlign w:val="bottom"/>
          </w:tcPr>
          <w:p>
            <w:pPr>
              <w:spacing w:after="0"/>
              <w:rPr>
                <w:sz w:val="19"/>
                <w:szCs w:val="19"/>
                <w:color w:val="auto"/>
              </w:rPr>
            </w:pPr>
          </w:p>
        </w:tc>
        <w:tc>
          <w:tcPr>
            <w:tcW w:w="6260" w:type="dxa"/>
            <w:vAlign w:val="bottom"/>
            <w:gridSpan w:val="26"/>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ind w:left="200"/>
              <w:spacing w:after="0"/>
              <w:rPr>
                <w:sz w:val="20"/>
                <w:szCs w:val="20"/>
                <w:color w:val="auto"/>
              </w:rPr>
            </w:pPr>
            <w:r>
              <w:rPr>
                <w:rFonts w:ascii="Arial" w:cs="Arial" w:eastAsia="Arial" w:hAnsi="Arial"/>
                <w:sz w:val="16"/>
                <w:szCs w:val="16"/>
                <w:color w:val="auto"/>
              </w:rPr>
              <w:t>Item 5.</w:t>
            </w:r>
          </w:p>
        </w:tc>
        <w:tc>
          <w:tcPr>
            <w:tcW w:w="200" w:type="dxa"/>
            <w:vAlign w:val="bottom"/>
          </w:tcPr>
          <w:p>
            <w:pPr>
              <w:spacing w:after="0"/>
              <w:rPr>
                <w:sz w:val="19"/>
                <w:szCs w:val="19"/>
                <w:color w:val="auto"/>
              </w:rPr>
            </w:pPr>
          </w:p>
        </w:tc>
        <w:tc>
          <w:tcPr>
            <w:tcW w:w="3920" w:type="dxa"/>
            <w:vAlign w:val="bottom"/>
            <w:gridSpan w:val="21"/>
          </w:tcPr>
          <w:p>
            <w:pPr>
              <w:spacing w:after="0"/>
              <w:rPr>
                <w:sz w:val="20"/>
                <w:szCs w:val="20"/>
                <w:color w:val="auto"/>
              </w:rPr>
            </w:pPr>
            <w:r>
              <w:rPr>
                <w:rFonts w:ascii="Arial" w:cs="Arial" w:eastAsia="Arial" w:hAnsi="Arial"/>
                <w:sz w:val="16"/>
                <w:szCs w:val="16"/>
                <w:color w:val="0000FF"/>
              </w:rPr>
              <w:t>Other Information</w:t>
            </w:r>
          </w:p>
        </w:tc>
        <w:tc>
          <w:tcPr>
            <w:tcW w:w="2340" w:type="dxa"/>
            <w:vAlign w:val="bottom"/>
            <w:gridSpan w:val="5"/>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ind w:left="200"/>
              <w:spacing w:after="0"/>
              <w:rPr>
                <w:sz w:val="20"/>
                <w:szCs w:val="20"/>
                <w:color w:val="auto"/>
              </w:rPr>
            </w:pPr>
            <w:r>
              <w:rPr>
                <w:rFonts w:ascii="Arial" w:cs="Arial" w:eastAsia="Arial" w:hAnsi="Arial"/>
                <w:sz w:val="16"/>
                <w:szCs w:val="16"/>
                <w:color w:val="auto"/>
              </w:rPr>
              <w:t>Item 6.</w:t>
            </w:r>
          </w:p>
        </w:tc>
        <w:tc>
          <w:tcPr>
            <w:tcW w:w="20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6"/>
                <w:szCs w:val="16"/>
                <w:color w:val="0000FF"/>
                <w:w w:val="92"/>
              </w:rPr>
              <w:t>Exhibits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68</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60" w:type="dxa"/>
            <w:vAlign w:val="bottom"/>
            <w:gridSpan w:val="2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1000" w:type="dxa"/>
            <w:vAlign w:val="bottom"/>
            <w:gridSpan w:val="5"/>
          </w:tcPr>
          <w:p>
            <w:pPr>
              <w:spacing w:after="0"/>
              <w:rPr>
                <w:sz w:val="20"/>
                <w:szCs w:val="20"/>
                <w:color w:val="auto"/>
              </w:rPr>
            </w:pPr>
            <w:r>
              <w:rPr>
                <w:rFonts w:ascii="Arial" w:cs="Arial" w:eastAsia="Arial" w:hAnsi="Arial"/>
                <w:sz w:val="16"/>
                <w:szCs w:val="16"/>
                <w:color w:val="0000FF"/>
                <w:w w:val="92"/>
              </w:rPr>
              <w:t>SIGNATURES</w:t>
            </w:r>
          </w:p>
        </w:tc>
        <w:tc>
          <w:tcPr>
            <w:tcW w:w="5460" w:type="dxa"/>
            <w:vAlign w:val="bottom"/>
            <w:gridSpan w:val="22"/>
          </w:tcPr>
          <w:p>
            <w:pPr>
              <w:spacing w:after="0"/>
              <w:rPr>
                <w:sz w:val="19"/>
                <w:szCs w:val="19"/>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0000FF"/>
                <w:w w:val="89"/>
              </w:rPr>
              <w:t>70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trade names, and service marks cited in this report are the property of their respective owners, including those of other companies and organizations. Solely for convenience, trademarks, trade names, and service marks referred to in this report may appear without the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or </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symbols, however, such references are not intended to indicate in any way that MVW or the owner, as applicable, will not assert, to the fullest extent under applicable law, all rights to such trademarks, trade names, and service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638810</wp:posOffset>
            </wp:positionV>
            <wp:extent cx="71647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60"/>
          </w:cols>
          <w:pgMar w:left="320" w:top="1148" w:right="41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1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STATEMENTS OF INCOME</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(In millions, except per share amounts)</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(Unaudited)</w:t>
      </w:r>
    </w:p>
    <w:p>
      <w:pPr>
        <w:spacing w:after="0" w:line="87"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5"/>
          </w:tcPr>
          <w:p>
            <w:pPr>
              <w:ind w:left="440"/>
              <w:spacing w:after="0"/>
              <w:rPr>
                <w:sz w:val="20"/>
                <w:szCs w:val="20"/>
                <w:color w:val="auto"/>
              </w:rPr>
            </w:pPr>
            <w:r>
              <w:rPr>
                <w:rFonts w:ascii="Arial" w:cs="Arial" w:eastAsia="Arial" w:hAnsi="Arial"/>
                <w:sz w:val="15"/>
                <w:szCs w:val="15"/>
                <w:b w:val="1"/>
                <w:bCs w:val="1"/>
                <w:color w:val="auto"/>
              </w:rPr>
              <w:t>Three Months Ended</w:t>
            </w:r>
          </w:p>
        </w:tc>
        <w:tc>
          <w:tcPr>
            <w:tcW w:w="100" w:type="dxa"/>
            <w:vAlign w:val="bottom"/>
          </w:tcPr>
          <w:p>
            <w:pPr>
              <w:spacing w:after="0"/>
              <w:rPr>
                <w:sz w:val="17"/>
                <w:szCs w:val="17"/>
                <w:color w:val="auto"/>
              </w:rPr>
            </w:pPr>
          </w:p>
        </w:tc>
        <w:tc>
          <w:tcPr>
            <w:tcW w:w="2380" w:type="dxa"/>
            <w:vAlign w:val="bottom"/>
            <w:gridSpan w:val="4"/>
          </w:tcPr>
          <w:p>
            <w:pPr>
              <w:jc w:val="right"/>
              <w:ind w:right="515"/>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50"/>
        </w:trPr>
        <w:tc>
          <w:tcPr>
            <w:tcW w:w="3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5"/>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55"/>
              <w:spacing w:after="0" w:line="150" w:lineRule="exact"/>
              <w:rPr>
                <w:sz w:val="20"/>
                <w:szCs w:val="20"/>
                <w:color w:val="auto"/>
              </w:rPr>
            </w:pPr>
            <w:r>
              <w:rPr>
                <w:rFonts w:ascii="Arial" w:cs="Arial" w:eastAsia="Arial" w:hAnsi="Arial"/>
                <w:sz w:val="15"/>
                <w:szCs w:val="15"/>
                <w:b w:val="1"/>
                <w:bCs w:val="1"/>
                <w:color w:val="auto"/>
                <w:w w:val="89"/>
              </w:rPr>
              <w:t>September 30,</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26"/>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200"/>
              <w:spacing w:after="0"/>
              <w:rPr>
                <w:sz w:val="20"/>
                <w:szCs w:val="20"/>
                <w:color w:val="auto"/>
              </w:rPr>
            </w:pPr>
            <w:r>
              <w:rPr>
                <w:rFonts w:ascii="Arial" w:cs="Arial" w:eastAsia="Arial" w:hAnsi="Arial"/>
                <w:sz w:val="17"/>
                <w:szCs w:val="17"/>
                <w:color w:val="auto"/>
              </w:rPr>
              <w:t>Sale of vacation ownership products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319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444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1,085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1,179</w:t>
            </w:r>
          </w:p>
        </w:tc>
        <w:tc>
          <w:tcPr>
            <w:tcW w:w="0" w:type="dxa"/>
            <w:vAlign w:val="bottom"/>
          </w:tcPr>
          <w:p>
            <w:pPr>
              <w:spacing w:after="0"/>
              <w:rPr>
                <w:sz w:val="1"/>
                <w:szCs w:val="1"/>
                <w:color w:val="auto"/>
              </w:rPr>
            </w:pPr>
          </w:p>
        </w:tc>
      </w:tr>
      <w:tr>
        <w:trPr>
          <w:trHeight w:val="251"/>
        </w:trPr>
        <w:tc>
          <w:tcPr>
            <w:tcW w:w="3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and exchange</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0" w:type="dxa"/>
            <w:vAlign w:val="bottom"/>
          </w:tcPr>
          <w:p>
            <w:pPr>
              <w:spacing w:after="0"/>
              <w:rPr>
                <w:sz w:val="1"/>
                <w:szCs w:val="1"/>
                <w:color w:val="auto"/>
              </w:rPr>
            </w:pPr>
          </w:p>
        </w:tc>
      </w:tr>
      <w:tr>
        <w:trPr>
          <w:trHeight w:val="237"/>
        </w:trPr>
        <w:tc>
          <w:tcPr>
            <w:tcW w:w="3220" w:type="dxa"/>
            <w:vAlign w:val="bottom"/>
          </w:tcPr>
          <w:p>
            <w:pPr>
              <w:ind w:left="200"/>
              <w:spacing w:after="0"/>
              <w:rPr>
                <w:sz w:val="20"/>
                <w:szCs w:val="20"/>
                <w:color w:val="auto"/>
              </w:rPr>
            </w:pPr>
            <w:r>
              <w:rPr>
                <w:rFonts w:ascii="Arial" w:cs="Arial" w:eastAsia="Arial" w:hAnsi="Arial"/>
                <w:sz w:val="17"/>
                <w:szCs w:val="17"/>
                <w:color w:val="auto"/>
              </w:rPr>
              <w:t>Rental</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51"/>
        </w:trPr>
        <w:tc>
          <w:tcPr>
            <w:tcW w:w="3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371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1,163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1,011</w:t>
            </w:r>
          </w:p>
        </w:tc>
        <w:tc>
          <w:tcPr>
            <w:tcW w:w="0" w:type="dxa"/>
            <w:vAlign w:val="bottom"/>
          </w:tcPr>
          <w:p>
            <w:pPr>
              <w:spacing w:after="0"/>
              <w:rPr>
                <w:sz w:val="1"/>
                <w:szCs w:val="1"/>
                <w:color w:val="auto"/>
              </w:rPr>
            </w:pPr>
          </w:p>
        </w:tc>
      </w:tr>
      <w:tr>
        <w:trPr>
          <w:trHeight w:val="231"/>
        </w:trPr>
        <w:tc>
          <w:tcPr>
            <w:tcW w:w="322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REVENUES</w:t>
            </w: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1,252</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3,533</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3,468</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of vacation ownership products</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37"/>
        </w:trPr>
        <w:tc>
          <w:tcPr>
            <w:tcW w:w="3220" w:type="dxa"/>
            <w:vAlign w:val="bottom"/>
          </w:tcPr>
          <w:p>
            <w:pPr>
              <w:ind w:left="200"/>
              <w:spacing w:after="0"/>
              <w:rPr>
                <w:sz w:val="20"/>
                <w:szCs w:val="20"/>
                <w:color w:val="auto"/>
              </w:rPr>
            </w:pPr>
            <w:r>
              <w:rPr>
                <w:rFonts w:ascii="Arial" w:cs="Arial" w:eastAsia="Arial" w:hAnsi="Arial"/>
                <w:sz w:val="17"/>
                <w:szCs w:val="17"/>
                <w:color w:val="auto"/>
              </w:rPr>
              <w:t>Marketing and sales</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251"/>
        </w:trPr>
        <w:tc>
          <w:tcPr>
            <w:tcW w:w="3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and exchange</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37"/>
        </w:trPr>
        <w:tc>
          <w:tcPr>
            <w:tcW w:w="3220" w:type="dxa"/>
            <w:vAlign w:val="bottom"/>
          </w:tcPr>
          <w:p>
            <w:pPr>
              <w:ind w:left="200"/>
              <w:spacing w:after="0"/>
              <w:rPr>
                <w:sz w:val="20"/>
                <w:szCs w:val="20"/>
                <w:color w:val="auto"/>
              </w:rPr>
            </w:pPr>
            <w:r>
              <w:rPr>
                <w:rFonts w:ascii="Arial" w:cs="Arial" w:eastAsia="Arial" w:hAnsi="Arial"/>
                <w:sz w:val="17"/>
                <w:szCs w:val="17"/>
                <w:color w:val="auto"/>
              </w:rPr>
              <w:t>Rental</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51"/>
        </w:trPr>
        <w:tc>
          <w:tcPr>
            <w:tcW w:w="3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37"/>
        </w:trPr>
        <w:tc>
          <w:tcPr>
            <w:tcW w:w="322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51"/>
        </w:trPr>
        <w:tc>
          <w:tcPr>
            <w:tcW w:w="3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37"/>
        </w:trPr>
        <w:tc>
          <w:tcPr>
            <w:tcW w:w="3220" w:type="dxa"/>
            <w:vAlign w:val="bottom"/>
          </w:tcPr>
          <w:p>
            <w:pPr>
              <w:ind w:left="200"/>
              <w:spacing w:after="0"/>
              <w:rPr>
                <w:sz w:val="20"/>
                <w:szCs w:val="20"/>
                <w:color w:val="auto"/>
              </w:rPr>
            </w:pPr>
            <w:r>
              <w:rPr>
                <w:rFonts w:ascii="Arial" w:cs="Arial" w:eastAsia="Arial" w:hAnsi="Arial"/>
                <w:sz w:val="17"/>
                <w:szCs w:val="17"/>
                <w:color w:val="auto"/>
              </w:rPr>
              <w:t>Litigation charges</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51"/>
        </w:trPr>
        <w:tc>
          <w:tcPr>
            <w:tcW w:w="3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Royalty fee</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37"/>
        </w:trPr>
        <w:tc>
          <w:tcPr>
            <w:tcW w:w="3220" w:type="dxa"/>
            <w:vAlign w:val="bottom"/>
          </w:tcPr>
          <w:p>
            <w:pPr>
              <w:ind w:left="200"/>
              <w:spacing w:after="0"/>
              <w:rPr>
                <w:sz w:val="20"/>
                <w:szCs w:val="20"/>
                <w:color w:val="auto"/>
              </w:rPr>
            </w:pPr>
            <w:r>
              <w:rPr>
                <w:rFonts w:ascii="Arial" w:cs="Arial" w:eastAsia="Arial" w:hAnsi="Arial"/>
                <w:sz w:val="17"/>
                <w:szCs w:val="17"/>
                <w:color w:val="auto"/>
              </w:rPr>
              <w:t>Impairment</w:t>
            </w: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1"/>
        </w:trPr>
        <w:tc>
          <w:tcPr>
            <w:tcW w:w="3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371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1,163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EXPENSES</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1,012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3,099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2,880</w:t>
            </w:r>
          </w:p>
        </w:tc>
        <w:tc>
          <w:tcPr>
            <w:tcW w:w="0" w:type="dxa"/>
            <w:vAlign w:val="bottom"/>
          </w:tcPr>
          <w:p>
            <w:pPr>
              <w:spacing w:after="0"/>
              <w:rPr>
                <w:sz w:val="1"/>
                <w:szCs w:val="1"/>
                <w:color w:val="auto"/>
              </w:rPr>
            </w:pPr>
          </w:p>
        </w:tc>
      </w:tr>
      <w:tr>
        <w:trPr>
          <w:trHeight w:val="154"/>
        </w:trPr>
        <w:tc>
          <w:tcPr>
            <w:tcW w:w="3220" w:type="dxa"/>
            <w:vAlign w:val="bottom"/>
            <w:shd w:val="clear" w:color="auto" w:fill="CCEEFF"/>
          </w:tcPr>
          <w:p>
            <w:pPr>
              <w:ind w:left="200"/>
              <w:spacing w:after="0" w:line="154" w:lineRule="exact"/>
              <w:rPr>
                <w:sz w:val="20"/>
                <w:szCs w:val="20"/>
                <w:color w:val="auto"/>
              </w:rPr>
            </w:pPr>
            <w:r>
              <w:rPr>
                <w:rFonts w:ascii="Arial" w:cs="Arial" w:eastAsia="Arial" w:hAnsi="Arial"/>
                <w:sz w:val="17"/>
                <w:szCs w:val="17"/>
                <w:color w:val="auto"/>
                <w:w w:val="90"/>
              </w:rPr>
              <w:t>Gains (losses) and other income (expense),</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39"/>
        </w:trPr>
        <w:tc>
          <w:tcPr>
            <w:tcW w:w="3220" w:type="dxa"/>
            <w:vAlign w:val="bottom"/>
            <w:vMerge w:val="restart"/>
            <w:shd w:val="clear" w:color="auto" w:fill="CCEEFF"/>
          </w:tcPr>
          <w:p>
            <w:pPr>
              <w:ind w:left="200"/>
              <w:spacing w:after="0"/>
              <w:rPr>
                <w:sz w:val="20"/>
                <w:szCs w:val="20"/>
                <w:color w:val="auto"/>
              </w:rPr>
            </w:pPr>
            <w:r>
              <w:rPr>
                <w:rFonts w:ascii="Arial" w:cs="Arial" w:eastAsia="Arial" w:hAnsi="Arial"/>
                <w:sz w:val="17"/>
                <w:szCs w:val="17"/>
                <w:color w:val="auto"/>
              </w:rPr>
              <w:t>net</w:t>
            </w:r>
          </w:p>
        </w:tc>
        <w:tc>
          <w:tcPr>
            <w:tcW w:w="10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2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20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51"/>
        </w:trPr>
        <w:tc>
          <w:tcPr>
            <w:tcW w:w="3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Transaction and integration costs</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37"/>
        </w:trPr>
        <w:tc>
          <w:tcPr>
            <w:tcW w:w="3220" w:type="dxa"/>
            <w:vAlign w:val="bottom"/>
          </w:tcPr>
          <w:p>
            <w:pPr>
              <w:ind w:left="20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4"/>
        </w:trPr>
        <w:tc>
          <w:tcPr>
            <w:tcW w:w="322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INCOME BEFORE INCOME TAXES</w:t>
            </w: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AND NONCONTROLLING INTERESTS</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334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Provision for income taxes</w:t>
            </w: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31"/>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167"/>
        </w:trPr>
        <w:tc>
          <w:tcPr>
            <w:tcW w:w="3220" w:type="dxa"/>
            <w:vAlign w:val="bottom"/>
          </w:tcPr>
          <w:p>
            <w:pPr>
              <w:spacing w:after="0" w:line="167" w:lineRule="exact"/>
              <w:rPr>
                <w:sz w:val="20"/>
                <w:szCs w:val="20"/>
                <w:color w:val="auto"/>
              </w:rPr>
            </w:pPr>
            <w:r>
              <w:rPr>
                <w:rFonts w:ascii="Arial" w:cs="Arial" w:eastAsia="Arial" w:hAnsi="Arial"/>
                <w:sz w:val="17"/>
                <w:szCs w:val="17"/>
                <w:color w:val="auto"/>
              </w:rPr>
              <w:t>Net income attributable to noncontrolling</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7"/>
                <w:szCs w:val="17"/>
                <w:color w:val="auto"/>
              </w:rPr>
              <w:t>interests</w:t>
            </w:r>
          </w:p>
        </w:tc>
        <w:tc>
          <w:tcPr>
            <w:tcW w:w="1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8"/>
        </w:trPr>
        <w:tc>
          <w:tcPr>
            <w:tcW w:w="322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7"/>
                <w:szCs w:val="17"/>
                <w:b w:val="1"/>
                <w:bCs w:val="1"/>
                <w:color w:val="auto"/>
              </w:rPr>
              <w:t>NET INCOME ATTRIBUTABLE TO</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109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219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25"/>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COMMON SHAREHOLDERS</w:t>
            </w: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22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EARNINGS PER SHARE</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220" w:type="dxa"/>
            <w:vAlign w:val="bottom"/>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ATTRIBUTABLE TO COMMON</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SHAREHOLDERS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200"/>
              <w:spacing w:after="0"/>
              <w:rPr>
                <w:sz w:val="20"/>
                <w:szCs w:val="20"/>
                <w:color w:val="auto"/>
              </w:rPr>
            </w:pPr>
            <w:r>
              <w:rPr>
                <w:rFonts w:ascii="Arial" w:cs="Arial" w:eastAsia="Arial" w:hAnsi="Arial"/>
                <w:sz w:val="17"/>
                <w:szCs w:val="17"/>
                <w:color w:val="auto"/>
              </w:rPr>
              <w:t>Basic</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2.76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5.96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7.39</w:t>
            </w:r>
          </w:p>
        </w:tc>
        <w:tc>
          <w:tcPr>
            <w:tcW w:w="0" w:type="dxa"/>
            <w:vAlign w:val="bottom"/>
          </w:tcPr>
          <w:p>
            <w:pPr>
              <w:spacing w:after="0"/>
              <w:rPr>
                <w:sz w:val="1"/>
                <w:szCs w:val="1"/>
                <w:color w:val="auto"/>
              </w:rPr>
            </w:pPr>
          </w:p>
        </w:tc>
      </w:tr>
      <w:tr>
        <w:trPr>
          <w:trHeight w:val="251"/>
        </w:trPr>
        <w:tc>
          <w:tcPr>
            <w:tcW w:w="3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2.53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22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CASH DIVIDENDS DECLARED PER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0.62</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140"/>
        </w:trPr>
        <w:tc>
          <w:tcPr>
            <w:tcW w:w="322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SHARE</w:t>
            </w:r>
          </w:p>
        </w:tc>
        <w:tc>
          <w:tcPr>
            <w:tcW w:w="10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2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ectPr>
          <w:pgSz w:w="11900" w:h="16838" w:orient="portrait"/>
          <w:cols w:equalWidth="0" w:num="1">
            <w:col w:w="10139"/>
          </w:cols>
          <w:pgMar w:left="320" w:top="23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STATEMENTS OF COMPREHENSIVE INCOME</w:t>
      </w:r>
    </w:p>
    <w:p>
      <w:pPr>
        <w:spacing w:after="0" w:line="1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(Unaudited)</w:t>
      </w:r>
    </w:p>
    <w:p>
      <w:pPr>
        <w:spacing w:after="0" w:line="344"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5"/>
          </w:tcPr>
          <w:p>
            <w:pPr>
              <w:ind w:left="44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2400" w:type="dxa"/>
            <w:vAlign w:val="bottom"/>
            <w:gridSpan w:val="4"/>
          </w:tcPr>
          <w:p>
            <w:pPr>
              <w:jc w:val="right"/>
              <w:ind w:right="516"/>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50"/>
        </w:trPr>
        <w:tc>
          <w:tcPr>
            <w:tcW w:w="3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5"/>
                <w:szCs w:val="15"/>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6"/>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5"/>
                <w:szCs w:val="15"/>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6"/>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0" w:type="dxa"/>
            <w:vAlign w:val="bottom"/>
          </w:tcPr>
          <w:p>
            <w:pPr>
              <w:spacing w:after="0"/>
              <w:rPr>
                <w:sz w:val="1"/>
                <w:szCs w:val="1"/>
                <w:color w:val="auto"/>
              </w:rPr>
            </w:pPr>
          </w:p>
        </w:tc>
      </w:tr>
      <w:tr>
        <w:trPr>
          <w:trHeight w:val="203"/>
        </w:trPr>
        <w:tc>
          <w:tcPr>
            <w:tcW w:w="3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16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5"/>
              </w:rPr>
              <w:t>Foreign currency translation adjustments</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67"/>
        </w:trPr>
        <w:tc>
          <w:tcPr>
            <w:tcW w:w="3160" w:type="dxa"/>
            <w:vAlign w:val="bottom"/>
          </w:tcPr>
          <w:p>
            <w:pPr>
              <w:ind w:left="200"/>
              <w:spacing w:after="0" w:line="167" w:lineRule="exact"/>
              <w:rPr>
                <w:sz w:val="20"/>
                <w:szCs w:val="20"/>
                <w:color w:val="auto"/>
              </w:rPr>
            </w:pPr>
            <w:r>
              <w:rPr>
                <w:rFonts w:ascii="Arial" w:cs="Arial" w:eastAsia="Arial" w:hAnsi="Arial"/>
                <w:sz w:val="17"/>
                <w:szCs w:val="17"/>
                <w:color w:val="auto"/>
              </w:rPr>
              <w:t>Reclassification of foreign currency</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160" w:type="dxa"/>
            <w:vAlign w:val="bottom"/>
          </w:tcPr>
          <w:p>
            <w:pPr>
              <w:ind w:left="200"/>
              <w:spacing w:after="0" w:line="180" w:lineRule="exact"/>
              <w:rPr>
                <w:sz w:val="20"/>
                <w:szCs w:val="20"/>
                <w:color w:val="auto"/>
              </w:rPr>
            </w:pPr>
            <w:r>
              <w:rPr>
                <w:rFonts w:ascii="Arial" w:cs="Arial" w:eastAsia="Arial" w:hAnsi="Arial"/>
                <w:sz w:val="17"/>
                <w:szCs w:val="17"/>
                <w:color w:val="auto"/>
              </w:rPr>
              <w:t>translation adjustments realized upon</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160" w:type="dxa"/>
            <w:vAlign w:val="bottom"/>
          </w:tcPr>
          <w:p>
            <w:pPr>
              <w:ind w:left="200"/>
              <w:spacing w:after="0"/>
              <w:rPr>
                <w:sz w:val="20"/>
                <w:szCs w:val="20"/>
                <w:color w:val="auto"/>
              </w:rPr>
            </w:pPr>
            <w:r>
              <w:rPr>
                <w:rFonts w:ascii="Arial" w:cs="Arial" w:eastAsia="Arial" w:hAnsi="Arial"/>
                <w:sz w:val="17"/>
                <w:szCs w:val="17"/>
                <w:color w:val="auto"/>
              </w:rPr>
              <w:t>disposition of entities</w:t>
            </w:r>
          </w:p>
        </w:tc>
        <w:tc>
          <w:tcPr>
            <w:tcW w:w="12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w w:val="98"/>
              </w:rPr>
              <w:t>Derivative instrument adjustment, net of</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1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tax</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47"/>
        </w:trPr>
        <w:tc>
          <w:tcPr>
            <w:tcW w:w="3160" w:type="dxa"/>
            <w:vAlign w:val="bottom"/>
          </w:tcPr>
          <w:p>
            <w:pPr>
              <w:spacing w:after="0" w:line="147" w:lineRule="exact"/>
              <w:rPr>
                <w:sz w:val="20"/>
                <w:szCs w:val="20"/>
                <w:color w:val="auto"/>
              </w:rPr>
            </w:pPr>
            <w:r>
              <w:rPr>
                <w:rFonts w:ascii="Arial" w:cs="Arial" w:eastAsia="Arial" w:hAnsi="Arial"/>
                <w:sz w:val="17"/>
                <w:szCs w:val="17"/>
                <w:b w:val="1"/>
                <w:bCs w:val="1"/>
                <w:color w:val="auto"/>
              </w:rPr>
              <w:t>OTHER COMPREHENSIVE (LOSS)</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GAIN, NET OF TAX</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7"/>
        </w:trPr>
        <w:tc>
          <w:tcPr>
            <w:tcW w:w="3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160" w:type="dxa"/>
            <w:vAlign w:val="bottom"/>
          </w:tcPr>
          <w:p>
            <w:pPr>
              <w:ind w:left="200"/>
              <w:spacing w:after="0" w:line="167" w:lineRule="exact"/>
              <w:rPr>
                <w:sz w:val="20"/>
                <w:szCs w:val="20"/>
                <w:color w:val="auto"/>
              </w:rPr>
            </w:pPr>
            <w:r>
              <w:rPr>
                <w:rFonts w:ascii="Arial" w:cs="Arial" w:eastAsia="Arial" w:hAnsi="Arial"/>
                <w:sz w:val="17"/>
                <w:szCs w:val="17"/>
                <w:color w:val="auto"/>
                <w:w w:val="96"/>
              </w:rPr>
              <w:t>Net income attributable to noncontrolling</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7"/>
                <w:szCs w:val="17"/>
                <w:color w:val="auto"/>
              </w:rPr>
              <w:t>interests</w:t>
            </w:r>
          </w:p>
        </w:tc>
        <w:tc>
          <w:tcPr>
            <w:tcW w:w="12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8"/>
        </w:trPr>
        <w:tc>
          <w:tcPr>
            <w:tcW w:w="316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7"/>
                <w:szCs w:val="17"/>
                <w:b w:val="1"/>
                <w:bCs w:val="1"/>
                <w:color w:val="auto"/>
              </w:rPr>
              <w:t>COMPREHENSIVE INCOME</w:t>
            </w: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ATTRIBUTABLE TO</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NONCONTROLLING INTERESTS</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CCEEFF"/>
          </w:tcPr>
          <w:p>
            <w:pPr>
              <w:spacing w:after="0" w:line="147" w:lineRule="exact"/>
              <w:rPr>
                <w:sz w:val="20"/>
                <w:szCs w:val="20"/>
                <w:color w:val="auto"/>
              </w:rPr>
            </w:pPr>
            <w:r>
              <w:rPr>
                <w:rFonts w:ascii="Arial" w:cs="Arial" w:eastAsia="Arial" w:hAnsi="Arial"/>
                <w:sz w:val="17"/>
                <w:szCs w:val="17"/>
                <w:b w:val="1"/>
                <w:bCs w:val="1"/>
                <w:color w:val="auto"/>
              </w:rPr>
              <w:t>COMPREHENSIVE INCOME</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CCEEFF"/>
          </w:tcPr>
          <w:p>
            <w:pPr>
              <w:spacing w:after="0" w:line="174" w:lineRule="exact"/>
              <w:rPr>
                <w:sz w:val="20"/>
                <w:szCs w:val="20"/>
                <w:color w:val="auto"/>
              </w:rPr>
            </w:pPr>
            <w:r>
              <w:rPr>
                <w:rFonts w:ascii="Arial" w:cs="Arial" w:eastAsia="Arial" w:hAnsi="Arial"/>
                <w:sz w:val="17"/>
                <w:szCs w:val="17"/>
                <w:b w:val="1"/>
                <w:bCs w:val="1"/>
                <w:color w:val="auto"/>
              </w:rPr>
              <w:t>ATTRIBUTABLE TO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ind w:left="820"/>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SHAREHOLDERS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BALANCE SHEETS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(In millions, except share and per share data)</w:t>
      </w:r>
    </w:p>
    <w:p>
      <w:pPr>
        <w:spacing w:after="0" w:line="126" w:lineRule="exact"/>
        <w:rPr>
          <w:sz w:val="20"/>
          <w:szCs w:val="20"/>
          <w:color w:val="auto"/>
        </w:rPr>
      </w:pPr>
    </w:p>
    <w:tbl>
      <w:tblPr>
        <w:tblLayout w:type="fixed"/>
        <w:tblInd w:w="1460" w:type="dxa"/>
        <w:tblCellMar>
          <w:top w:w="0" w:type="dxa"/>
          <w:left w:w="0" w:type="dxa"/>
          <w:bottom w:w="0" w:type="dxa"/>
          <w:right w:w="0" w:type="dxa"/>
        </w:tblCellMar>
      </w:tblPr>
      <w:tr>
        <w:trPr>
          <w:trHeight w:val="201"/>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Unaudited</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8"/>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September 30, 2023</w:t>
            </w:r>
          </w:p>
        </w:tc>
        <w:tc>
          <w:tcPr>
            <w:tcW w:w="120" w:type="dxa"/>
            <w:vAlign w:val="bottom"/>
          </w:tcPr>
          <w:p>
            <w:pPr>
              <w:spacing w:after="0"/>
              <w:rPr>
                <w:sz w:val="18"/>
                <w:szCs w:val="18"/>
                <w:color w:val="auto"/>
              </w:rPr>
            </w:pPr>
          </w:p>
        </w:tc>
        <w:tc>
          <w:tcPr>
            <w:tcW w:w="1380" w:type="dxa"/>
            <w:vAlign w:val="bottom"/>
          </w:tcPr>
          <w:p>
            <w:pPr>
              <w:jc w:val="right"/>
              <w:ind w:right="35"/>
              <w:spacing w:after="0"/>
              <w:rPr>
                <w:sz w:val="20"/>
                <w:szCs w:val="20"/>
                <w:color w:val="auto"/>
              </w:rPr>
            </w:pPr>
            <w:r>
              <w:rPr>
                <w:rFonts w:ascii="Arial" w:cs="Arial" w:eastAsia="Arial" w:hAnsi="Arial"/>
                <w:sz w:val="15"/>
                <w:szCs w:val="15"/>
                <w:b w:val="1"/>
                <w:bCs w:val="1"/>
                <w:color w:val="auto"/>
                <w:w w:val="91"/>
              </w:rPr>
              <w:t>December 31, 2022</w:t>
            </w:r>
          </w:p>
        </w:tc>
      </w:tr>
      <w:tr>
        <w:trPr>
          <w:trHeight w:val="227"/>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265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524</w:t>
            </w: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 (including $84 and $85 from VIEs, respectively)</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r>
      <w:tr>
        <w:trPr>
          <w:trHeight w:val="167"/>
        </w:trPr>
        <w:tc>
          <w:tcPr>
            <w:tcW w:w="5200" w:type="dxa"/>
            <w:vAlign w:val="bottom"/>
          </w:tcPr>
          <w:p>
            <w:pPr>
              <w:ind w:left="20"/>
              <w:spacing w:after="0" w:line="167" w:lineRule="exact"/>
              <w:rPr>
                <w:sz w:val="20"/>
                <w:szCs w:val="20"/>
                <w:color w:val="auto"/>
              </w:rPr>
            </w:pPr>
            <w:r>
              <w:rPr>
                <w:rFonts w:ascii="Arial" w:cs="Arial" w:eastAsia="Arial" w:hAnsi="Arial"/>
                <w:sz w:val="17"/>
                <w:szCs w:val="17"/>
                <w:color w:val="auto"/>
                <w:w w:val="93"/>
              </w:rPr>
              <w:t>Accounts and contracts receivable, net (including $14 and $13 from VIEs,</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7"/>
                <w:szCs w:val="17"/>
                <w:color w:val="auto"/>
              </w:rPr>
              <w:t>respectively)</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292</w:t>
            </w:r>
          </w:p>
        </w:tc>
      </w:tr>
      <w:tr>
        <w:trPr>
          <w:trHeight w:val="168"/>
        </w:trPr>
        <w:tc>
          <w:tcPr>
            <w:tcW w:w="52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6"/>
              </w:rPr>
              <w:t>Vacation ownership notes receivable, net (including $1,885 and $1,792</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from VIEs, respectively)</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2,198</w:t>
            </w:r>
          </w:p>
        </w:tc>
      </w:tr>
      <w:tr>
        <w:trPr>
          <w:trHeight w:val="243"/>
        </w:trPr>
        <w:tc>
          <w:tcPr>
            <w:tcW w:w="5200" w:type="dxa"/>
            <w:vAlign w:val="bottom"/>
          </w:tcPr>
          <w:p>
            <w:pPr>
              <w:ind w:left="20"/>
              <w:spacing w:after="0"/>
              <w:rPr>
                <w:sz w:val="20"/>
                <w:szCs w:val="20"/>
                <w:color w:val="auto"/>
              </w:rPr>
            </w:pPr>
            <w:r>
              <w:rPr>
                <w:rFonts w:ascii="Arial" w:cs="Arial" w:eastAsia="Arial" w:hAnsi="Arial"/>
                <w:sz w:val="17"/>
                <w:szCs w:val="17"/>
                <w:color w:val="auto"/>
              </w:rPr>
              <w:t>Inventory</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660</w:t>
            </w: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w:t>
            </w:r>
          </w:p>
        </w:tc>
      </w:tr>
      <w:tr>
        <w:trPr>
          <w:trHeight w:val="243"/>
        </w:trPr>
        <w:tc>
          <w:tcPr>
            <w:tcW w:w="5200" w:type="dxa"/>
            <w:vAlign w:val="bottom"/>
          </w:tcPr>
          <w:p>
            <w:pPr>
              <w:ind w:left="20"/>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3,117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3,117</w:t>
            </w: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Intangibles, net</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w:t>
            </w:r>
          </w:p>
        </w:tc>
      </w:tr>
      <w:tr>
        <w:trPr>
          <w:trHeight w:val="24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(including $88 and $76 from VIEs, respectively)</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468</w:t>
            </w:r>
          </w:p>
        </w:tc>
      </w:tr>
      <w:tr>
        <w:trPr>
          <w:trHeight w:val="237"/>
        </w:trPr>
        <w:tc>
          <w:tcPr>
            <w:tcW w:w="5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44"/>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356</w:t>
            </w: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deposits</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43"/>
        </w:trPr>
        <w:tc>
          <w:tcPr>
            <w:tcW w:w="5200" w:type="dxa"/>
            <w:vAlign w:val="bottom"/>
          </w:tcPr>
          <w:p>
            <w:pPr>
              <w:ind w:left="20"/>
              <w:spacing w:after="0"/>
              <w:rPr>
                <w:sz w:val="20"/>
                <w:szCs w:val="20"/>
                <w:color w:val="auto"/>
              </w:rPr>
            </w:pPr>
            <w:r>
              <w:rPr>
                <w:rFonts w:ascii="Arial" w:cs="Arial" w:eastAsia="Arial" w:hAnsi="Arial"/>
                <w:sz w:val="17"/>
                <w:szCs w:val="17"/>
                <w:color w:val="auto"/>
              </w:rPr>
              <w:t>Accrued liabilities (including $3 and $5 from VIEs, respectively)</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369</w:t>
            </w: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r>
      <w:tr>
        <w:trPr>
          <w:trHeight w:val="243"/>
        </w:trPr>
        <w:tc>
          <w:tcPr>
            <w:tcW w:w="5200" w:type="dxa"/>
            <w:vAlign w:val="bottom"/>
          </w:tcPr>
          <w:p>
            <w:pPr>
              <w:ind w:left="20"/>
              <w:spacing w:after="0"/>
              <w:rPr>
                <w:sz w:val="20"/>
                <w:szCs w:val="20"/>
                <w:color w:val="auto"/>
              </w:rPr>
            </w:pPr>
            <w:r>
              <w:rPr>
                <w:rFonts w:ascii="Arial" w:cs="Arial" w:eastAsia="Arial" w:hAnsi="Arial"/>
                <w:sz w:val="17"/>
                <w:szCs w:val="17"/>
                <w:color w:val="auto"/>
              </w:rPr>
              <w:t>Payroll and benefits liability</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251</w:t>
            </w: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compensation liability</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167"/>
        </w:trPr>
        <w:tc>
          <w:tcPr>
            <w:tcW w:w="5200" w:type="dxa"/>
            <w:vAlign w:val="bottom"/>
          </w:tcPr>
          <w:p>
            <w:pPr>
              <w:ind w:left="20"/>
              <w:spacing w:after="0" w:line="167" w:lineRule="exact"/>
              <w:rPr>
                <w:sz w:val="20"/>
                <w:szCs w:val="20"/>
                <w:color w:val="auto"/>
              </w:rPr>
            </w:pPr>
            <w:r>
              <w:rPr>
                <w:rFonts w:ascii="Arial" w:cs="Arial" w:eastAsia="Arial" w:hAnsi="Arial"/>
                <w:sz w:val="17"/>
                <w:szCs w:val="17"/>
                <w:color w:val="auto"/>
              </w:rPr>
              <w:t>Securitized debt, net (including $2,048 and $1,982 from VIEs,</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7"/>
                <w:szCs w:val="17"/>
                <w:color w:val="auto"/>
              </w:rPr>
              <w:t>respectively)</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2,026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1,938</w:t>
            </w: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net</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3,088</w:t>
            </w:r>
          </w:p>
        </w:tc>
      </w:tr>
      <w:tr>
        <w:trPr>
          <w:trHeight w:val="243"/>
        </w:trPr>
        <w:tc>
          <w:tcPr>
            <w:tcW w:w="5200" w:type="dxa"/>
            <w:vAlign w:val="bottom"/>
          </w:tcPr>
          <w:p>
            <w:pPr>
              <w:ind w:left="2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167</w:t>
            </w: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taxes</w:t>
            </w:r>
          </w:p>
        </w:tc>
        <w:tc>
          <w:tcPr>
            <w:tcW w:w="1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w:t>
            </w:r>
          </w:p>
        </w:tc>
      </w:tr>
      <w:tr>
        <w:trPr>
          <w:trHeight w:val="223"/>
        </w:trPr>
        <w:tc>
          <w:tcPr>
            <w:tcW w:w="520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LIABILITIES</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7,141</w:t>
            </w: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Contingencies and Commitments (Note 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67"/>
        </w:trPr>
        <w:tc>
          <w:tcPr>
            <w:tcW w:w="5200" w:type="dxa"/>
            <w:vAlign w:val="bottom"/>
          </w:tcPr>
          <w:p>
            <w:pPr>
              <w:ind w:left="20"/>
              <w:spacing w:after="0" w:line="167" w:lineRule="exact"/>
              <w:rPr>
                <w:sz w:val="20"/>
                <w:szCs w:val="20"/>
                <w:color w:val="auto"/>
              </w:rPr>
            </w:pPr>
            <w:r>
              <w:rPr>
                <w:rFonts w:ascii="Arial" w:cs="Arial" w:eastAsia="Arial" w:hAnsi="Arial"/>
                <w:sz w:val="17"/>
                <w:szCs w:val="17"/>
                <w:color w:val="auto"/>
                <w:w w:val="97"/>
              </w:rPr>
              <w:t>Preferred stock — $0.01 par value; 2,000,000 shares authorized; none</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7"/>
                <w:szCs w:val="17"/>
                <w:color w:val="auto"/>
              </w:rPr>
              <w:t>issued or outstanding</w:t>
            </w:r>
          </w:p>
        </w:tc>
        <w:tc>
          <w:tcPr>
            <w:tcW w:w="10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68"/>
        </w:trPr>
        <w:tc>
          <w:tcPr>
            <w:tcW w:w="520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Common stock — $0.01 par value; 100,000,000 shares authorized;</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75,807,873 and 75,744,524 shares issued, respectively</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43"/>
        </w:trPr>
        <w:tc>
          <w:tcPr>
            <w:tcW w:w="5200" w:type="dxa"/>
            <w:vAlign w:val="bottom"/>
          </w:tcPr>
          <w:p>
            <w:pPr>
              <w:ind w:left="20"/>
              <w:spacing w:after="0"/>
              <w:rPr>
                <w:sz w:val="20"/>
                <w:szCs w:val="20"/>
                <w:color w:val="auto"/>
              </w:rPr>
            </w:pPr>
            <w:r>
              <w:rPr>
                <w:rFonts w:ascii="Arial" w:cs="Arial" w:eastAsia="Arial" w:hAnsi="Arial"/>
                <w:sz w:val="17"/>
                <w:szCs w:val="17"/>
                <w:color w:val="auto"/>
                <w:w w:val="92"/>
              </w:rPr>
              <w:t>Treasury stock — at cost; 40,122,822 and 38,263,442 shares, respectively</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(2,054)</w:t>
            </w: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3,941</w:t>
            </w:r>
          </w:p>
        </w:tc>
      </w:tr>
      <w:tr>
        <w:trPr>
          <w:trHeight w:val="243"/>
        </w:trPr>
        <w:tc>
          <w:tcPr>
            <w:tcW w:w="5200" w:type="dxa"/>
            <w:vAlign w:val="bottom"/>
          </w:tcPr>
          <w:p>
            <w:pPr>
              <w:ind w:left="20"/>
              <w:spacing w:after="0"/>
              <w:rPr>
                <w:sz w:val="20"/>
                <w:szCs w:val="20"/>
                <w:color w:val="auto"/>
              </w:rPr>
            </w:pPr>
            <w:r>
              <w:rPr>
                <w:rFonts w:ascii="Arial" w:cs="Arial" w:eastAsia="Arial" w:hAnsi="Arial"/>
                <w:sz w:val="17"/>
                <w:szCs w:val="17"/>
                <w:color w:val="auto"/>
              </w:rPr>
              <w:t>Accumulated other comprehensive income</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Retained earnings</w:t>
            </w:r>
          </w:p>
        </w:tc>
        <w:tc>
          <w:tcPr>
            <w:tcW w:w="1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w:t>
            </w:r>
          </w:p>
        </w:tc>
      </w:tr>
      <w:tr>
        <w:trPr>
          <w:trHeight w:val="223"/>
        </w:trPr>
        <w:tc>
          <w:tcPr>
            <w:tcW w:w="5200" w:type="dxa"/>
            <w:vAlign w:val="bottom"/>
          </w:tcPr>
          <w:p>
            <w:pPr>
              <w:ind w:left="440"/>
              <w:spacing w:after="0"/>
              <w:rPr>
                <w:sz w:val="20"/>
                <w:szCs w:val="20"/>
                <w:color w:val="auto"/>
              </w:rPr>
            </w:pPr>
            <w:r>
              <w:rPr>
                <w:rFonts w:ascii="Arial" w:cs="Arial" w:eastAsia="Arial" w:hAnsi="Arial"/>
                <w:sz w:val="17"/>
                <w:szCs w:val="17"/>
                <w:b w:val="1"/>
                <w:bCs w:val="1"/>
                <w:color w:val="auto"/>
              </w:rPr>
              <w:t>TOTAL MVW SHAREHOLDERS' EQUITY</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2,496</w:t>
            </w:r>
          </w:p>
        </w:tc>
      </w:tr>
      <w:tr>
        <w:trPr>
          <w:trHeight w:val="245"/>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Noncontrolling interests</w:t>
            </w:r>
          </w:p>
        </w:tc>
        <w:tc>
          <w:tcPr>
            <w:tcW w:w="1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520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EQUITY</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2,498</w:t>
            </w:r>
          </w:p>
        </w:tc>
      </w:tr>
      <w:tr>
        <w:trPr>
          <w:trHeight w:val="237"/>
        </w:trPr>
        <w:tc>
          <w:tcPr>
            <w:tcW w:w="52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abbreviation VIEs above means Variable Interest Entities.</w:t>
      </w:r>
    </w:p>
    <w:p>
      <w:pPr>
        <w:spacing w:after="0" w:line="209"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See Interim Condensed Notes to Financial Statements</w:t>
      </w:r>
    </w:p>
    <w:p>
      <w:pPr>
        <w:spacing w:after="0" w:line="200" w:lineRule="exact"/>
        <w:rPr>
          <w:sz w:val="20"/>
          <w:szCs w:val="20"/>
          <w:color w:val="auto"/>
        </w:rPr>
      </w:pPr>
    </w:p>
    <w:p>
      <w:pPr>
        <w:spacing w:after="0" w:line="20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STATEMENTS OF CASH FLOWS</w:t>
      </w:r>
    </w:p>
    <w:p>
      <w:pPr>
        <w:spacing w:after="0" w:line="10"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(Unaudited)</w:t>
      </w:r>
    </w:p>
    <w:p>
      <w:pPr>
        <w:spacing w:after="0" w:line="74"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5"/>
                <w:szCs w:val="15"/>
                <w:b w:val="1"/>
                <w:bCs w:val="1"/>
                <w:color w:val="auto"/>
              </w:rPr>
              <w:t>Nine Months Ended</w:t>
            </w:r>
          </w:p>
        </w:tc>
      </w:tr>
      <w:tr>
        <w:trPr>
          <w:trHeight w:val="150"/>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3"/>
                <w:szCs w:val="13"/>
                <w:color w:val="auto"/>
              </w:rPr>
            </w:pPr>
          </w:p>
        </w:tc>
        <w:tc>
          <w:tcPr>
            <w:tcW w:w="1160" w:type="dxa"/>
            <w:vAlign w:val="bottom"/>
          </w:tcPr>
          <w:p>
            <w:pPr>
              <w:jc w:val="right"/>
              <w:ind w:right="95"/>
              <w:spacing w:after="0" w:line="150" w:lineRule="exact"/>
              <w:rPr>
                <w:sz w:val="20"/>
                <w:szCs w:val="20"/>
                <w:color w:val="auto"/>
              </w:rPr>
            </w:pPr>
            <w:r>
              <w:rPr>
                <w:rFonts w:ascii="Arial" w:cs="Arial" w:eastAsia="Arial" w:hAnsi="Arial"/>
                <w:sz w:val="15"/>
                <w:szCs w:val="15"/>
                <w:b w:val="1"/>
                <w:bCs w:val="1"/>
                <w:color w:val="auto"/>
                <w:w w:val="93"/>
              </w:rPr>
              <w:t>September 30,</w:t>
            </w:r>
          </w:p>
        </w:tc>
      </w:tr>
      <w:tr>
        <w:trPr>
          <w:trHeight w:val="203"/>
        </w:trPr>
        <w:tc>
          <w:tcPr>
            <w:tcW w:w="56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5"/>
                <w:szCs w:val="15"/>
                <w:b w:val="1"/>
                <w:bCs w:val="1"/>
                <w:color w:val="auto"/>
              </w:rPr>
              <w:t>2022</w:t>
            </w:r>
          </w:p>
        </w:tc>
      </w:tr>
      <w:tr>
        <w:trPr>
          <w:trHeight w:val="226"/>
        </w:trPr>
        <w:tc>
          <w:tcPr>
            <w:tcW w:w="5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7"/>
                <w:szCs w:val="17"/>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303</w:t>
            </w:r>
          </w:p>
        </w:tc>
      </w:tr>
      <w:tr>
        <w:trPr>
          <w:trHeight w:val="181"/>
        </w:trPr>
        <w:tc>
          <w:tcPr>
            <w:tcW w:w="56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w w:val="92"/>
              </w:rPr>
              <w:t>Adjustments to reconcile net income to net cash, cash equivalents and restricted</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1"/>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cash provided by operating activities:</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43"/>
        </w:trPr>
        <w:tc>
          <w:tcPr>
            <w:tcW w:w="5640" w:type="dxa"/>
            <w:vAlign w:val="bottom"/>
          </w:tcPr>
          <w:p>
            <w:pPr>
              <w:ind w:left="200"/>
              <w:spacing w:after="0"/>
              <w:rPr>
                <w:sz w:val="20"/>
                <w:szCs w:val="20"/>
                <w:color w:val="auto"/>
              </w:rPr>
            </w:pPr>
            <w:r>
              <w:rPr>
                <w:rFonts w:ascii="Arial" w:cs="Arial" w:eastAsia="Arial" w:hAnsi="Arial"/>
                <w:sz w:val="17"/>
                <w:szCs w:val="17"/>
                <w:color w:val="auto"/>
              </w:rPr>
              <w:t>Depreciation and amortization of intangibles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45"/>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Amortization of debt discount and issuance costs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43"/>
        </w:trPr>
        <w:tc>
          <w:tcPr>
            <w:tcW w:w="5640" w:type="dxa"/>
            <w:vAlign w:val="bottom"/>
          </w:tcPr>
          <w:p>
            <w:pPr>
              <w:ind w:left="200"/>
              <w:spacing w:after="0"/>
              <w:rPr>
                <w:sz w:val="20"/>
                <w:szCs w:val="20"/>
                <w:color w:val="auto"/>
              </w:rPr>
            </w:pPr>
            <w:r>
              <w:rPr>
                <w:rFonts w:ascii="Arial" w:cs="Arial" w:eastAsia="Arial" w:hAnsi="Arial"/>
                <w:sz w:val="17"/>
                <w:szCs w:val="17"/>
                <w:color w:val="auto"/>
              </w:rPr>
              <w:t>Vacation ownership notes receivable reserve</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45"/>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Share-based compensation</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43"/>
        </w:trPr>
        <w:tc>
          <w:tcPr>
            <w:tcW w:w="5640" w:type="dxa"/>
            <w:vAlign w:val="bottom"/>
          </w:tcPr>
          <w:p>
            <w:pPr>
              <w:ind w:left="200"/>
              <w:spacing w:after="0"/>
              <w:rPr>
                <w:sz w:val="20"/>
                <w:szCs w:val="20"/>
                <w:color w:val="auto"/>
              </w:rPr>
            </w:pPr>
            <w:r>
              <w:rPr>
                <w:rFonts w:ascii="Arial" w:cs="Arial" w:eastAsia="Arial" w:hAnsi="Arial"/>
                <w:sz w:val="17"/>
                <w:szCs w:val="17"/>
                <w:color w:val="auto"/>
              </w:rPr>
              <w:t>Impairment charges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5"/>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Gains and other income, net</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43"/>
        </w:trPr>
        <w:tc>
          <w:tcPr>
            <w:tcW w:w="5640" w:type="dxa"/>
            <w:vAlign w:val="bottom"/>
          </w:tcPr>
          <w:p>
            <w:pPr>
              <w:ind w:left="200"/>
              <w:spacing w:after="0"/>
              <w:rPr>
                <w:sz w:val="20"/>
                <w:szCs w:val="20"/>
                <w:color w:val="auto"/>
              </w:rPr>
            </w:pPr>
            <w:r>
              <w:rPr>
                <w:rFonts w:ascii="Arial" w:cs="Arial" w:eastAsia="Arial" w:hAnsi="Arial"/>
                <w:sz w:val="17"/>
                <w:szCs w:val="17"/>
                <w:color w:val="auto"/>
              </w:rPr>
              <w:t>Deferred income taxes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45"/>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change in assets and liabilities: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43"/>
        </w:trPr>
        <w:tc>
          <w:tcPr>
            <w:tcW w:w="5640" w:type="dxa"/>
            <w:vAlign w:val="bottom"/>
          </w:tcPr>
          <w:p>
            <w:pPr>
              <w:ind w:left="440"/>
              <w:spacing w:after="0"/>
              <w:rPr>
                <w:sz w:val="20"/>
                <w:szCs w:val="20"/>
                <w:color w:val="auto"/>
              </w:rPr>
            </w:pPr>
            <w:r>
              <w:rPr>
                <w:rFonts w:ascii="Arial" w:cs="Arial" w:eastAsia="Arial" w:hAnsi="Arial"/>
                <w:sz w:val="17"/>
                <w:szCs w:val="17"/>
                <w:color w:val="auto"/>
              </w:rPr>
              <w:t>Accounts and contracts receivable</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45"/>
        </w:trPr>
        <w:tc>
          <w:tcPr>
            <w:tcW w:w="56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Vacation ownership notes receivable originations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w:t>
            </w:r>
          </w:p>
        </w:tc>
      </w:tr>
      <w:tr>
        <w:trPr>
          <w:trHeight w:val="243"/>
        </w:trPr>
        <w:tc>
          <w:tcPr>
            <w:tcW w:w="5640" w:type="dxa"/>
            <w:vAlign w:val="bottom"/>
          </w:tcPr>
          <w:p>
            <w:pPr>
              <w:ind w:left="440"/>
              <w:spacing w:after="0"/>
              <w:rPr>
                <w:sz w:val="20"/>
                <w:szCs w:val="20"/>
                <w:color w:val="auto"/>
              </w:rPr>
            </w:pPr>
            <w:r>
              <w:rPr>
                <w:rFonts w:ascii="Arial" w:cs="Arial" w:eastAsia="Arial" w:hAnsi="Arial"/>
                <w:sz w:val="17"/>
                <w:szCs w:val="17"/>
                <w:color w:val="auto"/>
              </w:rPr>
              <w:t>Vacation ownership notes receivable collections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469</w:t>
            </w:r>
          </w:p>
        </w:tc>
      </w:tr>
      <w:tr>
        <w:trPr>
          <w:trHeight w:val="245"/>
        </w:trPr>
        <w:tc>
          <w:tcPr>
            <w:tcW w:w="56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Inventory</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43"/>
        </w:trPr>
        <w:tc>
          <w:tcPr>
            <w:tcW w:w="5640" w:type="dxa"/>
            <w:vAlign w:val="bottom"/>
          </w:tcPr>
          <w:p>
            <w:pPr>
              <w:ind w:left="440"/>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45"/>
        </w:trPr>
        <w:tc>
          <w:tcPr>
            <w:tcW w:w="56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 advance deposits and accrued liabilities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43"/>
        </w:trPr>
        <w:tc>
          <w:tcPr>
            <w:tcW w:w="5640" w:type="dxa"/>
            <w:vAlign w:val="bottom"/>
          </w:tcPr>
          <w:p>
            <w:pPr>
              <w:ind w:left="440"/>
              <w:spacing w:after="0"/>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45"/>
        </w:trPr>
        <w:tc>
          <w:tcPr>
            <w:tcW w:w="56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Payroll and benefit liabilities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43"/>
        </w:trPr>
        <w:tc>
          <w:tcPr>
            <w:tcW w:w="5640" w:type="dxa"/>
            <w:vAlign w:val="bottom"/>
          </w:tcPr>
          <w:p>
            <w:pPr>
              <w:ind w:left="440"/>
              <w:spacing w:after="0"/>
              <w:rPr>
                <w:sz w:val="20"/>
                <w:szCs w:val="20"/>
                <w:color w:val="auto"/>
              </w:rPr>
            </w:pPr>
            <w:r>
              <w:rPr>
                <w:rFonts w:ascii="Arial" w:cs="Arial" w:eastAsia="Arial" w:hAnsi="Arial"/>
                <w:sz w:val="17"/>
                <w:szCs w:val="17"/>
                <w:color w:val="auto"/>
              </w:rPr>
              <w:t>Deferred compensation liability</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45"/>
        </w:trPr>
        <w:tc>
          <w:tcPr>
            <w:tcW w:w="56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liabilities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43"/>
        </w:trPr>
        <w:tc>
          <w:tcPr>
            <w:tcW w:w="5640" w:type="dxa"/>
            <w:vAlign w:val="bottom"/>
          </w:tcPr>
          <w:p>
            <w:pPr>
              <w:ind w:left="220"/>
              <w:spacing w:after="0"/>
              <w:rPr>
                <w:sz w:val="20"/>
                <w:szCs w:val="20"/>
                <w:color w:val="auto"/>
              </w:rPr>
            </w:pPr>
            <w:r>
              <w:rPr>
                <w:rFonts w:ascii="Arial" w:cs="Arial" w:eastAsia="Arial" w:hAnsi="Arial"/>
                <w:sz w:val="17"/>
                <w:szCs w:val="17"/>
                <w:color w:val="auto"/>
              </w:rPr>
              <w:t>Deconsolidation of certain Consolidated Property Owners' Associations</w:t>
            </w: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45"/>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of property for future transfer to inventory</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43"/>
        </w:trPr>
        <w:tc>
          <w:tcPr>
            <w:tcW w:w="56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 net</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161"/>
        </w:trPr>
        <w:tc>
          <w:tcPr>
            <w:tcW w:w="5640" w:type="dxa"/>
            <w:vAlign w:val="bottom"/>
            <w:shd w:val="clear" w:color="auto" w:fill="CCEEFF"/>
          </w:tcPr>
          <w:p>
            <w:pPr>
              <w:ind w:left="620"/>
              <w:spacing w:after="0" w:line="161" w:lineRule="exact"/>
              <w:rPr>
                <w:sz w:val="20"/>
                <w:szCs w:val="20"/>
                <w:color w:val="auto"/>
              </w:rPr>
            </w:pPr>
            <w:r>
              <w:rPr>
                <w:rFonts w:ascii="Arial" w:cs="Arial" w:eastAsia="Arial" w:hAnsi="Arial"/>
                <w:sz w:val="17"/>
                <w:szCs w:val="17"/>
                <w:color w:val="auto"/>
                <w:w w:val="96"/>
              </w:rPr>
              <w:t>Net cash, cash equivalents and restricted cash provided by operating</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31"/>
        </w:trPr>
        <w:tc>
          <w:tcPr>
            <w:tcW w:w="5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activities</w:t>
            </w: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w:t>
            </w:r>
          </w:p>
        </w:tc>
      </w:tr>
      <w:tr>
        <w:trPr>
          <w:trHeight w:val="223"/>
        </w:trPr>
        <w:tc>
          <w:tcPr>
            <w:tcW w:w="5640" w:type="dxa"/>
            <w:vAlign w:val="bottom"/>
          </w:tcPr>
          <w:p>
            <w:pPr>
              <w:spacing w:after="0"/>
              <w:rPr>
                <w:sz w:val="20"/>
                <w:szCs w:val="20"/>
                <w:color w:val="auto"/>
              </w:rPr>
            </w:pPr>
            <w:r>
              <w:rPr>
                <w:rFonts w:ascii="Arial" w:cs="Arial" w:eastAsia="Arial" w:hAnsi="Arial"/>
                <w:sz w:val="17"/>
                <w:szCs w:val="17"/>
                <w:b w:val="1"/>
                <w:bCs w:val="1"/>
                <w:color w:val="auto"/>
              </w:rPr>
              <w:t>INVESTING ACTIVITIES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68"/>
        </w:trPr>
        <w:tc>
          <w:tcPr>
            <w:tcW w:w="5640" w:type="dxa"/>
            <w:vAlign w:val="bottom"/>
            <w:shd w:val="clear" w:color="auto" w:fill="CCEEFF"/>
          </w:tcPr>
          <w:p>
            <w:pPr>
              <w:ind w:left="200"/>
              <w:spacing w:after="0" w:line="168" w:lineRule="exact"/>
              <w:rPr>
                <w:sz w:val="20"/>
                <w:szCs w:val="20"/>
                <w:color w:val="auto"/>
              </w:rPr>
            </w:pPr>
            <w:r>
              <w:rPr>
                <w:rFonts w:ascii="Arial" w:cs="Arial" w:eastAsia="Arial" w:hAnsi="Arial"/>
                <w:sz w:val="17"/>
                <w:szCs w:val="17"/>
                <w:color w:val="auto"/>
                <w:w w:val="98"/>
              </w:rPr>
              <w:t>Proceeds from disposition of subsidiaries, net of cash and restricted cash</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31"/>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transferred</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43"/>
        </w:trPr>
        <w:tc>
          <w:tcPr>
            <w:tcW w:w="5640" w:type="dxa"/>
            <w:vAlign w:val="bottom"/>
          </w:tcPr>
          <w:p>
            <w:pPr>
              <w:ind w:left="200"/>
              <w:spacing w:after="0"/>
              <w:rPr>
                <w:sz w:val="20"/>
                <w:szCs w:val="20"/>
                <w:color w:val="auto"/>
              </w:rPr>
            </w:pPr>
            <w:r>
              <w:rPr>
                <w:rFonts w:ascii="Arial" w:cs="Arial" w:eastAsia="Arial" w:hAnsi="Arial"/>
                <w:sz w:val="17"/>
                <w:szCs w:val="17"/>
                <w:color w:val="auto"/>
              </w:rPr>
              <w:t>Capital expenditures for property and equipment (excluding inventory)</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45"/>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Issuance of note receivable to VIE</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43"/>
        </w:trPr>
        <w:tc>
          <w:tcPr>
            <w:tcW w:w="5640" w:type="dxa"/>
            <w:vAlign w:val="bottom"/>
          </w:tcPr>
          <w:p>
            <w:pPr>
              <w:ind w:left="200"/>
              <w:spacing w:after="0"/>
              <w:rPr>
                <w:sz w:val="20"/>
                <w:szCs w:val="20"/>
                <w:color w:val="auto"/>
              </w:rPr>
            </w:pPr>
            <w:r>
              <w:rPr>
                <w:rFonts w:ascii="Arial" w:cs="Arial" w:eastAsia="Arial" w:hAnsi="Arial"/>
                <w:sz w:val="17"/>
                <w:szCs w:val="17"/>
                <w:color w:val="auto"/>
              </w:rPr>
              <w:t>Proceeds from collection of note receivable from VIE</w:t>
            </w:r>
          </w:p>
        </w:tc>
        <w:tc>
          <w:tcPr>
            <w:tcW w:w="1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45"/>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Purchase of company owned life insurance</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43"/>
        </w:trPr>
        <w:tc>
          <w:tcPr>
            <w:tcW w:w="56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 dispositions, net</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148"/>
        </w:trPr>
        <w:tc>
          <w:tcPr>
            <w:tcW w:w="5640" w:type="dxa"/>
            <w:vAlign w:val="bottom"/>
            <w:shd w:val="clear" w:color="auto" w:fill="CCEEFF"/>
          </w:tcPr>
          <w:p>
            <w:pPr>
              <w:ind w:left="620"/>
              <w:spacing w:after="0" w:line="148" w:lineRule="exact"/>
              <w:rPr>
                <w:sz w:val="20"/>
                <w:szCs w:val="20"/>
                <w:color w:val="auto"/>
              </w:rPr>
            </w:pPr>
            <w:r>
              <w:rPr>
                <w:rFonts w:ascii="Arial" w:cs="Arial" w:eastAsia="Arial" w:hAnsi="Arial"/>
                <w:sz w:val="17"/>
                <w:szCs w:val="17"/>
                <w:color w:val="auto"/>
                <w:w w:val="97"/>
              </w:rPr>
              <w:t>Net cash, cash equivalents and restricted cash (used in) provided by</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230"/>
        </w:trPr>
        <w:tc>
          <w:tcPr>
            <w:tcW w:w="56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investing activities</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r>
    </w:tbl>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INTERIM CONSOLIDATED STATEMENTS OF CASH FLOWS (CONTINUED)</w:t>
      </w:r>
    </w:p>
    <w:p>
      <w:pPr>
        <w:spacing w:after="0" w:line="1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(Unaudited)</w:t>
      </w:r>
    </w:p>
    <w:p>
      <w:pPr>
        <w:spacing w:after="0" w:line="267" w:lineRule="exact"/>
        <w:rPr>
          <w:sz w:val="20"/>
          <w:szCs w:val="20"/>
          <w:color w:val="auto"/>
        </w:rPr>
      </w:pPr>
    </w:p>
    <w:tbl>
      <w:tblPr>
        <w:tblLayout w:type="fixed"/>
        <w:tblInd w:w="146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5"/>
                <w:szCs w:val="15"/>
                <w:b w:val="1"/>
                <w:bCs w:val="1"/>
                <w:color w:val="auto"/>
              </w:rPr>
              <w:t>Nine Months Ended</w:t>
            </w:r>
          </w:p>
        </w:tc>
      </w:tr>
      <w:tr>
        <w:trPr>
          <w:trHeight w:val="150"/>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3"/>
                <w:szCs w:val="13"/>
                <w:color w:val="auto"/>
              </w:rPr>
            </w:pPr>
          </w:p>
        </w:tc>
        <w:tc>
          <w:tcPr>
            <w:tcW w:w="1140" w:type="dxa"/>
            <w:vAlign w:val="bottom"/>
          </w:tcPr>
          <w:p>
            <w:pPr>
              <w:jc w:val="right"/>
              <w:ind w:right="75"/>
              <w:spacing w:after="0" w:line="150" w:lineRule="exact"/>
              <w:rPr>
                <w:sz w:val="20"/>
                <w:szCs w:val="20"/>
                <w:color w:val="auto"/>
              </w:rPr>
            </w:pPr>
            <w:r>
              <w:rPr>
                <w:rFonts w:ascii="Arial" w:cs="Arial" w:eastAsia="Arial" w:hAnsi="Arial"/>
                <w:sz w:val="15"/>
                <w:szCs w:val="15"/>
                <w:b w:val="1"/>
                <w:bCs w:val="1"/>
                <w:color w:val="auto"/>
                <w:w w:val="93"/>
              </w:rPr>
              <w:t>September 30,</w:t>
            </w:r>
          </w:p>
        </w:tc>
      </w:tr>
      <w:tr>
        <w:trPr>
          <w:trHeight w:val="203"/>
        </w:trPr>
        <w:tc>
          <w:tcPr>
            <w:tcW w:w="5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2022</w:t>
            </w: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5640" w:type="dxa"/>
            <w:vAlign w:val="bottom"/>
          </w:tcPr>
          <w:p>
            <w:pPr>
              <w:ind w:left="220"/>
              <w:spacing w:after="0"/>
              <w:rPr>
                <w:sz w:val="20"/>
                <w:szCs w:val="20"/>
                <w:color w:val="auto"/>
              </w:rPr>
            </w:pPr>
            <w:r>
              <w:rPr>
                <w:rFonts w:ascii="Arial" w:cs="Arial" w:eastAsia="Arial" w:hAnsi="Arial"/>
                <w:sz w:val="17"/>
                <w:szCs w:val="17"/>
                <w:color w:val="auto"/>
              </w:rPr>
              <w:t>Borrowings from securitization transactions</w:t>
            </w:r>
          </w:p>
        </w:tc>
        <w:tc>
          <w:tcPr>
            <w:tcW w:w="1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916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609</w:t>
            </w:r>
          </w:p>
        </w:tc>
      </w:tr>
      <w:tr>
        <w:trPr>
          <w:trHeight w:val="245"/>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Repayment of debt related to securitization transactions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r>
      <w:tr>
        <w:trPr>
          <w:trHeight w:val="243"/>
        </w:trPr>
        <w:tc>
          <w:tcPr>
            <w:tcW w:w="5640" w:type="dxa"/>
            <w:vAlign w:val="bottom"/>
          </w:tcPr>
          <w:p>
            <w:pPr>
              <w:ind w:left="220"/>
              <w:spacing w:after="0"/>
              <w:rPr>
                <w:sz w:val="20"/>
                <w:szCs w:val="20"/>
                <w:color w:val="auto"/>
              </w:rPr>
            </w:pPr>
            <w:r>
              <w:rPr>
                <w:rFonts w:ascii="Arial" w:cs="Arial" w:eastAsia="Arial" w:hAnsi="Arial"/>
                <w:sz w:val="17"/>
                <w:szCs w:val="17"/>
                <w:color w:val="auto"/>
              </w:rPr>
              <w:t>Proceeds from debt</w:t>
            </w:r>
          </w:p>
        </w:tc>
        <w:tc>
          <w:tcPr>
            <w:tcW w:w="1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505</w:t>
            </w:r>
          </w:p>
        </w:tc>
      </w:tr>
      <w:tr>
        <w:trPr>
          <w:trHeight w:val="245"/>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Repayments of debt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r>
      <w:tr>
        <w:trPr>
          <w:trHeight w:val="243"/>
        </w:trPr>
        <w:tc>
          <w:tcPr>
            <w:tcW w:w="5640" w:type="dxa"/>
            <w:vAlign w:val="bottom"/>
          </w:tcPr>
          <w:p>
            <w:pPr>
              <w:ind w:left="220"/>
              <w:spacing w:after="0"/>
              <w:rPr>
                <w:sz w:val="20"/>
                <w:szCs w:val="20"/>
                <w:color w:val="auto"/>
              </w:rPr>
            </w:pPr>
            <w:r>
              <w:rPr>
                <w:rFonts w:ascii="Arial" w:cs="Arial" w:eastAsia="Arial" w:hAnsi="Arial"/>
                <w:sz w:val="17"/>
                <w:szCs w:val="17"/>
                <w:color w:val="auto"/>
              </w:rPr>
              <w:t>Finance lease incentive</w:t>
            </w:r>
          </w:p>
        </w:tc>
        <w:tc>
          <w:tcPr>
            <w:tcW w:w="1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Finance lease payment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43"/>
        </w:trPr>
        <w:tc>
          <w:tcPr>
            <w:tcW w:w="5640" w:type="dxa"/>
            <w:vAlign w:val="bottom"/>
          </w:tcPr>
          <w:p>
            <w:pPr>
              <w:ind w:left="220"/>
              <w:spacing w:after="0"/>
              <w:rPr>
                <w:sz w:val="20"/>
                <w:szCs w:val="20"/>
                <w:color w:val="auto"/>
              </w:rPr>
            </w:pPr>
            <w:r>
              <w:rPr>
                <w:rFonts w:ascii="Arial" w:cs="Arial" w:eastAsia="Arial" w:hAnsi="Arial"/>
                <w:sz w:val="17"/>
                <w:szCs w:val="17"/>
                <w:color w:val="auto"/>
              </w:rPr>
              <w:t>Payment of debt issuance costs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45"/>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Repurchase of common stock</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r>
      <w:tr>
        <w:trPr>
          <w:trHeight w:val="243"/>
        </w:trPr>
        <w:tc>
          <w:tcPr>
            <w:tcW w:w="5640" w:type="dxa"/>
            <w:vAlign w:val="bottom"/>
          </w:tcPr>
          <w:p>
            <w:pPr>
              <w:ind w:left="220"/>
              <w:spacing w:after="0"/>
              <w:rPr>
                <w:sz w:val="20"/>
                <w:szCs w:val="20"/>
                <w:color w:val="auto"/>
              </w:rPr>
            </w:pPr>
            <w:r>
              <w:rPr>
                <w:rFonts w:ascii="Arial" w:cs="Arial" w:eastAsia="Arial" w:hAnsi="Arial"/>
                <w:sz w:val="17"/>
                <w:szCs w:val="17"/>
                <w:color w:val="auto"/>
              </w:rPr>
              <w:t>Payment of dividends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45"/>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 of withholding taxes on vesting of restricted stock units</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147"/>
        </w:trPr>
        <w:tc>
          <w:tcPr>
            <w:tcW w:w="5640" w:type="dxa"/>
            <w:vAlign w:val="bottom"/>
          </w:tcPr>
          <w:p>
            <w:pPr>
              <w:ind w:left="640"/>
              <w:spacing w:after="0" w:line="147" w:lineRule="exact"/>
              <w:rPr>
                <w:sz w:val="20"/>
                <w:szCs w:val="20"/>
                <w:color w:val="auto"/>
              </w:rPr>
            </w:pPr>
            <w:r>
              <w:rPr>
                <w:rFonts w:ascii="Arial" w:cs="Arial" w:eastAsia="Arial" w:hAnsi="Arial"/>
                <w:sz w:val="17"/>
                <w:szCs w:val="17"/>
                <w:color w:val="auto"/>
              </w:rPr>
              <w:t>Net cash, cash equivalents and restricted cash used in financing</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30"/>
        </w:trPr>
        <w:tc>
          <w:tcPr>
            <w:tcW w:w="56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activities</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w:t>
            </w:r>
          </w:p>
        </w:tc>
      </w:tr>
      <w:tr>
        <w:trPr>
          <w:trHeight w:val="148"/>
        </w:trPr>
        <w:tc>
          <w:tcPr>
            <w:tcW w:w="5640" w:type="dxa"/>
            <w:vAlign w:val="bottom"/>
            <w:shd w:val="clear" w:color="auto" w:fill="CCEEFF"/>
          </w:tcPr>
          <w:p>
            <w:pPr>
              <w:ind w:left="220"/>
              <w:spacing w:after="0" w:line="148" w:lineRule="exact"/>
              <w:rPr>
                <w:sz w:val="20"/>
                <w:szCs w:val="20"/>
                <w:color w:val="auto"/>
              </w:rPr>
            </w:pPr>
            <w:r>
              <w:rPr>
                <w:rFonts w:ascii="Arial" w:cs="Arial" w:eastAsia="Arial" w:hAnsi="Arial"/>
                <w:sz w:val="17"/>
                <w:szCs w:val="17"/>
                <w:color w:val="auto"/>
                <w:w w:val="93"/>
              </w:rPr>
              <w:t>Effect of changes in exchange rates on cash, cash equivalents and restricted</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31"/>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43"/>
        </w:trPr>
        <w:tc>
          <w:tcPr>
            <w:tcW w:w="5640" w:type="dxa"/>
            <w:vAlign w:val="bottom"/>
          </w:tcPr>
          <w:p>
            <w:pPr>
              <w:ind w:left="20"/>
              <w:spacing w:after="0"/>
              <w:rPr>
                <w:sz w:val="20"/>
                <w:szCs w:val="20"/>
                <w:color w:val="auto"/>
              </w:rPr>
            </w:pPr>
            <w:r>
              <w:rPr>
                <w:rFonts w:ascii="Arial" w:cs="Arial" w:eastAsia="Arial" w:hAnsi="Arial"/>
                <w:sz w:val="17"/>
                <w:szCs w:val="17"/>
                <w:color w:val="auto"/>
              </w:rPr>
              <w:t>Change in cash, cash equivalents and restricted cash</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(260)</w:t>
            </w:r>
          </w:p>
        </w:tc>
      </w:tr>
      <w:tr>
        <w:trPr>
          <w:trHeight w:val="244"/>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854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w:t>
            </w:r>
          </w:p>
        </w:tc>
      </w:tr>
      <w:tr>
        <w:trPr>
          <w:trHeight w:val="212"/>
        </w:trPr>
        <w:tc>
          <w:tcPr>
            <w:tcW w:w="564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503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5"/>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issuance of debt in connection with asset acquisition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43"/>
        </w:trPr>
        <w:tc>
          <w:tcPr>
            <w:tcW w:w="5640" w:type="dxa"/>
            <w:vAlign w:val="bottom"/>
          </w:tcPr>
          <w:p>
            <w:pPr>
              <w:ind w:left="220"/>
              <w:spacing w:after="0"/>
              <w:rPr>
                <w:sz w:val="20"/>
                <w:szCs w:val="20"/>
                <w:color w:val="auto"/>
              </w:rPr>
            </w:pPr>
            <w:r>
              <w:rPr>
                <w:rFonts w:ascii="Arial" w:cs="Arial" w:eastAsia="Arial" w:hAnsi="Arial"/>
                <w:sz w:val="17"/>
                <w:szCs w:val="17"/>
                <w:color w:val="auto"/>
              </w:rPr>
              <w:t>Non-cash issuance of treasury stock for employee stock purchase plan</w:t>
            </w:r>
          </w:p>
        </w:tc>
        <w:tc>
          <w:tcPr>
            <w:tcW w:w="1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45"/>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transfer from inventory to property and equipment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43"/>
        </w:trPr>
        <w:tc>
          <w:tcPr>
            <w:tcW w:w="5640" w:type="dxa"/>
            <w:vAlign w:val="bottom"/>
          </w:tcPr>
          <w:p>
            <w:pPr>
              <w:ind w:left="220"/>
              <w:spacing w:after="0"/>
              <w:rPr>
                <w:sz w:val="20"/>
                <w:szCs w:val="20"/>
                <w:color w:val="auto"/>
              </w:rPr>
            </w:pPr>
            <w:r>
              <w:rPr>
                <w:rFonts w:ascii="Arial" w:cs="Arial" w:eastAsia="Arial" w:hAnsi="Arial"/>
                <w:sz w:val="17"/>
                <w:szCs w:val="17"/>
                <w:color w:val="auto"/>
              </w:rPr>
              <w:t>Non-cash transfer from property and equipment to inventory</w:t>
            </w:r>
          </w:p>
        </w:tc>
        <w:tc>
          <w:tcPr>
            <w:tcW w:w="1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45"/>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transfer from other assets to property and equipment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43"/>
        </w:trPr>
        <w:tc>
          <w:tcPr>
            <w:tcW w:w="5640" w:type="dxa"/>
            <w:vAlign w:val="bottom"/>
          </w:tcPr>
          <w:p>
            <w:pPr>
              <w:ind w:left="220"/>
              <w:spacing w:after="0"/>
              <w:rPr>
                <w:sz w:val="20"/>
                <w:szCs w:val="20"/>
                <w:color w:val="auto"/>
              </w:rPr>
            </w:pPr>
            <w:r>
              <w:rPr>
                <w:rFonts w:ascii="Arial" w:cs="Arial" w:eastAsia="Arial" w:hAnsi="Arial"/>
                <w:sz w:val="17"/>
                <w:szCs w:val="17"/>
                <w:color w:val="auto"/>
              </w:rPr>
              <w:t>Right-of-use asset obtained in exchange for finance lease obligation</w:t>
            </w:r>
          </w:p>
        </w:tc>
        <w:tc>
          <w:tcPr>
            <w:tcW w:w="1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issuance of debt in connection with finance lease</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4"/>
        </w:trPr>
        <w:tc>
          <w:tcPr>
            <w:tcW w:w="5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4"/>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Dividends payable</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43"/>
        </w:trPr>
        <w:tc>
          <w:tcPr>
            <w:tcW w:w="5640" w:type="dxa"/>
            <w:vAlign w:val="bottom"/>
          </w:tcPr>
          <w:p>
            <w:pPr>
              <w:ind w:left="220"/>
              <w:spacing w:after="0"/>
              <w:rPr>
                <w:sz w:val="20"/>
                <w:szCs w:val="20"/>
                <w:color w:val="auto"/>
              </w:rPr>
            </w:pPr>
            <w:r>
              <w:rPr>
                <w:rFonts w:ascii="Arial" w:cs="Arial" w:eastAsia="Arial" w:hAnsi="Arial"/>
                <w:sz w:val="17"/>
                <w:szCs w:val="17"/>
                <w:color w:val="auto"/>
              </w:rPr>
              <w:t>Interest paid, net of amounts capitalized</w:t>
            </w:r>
          </w:p>
        </w:tc>
        <w:tc>
          <w:tcPr>
            <w:tcW w:w="14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45"/>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paid, net of refunds</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bl>
    <w:p>
      <w:pPr>
        <w:spacing w:after="0" w:line="200" w:lineRule="exact"/>
        <w:rPr>
          <w:sz w:val="20"/>
          <w:szCs w:val="20"/>
          <w:color w:val="auto"/>
        </w:rPr>
      </w:pPr>
    </w:p>
    <w:p>
      <w:pPr>
        <w:spacing w:after="0" w:line="295"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INTERIM CONSOLIDATED STATEMENTS OF SHAREHOLDERS’ EQUITY</w:t>
      </w:r>
    </w:p>
    <w:p>
      <w:pPr>
        <w:spacing w:after="0" w:line="1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(Unaudited)</w:t>
      </w:r>
    </w:p>
    <w:p>
      <w:pPr>
        <w:sectPr>
          <w:pgSz w:w="11900" w:h="16838" w:orient="portrait"/>
          <w:cols w:equalWidth="0" w:num="1">
            <w:col w:w="11300"/>
          </w:cols>
          <w:pgMar w:left="320" w:top="1250" w:right="279" w:bottom="1440" w:gutter="0" w:footer="0" w:header="0"/>
        </w:sectPr>
      </w:pPr>
    </w:p>
    <w:p>
      <w:pPr>
        <w:spacing w:after="0" w:line="168" w:lineRule="exact"/>
        <w:rPr>
          <w:sz w:val="20"/>
          <w:szCs w:val="20"/>
          <w:color w:val="auto"/>
        </w:rPr>
      </w:pPr>
    </w:p>
    <w:p>
      <w:pPr>
        <w:ind w:left="60"/>
        <w:spacing w:after="0"/>
        <w:rPr>
          <w:sz w:val="20"/>
          <w:szCs w:val="20"/>
          <w:color w:val="auto"/>
        </w:rPr>
      </w:pPr>
      <w:r>
        <w:rPr>
          <w:rFonts w:ascii="Arial" w:cs="Arial" w:eastAsia="Arial" w:hAnsi="Arial"/>
          <w:sz w:val="11"/>
          <w:szCs w:val="11"/>
          <w:b w:val="1"/>
          <w:bCs w:val="1"/>
          <w:color w:val="auto"/>
        </w:rPr>
        <w:t>Common</w:t>
      </w:r>
    </w:p>
    <w:p>
      <w:pPr>
        <w:ind w:left="160"/>
        <w:spacing w:after="0" w:line="237" w:lineRule="auto"/>
        <w:rPr>
          <w:sz w:val="20"/>
          <w:szCs w:val="20"/>
          <w:color w:val="auto"/>
        </w:rPr>
      </w:pPr>
      <w:r>
        <w:rPr>
          <w:rFonts w:ascii="Arial" w:cs="Arial" w:eastAsia="Arial" w:hAnsi="Arial"/>
          <w:sz w:val="14"/>
          <w:szCs w:val="14"/>
          <w:b w:val="1"/>
          <w:bCs w:val="1"/>
          <w:color w:val="auto"/>
        </w:rPr>
        <w:t>Stock</w:t>
      </w:r>
    </w:p>
    <w:p>
      <w:pPr>
        <w:ind w:left="140"/>
        <w:spacing w:after="0"/>
        <w:rPr>
          <w:sz w:val="20"/>
          <w:szCs w:val="20"/>
          <w:color w:val="auto"/>
        </w:rPr>
      </w:pPr>
      <w:r>
        <w:rPr>
          <w:rFonts w:ascii="Arial" w:cs="Arial" w:eastAsia="Arial" w:hAnsi="Arial"/>
          <w:sz w:val="14"/>
          <w:szCs w:val="14"/>
          <w:b w:val="1"/>
          <w:bCs w:val="1"/>
          <w:color w:val="auto"/>
        </w:rPr>
        <w:t>Issued</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75.7</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p>
    <w:p>
      <w:pPr>
        <w:spacing w:after="0" w:line="123"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w:t>
      </w:r>
    </w:p>
    <w:p>
      <w:pPr>
        <w:spacing w:after="0" w:line="71"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0.1</w:t>
      </w:r>
    </w:p>
    <w:p>
      <w:pPr>
        <w:spacing w:after="0" w:line="71"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4" w:lineRule="auto"/>
        <w:rPr>
          <w:sz w:val="20"/>
          <w:szCs w:val="20"/>
          <w:color w:val="auto"/>
        </w:rPr>
      </w:pPr>
      <w:r>
        <w:rPr>
          <w:rFonts w:ascii="Arial" w:cs="Arial" w:eastAsia="Arial" w:hAnsi="Arial"/>
          <w:sz w:val="15"/>
          <w:szCs w:val="15"/>
          <w:b w:val="1"/>
          <w:bCs w:val="1"/>
          <w:color w:val="auto"/>
        </w:rPr>
        <w:t>BALANCE AT DECEMBER 31, 2022</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Net income</w:t>
      </w:r>
    </w:p>
    <w:p>
      <w:pPr>
        <w:spacing w:after="0" w:line="59" w:lineRule="exact"/>
        <w:rPr>
          <w:sz w:val="20"/>
          <w:szCs w:val="20"/>
          <w:color w:val="auto"/>
        </w:rPr>
      </w:pPr>
    </w:p>
    <w:p>
      <w:pPr>
        <w:ind w:left="180" w:right="320"/>
        <w:spacing w:after="0" w:line="245" w:lineRule="auto"/>
        <w:rPr>
          <w:sz w:val="20"/>
          <w:szCs w:val="20"/>
          <w:color w:val="auto"/>
        </w:rPr>
      </w:pPr>
      <w:r>
        <w:rPr>
          <w:rFonts w:ascii="Arial" w:cs="Arial" w:eastAsia="Arial" w:hAnsi="Arial"/>
          <w:sz w:val="15"/>
          <w:szCs w:val="15"/>
          <w:color w:val="auto"/>
        </w:rPr>
        <w:t>Foreign currency translation adjustments</w:t>
      </w:r>
    </w:p>
    <w:p>
      <w:pPr>
        <w:spacing w:after="0" w:line="20" w:lineRule="exact"/>
        <w:rPr>
          <w:sz w:val="20"/>
          <w:szCs w:val="20"/>
          <w:color w:val="auto"/>
        </w:rPr>
      </w:pPr>
    </w:p>
    <w:p>
      <w:pPr>
        <w:ind w:left="180"/>
        <w:spacing w:after="0" w:line="356" w:lineRule="auto"/>
        <w:rPr>
          <w:sz w:val="20"/>
          <w:szCs w:val="20"/>
          <w:color w:val="auto"/>
        </w:rPr>
      </w:pPr>
      <w:r>
        <w:rPr>
          <w:rFonts w:ascii="Arial" w:cs="Arial" w:eastAsia="Arial" w:hAnsi="Arial"/>
          <w:sz w:val="14"/>
          <w:szCs w:val="14"/>
          <w:color w:val="auto"/>
        </w:rPr>
        <w:t>Derivative instrument adjustment Share-based compensation plans Repurchase of common stock Dividends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Total MVW</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Noncontrolling</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6"/>
              </w:rPr>
              <w:t>Shareholders'</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Interests</w:t>
            </w: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(2,054)</w:t>
            </w:r>
          </w:p>
        </w:tc>
        <w:tc>
          <w:tcPr>
            <w:tcW w:w="1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rPr>
              <w:t>3,941</w:t>
            </w:r>
          </w:p>
        </w:tc>
        <w:tc>
          <w:tcPr>
            <w:tcW w:w="14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593</w:t>
            </w:r>
          </w:p>
        </w:tc>
        <w:tc>
          <w:tcPr>
            <w:tcW w:w="120" w:type="dxa"/>
            <w:vAlign w:val="bottom"/>
          </w:tcPr>
          <w:p>
            <w:pPr>
              <w:spacing w:after="0"/>
              <w:rPr>
                <w:sz w:val="22"/>
                <w:szCs w:val="22"/>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5"/>
                <w:szCs w:val="15"/>
                <w:color w:val="auto"/>
                <w:w w:val="90"/>
              </w:rPr>
              <w:t>$2,496</w:t>
            </w:r>
          </w:p>
        </w:tc>
        <w:tc>
          <w:tcPr>
            <w:tcW w:w="12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    2,498</w:t>
            </w:r>
          </w:p>
        </w:tc>
        <w:tc>
          <w:tcPr>
            <w:tcW w:w="0" w:type="dxa"/>
            <w:vAlign w:val="bottom"/>
          </w:tcPr>
          <w:p>
            <w:pPr>
              <w:spacing w:after="0"/>
              <w:rPr>
                <w:sz w:val="1"/>
                <w:szCs w:val="1"/>
                <w:color w:val="auto"/>
              </w:rPr>
            </w:pPr>
          </w:p>
        </w:tc>
      </w:tr>
      <w:tr>
        <w:trPr>
          <w:trHeight w:val="295"/>
        </w:trPr>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87</w:t>
            </w:r>
          </w:p>
        </w:tc>
        <w:tc>
          <w:tcPr>
            <w:tcW w:w="12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5"/>
                <w:szCs w:val="15"/>
                <w:color w:val="auto"/>
              </w:rPr>
              <w:t>87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308"/>
        </w:trPr>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000" w:type="dxa"/>
            <w:vAlign w:val="bottom"/>
          </w:tcPr>
          <w:p>
            <w:pPr>
              <w:jc w:val="right"/>
              <w:ind w:right="26"/>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2"/>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95"/>
        </w:trPr>
        <w:tc>
          <w:tcPr>
            <w:tcW w:w="1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-2029460</wp:posOffset>
            </wp:positionH>
            <wp:positionV relativeFrom="paragraph">
              <wp:posOffset>-827405</wp:posOffset>
            </wp:positionV>
            <wp:extent cx="7179945" cy="227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945" cy="227965"/>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-444500</wp:posOffset>
            </wp:positionV>
            <wp:extent cx="7179945" cy="154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945" cy="15494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-134620</wp:posOffset>
            </wp:positionV>
            <wp:extent cx="7179945" cy="154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945" cy="15494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-1210310</wp:posOffset>
            </wp:positionV>
            <wp:extent cx="7179945" cy="227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945" cy="227965"/>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3">
            <w:col w:w="600" w:space="180"/>
            <w:col w:w="2260" w:space="160"/>
            <w:col w:w="8100"/>
          </w:cols>
          <w:pgMar w:left="320" w:top="1250" w:right="27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6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75.8</w:t>
            </w:r>
          </w:p>
        </w:tc>
        <w:tc>
          <w:tcPr>
            <w:tcW w:w="2560" w:type="dxa"/>
            <w:vAlign w:val="bottom"/>
            <w:tcBorders>
              <w:bottom w:val="single" w:sz="8" w:color="CCEEFF"/>
            </w:tcBorders>
          </w:tcPr>
          <w:p>
            <w:pPr>
              <w:ind w:left="140"/>
              <w:spacing w:after="0"/>
              <w:rPr>
                <w:sz w:val="20"/>
                <w:szCs w:val="20"/>
                <w:color w:val="auto"/>
              </w:rPr>
            </w:pPr>
            <w:r>
              <w:rPr>
                <w:rFonts w:ascii="Arial" w:cs="Arial" w:eastAsia="Arial" w:hAnsi="Arial"/>
                <w:sz w:val="15"/>
                <w:szCs w:val="15"/>
                <w:b w:val="1"/>
                <w:bCs w:val="1"/>
                <w:color w:val="auto"/>
              </w:rPr>
              <w:t>BALANCE AT MARCH 31, 2023</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(2,132)</w:t>
            </w:r>
          </w:p>
        </w:tc>
        <w:tc>
          <w:tcPr>
            <w:tcW w:w="1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3,937</w:t>
            </w:r>
          </w:p>
        </w:tc>
        <w:tc>
          <w:tcPr>
            <w:tcW w:w="14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18</w:t>
            </w:r>
          </w:p>
        </w:tc>
        <w:tc>
          <w:tcPr>
            <w:tcW w:w="1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654</w:t>
            </w:r>
          </w:p>
        </w:tc>
        <w:tc>
          <w:tcPr>
            <w:tcW w:w="1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2,478</w:t>
            </w:r>
          </w:p>
        </w:tc>
        <w:tc>
          <w:tcPr>
            <w:tcW w:w="1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2</w:t>
            </w:r>
          </w:p>
        </w:tc>
        <w:tc>
          <w:tcPr>
            <w:tcW w:w="14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2,480</w:t>
            </w:r>
          </w:p>
        </w:tc>
      </w:tr>
      <w:tr>
        <w:trPr>
          <w:trHeight w:val="231"/>
        </w:trPr>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income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r>
    </w:tbl>
    <w:p>
      <w:pPr>
        <w:spacing w:after="0" w:line="1" w:lineRule="exact"/>
        <w:rPr>
          <w:sz w:val="20"/>
          <w:szCs w:val="20"/>
          <w:color w:val="auto"/>
        </w:rPr>
      </w:pPr>
    </w:p>
    <w:p>
      <w:pPr>
        <w:sectPr>
          <w:pgSz w:w="11900" w:h="16838" w:orient="portrait"/>
          <w:cols w:equalWidth="0" w:num="1">
            <w:col w:w="11300"/>
          </w:cols>
          <w:pgMar w:left="320" w:top="1250" w:right="279" w:bottom="1440" w:gutter="0" w:footer="0" w:header="0"/>
          <w:type w:val="continuous"/>
        </w:sectPr>
      </w:pPr>
    </w:p>
    <w:p>
      <w:pPr>
        <w:spacing w:after="0" w:line="8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407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7670" cy="8255"/>
                    </a:xfrm>
                    <a:prstGeom prst="rect">
                      <a:avLst/>
                    </a:prstGeom>
                    <a:noFill/>
                  </pic:spPr>
                </pic:pic>
              </a:graphicData>
            </a:graphic>
          </wp:anchor>
        </w:drawing>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407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7670" cy="8255"/>
                    </a:xfrm>
                    <a:prstGeom prst="rect">
                      <a:avLst/>
                    </a:prstGeom>
                    <a:noFill/>
                  </pic:spPr>
                </pic:pic>
              </a:graphicData>
            </a:graphic>
          </wp:anchor>
        </w:drawing>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407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7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57150</wp:posOffset>
            </wp:positionV>
            <wp:extent cx="407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7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2420" w:type="dxa"/>
            <w:vAlign w:val="bottom"/>
          </w:tcPr>
          <w:p>
            <w:pPr>
              <w:ind w:left="180"/>
              <w:spacing w:after="0" w:line="159" w:lineRule="exact"/>
              <w:rPr>
                <w:sz w:val="20"/>
                <w:szCs w:val="20"/>
                <w:color w:val="auto"/>
              </w:rPr>
            </w:pPr>
            <w:r>
              <w:rPr>
                <w:rFonts w:ascii="Arial" w:cs="Arial" w:eastAsia="Arial" w:hAnsi="Arial"/>
                <w:sz w:val="15"/>
                <w:szCs w:val="15"/>
                <w:color w:val="auto"/>
              </w:rPr>
              <w:t>Foreign currency translation</w:t>
            </w:r>
          </w:p>
        </w:tc>
        <w:tc>
          <w:tcPr>
            <w:tcW w:w="320" w:type="dxa"/>
            <w:vAlign w:val="bottom"/>
          </w:tcPr>
          <w:p>
            <w:pPr>
              <w:spacing w:after="0"/>
              <w:rPr>
                <w:sz w:val="13"/>
                <w:szCs w:val="13"/>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3"/>
                <w:szCs w:val="13"/>
                <w:color w:val="auto"/>
              </w:rPr>
            </w:pPr>
          </w:p>
        </w:tc>
        <w:tc>
          <w:tcPr>
            <w:tcW w:w="620" w:type="dxa"/>
            <w:vAlign w:val="bottom"/>
            <w:vMerge w:val="restart"/>
          </w:tcPr>
          <w:p>
            <w:pPr>
              <w:jc w:val="right"/>
              <w:ind w:right="23"/>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3"/>
                <w:szCs w:val="13"/>
                <w:color w:val="auto"/>
              </w:rPr>
            </w:pPr>
          </w:p>
        </w:tc>
        <w:tc>
          <w:tcPr>
            <w:tcW w:w="680" w:type="dxa"/>
            <w:vAlign w:val="bottom"/>
            <w:vMerge w:val="restart"/>
          </w:tcPr>
          <w:p>
            <w:pPr>
              <w:jc w:val="right"/>
              <w:ind w:right="23"/>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18"/>
        </w:trPr>
        <w:tc>
          <w:tcPr>
            <w:tcW w:w="2420" w:type="dxa"/>
            <w:vAlign w:val="bottom"/>
            <w:vMerge w:val="restart"/>
          </w:tcPr>
          <w:p>
            <w:pPr>
              <w:ind w:left="180"/>
              <w:spacing w:after="0"/>
              <w:rPr>
                <w:sz w:val="20"/>
                <w:szCs w:val="20"/>
                <w:color w:val="auto"/>
              </w:rPr>
            </w:pPr>
            <w:r>
              <w:rPr>
                <w:rFonts w:ascii="Arial" w:cs="Arial" w:eastAsia="Arial" w:hAnsi="Arial"/>
                <w:sz w:val="15"/>
                <w:szCs w:val="15"/>
                <w:color w:val="auto"/>
              </w:rPr>
              <w:t>adjustments</w:t>
            </w:r>
          </w:p>
        </w:tc>
        <w:tc>
          <w:tcPr>
            <w:tcW w:w="32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180"/>
              <w:spacing w:after="0"/>
              <w:rPr>
                <w:sz w:val="20"/>
                <w:szCs w:val="20"/>
                <w:color w:val="auto"/>
              </w:rPr>
            </w:pPr>
            <w:r>
              <w:rPr>
                <w:rFonts w:ascii="Arial" w:cs="Arial" w:eastAsia="Arial" w:hAnsi="Arial"/>
                <w:sz w:val="15"/>
                <w:szCs w:val="15"/>
                <w:color w:val="auto"/>
              </w:rPr>
              <w:t>Derivative instrument adjustment</w:t>
            </w:r>
          </w:p>
        </w:tc>
        <w:tc>
          <w:tcPr>
            <w:tcW w:w="3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44"/>
        </w:trPr>
        <w:tc>
          <w:tcPr>
            <w:tcW w:w="2420" w:type="dxa"/>
            <w:vAlign w:val="bottom"/>
          </w:tcPr>
          <w:p>
            <w:pPr>
              <w:ind w:left="180"/>
              <w:spacing w:after="0"/>
              <w:rPr>
                <w:sz w:val="20"/>
                <w:szCs w:val="20"/>
                <w:color w:val="auto"/>
              </w:rPr>
            </w:pPr>
            <w:r>
              <w:rPr>
                <w:rFonts w:ascii="Arial" w:cs="Arial" w:eastAsia="Arial" w:hAnsi="Arial"/>
                <w:sz w:val="15"/>
                <w:szCs w:val="15"/>
                <w:color w:val="auto"/>
                <w:w w:val="99"/>
              </w:rPr>
              <w:t>Share-based compensation plans</w:t>
            </w:r>
          </w:p>
        </w:tc>
        <w:tc>
          <w:tcPr>
            <w:tcW w:w="32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1"/>
                <w:szCs w:val="21"/>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44"/>
        </w:trPr>
        <w:tc>
          <w:tcPr>
            <w:tcW w:w="242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32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44"/>
        </w:trPr>
        <w:tc>
          <w:tcPr>
            <w:tcW w:w="2420" w:type="dxa"/>
            <w:vAlign w:val="bottom"/>
          </w:tcPr>
          <w:p>
            <w:pPr>
              <w:ind w:left="180"/>
              <w:spacing w:after="0"/>
              <w:rPr>
                <w:sz w:val="20"/>
                <w:szCs w:val="20"/>
                <w:color w:val="auto"/>
              </w:rPr>
            </w:pPr>
            <w:r>
              <w:rPr>
                <w:rFonts w:ascii="Arial" w:cs="Arial" w:eastAsia="Arial" w:hAnsi="Arial"/>
                <w:sz w:val="15"/>
                <w:szCs w:val="15"/>
                <w:color w:val="auto"/>
              </w:rPr>
              <w:t>Dividends</w:t>
            </w:r>
          </w:p>
        </w:tc>
        <w:tc>
          <w:tcPr>
            <w:tcW w:w="32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31"/>
        </w:trPr>
        <w:tc>
          <w:tcPr>
            <w:tcW w:w="2420" w:type="dxa"/>
            <w:vAlign w:val="bottom"/>
            <w:vMerge w:val="restart"/>
          </w:tcPr>
          <w:p>
            <w:pPr>
              <w:spacing w:after="0"/>
              <w:rPr>
                <w:sz w:val="20"/>
                <w:szCs w:val="20"/>
                <w:color w:val="auto"/>
              </w:rPr>
            </w:pPr>
            <w:r>
              <w:rPr>
                <w:rFonts w:ascii="Arial" w:cs="Arial" w:eastAsia="Arial" w:hAnsi="Arial"/>
                <w:sz w:val="15"/>
                <w:szCs w:val="15"/>
                <w:b w:val="1"/>
                <w:bCs w:val="1"/>
                <w:color w:val="auto"/>
              </w:rPr>
              <w:t>BALANCE AT JUNE 30, 2023</w:t>
            </w: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3,947</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718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2,476</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2,478</w:t>
            </w:r>
          </w:p>
        </w:tc>
        <w:tc>
          <w:tcPr>
            <w:tcW w:w="0" w:type="dxa"/>
            <w:vAlign w:val="bottom"/>
          </w:tcPr>
          <w:p>
            <w:pPr>
              <w:spacing w:after="0"/>
              <w:rPr>
                <w:sz w:val="1"/>
                <w:szCs w:val="1"/>
                <w:color w:val="auto"/>
              </w:rPr>
            </w:pPr>
          </w:p>
        </w:tc>
      </w:tr>
      <w:tr>
        <w:trPr>
          <w:trHeight w:val="226"/>
        </w:trPr>
        <w:tc>
          <w:tcPr>
            <w:tcW w:w="2420" w:type="dxa"/>
            <w:vAlign w:val="bottom"/>
          </w:tcPr>
          <w:p>
            <w:pPr>
              <w:ind w:left="180"/>
              <w:spacing w:after="0"/>
              <w:rPr>
                <w:sz w:val="20"/>
                <w:szCs w:val="20"/>
                <w:color w:val="auto"/>
              </w:rPr>
            </w:pPr>
            <w:r>
              <w:rPr>
                <w:rFonts w:ascii="Arial" w:cs="Arial" w:eastAsia="Arial" w:hAnsi="Arial"/>
                <w:sz w:val="15"/>
                <w:szCs w:val="15"/>
                <w:color w:val="auto"/>
              </w:rPr>
              <w:t>Net income</w:t>
            </w:r>
          </w:p>
        </w:tc>
        <w:tc>
          <w:tcPr>
            <w:tcW w:w="3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64"/>
        </w:trPr>
        <w:tc>
          <w:tcPr>
            <w:tcW w:w="2420" w:type="dxa"/>
            <w:vAlign w:val="bottom"/>
          </w:tcPr>
          <w:p>
            <w:pPr>
              <w:ind w:left="180"/>
              <w:spacing w:after="0" w:line="164" w:lineRule="exact"/>
              <w:rPr>
                <w:sz w:val="20"/>
                <w:szCs w:val="20"/>
                <w:color w:val="auto"/>
              </w:rPr>
            </w:pPr>
            <w:r>
              <w:rPr>
                <w:rFonts w:ascii="Arial" w:cs="Arial" w:eastAsia="Arial" w:hAnsi="Arial"/>
                <w:sz w:val="15"/>
                <w:szCs w:val="15"/>
                <w:color w:val="auto"/>
              </w:rPr>
              <w:t>Foreign currency translation</w:t>
            </w:r>
          </w:p>
        </w:tc>
        <w:tc>
          <w:tcPr>
            <w:tcW w:w="320" w:type="dxa"/>
            <w:vAlign w:val="bottom"/>
          </w:tcPr>
          <w:p>
            <w:pPr>
              <w:spacing w:after="0"/>
              <w:rPr>
                <w:sz w:val="14"/>
                <w:szCs w:val="14"/>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5"/>
        </w:trPr>
        <w:tc>
          <w:tcPr>
            <w:tcW w:w="242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3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420" w:type="dxa"/>
            <w:vAlign w:val="bottom"/>
          </w:tcPr>
          <w:p>
            <w:pPr>
              <w:ind w:left="180"/>
              <w:spacing w:after="0"/>
              <w:rPr>
                <w:sz w:val="20"/>
                <w:szCs w:val="20"/>
                <w:color w:val="auto"/>
              </w:rPr>
            </w:pPr>
            <w:r>
              <w:rPr>
                <w:rFonts w:ascii="Arial" w:cs="Arial" w:eastAsia="Arial" w:hAnsi="Arial"/>
                <w:sz w:val="15"/>
                <w:szCs w:val="15"/>
                <w:color w:val="auto"/>
              </w:rPr>
              <w:t>Derivative instrument adjustment</w:t>
            </w:r>
          </w:p>
        </w:tc>
        <w:tc>
          <w:tcPr>
            <w:tcW w:w="32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4"/>
        </w:trPr>
        <w:tc>
          <w:tcPr>
            <w:tcW w:w="2420" w:type="dxa"/>
            <w:vAlign w:val="bottom"/>
          </w:tcPr>
          <w:p>
            <w:pPr>
              <w:ind w:left="180"/>
              <w:spacing w:after="0"/>
              <w:rPr>
                <w:sz w:val="20"/>
                <w:szCs w:val="20"/>
                <w:color w:val="auto"/>
              </w:rPr>
            </w:pPr>
            <w:r>
              <w:rPr>
                <w:rFonts w:ascii="Arial" w:cs="Arial" w:eastAsia="Arial" w:hAnsi="Arial"/>
                <w:sz w:val="15"/>
                <w:szCs w:val="15"/>
                <w:color w:val="auto"/>
                <w:w w:val="99"/>
              </w:rPr>
              <w:t>Share-based compensation plans</w:t>
            </w:r>
          </w:p>
        </w:tc>
        <w:tc>
          <w:tcPr>
            <w:tcW w:w="32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6</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1"/>
                <w:szCs w:val="21"/>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44"/>
        </w:trPr>
        <w:tc>
          <w:tcPr>
            <w:tcW w:w="242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32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44"/>
        </w:trPr>
        <w:tc>
          <w:tcPr>
            <w:tcW w:w="2420" w:type="dxa"/>
            <w:vAlign w:val="bottom"/>
          </w:tcPr>
          <w:p>
            <w:pPr>
              <w:ind w:left="180"/>
              <w:spacing w:after="0"/>
              <w:rPr>
                <w:sz w:val="20"/>
                <w:szCs w:val="20"/>
                <w:color w:val="auto"/>
              </w:rPr>
            </w:pPr>
            <w:r>
              <w:rPr>
                <w:rFonts w:ascii="Arial" w:cs="Arial" w:eastAsia="Arial" w:hAnsi="Arial"/>
                <w:sz w:val="15"/>
                <w:szCs w:val="15"/>
                <w:color w:val="auto"/>
              </w:rPr>
              <w:t>Dividends</w:t>
            </w:r>
          </w:p>
        </w:tc>
        <w:tc>
          <w:tcPr>
            <w:tcW w:w="32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39"/>
        </w:trPr>
        <w:tc>
          <w:tcPr>
            <w:tcW w:w="2420" w:type="dxa"/>
            <w:vAlign w:val="bottom"/>
          </w:tcPr>
          <w:p>
            <w:pPr>
              <w:spacing w:after="0" w:line="139" w:lineRule="exact"/>
              <w:rPr>
                <w:sz w:val="20"/>
                <w:szCs w:val="20"/>
                <w:color w:val="auto"/>
              </w:rPr>
            </w:pPr>
            <w:r>
              <w:rPr>
                <w:rFonts w:ascii="Arial" w:cs="Arial" w:eastAsia="Arial" w:hAnsi="Arial"/>
                <w:sz w:val="15"/>
                <w:szCs w:val="15"/>
                <w:b w:val="1"/>
                <w:bCs w:val="1"/>
                <w:color w:val="auto"/>
              </w:rPr>
              <w:t>BALANCE AT SEPTEMBER 30,</w:t>
            </w:r>
          </w:p>
        </w:tc>
        <w:tc>
          <w:tcPr>
            <w:tcW w:w="320" w:type="dxa"/>
            <w:vAlign w:val="bottom"/>
            <w:tcBorders>
              <w:top w:val="single" w:sz="8" w:color="auto"/>
            </w:tcBorders>
            <w:vMerge w:val="restart"/>
          </w:tcPr>
          <w:p>
            <w:pPr>
              <w:jc w:val="right"/>
              <w:ind w:right="143"/>
              <w:spacing w:after="0"/>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(2,298)</w:t>
            </w:r>
          </w:p>
        </w:tc>
        <w:tc>
          <w:tcPr>
            <w:tcW w:w="120" w:type="dxa"/>
            <w:vAlign w:val="bottom"/>
          </w:tcPr>
          <w:p>
            <w:pPr>
              <w:spacing w:after="0"/>
              <w:rPr>
                <w:sz w:val="12"/>
                <w:szCs w:val="12"/>
                <w:color w:val="auto"/>
              </w:rPr>
            </w:pPr>
          </w:p>
        </w:tc>
        <w:tc>
          <w:tcPr>
            <w:tcW w:w="26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3,953</w:t>
            </w:r>
          </w:p>
        </w:tc>
        <w:tc>
          <w:tcPr>
            <w:tcW w:w="140" w:type="dxa"/>
            <w:vAlign w:val="bottom"/>
          </w:tcPr>
          <w:p>
            <w:pPr>
              <w:spacing w:after="0"/>
              <w:rPr>
                <w:sz w:val="12"/>
                <w:szCs w:val="12"/>
                <w:color w:val="auto"/>
              </w:rPr>
            </w:pPr>
          </w:p>
        </w:tc>
        <w:tc>
          <w:tcPr>
            <w:tcW w:w="480" w:type="dxa"/>
            <w:vAlign w:val="bottom"/>
            <w:tcBorders>
              <w:top w:val="single" w:sz="8" w:color="auto"/>
            </w:tcBorders>
            <w:vMerge w:val="restart"/>
          </w:tcPr>
          <w:p>
            <w:pPr>
              <w:jc w:val="right"/>
              <w:ind w:right="3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734</w:t>
            </w:r>
          </w:p>
        </w:tc>
        <w:tc>
          <w:tcPr>
            <w:tcW w:w="12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4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2,408</w:t>
            </w:r>
          </w:p>
        </w:tc>
        <w:tc>
          <w:tcPr>
            <w:tcW w:w="120" w:type="dxa"/>
            <w:vAlign w:val="bottom"/>
          </w:tcPr>
          <w:p>
            <w:pPr>
              <w:spacing w:after="0"/>
              <w:rPr>
                <w:sz w:val="12"/>
                <w:szCs w:val="12"/>
                <w:color w:val="auto"/>
              </w:rPr>
            </w:pPr>
          </w:p>
        </w:tc>
        <w:tc>
          <w:tcPr>
            <w:tcW w:w="460" w:type="dxa"/>
            <w:vAlign w:val="bottom"/>
            <w:tcBorders>
              <w:top w:val="single" w:sz="8" w:color="auto"/>
            </w:tcBorders>
            <w:vMerge w:val="restart"/>
          </w:tcPr>
          <w:p>
            <w:pPr>
              <w:jc w:val="right"/>
              <w:ind w:right="283"/>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2"/>
                <w:szCs w:val="12"/>
                <w:color w:val="auto"/>
              </w:rPr>
            </w:pPr>
          </w:p>
        </w:tc>
        <w:tc>
          <w:tcPr>
            <w:tcW w:w="22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2,410</w:t>
            </w:r>
          </w:p>
        </w:tc>
        <w:tc>
          <w:tcPr>
            <w:tcW w:w="0" w:type="dxa"/>
            <w:vAlign w:val="bottom"/>
          </w:tcPr>
          <w:p>
            <w:pPr>
              <w:spacing w:after="0"/>
              <w:rPr>
                <w:sz w:val="1"/>
                <w:szCs w:val="1"/>
                <w:color w:val="auto"/>
              </w:rPr>
            </w:pPr>
          </w:p>
        </w:tc>
      </w:tr>
      <w:tr>
        <w:trPr>
          <w:trHeight w:val="185"/>
        </w:trPr>
        <w:tc>
          <w:tcPr>
            <w:tcW w:w="2420" w:type="dxa"/>
            <w:vAlign w:val="bottom"/>
          </w:tcPr>
          <w:p>
            <w:pPr>
              <w:spacing w:after="0"/>
              <w:rPr>
                <w:sz w:val="20"/>
                <w:szCs w:val="20"/>
                <w:color w:val="auto"/>
              </w:rPr>
            </w:pPr>
            <w:r>
              <w:rPr>
                <w:rFonts w:ascii="Arial" w:cs="Arial" w:eastAsia="Arial" w:hAnsi="Arial"/>
                <w:sz w:val="15"/>
                <w:szCs w:val="15"/>
                <w:b w:val="1"/>
                <w:bCs w:val="1"/>
                <w:color w:val="auto"/>
              </w:rPr>
              <w:t>2023</w:t>
            </w:r>
          </w:p>
        </w:tc>
        <w:tc>
          <w:tcPr>
            <w:tcW w:w="3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-2020570</wp:posOffset>
            </wp:positionV>
            <wp:extent cx="7179945" cy="154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945" cy="154940"/>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-1710690</wp:posOffset>
            </wp:positionV>
            <wp:extent cx="7179945" cy="154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945" cy="154940"/>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-1091565</wp:posOffset>
            </wp:positionV>
            <wp:extent cx="7179945" cy="227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945" cy="22796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-708660</wp:posOffset>
            </wp:positionV>
            <wp:extent cx="7179945" cy="154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945" cy="154940"/>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-398780</wp:posOffset>
            </wp:positionV>
            <wp:extent cx="7179945" cy="154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945" cy="154940"/>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-1400810</wp:posOffset>
            </wp:positionV>
            <wp:extent cx="7179945" cy="154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9945" cy="15494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560" w:space="220"/>
            <w:col w:w="10520"/>
          </w:cols>
          <w:pgMar w:left="320" w:top="1250" w:right="279" w:bottom="1440" w:gutter="0" w:footer="0" w:header="0"/>
          <w:type w:val="continuous"/>
        </w:sectPr>
      </w:pPr>
    </w:p>
    <w:p>
      <w:pPr>
        <w:jc w:val="center"/>
        <w:ind w:right="60"/>
        <w:spacing w:after="0"/>
        <w:rPr>
          <w:sz w:val="20"/>
          <w:szCs w:val="20"/>
          <w:color w:val="auto"/>
        </w:rPr>
      </w:pPr>
      <w:r>
        <w:rPr>
          <w:rFonts w:ascii="Arial" w:cs="Arial" w:eastAsia="Arial" w:hAnsi="Arial"/>
          <w:sz w:val="17"/>
          <w:szCs w:val="17"/>
          <w:b w:val="1"/>
          <w:bCs w:val="1"/>
          <w:color w:val="auto"/>
        </w:rPr>
        <w:t>Continued</w:t>
      </w: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See Interim Condensed Notes to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00"/>
          </w:cols>
          <w:pgMar w:left="320" w:top="1250" w:right="279" w:bottom="1440" w:gutter="0" w:footer="0" w:header="0"/>
          <w:type w:val="continuous"/>
        </w:sectPr>
      </w:pPr>
    </w:p>
    <w:bookmarkStart w:id="8" w:name="page9"/>
    <w:bookmarkEnd w:id="8"/>
    <w:p>
      <w:pPr>
        <w:jc w:val="center"/>
        <w:ind w:right="100"/>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INTERIM CONSOLIDATED STATEMENTS OF SHAREHOLDERS’ EQUITY (CONTINUED)</w:t>
      </w:r>
    </w:p>
    <w:p>
      <w:pPr>
        <w:spacing w:after="0" w:line="1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(In millions)</w:t>
      </w:r>
    </w:p>
    <w:p>
      <w:pPr>
        <w:spacing w:after="0" w:line="1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(Unaudited)</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920" w:type="dxa"/>
            <w:vAlign w:val="bottom"/>
            <w:vMerge w:val="restart"/>
          </w:tcPr>
          <w:p>
            <w:pPr>
              <w:jc w:val="center"/>
              <w:ind w:right="1312"/>
              <w:spacing w:after="0"/>
              <w:rPr>
                <w:sz w:val="20"/>
                <w:szCs w:val="20"/>
                <w:color w:val="auto"/>
              </w:rPr>
            </w:pPr>
            <w:r>
              <w:rPr>
                <w:rFonts w:ascii="Arial" w:cs="Arial" w:eastAsia="Arial" w:hAnsi="Arial"/>
                <w:sz w:val="14"/>
                <w:szCs w:val="14"/>
                <w:b w:val="1"/>
                <w:bCs w:val="1"/>
                <w:color w:val="auto"/>
                <w:w w:val="88"/>
              </w:rPr>
              <w:t>Common</w:t>
            </w:r>
          </w:p>
        </w:tc>
        <w:tc>
          <w:tcPr>
            <w:tcW w:w="2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Accumulated</w:t>
            </w:r>
          </w:p>
        </w:tc>
        <w:tc>
          <w:tcPr>
            <w:tcW w:w="9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MVW</w:t>
            </w: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920" w:type="dxa"/>
            <w:vAlign w:val="bottom"/>
            <w:vMerge w:val="continue"/>
          </w:tcPr>
          <w:p>
            <w:pPr>
              <w:spacing w:after="0"/>
              <w:rPr>
                <w:sz w:val="11"/>
                <w:szCs w:val="11"/>
                <w:color w:val="auto"/>
              </w:rPr>
            </w:pPr>
          </w:p>
        </w:tc>
        <w:tc>
          <w:tcPr>
            <w:tcW w:w="2140" w:type="dxa"/>
            <w:vAlign w:val="bottom"/>
            <w:vMerge w:val="restart"/>
          </w:tcPr>
          <w:p>
            <w:pPr>
              <w:jc w:val="center"/>
              <w:ind w:left="1132"/>
              <w:spacing w:after="0"/>
              <w:rPr>
                <w:sz w:val="20"/>
                <w:szCs w:val="20"/>
                <w:color w:val="auto"/>
              </w:rPr>
            </w:pPr>
            <w:r>
              <w:rPr>
                <w:rFonts w:ascii="Arial" w:cs="Arial" w:eastAsia="Arial" w:hAnsi="Arial"/>
                <w:sz w:val="14"/>
                <w:szCs w:val="14"/>
                <w:b w:val="1"/>
                <w:bCs w:val="1"/>
                <w:color w:val="auto"/>
                <w:w w:val="88"/>
              </w:rPr>
              <w:t>Common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Treasury</w:t>
            </w:r>
          </w:p>
        </w:tc>
        <w:tc>
          <w:tcPr>
            <w:tcW w:w="980" w:type="dxa"/>
            <w:vAlign w:val="bottom"/>
            <w:vMerge w:val="continue"/>
          </w:tcPr>
          <w:p>
            <w:pPr>
              <w:spacing w:after="0"/>
              <w:rPr>
                <w:sz w:val="11"/>
                <w:szCs w:val="11"/>
                <w:color w:val="auto"/>
              </w:rPr>
            </w:pPr>
          </w:p>
        </w:tc>
        <w:tc>
          <w:tcPr>
            <w:tcW w:w="126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0"/>
              </w:rPr>
              <w:t>Other</w:t>
            </w:r>
          </w:p>
        </w:tc>
        <w:tc>
          <w:tcPr>
            <w:tcW w:w="9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Retained</w:t>
            </w:r>
          </w:p>
        </w:tc>
        <w:tc>
          <w:tcPr>
            <w:tcW w:w="1140" w:type="dxa"/>
            <w:vAlign w:val="bottom"/>
            <w:vMerge w:val="continue"/>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Noncontrolling</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20" w:type="dxa"/>
            <w:vAlign w:val="bottom"/>
          </w:tcPr>
          <w:p>
            <w:pPr>
              <w:jc w:val="center"/>
              <w:ind w:right="1332"/>
              <w:spacing w:after="0" w:line="141" w:lineRule="exact"/>
              <w:rPr>
                <w:sz w:val="20"/>
                <w:szCs w:val="20"/>
                <w:color w:val="auto"/>
              </w:rPr>
            </w:pPr>
            <w:r>
              <w:rPr>
                <w:rFonts w:ascii="Arial" w:cs="Arial" w:eastAsia="Arial" w:hAnsi="Arial"/>
                <w:sz w:val="14"/>
                <w:szCs w:val="14"/>
                <w:b w:val="1"/>
                <w:bCs w:val="1"/>
                <w:color w:val="auto"/>
                <w:w w:val="83"/>
              </w:rPr>
              <w:t>Stock</w:t>
            </w:r>
          </w:p>
        </w:tc>
        <w:tc>
          <w:tcPr>
            <w:tcW w:w="21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Paid-In</w:t>
            </w:r>
          </w:p>
        </w:tc>
        <w:tc>
          <w:tcPr>
            <w:tcW w:w="12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Comprehensive</w:t>
            </w:r>
          </w:p>
        </w:tc>
        <w:tc>
          <w:tcPr>
            <w:tcW w:w="900" w:type="dxa"/>
            <w:vAlign w:val="bottom"/>
            <w:vMerge w:val="continue"/>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Shareholders'</w:t>
            </w:r>
          </w:p>
        </w:tc>
        <w:tc>
          <w:tcPr>
            <w:tcW w:w="1160" w:type="dxa"/>
            <w:vAlign w:val="bottom"/>
            <w:vMerge w:val="continue"/>
          </w:tcPr>
          <w:p>
            <w:pPr>
              <w:spacing w:after="0"/>
              <w:rPr>
                <w:sz w:val="12"/>
                <w:szCs w:val="12"/>
                <w:color w:val="auto"/>
              </w:rPr>
            </w:pPr>
          </w:p>
        </w:tc>
        <w:tc>
          <w:tcPr>
            <w:tcW w:w="8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89"/>
              </w:rPr>
              <w:t>Total Equity</w:t>
            </w:r>
          </w:p>
        </w:tc>
        <w:tc>
          <w:tcPr>
            <w:tcW w:w="0" w:type="dxa"/>
            <w:vAlign w:val="bottom"/>
          </w:tcPr>
          <w:p>
            <w:pPr>
              <w:spacing w:after="0"/>
              <w:rPr>
                <w:sz w:val="1"/>
                <w:szCs w:val="1"/>
                <w:color w:val="auto"/>
              </w:rPr>
            </w:pPr>
          </w:p>
        </w:tc>
      </w:tr>
      <w:tr>
        <w:trPr>
          <w:trHeight w:val="181"/>
        </w:trPr>
        <w:tc>
          <w:tcPr>
            <w:tcW w:w="1920" w:type="dxa"/>
            <w:vAlign w:val="bottom"/>
          </w:tcPr>
          <w:p>
            <w:pPr>
              <w:jc w:val="center"/>
              <w:ind w:right="1332"/>
              <w:spacing w:after="0"/>
              <w:rPr>
                <w:sz w:val="20"/>
                <w:szCs w:val="20"/>
                <w:color w:val="auto"/>
              </w:rPr>
            </w:pPr>
            <w:r>
              <w:rPr>
                <w:rFonts w:ascii="Arial" w:cs="Arial" w:eastAsia="Arial" w:hAnsi="Arial"/>
                <w:sz w:val="14"/>
                <w:szCs w:val="14"/>
                <w:b w:val="1"/>
                <w:bCs w:val="1"/>
                <w:color w:val="auto"/>
                <w:w w:val="81"/>
              </w:rPr>
              <w:t>Issued</w:t>
            </w:r>
          </w:p>
        </w:tc>
        <w:tc>
          <w:tcPr>
            <w:tcW w:w="2140" w:type="dxa"/>
            <w:vAlign w:val="bottom"/>
          </w:tcPr>
          <w:p>
            <w:pPr>
              <w:jc w:val="center"/>
              <w:ind w:left="1132"/>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(Loss) Income</w:t>
            </w: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98995" cy="227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995" cy="227965"/>
                    </a:xfrm>
                    <a:prstGeom prst="rect">
                      <a:avLst/>
                    </a:prstGeom>
                    <a:noFill/>
                  </pic:spPr>
                </pic:pic>
              </a:graphicData>
            </a:graphic>
          </wp:anchor>
        </w:drawing>
      </w:r>
    </w:p>
    <w:p>
      <w:pPr>
        <w:sectPr>
          <w:pgSz w:w="11900" w:h="16838" w:orient="portrait"/>
          <w:cols w:equalWidth="0" w:num="1">
            <w:col w:w="11340"/>
          </w:cols>
          <w:pgMar w:left="320" w:top="1071" w:right="239" w:bottom="1440" w:gutter="0" w:footer="0" w:header="0"/>
        </w:sectPr>
      </w:pPr>
    </w:p>
    <w:p>
      <w:pPr>
        <w:spacing w:after="0" w:line="9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75.5</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75.5</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0.2</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2460" w:type="dxa"/>
            <w:vAlign w:val="bottom"/>
          </w:tcPr>
          <w:p>
            <w:pPr>
              <w:spacing w:after="0" w:line="146" w:lineRule="exact"/>
              <w:rPr>
                <w:sz w:val="20"/>
                <w:szCs w:val="20"/>
                <w:color w:val="auto"/>
              </w:rPr>
            </w:pPr>
            <w:r>
              <w:rPr>
                <w:rFonts w:ascii="Arial" w:cs="Arial" w:eastAsia="Arial" w:hAnsi="Arial"/>
                <w:sz w:val="15"/>
                <w:szCs w:val="15"/>
                <w:b w:val="1"/>
                <w:bCs w:val="1"/>
                <w:color w:val="auto"/>
              </w:rPr>
              <w:t>BALANCE AT DECEMBER 31,</w:t>
            </w:r>
          </w:p>
        </w:tc>
        <w:tc>
          <w:tcPr>
            <w:tcW w:w="340" w:type="dxa"/>
            <w:vAlign w:val="bottom"/>
            <w:tcBorders>
              <w:top w:val="single" w:sz="8" w:color="auto"/>
            </w:tcBorders>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(1,356)</w:t>
            </w:r>
          </w:p>
        </w:tc>
        <w:tc>
          <w:tcPr>
            <w:tcW w:w="140" w:type="dxa"/>
            <w:vAlign w:val="bottom"/>
          </w:tcPr>
          <w:p>
            <w:pPr>
              <w:spacing w:after="0"/>
              <w:rPr>
                <w:sz w:val="12"/>
                <w:szCs w:val="12"/>
                <w:color w:val="auto"/>
              </w:rPr>
            </w:pPr>
          </w:p>
        </w:tc>
        <w:tc>
          <w:tcPr>
            <w:tcW w:w="24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4,072</w:t>
            </w:r>
          </w:p>
        </w:tc>
        <w:tc>
          <w:tcPr>
            <w:tcW w:w="140" w:type="dxa"/>
            <w:vAlign w:val="bottom"/>
          </w:tcPr>
          <w:p>
            <w:pPr>
              <w:spacing w:after="0"/>
              <w:rPr>
                <w:sz w:val="12"/>
                <w:szCs w:val="12"/>
                <w:color w:val="auto"/>
              </w:rPr>
            </w:pPr>
          </w:p>
        </w:tc>
        <w:tc>
          <w:tcPr>
            <w:tcW w:w="440" w:type="dxa"/>
            <w:vAlign w:val="bottom"/>
            <w:tcBorders>
              <w:top w:val="single" w:sz="8" w:color="auto"/>
            </w:tcBorders>
            <w:vMerge w:val="restart"/>
          </w:tcPr>
          <w:p>
            <w:pPr>
              <w:jc w:val="right"/>
              <w:ind w:right="28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275</w:t>
            </w:r>
          </w:p>
        </w:tc>
        <w:tc>
          <w:tcPr>
            <w:tcW w:w="120" w:type="dxa"/>
            <w:vAlign w:val="bottom"/>
          </w:tcPr>
          <w:p>
            <w:pPr>
              <w:spacing w:after="0"/>
              <w:rPr>
                <w:sz w:val="12"/>
                <w:szCs w:val="12"/>
                <w:color w:val="auto"/>
              </w:rPr>
            </w:pPr>
          </w:p>
        </w:tc>
        <w:tc>
          <w:tcPr>
            <w:tcW w:w="320" w:type="dxa"/>
            <w:vAlign w:val="bottom"/>
            <w:tcBorders>
              <w:top w:val="single" w:sz="8" w:color="auto"/>
            </w:tcBorders>
            <w:vMerge w:val="restart"/>
          </w:tcPr>
          <w:p>
            <w:pPr>
              <w:jc w:val="right"/>
              <w:ind w:right="14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2,976</w:t>
            </w:r>
          </w:p>
        </w:tc>
        <w:tc>
          <w:tcPr>
            <w:tcW w:w="120" w:type="dxa"/>
            <w:vAlign w:val="bottom"/>
          </w:tcPr>
          <w:p>
            <w:pPr>
              <w:spacing w:after="0"/>
              <w:rPr>
                <w:sz w:val="12"/>
                <w:szCs w:val="12"/>
                <w:color w:val="auto"/>
              </w:rPr>
            </w:pPr>
          </w:p>
        </w:tc>
        <w:tc>
          <w:tcPr>
            <w:tcW w:w="460" w:type="dxa"/>
            <w:vAlign w:val="bottom"/>
            <w:tcBorders>
              <w:top w:val="single" w:sz="8" w:color="auto"/>
            </w:tcBorders>
            <w:vMerge w:val="restart"/>
          </w:tcPr>
          <w:p>
            <w:pPr>
              <w:jc w:val="right"/>
              <w:ind w:right="283"/>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2"/>
                <w:szCs w:val="12"/>
                <w:color w:val="auto"/>
              </w:rPr>
            </w:pPr>
          </w:p>
        </w:tc>
        <w:tc>
          <w:tcPr>
            <w:tcW w:w="22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2,986</w:t>
            </w:r>
          </w:p>
        </w:tc>
        <w:tc>
          <w:tcPr>
            <w:tcW w:w="0" w:type="dxa"/>
            <w:vAlign w:val="bottom"/>
          </w:tcPr>
          <w:p>
            <w:pPr>
              <w:spacing w:after="0"/>
              <w:rPr>
                <w:sz w:val="1"/>
                <w:szCs w:val="1"/>
                <w:color w:val="auto"/>
              </w:rPr>
            </w:pPr>
          </w:p>
        </w:tc>
      </w:tr>
      <w:tr>
        <w:trPr>
          <w:trHeight w:val="123"/>
        </w:trPr>
        <w:tc>
          <w:tcPr>
            <w:tcW w:w="2460" w:type="dxa"/>
            <w:vAlign w:val="bottom"/>
            <w:vMerge w:val="restart"/>
          </w:tcPr>
          <w:p>
            <w:pPr>
              <w:spacing w:after="0"/>
              <w:rPr>
                <w:sz w:val="20"/>
                <w:szCs w:val="20"/>
                <w:color w:val="auto"/>
              </w:rPr>
            </w:pPr>
            <w:r>
              <w:rPr>
                <w:rFonts w:ascii="Arial" w:cs="Arial" w:eastAsia="Arial" w:hAnsi="Arial"/>
                <w:sz w:val="15"/>
                <w:szCs w:val="15"/>
                <w:b w:val="1"/>
                <w:bCs w:val="1"/>
                <w:color w:val="auto"/>
              </w:rPr>
              <w:t>2021</w:t>
            </w:r>
          </w:p>
        </w:tc>
        <w:tc>
          <w:tcPr>
            <w:tcW w:w="3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2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180"/>
              <w:spacing w:after="0" w:line="163" w:lineRule="exact"/>
              <w:rPr>
                <w:sz w:val="20"/>
                <w:szCs w:val="20"/>
                <w:color w:val="auto"/>
              </w:rPr>
            </w:pPr>
            <w:r>
              <w:rPr>
                <w:rFonts w:ascii="Arial" w:cs="Arial" w:eastAsia="Arial" w:hAnsi="Arial"/>
                <w:sz w:val="15"/>
                <w:szCs w:val="15"/>
                <w:color w:val="auto"/>
              </w:rPr>
              <w:t>Impact of adoption of ASU 2020-</w:t>
            </w:r>
          </w:p>
        </w:tc>
        <w:tc>
          <w:tcPr>
            <w:tcW w:w="340" w:type="dxa"/>
            <w:vAlign w:val="bottom"/>
          </w:tcPr>
          <w:p>
            <w:pPr>
              <w:spacing w:after="0"/>
              <w:rPr>
                <w:sz w:val="14"/>
                <w:szCs w:val="14"/>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(111)</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520" w:type="dxa"/>
            <w:vAlign w:val="bottom"/>
            <w:vMerge w:val="restart"/>
          </w:tcPr>
          <w:p>
            <w:pPr>
              <w:jc w:val="right"/>
              <w:ind w:right="3"/>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18"/>
        </w:trPr>
        <w:tc>
          <w:tcPr>
            <w:tcW w:w="2460" w:type="dxa"/>
            <w:vAlign w:val="bottom"/>
            <w:vMerge w:val="restart"/>
          </w:tcPr>
          <w:p>
            <w:pPr>
              <w:ind w:left="180"/>
              <w:spacing w:after="0"/>
              <w:rPr>
                <w:sz w:val="20"/>
                <w:szCs w:val="20"/>
                <w:color w:val="auto"/>
              </w:rPr>
            </w:pPr>
            <w:r>
              <w:rPr>
                <w:rFonts w:ascii="Arial" w:cs="Arial" w:eastAsia="Arial" w:hAnsi="Arial"/>
                <w:sz w:val="15"/>
                <w:szCs w:val="15"/>
                <w:color w:val="auto"/>
              </w:rPr>
              <w:t>06</w:t>
            </w:r>
          </w:p>
        </w:tc>
        <w:tc>
          <w:tcPr>
            <w:tcW w:w="3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460" w:type="dxa"/>
            <w:vAlign w:val="bottom"/>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Arial" w:cs="Arial" w:eastAsia="Arial" w:hAnsi="Arial"/>
                <w:sz w:val="15"/>
                <w:szCs w:val="15"/>
                <w:b w:val="1"/>
                <w:bCs w:val="1"/>
                <w:color w:val="auto"/>
              </w:rPr>
              <w:t>OPENING BALANCE 2022</w:t>
            </w:r>
          </w:p>
        </w:tc>
        <w:tc>
          <w:tcPr>
            <w:tcW w:w="340" w:type="dxa"/>
            <w:vAlign w:val="bottom"/>
          </w:tcPr>
          <w:p>
            <w:pPr>
              <w:spacing w:after="0"/>
              <w:rPr>
                <w:sz w:val="17"/>
                <w:szCs w:val="17"/>
                <w:color w:val="auto"/>
              </w:rPr>
            </w:pPr>
          </w:p>
        </w:tc>
        <w:tc>
          <w:tcPr>
            <w:tcW w:w="46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(1,356)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3,961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306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2,896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2,906</w:t>
            </w:r>
          </w:p>
        </w:tc>
        <w:tc>
          <w:tcPr>
            <w:tcW w:w="0" w:type="dxa"/>
            <w:vAlign w:val="bottom"/>
          </w:tcPr>
          <w:p>
            <w:pPr>
              <w:spacing w:after="0"/>
              <w:rPr>
                <w:sz w:val="1"/>
                <w:szCs w:val="1"/>
                <w:color w:val="auto"/>
              </w:rPr>
            </w:pPr>
          </w:p>
        </w:tc>
      </w:tr>
      <w:tr>
        <w:trPr>
          <w:trHeight w:val="205"/>
        </w:trPr>
        <w:tc>
          <w:tcPr>
            <w:tcW w:w="2460" w:type="dxa"/>
            <w:vAlign w:val="bottom"/>
          </w:tcPr>
          <w:p>
            <w:pPr>
              <w:ind w:left="180"/>
              <w:spacing w:after="0"/>
              <w:rPr>
                <w:sz w:val="20"/>
                <w:szCs w:val="20"/>
                <w:color w:val="auto"/>
              </w:rPr>
            </w:pPr>
            <w:r>
              <w:rPr>
                <w:rFonts w:ascii="Arial" w:cs="Arial" w:eastAsia="Arial" w:hAnsi="Arial"/>
                <w:sz w:val="15"/>
                <w:szCs w:val="15"/>
                <w:color w:val="auto"/>
              </w:rPr>
              <w:t>Net income</w:t>
            </w:r>
          </w:p>
        </w:tc>
        <w:tc>
          <w:tcPr>
            <w:tcW w:w="3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58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64"/>
        </w:trPr>
        <w:tc>
          <w:tcPr>
            <w:tcW w:w="2460" w:type="dxa"/>
            <w:vAlign w:val="bottom"/>
          </w:tcPr>
          <w:p>
            <w:pPr>
              <w:ind w:left="180"/>
              <w:spacing w:after="0" w:line="164" w:lineRule="exact"/>
              <w:rPr>
                <w:sz w:val="20"/>
                <w:szCs w:val="20"/>
                <w:color w:val="auto"/>
              </w:rPr>
            </w:pPr>
            <w:r>
              <w:rPr>
                <w:rFonts w:ascii="Arial" w:cs="Arial" w:eastAsia="Arial" w:hAnsi="Arial"/>
                <w:sz w:val="15"/>
                <w:szCs w:val="15"/>
                <w:color w:val="auto"/>
              </w:rPr>
              <w:t>Foreign currency translation</w:t>
            </w:r>
          </w:p>
        </w:tc>
        <w:tc>
          <w:tcPr>
            <w:tcW w:w="340" w:type="dxa"/>
            <w:vAlign w:val="bottom"/>
          </w:tcPr>
          <w:p>
            <w:pPr>
              <w:spacing w:after="0"/>
              <w:rPr>
                <w:sz w:val="14"/>
                <w:szCs w:val="14"/>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4"/>
                <w:szCs w:val="14"/>
                <w:color w:val="auto"/>
              </w:rPr>
            </w:pPr>
          </w:p>
        </w:tc>
        <w:tc>
          <w:tcPr>
            <w:tcW w:w="660" w:type="dxa"/>
            <w:vAlign w:val="bottom"/>
            <w:vMerge w:val="restart"/>
          </w:tcPr>
          <w:p>
            <w:pPr>
              <w:jc w:val="right"/>
              <w:ind w:right="23"/>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680" w:type="dxa"/>
            <w:vAlign w:val="bottom"/>
            <w:vMerge w:val="restart"/>
          </w:tcPr>
          <w:p>
            <w:pPr>
              <w:jc w:val="right"/>
              <w:ind w:right="23"/>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18"/>
        </w:trPr>
        <w:tc>
          <w:tcPr>
            <w:tcW w:w="2460" w:type="dxa"/>
            <w:vAlign w:val="bottom"/>
            <w:vMerge w:val="restart"/>
          </w:tcPr>
          <w:p>
            <w:pPr>
              <w:ind w:left="180"/>
              <w:spacing w:after="0"/>
              <w:rPr>
                <w:sz w:val="20"/>
                <w:szCs w:val="20"/>
                <w:color w:val="auto"/>
              </w:rPr>
            </w:pPr>
            <w:r>
              <w:rPr>
                <w:rFonts w:ascii="Arial" w:cs="Arial" w:eastAsia="Arial" w:hAnsi="Arial"/>
                <w:sz w:val="15"/>
                <w:szCs w:val="15"/>
                <w:color w:val="auto"/>
              </w:rPr>
              <w:t>adjustments</w:t>
            </w:r>
          </w:p>
        </w:tc>
        <w:tc>
          <w:tcPr>
            <w:tcW w:w="3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460" w:type="dxa"/>
            <w:vAlign w:val="bottom"/>
          </w:tcPr>
          <w:p>
            <w:pPr>
              <w:ind w:left="180"/>
              <w:spacing w:after="0"/>
              <w:rPr>
                <w:sz w:val="20"/>
                <w:szCs w:val="20"/>
                <w:color w:val="auto"/>
              </w:rPr>
            </w:pPr>
            <w:r>
              <w:rPr>
                <w:rFonts w:ascii="Arial" w:cs="Arial" w:eastAsia="Arial" w:hAnsi="Arial"/>
                <w:sz w:val="15"/>
                <w:szCs w:val="15"/>
                <w:color w:val="auto"/>
              </w:rPr>
              <w:t>Derivative instrument adjustment</w:t>
            </w:r>
          </w:p>
        </w:tc>
        <w:tc>
          <w:tcPr>
            <w:tcW w:w="3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5"/>
        </w:trPr>
        <w:tc>
          <w:tcPr>
            <w:tcW w:w="2460" w:type="dxa"/>
            <w:vAlign w:val="bottom"/>
          </w:tcPr>
          <w:p>
            <w:pPr>
              <w:ind w:left="180"/>
              <w:spacing w:after="0"/>
              <w:rPr>
                <w:sz w:val="20"/>
                <w:szCs w:val="20"/>
                <w:color w:val="auto"/>
              </w:rPr>
            </w:pPr>
            <w:r>
              <w:rPr>
                <w:rFonts w:ascii="Arial" w:cs="Arial" w:eastAsia="Arial" w:hAnsi="Arial"/>
                <w:sz w:val="15"/>
                <w:szCs w:val="15"/>
                <w:color w:val="auto"/>
              </w:rPr>
              <w:t>Share-based compensation plans</w:t>
            </w:r>
          </w:p>
        </w:tc>
        <w:tc>
          <w:tcPr>
            <w:tcW w:w="3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(16)</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5"/>
        </w:trPr>
        <w:tc>
          <w:tcPr>
            <w:tcW w:w="246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3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(119)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05"/>
        </w:trPr>
        <w:tc>
          <w:tcPr>
            <w:tcW w:w="2460" w:type="dxa"/>
            <w:vAlign w:val="bottom"/>
          </w:tcPr>
          <w:p>
            <w:pPr>
              <w:ind w:left="180"/>
              <w:spacing w:after="0"/>
              <w:rPr>
                <w:sz w:val="20"/>
                <w:szCs w:val="20"/>
                <w:color w:val="auto"/>
              </w:rPr>
            </w:pPr>
            <w:r>
              <w:rPr>
                <w:rFonts w:ascii="Arial" w:cs="Arial" w:eastAsia="Arial" w:hAnsi="Arial"/>
                <w:sz w:val="15"/>
                <w:szCs w:val="15"/>
                <w:color w:val="auto"/>
              </w:rPr>
              <w:t>Dividends</w:t>
            </w:r>
          </w:p>
        </w:tc>
        <w:tc>
          <w:tcPr>
            <w:tcW w:w="3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-745490</wp:posOffset>
            </wp:positionV>
            <wp:extent cx="7198995" cy="227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8995" cy="22796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-387350</wp:posOffset>
            </wp:positionV>
            <wp:extent cx="7198995" cy="130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8995" cy="13017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-126365</wp:posOffset>
            </wp:positionV>
            <wp:extent cx="7198995" cy="130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8995" cy="130175"/>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-1014730</wp:posOffset>
            </wp:positionV>
            <wp:extent cx="7198995" cy="138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8995" cy="138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60" w:space="220"/>
            <w:col w:w="10560"/>
          </w:cols>
          <w:pgMar w:left="320" w:top="1071" w:right="2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6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75.7</w:t>
            </w:r>
          </w:p>
        </w:tc>
        <w:tc>
          <w:tcPr>
            <w:tcW w:w="2600" w:type="dxa"/>
            <w:vAlign w:val="bottom"/>
            <w:tcBorders>
              <w:bottom w:val="single" w:sz="8" w:color="CCEEFF"/>
            </w:tcBorders>
          </w:tcPr>
          <w:p>
            <w:pPr>
              <w:ind w:left="140"/>
              <w:spacing w:after="0"/>
              <w:rPr>
                <w:sz w:val="20"/>
                <w:szCs w:val="20"/>
                <w:color w:val="auto"/>
              </w:rPr>
            </w:pPr>
            <w:r>
              <w:rPr>
                <w:rFonts w:ascii="Arial" w:cs="Arial" w:eastAsia="Arial" w:hAnsi="Arial"/>
                <w:sz w:val="15"/>
                <w:szCs w:val="15"/>
                <w:b w:val="1"/>
                <w:bCs w:val="1"/>
                <w:color w:val="auto"/>
              </w:rPr>
              <w:t>BALANCE AT MARCH 31, 2022</w:t>
            </w:r>
          </w:p>
        </w:tc>
        <w:tc>
          <w:tcPr>
            <w:tcW w:w="3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w:t>
            </w:r>
          </w:p>
        </w:tc>
        <w:tc>
          <w:tcPr>
            <w:tcW w:w="1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(1,474)</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3,945</w:t>
            </w:r>
          </w:p>
        </w:tc>
        <w:tc>
          <w:tcPr>
            <w:tcW w:w="14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338</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2,814</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10</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2,824</w:t>
            </w:r>
          </w:p>
        </w:tc>
        <w:tc>
          <w:tcPr>
            <w:tcW w:w="0" w:type="dxa"/>
            <w:vAlign w:val="bottom"/>
          </w:tcPr>
          <w:p>
            <w:pPr>
              <w:spacing w:after="0"/>
              <w:rPr>
                <w:sz w:val="1"/>
                <w:szCs w:val="1"/>
                <w:color w:val="auto"/>
              </w:rPr>
            </w:pPr>
          </w:p>
        </w:tc>
      </w:tr>
      <w:tr>
        <w:trPr>
          <w:trHeight w:val="198"/>
        </w:trPr>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income</w:t>
            </w:r>
          </w:p>
        </w:tc>
        <w:tc>
          <w:tcPr>
            <w:tcW w:w="3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159"/>
        </w:trPr>
        <w:tc>
          <w:tcPr>
            <w:tcW w:w="6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tcPr>
          <w:p>
            <w:pPr>
              <w:ind w:left="360"/>
              <w:spacing w:after="0" w:line="159" w:lineRule="exact"/>
              <w:rPr>
                <w:sz w:val="20"/>
                <w:szCs w:val="20"/>
                <w:color w:val="auto"/>
              </w:rPr>
            </w:pPr>
            <w:r>
              <w:rPr>
                <w:rFonts w:ascii="Arial" w:cs="Arial" w:eastAsia="Arial" w:hAnsi="Arial"/>
                <w:sz w:val="15"/>
                <w:szCs w:val="15"/>
                <w:color w:val="auto"/>
              </w:rPr>
              <w:t>Foreign currency translation</w:t>
            </w:r>
          </w:p>
        </w:tc>
        <w:tc>
          <w:tcPr>
            <w:tcW w:w="340" w:type="dxa"/>
            <w:vAlign w:val="bottom"/>
          </w:tcPr>
          <w:p>
            <w:pPr>
              <w:spacing w:after="0"/>
              <w:rPr>
                <w:sz w:val="13"/>
                <w:szCs w:val="13"/>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8"/>
        </w:trPr>
        <w:tc>
          <w:tcPr>
            <w:tcW w:w="640" w:type="dxa"/>
            <w:vAlign w:val="bottom"/>
            <w:vMerge w:val="continue"/>
          </w:tcPr>
          <w:p>
            <w:pPr>
              <w:spacing w:after="0"/>
              <w:rPr>
                <w:sz w:val="17"/>
                <w:szCs w:val="17"/>
                <w:color w:val="auto"/>
              </w:rPr>
            </w:pPr>
          </w:p>
        </w:tc>
        <w:tc>
          <w:tcPr>
            <w:tcW w:w="2600" w:type="dxa"/>
            <w:vAlign w:val="bottom"/>
          </w:tcPr>
          <w:p>
            <w:pPr>
              <w:ind w:left="360"/>
              <w:spacing w:after="0"/>
              <w:rPr>
                <w:sz w:val="20"/>
                <w:szCs w:val="20"/>
                <w:color w:val="auto"/>
              </w:rPr>
            </w:pPr>
            <w:r>
              <w:rPr>
                <w:rFonts w:ascii="Arial" w:cs="Arial" w:eastAsia="Arial" w:hAnsi="Arial"/>
                <w:sz w:val="15"/>
                <w:szCs w:val="15"/>
                <w:color w:val="auto"/>
              </w:rPr>
              <w:t>adjustments</w:t>
            </w:r>
          </w:p>
        </w:tc>
        <w:tc>
          <w:tcPr>
            <w:tcW w:w="34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640" w:type="dxa"/>
            <w:vAlign w:val="bottom"/>
            <w:shd w:val="clear" w:color="auto" w:fill="CCEEFF"/>
          </w:tcPr>
          <w:p>
            <w:pPr>
              <w:spacing w:after="0"/>
              <w:rPr>
                <w:sz w:val="14"/>
                <w:szCs w:val="14"/>
                <w:color w:val="auto"/>
              </w:rPr>
            </w:pPr>
          </w:p>
        </w:tc>
        <w:tc>
          <w:tcPr>
            <w:tcW w:w="2600" w:type="dxa"/>
            <w:vAlign w:val="bottom"/>
            <w:shd w:val="clear" w:color="auto" w:fill="CCEEFF"/>
          </w:tcPr>
          <w:p>
            <w:pPr>
              <w:ind w:left="360"/>
              <w:spacing w:after="0" w:line="161" w:lineRule="exact"/>
              <w:rPr>
                <w:sz w:val="20"/>
                <w:szCs w:val="20"/>
                <w:color w:val="auto"/>
              </w:rPr>
            </w:pPr>
            <w:r>
              <w:rPr>
                <w:rFonts w:ascii="Arial" w:cs="Arial" w:eastAsia="Arial" w:hAnsi="Arial"/>
                <w:sz w:val="15"/>
                <w:szCs w:val="15"/>
                <w:color w:val="auto"/>
              </w:rPr>
              <w:t>Reclassification of foreign</w:t>
            </w: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40" w:type="dxa"/>
            <w:vAlign w:val="bottom"/>
            <w:shd w:val="clear" w:color="auto" w:fill="CCEEFF"/>
          </w:tcPr>
          <w:p>
            <w:pPr>
              <w:spacing w:after="0"/>
              <w:rPr>
                <w:sz w:val="13"/>
                <w:szCs w:val="13"/>
                <w:color w:val="auto"/>
              </w:rPr>
            </w:pPr>
          </w:p>
        </w:tc>
        <w:tc>
          <w:tcPr>
            <w:tcW w:w="2600" w:type="dxa"/>
            <w:vAlign w:val="bottom"/>
            <w:shd w:val="clear" w:color="auto" w:fill="CCEEFF"/>
          </w:tcPr>
          <w:p>
            <w:pPr>
              <w:ind w:left="360"/>
              <w:spacing w:after="0" w:line="154" w:lineRule="exact"/>
              <w:rPr>
                <w:sz w:val="20"/>
                <w:szCs w:val="20"/>
                <w:color w:val="auto"/>
              </w:rPr>
            </w:pPr>
            <w:r>
              <w:rPr>
                <w:rFonts w:ascii="Arial" w:cs="Arial" w:eastAsia="Arial" w:hAnsi="Arial"/>
                <w:sz w:val="15"/>
                <w:szCs w:val="15"/>
                <w:color w:val="auto"/>
              </w:rPr>
              <w:t>currency translation adjustments</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shd w:val="clear" w:color="auto" w:fill="CCEEFF"/>
          </w:tcPr>
          <w:p>
            <w:pPr>
              <w:ind w:left="360"/>
              <w:spacing w:after="0" w:line="154" w:lineRule="exact"/>
              <w:rPr>
                <w:sz w:val="20"/>
                <w:szCs w:val="20"/>
                <w:color w:val="auto"/>
              </w:rPr>
            </w:pPr>
            <w:r>
              <w:rPr>
                <w:rFonts w:ascii="Arial" w:cs="Arial" w:eastAsia="Arial" w:hAnsi="Arial"/>
                <w:sz w:val="15"/>
                <w:szCs w:val="15"/>
                <w:color w:val="auto"/>
              </w:rPr>
              <w:t>realized upon disposition of</w:t>
            </w:r>
          </w:p>
        </w:tc>
        <w:tc>
          <w:tcPr>
            <w:tcW w:w="34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1"/>
        </w:trPr>
        <w:tc>
          <w:tcPr>
            <w:tcW w:w="640" w:type="dxa"/>
            <w:vAlign w:val="bottom"/>
            <w:vMerge w:val="continue"/>
            <w:shd w:val="clear" w:color="auto" w:fill="CCEEFF"/>
          </w:tcPr>
          <w:p>
            <w:pPr>
              <w:spacing w:after="0"/>
              <w:rPr>
                <w:sz w:val="17"/>
                <w:szCs w:val="17"/>
                <w:color w:val="auto"/>
              </w:rPr>
            </w:pPr>
          </w:p>
        </w:tc>
        <w:tc>
          <w:tcPr>
            <w:tcW w:w="2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entities</w:t>
            </w:r>
          </w:p>
        </w:tc>
        <w:tc>
          <w:tcPr>
            <w:tcW w:w="34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tcPr>
          <w:p>
            <w:pPr>
              <w:ind w:left="360"/>
              <w:spacing w:after="0"/>
              <w:rPr>
                <w:sz w:val="20"/>
                <w:szCs w:val="20"/>
                <w:color w:val="auto"/>
              </w:rPr>
            </w:pPr>
            <w:r>
              <w:rPr>
                <w:rFonts w:ascii="Arial" w:cs="Arial" w:eastAsia="Arial" w:hAnsi="Arial"/>
                <w:sz w:val="15"/>
                <w:szCs w:val="15"/>
                <w:color w:val="auto"/>
              </w:rPr>
              <w:t>Derivative instrument adjustment</w:t>
            </w:r>
          </w:p>
        </w:tc>
        <w:tc>
          <w:tcPr>
            <w:tcW w:w="3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1"/>
        </w:trPr>
        <w:tc>
          <w:tcPr>
            <w:tcW w:w="6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shd w:val="clear" w:color="auto" w:fill="CCEEFF"/>
          </w:tcPr>
          <w:p>
            <w:pPr>
              <w:ind w:left="360"/>
              <w:spacing w:after="0" w:line="161" w:lineRule="exact"/>
              <w:rPr>
                <w:sz w:val="20"/>
                <w:szCs w:val="20"/>
                <w:color w:val="auto"/>
              </w:rPr>
            </w:pPr>
            <w:r>
              <w:rPr>
                <w:rFonts w:ascii="Arial" w:cs="Arial" w:eastAsia="Arial" w:hAnsi="Arial"/>
                <w:sz w:val="15"/>
                <w:szCs w:val="15"/>
                <w:color w:val="auto"/>
              </w:rPr>
              <w:t>Adjustment for 2022 Convertible</w:t>
            </w:r>
          </w:p>
        </w:tc>
        <w:tc>
          <w:tcPr>
            <w:tcW w:w="34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6</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1"/>
        </w:trPr>
        <w:tc>
          <w:tcPr>
            <w:tcW w:w="640" w:type="dxa"/>
            <w:vAlign w:val="bottom"/>
            <w:vMerge w:val="continue"/>
            <w:shd w:val="clear" w:color="auto" w:fill="CCEEFF"/>
          </w:tcPr>
          <w:p>
            <w:pPr>
              <w:spacing w:after="0"/>
              <w:rPr>
                <w:sz w:val="17"/>
                <w:szCs w:val="17"/>
                <w:color w:val="auto"/>
              </w:rPr>
            </w:pPr>
          </w:p>
        </w:tc>
        <w:tc>
          <w:tcPr>
            <w:tcW w:w="2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Note Hedges</w:t>
            </w:r>
          </w:p>
        </w:tc>
        <w:tc>
          <w:tcPr>
            <w:tcW w:w="34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tcPr>
          <w:p>
            <w:pPr>
              <w:ind w:left="360"/>
              <w:spacing w:after="0"/>
              <w:rPr>
                <w:sz w:val="20"/>
                <w:szCs w:val="20"/>
                <w:color w:val="auto"/>
              </w:rPr>
            </w:pPr>
            <w:r>
              <w:rPr>
                <w:rFonts w:ascii="Arial" w:cs="Arial" w:eastAsia="Arial" w:hAnsi="Arial"/>
                <w:sz w:val="15"/>
                <w:szCs w:val="15"/>
                <w:color w:val="auto"/>
                <w:w w:val="99"/>
              </w:rPr>
              <w:t>Share-based compensation plans</w:t>
            </w:r>
          </w:p>
        </w:tc>
        <w:tc>
          <w:tcPr>
            <w:tcW w:w="3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60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8"/>
        </w:trPr>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Repurchase of common stock</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0" w:type="dxa"/>
            <w:vAlign w:val="bottom"/>
          </w:tcPr>
          <w:p>
            <w:pPr>
              <w:spacing w:after="0"/>
              <w:rPr>
                <w:sz w:val="1"/>
                <w:szCs w:val="1"/>
                <w:color w:val="auto"/>
              </w:rPr>
            </w:pPr>
          </w:p>
        </w:tc>
      </w:tr>
      <w:tr>
        <w:trPr>
          <w:trHeight w:val="159"/>
        </w:trPr>
        <w:tc>
          <w:tcPr>
            <w:tcW w:w="640" w:type="dxa"/>
            <w:vAlign w:val="bottom"/>
          </w:tcPr>
          <w:p>
            <w:pPr>
              <w:spacing w:after="0"/>
              <w:rPr>
                <w:sz w:val="13"/>
                <w:szCs w:val="13"/>
                <w:color w:val="auto"/>
              </w:rPr>
            </w:pPr>
          </w:p>
        </w:tc>
        <w:tc>
          <w:tcPr>
            <w:tcW w:w="2600" w:type="dxa"/>
            <w:vAlign w:val="bottom"/>
          </w:tcPr>
          <w:p>
            <w:pPr>
              <w:ind w:left="360"/>
              <w:spacing w:after="0" w:line="159" w:lineRule="exact"/>
              <w:rPr>
                <w:sz w:val="20"/>
                <w:szCs w:val="20"/>
                <w:color w:val="auto"/>
              </w:rPr>
            </w:pPr>
            <w:r>
              <w:rPr>
                <w:rFonts w:ascii="Arial" w:cs="Arial" w:eastAsia="Arial" w:hAnsi="Arial"/>
                <w:sz w:val="15"/>
                <w:szCs w:val="15"/>
                <w:color w:val="auto"/>
              </w:rPr>
              <w:t>Deconsolidation of certain</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tcPr>
          <w:p>
            <w:pPr>
              <w:ind w:left="360"/>
              <w:spacing w:after="0" w:line="154" w:lineRule="exact"/>
              <w:rPr>
                <w:sz w:val="20"/>
                <w:szCs w:val="20"/>
                <w:color w:val="auto"/>
              </w:rPr>
            </w:pPr>
            <w:r>
              <w:rPr>
                <w:rFonts w:ascii="Arial" w:cs="Arial" w:eastAsia="Arial" w:hAnsi="Arial"/>
                <w:sz w:val="15"/>
                <w:szCs w:val="15"/>
                <w:color w:val="auto"/>
              </w:rPr>
              <w:t>Consolidated Property Owners'</w:t>
            </w:r>
          </w:p>
        </w:tc>
        <w:tc>
          <w:tcPr>
            <w:tcW w:w="340" w:type="dxa"/>
            <w:vAlign w:val="bottom"/>
          </w:tcPr>
          <w:p>
            <w:pPr>
              <w:spacing w:after="0"/>
              <w:rPr>
                <w:sz w:val="13"/>
                <w:szCs w:val="13"/>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3"/>
                <w:szCs w:val="13"/>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(8)</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8"/>
        </w:trPr>
        <w:tc>
          <w:tcPr>
            <w:tcW w:w="640" w:type="dxa"/>
            <w:vAlign w:val="bottom"/>
            <w:vMerge w:val="continue"/>
          </w:tcPr>
          <w:p>
            <w:pPr>
              <w:spacing w:after="0"/>
              <w:rPr>
                <w:sz w:val="17"/>
                <w:szCs w:val="17"/>
                <w:color w:val="auto"/>
              </w:rPr>
            </w:pPr>
          </w:p>
        </w:tc>
        <w:tc>
          <w:tcPr>
            <w:tcW w:w="2600" w:type="dxa"/>
            <w:vAlign w:val="bottom"/>
          </w:tcPr>
          <w:p>
            <w:pPr>
              <w:ind w:left="360"/>
              <w:spacing w:after="0"/>
              <w:rPr>
                <w:sz w:val="20"/>
                <w:szCs w:val="20"/>
                <w:color w:val="auto"/>
              </w:rPr>
            </w:pPr>
            <w:r>
              <w:rPr>
                <w:rFonts w:ascii="Arial" w:cs="Arial" w:eastAsia="Arial" w:hAnsi="Arial"/>
                <w:sz w:val="15"/>
                <w:szCs w:val="15"/>
                <w:color w:val="auto"/>
              </w:rPr>
              <w:t>Associations</w:t>
            </w:r>
          </w:p>
        </w:tc>
        <w:tc>
          <w:tcPr>
            <w:tcW w:w="34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Dividends</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96"/>
        </w:trPr>
        <w:tc>
          <w:tcPr>
            <w:tcW w:w="6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75.7</w:t>
            </w:r>
          </w:p>
        </w:tc>
        <w:tc>
          <w:tcPr>
            <w:tcW w:w="2600" w:type="dxa"/>
            <w:vAlign w:val="bottom"/>
            <w:tcBorders>
              <w:bottom w:val="single" w:sz="8" w:color="CCEEFF"/>
            </w:tcBorders>
          </w:tcPr>
          <w:p>
            <w:pPr>
              <w:ind w:left="140"/>
              <w:spacing w:after="0"/>
              <w:rPr>
                <w:sz w:val="20"/>
                <w:szCs w:val="20"/>
                <w:color w:val="auto"/>
              </w:rPr>
            </w:pPr>
            <w:r>
              <w:rPr>
                <w:rFonts w:ascii="Arial" w:cs="Arial" w:eastAsia="Arial" w:hAnsi="Arial"/>
                <w:sz w:val="15"/>
                <w:szCs w:val="15"/>
                <w:b w:val="1"/>
                <w:bCs w:val="1"/>
                <w:color w:val="auto"/>
              </w:rPr>
              <w:t>BALANCE AT JUNE 30, 2022</w:t>
            </w:r>
          </w:p>
        </w:tc>
        <w:tc>
          <w:tcPr>
            <w:tcW w:w="3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w:t>
            </w:r>
          </w:p>
        </w:tc>
        <w:tc>
          <w:tcPr>
            <w:tcW w:w="1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(1,666)</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3,963</w:t>
            </w:r>
          </w:p>
        </w:tc>
        <w:tc>
          <w:tcPr>
            <w:tcW w:w="14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448</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2,745</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2,746</w:t>
            </w:r>
          </w:p>
        </w:tc>
        <w:tc>
          <w:tcPr>
            <w:tcW w:w="0" w:type="dxa"/>
            <w:vAlign w:val="bottom"/>
          </w:tcPr>
          <w:p>
            <w:pPr>
              <w:spacing w:after="0"/>
              <w:rPr>
                <w:sz w:val="1"/>
                <w:szCs w:val="1"/>
                <w:color w:val="auto"/>
              </w:rPr>
            </w:pPr>
          </w:p>
        </w:tc>
      </w:tr>
      <w:tr>
        <w:trPr>
          <w:trHeight w:val="201"/>
        </w:trPr>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income</w:t>
            </w:r>
          </w:p>
        </w:tc>
        <w:tc>
          <w:tcPr>
            <w:tcW w:w="3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59"/>
        </w:trPr>
        <w:tc>
          <w:tcPr>
            <w:tcW w:w="6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tcPr>
          <w:p>
            <w:pPr>
              <w:ind w:left="360"/>
              <w:spacing w:after="0" w:line="159" w:lineRule="exact"/>
              <w:rPr>
                <w:sz w:val="20"/>
                <w:szCs w:val="20"/>
                <w:color w:val="auto"/>
              </w:rPr>
            </w:pPr>
            <w:r>
              <w:rPr>
                <w:rFonts w:ascii="Arial" w:cs="Arial" w:eastAsia="Arial" w:hAnsi="Arial"/>
                <w:sz w:val="15"/>
                <w:szCs w:val="15"/>
                <w:color w:val="auto"/>
              </w:rPr>
              <w:t>Foreign currency translation</w:t>
            </w:r>
          </w:p>
        </w:tc>
        <w:tc>
          <w:tcPr>
            <w:tcW w:w="340" w:type="dxa"/>
            <w:vAlign w:val="bottom"/>
          </w:tcPr>
          <w:p>
            <w:pPr>
              <w:spacing w:after="0"/>
              <w:rPr>
                <w:sz w:val="13"/>
                <w:szCs w:val="13"/>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640" w:type="dxa"/>
            <w:vAlign w:val="bottom"/>
            <w:vMerge w:val="continue"/>
          </w:tcPr>
          <w:p>
            <w:pPr>
              <w:spacing w:after="0"/>
              <w:rPr>
                <w:sz w:val="17"/>
                <w:szCs w:val="17"/>
                <w:color w:val="auto"/>
              </w:rPr>
            </w:pPr>
          </w:p>
        </w:tc>
        <w:tc>
          <w:tcPr>
            <w:tcW w:w="2600" w:type="dxa"/>
            <w:vAlign w:val="bottom"/>
          </w:tcPr>
          <w:p>
            <w:pPr>
              <w:ind w:left="360"/>
              <w:spacing w:after="0"/>
              <w:rPr>
                <w:sz w:val="20"/>
                <w:szCs w:val="20"/>
                <w:color w:val="auto"/>
              </w:rPr>
            </w:pPr>
            <w:r>
              <w:rPr>
                <w:rFonts w:ascii="Arial" w:cs="Arial" w:eastAsia="Arial" w:hAnsi="Arial"/>
                <w:sz w:val="15"/>
                <w:szCs w:val="15"/>
                <w:color w:val="auto"/>
              </w:rPr>
              <w:t>adjustments</w:t>
            </w:r>
          </w:p>
        </w:tc>
        <w:tc>
          <w:tcPr>
            <w:tcW w:w="34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Derivative instrument adjustment</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59"/>
        </w:trPr>
        <w:tc>
          <w:tcPr>
            <w:tcW w:w="64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tcPr>
          <w:p>
            <w:pPr>
              <w:ind w:left="360"/>
              <w:spacing w:after="0" w:line="159" w:lineRule="exact"/>
              <w:rPr>
                <w:sz w:val="20"/>
                <w:szCs w:val="20"/>
                <w:color w:val="auto"/>
              </w:rPr>
            </w:pPr>
            <w:r>
              <w:rPr>
                <w:rFonts w:ascii="Arial" w:cs="Arial" w:eastAsia="Arial" w:hAnsi="Arial"/>
                <w:sz w:val="15"/>
                <w:szCs w:val="15"/>
                <w:color w:val="auto"/>
              </w:rPr>
              <w:t>Tax effect on equity, convertible</w:t>
            </w:r>
          </w:p>
        </w:tc>
        <w:tc>
          <w:tcPr>
            <w:tcW w:w="340" w:type="dxa"/>
            <w:vAlign w:val="bottom"/>
          </w:tcPr>
          <w:p>
            <w:pPr>
              <w:spacing w:after="0"/>
              <w:rPr>
                <w:sz w:val="13"/>
                <w:szCs w:val="13"/>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640" w:type="dxa"/>
            <w:vAlign w:val="bottom"/>
            <w:vMerge w:val="continue"/>
          </w:tcPr>
          <w:p>
            <w:pPr>
              <w:spacing w:after="0"/>
              <w:rPr>
                <w:sz w:val="17"/>
                <w:szCs w:val="17"/>
                <w:color w:val="auto"/>
              </w:rPr>
            </w:pPr>
          </w:p>
        </w:tc>
        <w:tc>
          <w:tcPr>
            <w:tcW w:w="2600" w:type="dxa"/>
            <w:vAlign w:val="bottom"/>
          </w:tcPr>
          <w:p>
            <w:pPr>
              <w:ind w:left="360"/>
              <w:spacing w:after="0"/>
              <w:rPr>
                <w:sz w:val="20"/>
                <w:szCs w:val="20"/>
                <w:color w:val="auto"/>
              </w:rPr>
            </w:pPr>
            <w:r>
              <w:rPr>
                <w:rFonts w:ascii="Arial" w:cs="Arial" w:eastAsia="Arial" w:hAnsi="Arial"/>
                <w:sz w:val="15"/>
                <w:szCs w:val="15"/>
                <w:color w:val="auto"/>
              </w:rPr>
              <w:t>notes</w:t>
            </w:r>
          </w:p>
        </w:tc>
        <w:tc>
          <w:tcPr>
            <w:tcW w:w="34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shd w:val="clear" w:color="auto" w:fill="CCEEFF"/>
          </w:tcPr>
          <w:p>
            <w:pPr>
              <w:ind w:left="360"/>
              <w:spacing w:after="0"/>
              <w:rPr>
                <w:sz w:val="20"/>
                <w:szCs w:val="20"/>
                <w:color w:val="auto"/>
              </w:rPr>
            </w:pPr>
            <w:r>
              <w:rPr>
                <w:rFonts w:ascii="Arial" w:cs="Arial" w:eastAsia="Arial" w:hAnsi="Arial"/>
                <w:sz w:val="15"/>
                <w:szCs w:val="15"/>
                <w:color w:val="auto"/>
                <w:w w:val="99"/>
              </w:rPr>
              <w:t>Share-based compensation plans</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3"/>
        </w:trPr>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tcPr>
          <w:p>
            <w:pPr>
              <w:ind w:left="360"/>
              <w:spacing w:after="0"/>
              <w:rPr>
                <w:sz w:val="20"/>
                <w:szCs w:val="20"/>
                <w:color w:val="auto"/>
              </w:rPr>
            </w:pPr>
            <w:r>
              <w:rPr>
                <w:rFonts w:ascii="Arial" w:cs="Arial" w:eastAsia="Arial" w:hAnsi="Arial"/>
                <w:sz w:val="15"/>
                <w:szCs w:val="15"/>
                <w:color w:val="auto"/>
              </w:rPr>
              <w:t>Repurchase of common stock</w:t>
            </w:r>
          </w:p>
        </w:tc>
        <w:tc>
          <w:tcPr>
            <w:tcW w:w="3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(216)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r>
        <w:trPr>
          <w:trHeight w:val="208"/>
        </w:trPr>
        <w:tc>
          <w:tcPr>
            <w:tcW w:w="6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Dividends</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3"/>
        </w:trPr>
        <w:tc>
          <w:tcPr>
            <w:tcW w:w="6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600" w:type="dxa"/>
            <w:vAlign w:val="bottom"/>
          </w:tcPr>
          <w:p>
            <w:pPr>
              <w:ind w:left="360"/>
              <w:spacing w:after="0"/>
              <w:rPr>
                <w:sz w:val="20"/>
                <w:szCs w:val="20"/>
                <w:color w:val="auto"/>
              </w:rPr>
            </w:pPr>
            <w:r>
              <w:rPr>
                <w:rFonts w:ascii="Arial" w:cs="Arial" w:eastAsia="Arial" w:hAnsi="Arial"/>
                <w:sz w:val="15"/>
                <w:szCs w:val="15"/>
                <w:color w:val="auto"/>
              </w:rPr>
              <w:t>Employee stock plan issuance</w:t>
            </w:r>
          </w:p>
        </w:tc>
        <w:tc>
          <w:tcPr>
            <w:tcW w:w="3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37"/>
        </w:trPr>
        <w:tc>
          <w:tcPr>
            <w:tcW w:w="64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75.7</w:t>
            </w:r>
          </w:p>
        </w:tc>
        <w:tc>
          <w:tcPr>
            <w:tcW w:w="2600" w:type="dxa"/>
            <w:vAlign w:val="bottom"/>
            <w:tcBorders>
              <w:top w:val="single" w:sz="8" w:color="CCEEFF"/>
            </w:tcBorders>
            <w:shd w:val="clear" w:color="auto" w:fill="CCEEFF"/>
          </w:tcPr>
          <w:p>
            <w:pPr>
              <w:ind w:left="140"/>
              <w:spacing w:after="0" w:line="137" w:lineRule="exact"/>
              <w:rPr>
                <w:sz w:val="20"/>
                <w:szCs w:val="20"/>
                <w:color w:val="auto"/>
              </w:rPr>
            </w:pPr>
            <w:r>
              <w:rPr>
                <w:rFonts w:ascii="Arial" w:cs="Arial" w:eastAsia="Arial" w:hAnsi="Arial"/>
                <w:sz w:val="15"/>
                <w:szCs w:val="15"/>
                <w:b w:val="1"/>
                <w:bCs w:val="1"/>
                <w:color w:val="auto"/>
              </w:rPr>
              <w:t>BALANCE AT SEPTEMBER 30,</w:t>
            </w:r>
          </w:p>
        </w:tc>
        <w:tc>
          <w:tcPr>
            <w:tcW w:w="340" w:type="dxa"/>
            <w:vAlign w:val="bottom"/>
            <w:tcBorders>
              <w:top w:val="single" w:sz="8" w:color="auto"/>
            </w:tcBorders>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4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(1,882)</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3,968</w:t>
            </w:r>
          </w:p>
        </w:tc>
        <w:tc>
          <w:tcPr>
            <w:tcW w:w="1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vMerge w:val="restart"/>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533</w:t>
            </w: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2,626</w:t>
            </w: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vMerge w:val="restart"/>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2,628</w:t>
            </w:r>
          </w:p>
        </w:tc>
        <w:tc>
          <w:tcPr>
            <w:tcW w:w="0" w:type="dxa"/>
            <w:vAlign w:val="bottom"/>
          </w:tcPr>
          <w:p>
            <w:pPr>
              <w:spacing w:after="0"/>
              <w:rPr>
                <w:sz w:val="1"/>
                <w:szCs w:val="1"/>
                <w:color w:val="auto"/>
              </w:rPr>
            </w:pPr>
          </w:p>
        </w:tc>
      </w:tr>
      <w:tr>
        <w:trPr>
          <w:trHeight w:val="200"/>
        </w:trPr>
        <w:tc>
          <w:tcPr>
            <w:tcW w:w="640" w:type="dxa"/>
            <w:vAlign w:val="bottom"/>
            <w:tcBorders>
              <w:bottom w:val="single" w:sz="8" w:color="auto"/>
            </w:tcBorders>
            <w:vMerge w:val="continue"/>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2022</w:t>
            </w: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See Interim Condensed Notes to Consolidated Financial Statements</w:t>
      </w:r>
    </w:p>
    <w:p>
      <w:pPr>
        <w:spacing w:after="0" w:line="324"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1071"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INTERIM CONDENSED NOTES TO CONSOLIDATED FINANCIAL STATEMENTS</w:t>
      </w:r>
    </w:p>
    <w:p>
      <w:pPr>
        <w:spacing w:after="0" w:line="275" w:lineRule="exact"/>
        <w:rPr>
          <w:sz w:val="20"/>
          <w:szCs w:val="20"/>
          <w:color w:val="auto"/>
        </w:rPr>
      </w:pPr>
    </w:p>
    <w:p>
      <w:pPr>
        <w:ind w:left="400" w:hanging="380"/>
        <w:spacing w:after="0"/>
        <w:tabs>
          <w:tab w:leader="none" w:pos="4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w:t>
      </w:r>
    </w:p>
    <w:p>
      <w:pPr>
        <w:spacing w:after="0" w:line="208"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Interim Condensed Notes to Consolidated Financial Statements, unless otherwise noted. Capitalized terms used and not</w:t>
      </w:r>
    </w:p>
    <w:p>
      <w:pPr>
        <w:spacing w:after="0" w:line="5"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specifically defined herein have the same meanings given those terms in our Annual Report on Form 10-K for the fiscal year ended December 31, 2022 (the “2022 Annual Report”). We also use certain other terms that are defined within these Financial Statements.</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Financial Statements presented herein and discussed below include 100% of the assets, liabilities, revenues, expenses, and cash flows of Marriott Vacations Worldwide, all entities in which Marriott Vacations Worldwide has a controlling voting interest (“subsidiaries”), and variable interest entities (“VIEs”) for which Marriott Vacations Worldwide is the primary beneficiary, as determined in accordance with consolidation accounting guidance. References in these Financial Statements to net income or loss attributable to common shareholders and MVW shareholders’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spacing w:after="0" w:line="79"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accounting for acquired vacation ownership notes receivable, vacation ownership notes receivable reserves, income taxes, and loss contingencies. The uncertainties in the broader macroeconomic environment, including inflationary pressures, as well as effects of the COVID-19 pandemic, have made it more challenging to make these estimates. Actual results could differ from our estimates, and such differences may be material.</w:t>
      </w:r>
    </w:p>
    <w:p>
      <w:pPr>
        <w:spacing w:after="0" w:line="81"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general macroeconomic conditions, including inflationary pressures, rising interest rates, and seasonal and short-term variations, as well as any effects of the COVID-19 pandemic.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2022 Annual Report.</w:t>
      </w:r>
    </w:p>
    <w:p>
      <w:pPr>
        <w:spacing w:after="0" w:line="5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refer to the business and brands that we acquired in the acquisition of Welk Hospitality Group, Inc. (“Welk”) in 2021 (the “Welk Acquisition”) as “Legacy-Welk.” We refer to the business and brands that we acquired in the acquisition of ILG, LLC, formerly known as ILG, Inc. (“ILG”), in 2018 (the “ILG Acquisition”) as “Legacy-ILG.” We refer to the business we conducted, and the associated brands, prior to the ILG Acquisition as “Legacy-MVW.”</w:t>
      </w:r>
    </w:p>
    <w:p>
      <w:pPr>
        <w:spacing w:after="0" w:line="54"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color w:val="auto"/>
        </w:rPr>
        <w:t>During the third quarter of 2023 we launched Hyatt Vacation Club across our former Hyatt Residence Club and Legacy-Welk properties, which connects these properties and associated vacation ownership programs under a single brand.</w:t>
      </w:r>
    </w:p>
    <w:p>
      <w:pPr>
        <w:spacing w:after="0" w:line="200" w:lineRule="exact"/>
        <w:rPr>
          <w:sz w:val="20"/>
          <w:szCs w:val="20"/>
          <w:color w:val="auto"/>
        </w:rPr>
      </w:pPr>
    </w:p>
    <w:p>
      <w:pPr>
        <w:spacing w:after="0" w:line="350"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0" w:hanging="380"/>
        <w:spacing w:after="0"/>
        <w:tabs>
          <w:tab w:leader="none" w:pos="4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AND RECENT ACCOUNTING STANDARDS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Standards</w:t>
      </w:r>
    </w:p>
    <w:p>
      <w:pPr>
        <w:spacing w:after="0" w:line="113"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Accounting Standards Update 2022-02 –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 </w:t>
      </w:r>
      <w:r>
        <w:rPr>
          <w:rFonts w:ascii="Arial" w:cs="Arial" w:eastAsia="Arial" w:hAnsi="Arial"/>
          <w:sz w:val="17"/>
          <w:szCs w:val="17"/>
          <w:i w:val="1"/>
          <w:iCs w:val="1"/>
          <w:color w:val="auto"/>
        </w:rPr>
        <w:t>Troubled Debt Restructurings and Vintage Disclosures”</w:t>
      </w:r>
      <w:r>
        <w:rPr>
          <w:rFonts w:ascii="Arial" w:cs="Arial" w:eastAsia="Arial" w:hAnsi="Arial"/>
          <w:sz w:val="17"/>
          <w:szCs w:val="17"/>
          <w:color w:val="auto"/>
        </w:rPr>
        <w:t xml:space="preserve"> (“ASU 2022-02”)</w:t>
      </w:r>
    </w:p>
    <w:p>
      <w:pPr>
        <w:spacing w:after="0" w:line="62"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In the first quarter of 2023, we adopted accounting standards update (“ASU”) 2022-02, which eliminated the recognition and measurement guidance applicable to troubled debt restructurings for creditors and enhanced disclosure requirements with respect to loan modifications for borrowers experiencing financial difficulty. ASU 2022-02 also requires disclosure of current-period gross write-offs by year of origination to be presented in the vintage disclosures for financing receivables. The adoption of ASU 2022-02 on January 1, 2023, on a prospective basis, did not have a material impact on our financial statements or disclosures other than the incremental disclosures relating to gross write-offs for vacation ownership notes receivable. See Footnote 6 “Vacation Ownership Notes Receivable” for the incremental disclosures required by the adoption of ASU 2022-02.</w:t>
      </w:r>
    </w:p>
    <w:p>
      <w:pPr>
        <w:spacing w:after="0" w:line="65" w:lineRule="exact"/>
        <w:rPr>
          <w:sz w:val="20"/>
          <w:szCs w:val="20"/>
          <w:color w:val="auto"/>
        </w:rPr>
      </w:pPr>
    </w:p>
    <w:p>
      <w:pPr>
        <w:ind w:right="40"/>
        <w:spacing w:after="0" w:line="346" w:lineRule="auto"/>
        <w:rPr>
          <w:sz w:val="20"/>
          <w:szCs w:val="20"/>
          <w:color w:val="auto"/>
        </w:rPr>
      </w:pPr>
      <w:r>
        <w:rPr>
          <w:rFonts w:ascii="Arial" w:cs="Arial" w:eastAsia="Arial" w:hAnsi="Arial"/>
          <w:sz w:val="15"/>
          <w:szCs w:val="15"/>
          <w:color w:val="auto"/>
        </w:rPr>
        <w:t>Accounting Standards Update 2020-04 – “</w:t>
      </w:r>
      <w:r>
        <w:rPr>
          <w:rFonts w:ascii="Arial" w:cs="Arial" w:eastAsia="Arial" w:hAnsi="Arial"/>
          <w:sz w:val="15"/>
          <w:szCs w:val="15"/>
          <w:i w:val="1"/>
          <w:iCs w:val="1"/>
          <w:color w:val="auto"/>
        </w:rPr>
        <w:t>Reference Rate Reform (Topic 848), Facilitation of the Effects of Reference Rate Reform on Financial Reporting</w:t>
      </w:r>
      <w:r>
        <w:rPr>
          <w:rFonts w:ascii="Arial" w:cs="Arial" w:eastAsia="Arial" w:hAnsi="Arial"/>
          <w:sz w:val="15"/>
          <w:szCs w:val="15"/>
          <w:color w:val="auto"/>
        </w:rPr>
        <w:t>” (“ASU 2020-04”) and Accounting Standards Update 2022-06 – “</w:t>
      </w:r>
      <w:r>
        <w:rPr>
          <w:rFonts w:ascii="Arial" w:cs="Arial" w:eastAsia="Arial" w:hAnsi="Arial"/>
          <w:sz w:val="15"/>
          <w:szCs w:val="15"/>
          <w:i w:val="1"/>
          <w:iCs w:val="1"/>
          <w:color w:val="auto"/>
        </w:rPr>
        <w:t>Reference Rate Reform (Topic 848), Deferral of the Sunset Date of Topic 848</w:t>
      </w:r>
      <w:r>
        <w:rPr>
          <w:rFonts w:ascii="Arial" w:cs="Arial" w:eastAsia="Arial" w:hAnsi="Arial"/>
          <w:sz w:val="15"/>
          <w:szCs w:val="15"/>
          <w:color w:val="auto"/>
        </w:rPr>
        <w:t>” (“ASU 2022-06”)</w:t>
      </w:r>
    </w:p>
    <w:p>
      <w:pPr>
        <w:spacing w:after="0" w:line="16"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In March 2020, the Financial Accounting Standards Board (“FASB”) issued ASU 2020-04, as amended, which provides optional expedients and exceptions to existing guidance on contract modifications and hedge accounting in an effort to ease the financial reporting burdens related to the expected market transition from the USD London Interbank Offered Rate (“LIBOR”) and other interbank offered rates to alternative reference rates. This update was effective upon issuance and issuers generally were able to elect to adopt the optional expedients and exceptions over time through a period ending on December 31, 2022. In December 2022, the FASB issued ASU 2022-06 to extend the temporary accounting rules under Topic 848 from December 31, 2022 to December 31, 2024. During the second quarter of 2023, we amended our Term Loan (as defined in Footnote 12 “Debt”) and our interest rate swaps and collar to reference SOFR (as defined in Footnote 12 “Debt”) rather than LIBOR. See Footnote 12 “Debt” for more information. Both our Term Loan and the related interest rate swaps and collar transitioned to SOFR at the same time, effective July 31, 2023. As of September 30, 2023, we have no other financial instruments to transition from LIBOR.</w:t>
      </w:r>
    </w:p>
    <w:p>
      <w:pPr>
        <w:spacing w:after="0" w:line="229" w:lineRule="exact"/>
        <w:rPr>
          <w:sz w:val="20"/>
          <w:szCs w:val="20"/>
          <w:color w:val="auto"/>
        </w:rPr>
      </w:pPr>
    </w:p>
    <w:p>
      <w:pPr>
        <w:ind w:left="400" w:hanging="380"/>
        <w:spacing w:after="0"/>
        <w:tabs>
          <w:tab w:leader="none" w:pos="4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AND DISPOSITIONS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Savannah, Georgia</w:t>
      </w:r>
    </w:p>
    <w:p>
      <w:pPr>
        <w:spacing w:after="0" w:line="113"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During the third quarter of 2023, we acquired property in Savannah, Georgia for $19 million. We plan to convert the property into a 73-unit vacation ownership property. The transaction was accounted for as an asset acquisition and was recorded in Property and equipment, net.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Charleston, South Carolina</w:t>
      </w:r>
    </w:p>
    <w:p>
      <w:pPr>
        <w:spacing w:after="0" w:line="11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During the first quarter of 2023, we acquired a parcel of land and an adjacent retail space in Charleston, South Carolina for $17 million. We plan to develop the parcel of land into a 50-unit vacation ownership property and use a portion of the retail space to operate a sales center. The transaction was accounted for as an asset acquisition and was recorded in Property and equipment, net.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Bali</w:t>
      </w:r>
    </w:p>
    <w:p>
      <w:pPr>
        <w:spacing w:after="0" w:line="113" w:lineRule="exact"/>
        <w:rPr>
          <w:sz w:val="20"/>
          <w:szCs w:val="20"/>
          <w:color w:val="auto"/>
        </w:rPr>
      </w:pPr>
    </w:p>
    <w:p>
      <w:pPr>
        <w:ind w:right="120"/>
        <w:spacing w:after="0" w:line="306" w:lineRule="auto"/>
        <w:rPr>
          <w:sz w:val="20"/>
          <w:szCs w:val="20"/>
          <w:color w:val="auto"/>
        </w:rPr>
      </w:pPr>
      <w:r>
        <w:rPr>
          <w:rFonts w:ascii="Arial" w:cs="Arial" w:eastAsia="Arial" w:hAnsi="Arial"/>
          <w:sz w:val="15"/>
          <w:szCs w:val="15"/>
          <w:color w:val="auto"/>
        </w:rPr>
        <w:t>During the first quarter of 2022, we acquired 88 completed vacation ownership units, as well as a sales center, located in Bali, Indonesia for $36 million. The transaction was accounted for as an asset acquisition and the purchase price was allocated to Property and equipment, net. As consideration for the acquisition, we paid $12 million in cash and issued a non-interest bearing note payable for $11 million, of which $6 million was repaid in the first quarter of 2023. Further, during the first quarter of 2022, we reclassified $13 million of previous deposits associated with the project from Other assets to Property and equipment, net.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Dispositions</w:t>
      </w:r>
    </w:p>
    <w:p>
      <w:pPr>
        <w:spacing w:after="0" w:line="113" w:lineRule="exact"/>
        <w:rPr>
          <w:sz w:val="20"/>
          <w:szCs w:val="20"/>
          <w:color w:val="auto"/>
        </w:rPr>
      </w:pPr>
    </w:p>
    <w:p>
      <w:pPr>
        <w:jc w:val="both"/>
        <w:ind w:right="300"/>
        <w:spacing w:after="0" w:line="264" w:lineRule="auto"/>
        <w:rPr>
          <w:sz w:val="20"/>
          <w:szCs w:val="20"/>
          <w:color w:val="auto"/>
        </w:rPr>
      </w:pPr>
      <w:r>
        <w:rPr>
          <w:rFonts w:ascii="Arial" w:cs="Arial" w:eastAsia="Arial" w:hAnsi="Arial"/>
          <w:sz w:val="17"/>
          <w:szCs w:val="17"/>
          <w:color w:val="auto"/>
        </w:rPr>
        <w:t>As part of the ILG Acquisition, we acquired the Vacation Resorts International (“VRI”) and Trading Places International (“TPI”) businesses (together, the “VRI Americas” business), which was part of our Exchange &amp; Third-Party Management segment prior to our disposal of VRI Americas during the second quarter of 2022, as discussed below.</w:t>
      </w:r>
    </w:p>
    <w:p>
      <w:pPr>
        <w:spacing w:after="0" w:line="228"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During the second quarter of 2022, we disposed of VRI Americas for proceeds of $56 million, net of cash and restricted cash transferred to the buyer of $12 million, after determining that this business was not a core component of our future growth strategy and operating model. The results of VRI Americas are included in our Exchange and Third-Party Management segment through the date of the sale. The net carrying value of VRI Americas as of the date of the disposition was $51 million, including $25 million of goodwill and $20 million of intangible assets. As a result of the disposition, we recorded a gain of $1 million and $17 million in Gains (losses) and other income (expense), net on our Income Statements for the three and nine months ended September 30, 2022, respectively.</w:t>
      </w:r>
    </w:p>
    <w:p>
      <w:pPr>
        <w:spacing w:after="0" w:line="48"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Additionally, during the second quarter of 2022, we disposed of entities that owned and operated a Vacation Ownership segment hotel in Puerto Vallarta, Mexico, for proceeds of $38 million, net of cash and restricted cash transferred to the buyer of $3 million, consistent with our strategy to dispose of non-strategic assets. The net carrying value of the business disposed of as of the date of the disposition, excluding the cumulative translation adjustment, was $18 million, substantially all of which was for property and equipment. As a result of this disposition, we recorded a gain of $33 million in Gains (losses) and other income (expense), net on our Income Statement for the nine months ended September 30, 2022, which included the realization of cumulative foreign currency translation gains of $10 million associated with the disposition of these entities.</w:t>
      </w:r>
    </w:p>
    <w:p>
      <w:pPr>
        <w:spacing w:after="0" w:line="25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b w:val="1"/>
          <w:bCs w:val="1"/>
          <w:color w:val="auto"/>
        </w:rPr>
        <w:t>4.</w:t>
        <w:tab/>
        <w:t>REVENUE AND RECEIVABLES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Revenue by Segment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9"/>
          </w:tcPr>
          <w:p>
            <w:pPr>
              <w:jc w:val="right"/>
              <w:ind w:right="74"/>
              <w:spacing w:after="0"/>
              <w:rPr>
                <w:sz w:val="20"/>
                <w:szCs w:val="20"/>
                <w:color w:val="auto"/>
              </w:rPr>
            </w:pPr>
            <w:r>
              <w:rPr>
                <w:rFonts w:ascii="Arial" w:cs="Arial" w:eastAsia="Arial" w:hAnsi="Arial"/>
                <w:sz w:val="15"/>
                <w:szCs w:val="15"/>
                <w:b w:val="1"/>
                <w:bCs w:val="1"/>
                <w:color w:val="auto"/>
              </w:rPr>
              <w:t>Three Months Ended September 30, 2023</w:t>
            </w:r>
          </w:p>
        </w:tc>
        <w:tc>
          <w:tcPr>
            <w:tcW w:w="84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Vacation</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line="150" w:lineRule="exact"/>
              <w:rPr>
                <w:sz w:val="20"/>
                <w:szCs w:val="20"/>
                <w:color w:val="auto"/>
              </w:rPr>
            </w:pPr>
            <w:r>
              <w:rPr>
                <w:rFonts w:ascii="Arial" w:cs="Arial" w:eastAsia="Arial" w:hAnsi="Arial"/>
                <w:sz w:val="15"/>
                <w:szCs w:val="15"/>
                <w:b w:val="1"/>
                <w:bCs w:val="1"/>
                <w:color w:val="auto"/>
                <w:w w:val="95"/>
              </w:rPr>
              <w:t>Exchange &amp;</w:t>
            </w:r>
          </w:p>
        </w:tc>
        <w:tc>
          <w:tcPr>
            <w:tcW w:w="122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Corporate and</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4" w:lineRule="exact"/>
              <w:rPr>
                <w:sz w:val="20"/>
                <w:szCs w:val="20"/>
                <w:color w:val="auto"/>
              </w:rPr>
            </w:pPr>
            <w:r>
              <w:rPr>
                <w:rFonts w:ascii="Arial" w:cs="Arial" w:eastAsia="Arial" w:hAnsi="Arial"/>
                <w:sz w:val="15"/>
                <w:szCs w:val="15"/>
                <w:b w:val="1"/>
                <w:bCs w:val="1"/>
                <w:color w:val="auto"/>
                <w:w w:val="99"/>
              </w:rPr>
              <w:t>Third-Party</w:t>
            </w:r>
          </w:p>
        </w:tc>
        <w:tc>
          <w:tcPr>
            <w:tcW w:w="12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5"/>
                <w:szCs w:val="15"/>
                <w:b w:val="1"/>
                <w:bCs w:val="1"/>
                <w:color w:val="auto"/>
              </w:rPr>
              <w:t>Total</w:t>
            </w:r>
          </w:p>
        </w:tc>
        <w:tc>
          <w:tcPr>
            <w:tcW w:w="29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6"/>
              <w:spacing w:after="0"/>
              <w:rPr>
                <w:sz w:val="20"/>
                <w:szCs w:val="20"/>
                <w:color w:val="auto"/>
              </w:rPr>
            </w:pPr>
            <w:r>
              <w:rPr>
                <w:rFonts w:ascii="Arial" w:cs="Arial" w:eastAsia="Arial" w:hAnsi="Arial"/>
                <w:sz w:val="15"/>
                <w:szCs w:val="15"/>
                <w:b w:val="1"/>
                <w:bCs w:val="1"/>
                <w:color w:val="auto"/>
                <w:w w:val="95"/>
              </w:rPr>
              <w:t>Ownership</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3"/>
              </w:rPr>
              <w:t>Management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revenues</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20"/>
              <w:spacing w:after="0"/>
              <w:rPr>
                <w:sz w:val="20"/>
                <w:szCs w:val="20"/>
                <w:color w:val="auto"/>
              </w:rPr>
            </w:pPr>
            <w:r>
              <w:rPr>
                <w:rFonts w:ascii="Arial" w:cs="Arial" w:eastAsia="Arial" w:hAnsi="Arial"/>
                <w:sz w:val="17"/>
                <w:szCs w:val="17"/>
                <w:color w:val="auto"/>
              </w:rPr>
              <w:t>Management fee revenues</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Exchange and other services revenues</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20"/>
              <w:spacing w:after="0"/>
              <w:rPr>
                <w:sz w:val="20"/>
                <w:szCs w:val="20"/>
                <w:color w:val="auto"/>
              </w:rPr>
            </w:pPr>
            <w:r>
              <w:rPr>
                <w:rFonts w:ascii="Arial" w:cs="Arial" w:eastAsia="Arial" w:hAnsi="Arial"/>
                <w:sz w:val="17"/>
                <w:szCs w:val="17"/>
                <w:color w:val="auto"/>
              </w:rPr>
              <w:t>Management and exchange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205</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7"/>
                <w:szCs w:val="17"/>
                <w:color w:val="auto"/>
              </w:rPr>
              <w:t>Rental</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138</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reimbursements</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1,186</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11"/>
          </w:tcPr>
          <w:p>
            <w:pPr>
              <w:jc w:val="right"/>
              <w:ind w:right="74"/>
              <w:spacing w:after="0"/>
              <w:rPr>
                <w:sz w:val="20"/>
                <w:szCs w:val="20"/>
                <w:color w:val="auto"/>
              </w:rPr>
            </w:pPr>
            <w:r>
              <w:rPr>
                <w:rFonts w:ascii="Arial" w:cs="Arial" w:eastAsia="Arial" w:hAnsi="Arial"/>
                <w:sz w:val="15"/>
                <w:szCs w:val="15"/>
                <w:b w:val="1"/>
                <w:bCs w:val="1"/>
                <w:color w:val="auto"/>
              </w:rPr>
              <w:t>Three Months Ended September 30, 2022</w:t>
            </w:r>
          </w:p>
        </w:tc>
        <w:tc>
          <w:tcPr>
            <w:tcW w:w="84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center"/>
              <w:ind w:right="16"/>
              <w:spacing w:after="0"/>
              <w:rPr>
                <w:sz w:val="20"/>
                <w:szCs w:val="20"/>
                <w:color w:val="auto"/>
              </w:rPr>
            </w:pPr>
            <w:r>
              <w:rPr>
                <w:rFonts w:ascii="Arial" w:cs="Arial" w:eastAsia="Arial" w:hAnsi="Arial"/>
                <w:sz w:val="15"/>
                <w:szCs w:val="15"/>
                <w:b w:val="1"/>
                <w:bCs w:val="1"/>
                <w:color w:val="auto"/>
                <w:w w:val="92"/>
              </w:rPr>
              <w:t>Vacation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5"/>
              </w:rPr>
              <w:t>Exchange &amp;</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95"/>
              </w:rPr>
              <w:t>Corporate and</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9"/>
              </w:rPr>
              <w:t>Third-Party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5"/>
                <w:szCs w:val="15"/>
                <w:b w:val="1"/>
                <w:bCs w:val="1"/>
                <w:color w:val="auto"/>
              </w:rPr>
              <w:t>Total</w:t>
            </w:r>
          </w:p>
        </w:tc>
        <w:tc>
          <w:tcPr>
            <w:tcW w:w="29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Ownership</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Management</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55"/>
              <w:spacing w:after="0"/>
              <w:rPr>
                <w:sz w:val="20"/>
                <w:szCs w:val="20"/>
                <w:color w:val="auto"/>
              </w:rPr>
            </w:pPr>
            <w:r>
              <w:rPr>
                <w:rFonts w:ascii="Arial" w:cs="Arial" w:eastAsia="Arial" w:hAnsi="Arial"/>
                <w:sz w:val="15"/>
                <w:szCs w:val="15"/>
                <w:b w:val="1"/>
                <w:bCs w:val="1"/>
                <w:color w:val="auto"/>
                <w:w w:val="94"/>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3"/>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20"/>
              <w:spacing w:after="0"/>
              <w:rPr>
                <w:sz w:val="20"/>
                <w:szCs w:val="20"/>
                <w:color w:val="auto"/>
              </w:rPr>
            </w:pPr>
            <w:r>
              <w:rPr>
                <w:rFonts w:ascii="Arial" w:cs="Arial" w:eastAsia="Arial" w:hAnsi="Arial"/>
                <w:sz w:val="17"/>
                <w:szCs w:val="17"/>
                <w:color w:val="auto"/>
              </w:rPr>
              <w:t>Management fee revenues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Exchange and other services revenues</w:t>
            </w: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20"/>
              <w:spacing w:after="0"/>
              <w:rPr>
                <w:sz w:val="20"/>
                <w:szCs w:val="20"/>
                <w:color w:val="auto"/>
              </w:rPr>
            </w:pPr>
            <w:r>
              <w:rPr>
                <w:rFonts w:ascii="Arial" w:cs="Arial" w:eastAsia="Arial" w:hAnsi="Arial"/>
                <w:sz w:val="17"/>
                <w:szCs w:val="17"/>
                <w:color w:val="auto"/>
              </w:rPr>
              <w:t>Management and exchange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198</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7"/>
                <w:szCs w:val="17"/>
                <w:color w:val="auto"/>
              </w:rPr>
              <w:t>Rental</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reimbursements</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1,252</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3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0"/>
          </w:tcPr>
          <w:p>
            <w:pPr>
              <w:jc w:val="right"/>
              <w:ind w:right="114"/>
              <w:spacing w:after="0"/>
              <w:rPr>
                <w:sz w:val="20"/>
                <w:szCs w:val="20"/>
                <w:color w:val="auto"/>
              </w:rPr>
            </w:pPr>
            <w:r>
              <w:rPr>
                <w:rFonts w:ascii="Arial" w:cs="Arial" w:eastAsia="Arial" w:hAnsi="Arial"/>
                <w:sz w:val="15"/>
                <w:szCs w:val="15"/>
                <w:b w:val="1"/>
                <w:bCs w:val="1"/>
                <w:color w:val="auto"/>
                <w:w w:val="92"/>
              </w:rPr>
              <w:t>Nine Months Ended September 30, 2023</w:t>
            </w:r>
          </w:p>
        </w:tc>
        <w:tc>
          <w:tcPr>
            <w:tcW w:w="84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center"/>
              <w:ind w:right="16"/>
              <w:spacing w:after="0"/>
              <w:rPr>
                <w:sz w:val="20"/>
                <w:szCs w:val="20"/>
                <w:color w:val="auto"/>
              </w:rPr>
            </w:pPr>
            <w:r>
              <w:rPr>
                <w:rFonts w:ascii="Arial" w:cs="Arial" w:eastAsia="Arial" w:hAnsi="Arial"/>
                <w:sz w:val="15"/>
                <w:szCs w:val="15"/>
                <w:b w:val="1"/>
                <w:bCs w:val="1"/>
                <w:color w:val="auto"/>
                <w:w w:val="92"/>
              </w:rPr>
              <w:t>Vacation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5"/>
              </w:rPr>
              <w:t>Exchange &amp;</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95"/>
              </w:rPr>
              <w:t>Corporate and</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9"/>
              </w:rPr>
              <w:t>Third-Party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5"/>
                <w:szCs w:val="15"/>
                <w:b w:val="1"/>
                <w:bCs w:val="1"/>
                <w:color w:val="auto"/>
              </w:rPr>
              <w:t>Total</w:t>
            </w:r>
          </w:p>
        </w:tc>
        <w:tc>
          <w:tcPr>
            <w:tcW w:w="29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Ownership</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Management</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55"/>
              <w:spacing w:after="0"/>
              <w:rPr>
                <w:sz w:val="20"/>
                <w:szCs w:val="20"/>
                <w:color w:val="auto"/>
              </w:rPr>
            </w:pPr>
            <w:r>
              <w:rPr>
                <w:rFonts w:ascii="Arial" w:cs="Arial" w:eastAsia="Arial" w:hAnsi="Arial"/>
                <w:sz w:val="15"/>
                <w:szCs w:val="15"/>
                <w:b w:val="1"/>
                <w:bCs w:val="1"/>
                <w:color w:val="auto"/>
                <w:w w:val="94"/>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3"/>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20"/>
              <w:spacing w:after="0"/>
              <w:rPr>
                <w:sz w:val="20"/>
                <w:szCs w:val="20"/>
                <w:color w:val="auto"/>
              </w:rPr>
            </w:pPr>
            <w:r>
              <w:rPr>
                <w:rFonts w:ascii="Arial" w:cs="Arial" w:eastAsia="Arial" w:hAnsi="Arial"/>
                <w:sz w:val="17"/>
                <w:szCs w:val="17"/>
                <w:color w:val="auto"/>
              </w:rPr>
              <w:t>Management fee revenues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150</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Exchange and other services revenues</w:t>
            </w: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20"/>
              <w:spacing w:after="0"/>
              <w:rPr>
                <w:sz w:val="20"/>
                <w:szCs w:val="20"/>
                <w:color w:val="auto"/>
              </w:rPr>
            </w:pPr>
            <w:r>
              <w:rPr>
                <w:rFonts w:ascii="Arial" w:cs="Arial" w:eastAsia="Arial" w:hAnsi="Arial"/>
                <w:sz w:val="17"/>
                <w:szCs w:val="17"/>
                <w:color w:val="auto"/>
              </w:rPr>
              <w:t>Management and exchange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611</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7"/>
                <w:szCs w:val="17"/>
                <w:color w:val="auto"/>
              </w:rPr>
              <w:t>Rental</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reimbursements</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1,163</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3,294</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3,335</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3,533</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w w:val="73"/>
              </w:rPr>
              <w:t>11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9"/>
          </w:tcPr>
          <w:p>
            <w:pPr>
              <w:jc w:val="right"/>
              <w:ind w:right="114"/>
              <w:spacing w:after="0"/>
              <w:rPr>
                <w:sz w:val="20"/>
                <w:szCs w:val="20"/>
                <w:color w:val="auto"/>
              </w:rPr>
            </w:pPr>
            <w:r>
              <w:rPr>
                <w:rFonts w:ascii="Arial" w:cs="Arial" w:eastAsia="Arial" w:hAnsi="Arial"/>
                <w:sz w:val="15"/>
                <w:szCs w:val="15"/>
                <w:b w:val="1"/>
                <w:bCs w:val="1"/>
                <w:color w:val="auto"/>
                <w:w w:val="92"/>
              </w:rPr>
              <w:t>Nine Months Ended September 30, 2022</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16"/>
              <w:spacing w:after="0"/>
              <w:rPr>
                <w:sz w:val="20"/>
                <w:szCs w:val="20"/>
                <w:color w:val="auto"/>
              </w:rPr>
            </w:pPr>
            <w:r>
              <w:rPr>
                <w:rFonts w:ascii="Arial" w:cs="Arial" w:eastAsia="Arial" w:hAnsi="Arial"/>
                <w:sz w:val="15"/>
                <w:szCs w:val="15"/>
                <w:b w:val="1"/>
                <w:bCs w:val="1"/>
                <w:color w:val="auto"/>
              </w:rPr>
              <w:t>Vacation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20"/>
              <w:spacing w:after="0" w:line="150" w:lineRule="exact"/>
              <w:rPr>
                <w:sz w:val="20"/>
                <w:szCs w:val="20"/>
                <w:color w:val="auto"/>
              </w:rPr>
            </w:pPr>
            <w:r>
              <w:rPr>
                <w:rFonts w:ascii="Arial" w:cs="Arial" w:eastAsia="Arial" w:hAnsi="Arial"/>
                <w:sz w:val="15"/>
                <w:szCs w:val="15"/>
                <w:b w:val="1"/>
                <w:bCs w:val="1"/>
                <w:color w:val="auto"/>
                <w:w w:val="95"/>
              </w:rPr>
              <w:t>Exchange &amp;</w:t>
            </w:r>
          </w:p>
        </w:tc>
        <w:tc>
          <w:tcPr>
            <w:tcW w:w="122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rPr>
              <w:t>Corporate and</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4" w:lineRule="exact"/>
              <w:rPr>
                <w:sz w:val="20"/>
                <w:szCs w:val="20"/>
                <w:color w:val="auto"/>
              </w:rPr>
            </w:pPr>
            <w:r>
              <w:rPr>
                <w:rFonts w:ascii="Arial" w:cs="Arial" w:eastAsia="Arial" w:hAnsi="Arial"/>
                <w:sz w:val="15"/>
                <w:szCs w:val="15"/>
                <w:b w:val="1"/>
                <w:bCs w:val="1"/>
                <w:color w:val="auto"/>
                <w:w w:val="99"/>
              </w:rPr>
              <w:t>Third-Party</w:t>
            </w:r>
          </w:p>
        </w:tc>
        <w:tc>
          <w:tcPr>
            <w:tcW w:w="12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5"/>
                <w:szCs w:val="15"/>
                <w:b w:val="1"/>
                <w:bCs w:val="1"/>
                <w:color w:val="auto"/>
                <w:w w:val="95"/>
              </w:rPr>
              <w:t>Ownership</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3"/>
              </w:rPr>
              <w:t>Management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w:t>
            </w: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Ancillary revenues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43"/>
        </w:trPr>
        <w:tc>
          <w:tcPr>
            <w:tcW w:w="3600" w:type="dxa"/>
            <w:vAlign w:val="bottom"/>
          </w:tcPr>
          <w:p>
            <w:pPr>
              <w:ind w:left="220"/>
              <w:spacing w:after="0"/>
              <w:rPr>
                <w:sz w:val="20"/>
                <w:szCs w:val="20"/>
                <w:color w:val="auto"/>
              </w:rPr>
            </w:pPr>
            <w:r>
              <w:rPr>
                <w:rFonts w:ascii="Arial" w:cs="Arial" w:eastAsia="Arial" w:hAnsi="Arial"/>
                <w:sz w:val="17"/>
                <w:szCs w:val="17"/>
                <w:color w:val="auto"/>
              </w:rPr>
              <w:t>Management fee revenues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44"/>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Exchange and other services revenues</w:t>
            </w: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24"/>
        </w:trPr>
        <w:tc>
          <w:tcPr>
            <w:tcW w:w="3600" w:type="dxa"/>
            <w:vAlign w:val="bottom"/>
          </w:tcPr>
          <w:p>
            <w:pPr>
              <w:ind w:left="20"/>
              <w:spacing w:after="0"/>
              <w:rPr>
                <w:sz w:val="20"/>
                <w:szCs w:val="20"/>
                <w:color w:val="auto"/>
              </w:rPr>
            </w:pPr>
            <w:r>
              <w:rPr>
                <w:rFonts w:ascii="Arial" w:cs="Arial" w:eastAsia="Arial" w:hAnsi="Arial"/>
                <w:sz w:val="17"/>
                <w:szCs w:val="17"/>
                <w:color w:val="auto"/>
              </w:rPr>
              <w:t>Management and exchange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623</w:t>
            </w: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7"/>
                <w:szCs w:val="17"/>
                <w:color w:val="auto"/>
              </w:rPr>
              <w:t>Rental</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reimbursements</w:t>
            </w: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1,026</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1,011</w:t>
            </w:r>
          </w:p>
        </w:tc>
        <w:tc>
          <w:tcPr>
            <w:tcW w:w="0" w:type="dxa"/>
            <w:vAlign w:val="bottom"/>
          </w:tcPr>
          <w:p>
            <w:pPr>
              <w:spacing w:after="0"/>
              <w:rPr>
                <w:sz w:val="1"/>
                <w:szCs w:val="1"/>
                <w:color w:val="auto"/>
              </w:rPr>
            </w:pPr>
          </w:p>
        </w:tc>
      </w:tr>
      <w:tr>
        <w:trPr>
          <w:trHeight w:val="225"/>
        </w:trPr>
        <w:tc>
          <w:tcPr>
            <w:tcW w:w="3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3,251</w:t>
            </w: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w:t>
            </w: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12"/>
        </w:trPr>
        <w:tc>
          <w:tcPr>
            <w:tcW w:w="3600" w:type="dxa"/>
            <w:vAlign w:val="bottom"/>
          </w:tcPr>
          <w:p>
            <w:pPr>
              <w:ind w:left="220"/>
              <w:spacing w:after="0"/>
              <w:rPr>
                <w:sz w:val="20"/>
                <w:szCs w:val="20"/>
                <w:color w:val="auto"/>
              </w:rPr>
            </w:pPr>
            <w:r>
              <w:rPr>
                <w:rFonts w:ascii="Arial" w:cs="Arial" w:eastAsia="Arial" w:hAnsi="Arial"/>
                <w:sz w:val="17"/>
                <w:szCs w:val="17"/>
                <w:color w:val="auto"/>
              </w:rPr>
              <w:t>Total Revenues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3,229</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Pr>
          <w:p>
            <w:pPr>
              <w:spacing w:after="0"/>
              <w:rPr>
                <w:sz w:val="18"/>
                <w:szCs w:val="18"/>
                <w:color w:val="auto"/>
              </w:rPr>
            </w:pP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860" w:type="dxa"/>
            <w:vAlign w:val="bottom"/>
          </w:tcPr>
          <w:p>
            <w:pPr>
              <w:ind w:left="60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3,468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Revenue from Contracts with Customers by Segment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detail the timing of revenue from contracts with customers by segment for the time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11"/>
          </w:tcPr>
          <w:p>
            <w:pPr>
              <w:jc w:val="center"/>
              <w:ind w:left="618"/>
              <w:spacing w:after="0"/>
              <w:rPr>
                <w:sz w:val="20"/>
                <w:szCs w:val="20"/>
                <w:color w:val="auto"/>
              </w:rPr>
            </w:pPr>
            <w:r>
              <w:rPr>
                <w:rFonts w:ascii="Arial" w:cs="Arial" w:eastAsia="Arial" w:hAnsi="Arial"/>
                <w:sz w:val="15"/>
                <w:szCs w:val="15"/>
                <w:b w:val="1"/>
                <w:bCs w:val="1"/>
                <w:color w:val="auto"/>
                <w:w w:val="93"/>
              </w:rPr>
              <w:t>Three Months Ended September 30, 2023</w:t>
            </w:r>
          </w:p>
        </w:tc>
        <w:tc>
          <w:tcPr>
            <w:tcW w:w="84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Vacation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3"/>
              </w:rPr>
              <w:t>Exchange &amp;</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93"/>
              </w:rPr>
              <w:t>Corporate and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9"/>
              </w:rPr>
              <w:t>Third-Party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5"/>
                <w:szCs w:val="15"/>
                <w:b w:val="1"/>
                <w:bCs w:val="1"/>
                <w:color w:val="auto"/>
              </w:rPr>
              <w:t>Total</w:t>
            </w:r>
          </w:p>
        </w:tc>
        <w:tc>
          <w:tcPr>
            <w:tcW w:w="29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Ownership</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Management</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7"/>
              <w:spacing w:after="0"/>
              <w:rPr>
                <w:sz w:val="20"/>
                <w:szCs w:val="20"/>
                <w:color w:val="auto"/>
              </w:rPr>
            </w:pPr>
            <w:r>
              <w:rPr>
                <w:rFonts w:ascii="Arial" w:cs="Arial" w:eastAsia="Arial" w:hAnsi="Arial"/>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420" w:type="dxa"/>
            <w:vAlign w:val="bottom"/>
            <w:gridSpan w:val="3"/>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Goods or services transferred at a point in time</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1,045</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1"/>
          </w:tcPr>
          <w:p>
            <w:pPr>
              <w:jc w:val="center"/>
              <w:ind w:left="618"/>
              <w:spacing w:after="0"/>
              <w:rPr>
                <w:sz w:val="20"/>
                <w:szCs w:val="20"/>
                <w:color w:val="auto"/>
              </w:rPr>
            </w:pPr>
            <w:r>
              <w:rPr>
                <w:rFonts w:ascii="Arial" w:cs="Arial" w:eastAsia="Arial" w:hAnsi="Arial"/>
                <w:sz w:val="15"/>
                <w:szCs w:val="15"/>
                <w:b w:val="1"/>
                <w:bCs w:val="1"/>
                <w:color w:val="auto"/>
                <w:w w:val="93"/>
              </w:rPr>
              <w:t>Three Months Ended September 30, 2022</w:t>
            </w:r>
          </w:p>
        </w:tc>
        <w:tc>
          <w:tcPr>
            <w:tcW w:w="84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Vacation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3"/>
              </w:rPr>
              <w:t>Exchange &amp;</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93"/>
              </w:rPr>
              <w:t>Corporate and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9"/>
              </w:rPr>
              <w:t>Third-Party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5"/>
                <w:szCs w:val="15"/>
                <w:b w:val="1"/>
                <w:bCs w:val="1"/>
                <w:color w:val="auto"/>
              </w:rPr>
              <w:t>Total</w:t>
            </w:r>
          </w:p>
        </w:tc>
        <w:tc>
          <w:tcPr>
            <w:tcW w:w="29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Ownership</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Management</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7"/>
              <w:spacing w:after="0"/>
              <w:rPr>
                <w:sz w:val="20"/>
                <w:szCs w:val="20"/>
                <w:color w:val="auto"/>
              </w:rPr>
            </w:pPr>
            <w:r>
              <w:rPr>
                <w:rFonts w:ascii="Arial" w:cs="Arial" w:eastAsia="Arial" w:hAnsi="Arial"/>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420" w:type="dxa"/>
            <w:vAlign w:val="bottom"/>
            <w:gridSpan w:val="3"/>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Goods or services transferred at a point in time</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1,108</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0"/>
          </w:tcPr>
          <w:p>
            <w:pPr>
              <w:jc w:val="center"/>
              <w:ind w:right="114"/>
              <w:spacing w:after="0"/>
              <w:rPr>
                <w:sz w:val="20"/>
                <w:szCs w:val="20"/>
                <w:color w:val="auto"/>
              </w:rPr>
            </w:pPr>
            <w:r>
              <w:rPr>
                <w:rFonts w:ascii="Arial" w:cs="Arial" w:eastAsia="Arial" w:hAnsi="Arial"/>
                <w:sz w:val="15"/>
                <w:szCs w:val="15"/>
                <w:b w:val="1"/>
                <w:bCs w:val="1"/>
                <w:color w:val="auto"/>
                <w:w w:val="93"/>
              </w:rPr>
              <w:t>Nine Months Ended September 30, 2023</w:t>
            </w:r>
          </w:p>
        </w:tc>
        <w:tc>
          <w:tcPr>
            <w:tcW w:w="84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Vacation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3"/>
              </w:rPr>
              <w:t>Exchange &amp;</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93"/>
              </w:rPr>
              <w:t>Corporate and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9"/>
              </w:rPr>
              <w:t>Third-Party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5"/>
                <w:szCs w:val="15"/>
                <w:b w:val="1"/>
                <w:bCs w:val="1"/>
                <w:color w:val="auto"/>
              </w:rPr>
              <w:t>Total</w:t>
            </w:r>
          </w:p>
        </w:tc>
        <w:tc>
          <w:tcPr>
            <w:tcW w:w="29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Ownership</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Management</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7"/>
              <w:spacing w:after="0"/>
              <w:rPr>
                <w:sz w:val="20"/>
                <w:szCs w:val="20"/>
                <w:color w:val="auto"/>
              </w:rPr>
            </w:pPr>
            <w:r>
              <w:rPr>
                <w:rFonts w:ascii="Arial" w:cs="Arial" w:eastAsia="Arial" w:hAnsi="Arial"/>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1,802</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420" w:type="dxa"/>
            <w:vAlign w:val="bottom"/>
            <w:gridSpan w:val="3"/>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Goods or services transferred at a point in time</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1,294</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3,096</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3,294</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0"/>
          </w:tcPr>
          <w:p>
            <w:pPr>
              <w:jc w:val="center"/>
              <w:ind w:right="114"/>
              <w:spacing w:after="0"/>
              <w:rPr>
                <w:sz w:val="20"/>
                <w:szCs w:val="20"/>
                <w:color w:val="auto"/>
              </w:rPr>
            </w:pPr>
            <w:r>
              <w:rPr>
                <w:rFonts w:ascii="Arial" w:cs="Arial" w:eastAsia="Arial" w:hAnsi="Arial"/>
                <w:sz w:val="15"/>
                <w:szCs w:val="15"/>
                <w:b w:val="1"/>
                <w:bCs w:val="1"/>
                <w:color w:val="auto"/>
                <w:w w:val="93"/>
              </w:rPr>
              <w:t>Nine Months Ended September 30, 2022</w:t>
            </w:r>
          </w:p>
        </w:tc>
        <w:tc>
          <w:tcPr>
            <w:tcW w:w="84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Vacation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3"/>
              </w:rPr>
              <w:t>Exchange &amp;</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93"/>
              </w:rPr>
              <w:t>Corporate and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9"/>
              </w:rPr>
              <w:t>Third-Party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297"/>
              <w:spacing w:after="0"/>
              <w:rPr>
                <w:sz w:val="20"/>
                <w:szCs w:val="20"/>
                <w:color w:val="auto"/>
              </w:rPr>
            </w:pPr>
            <w:r>
              <w:rPr>
                <w:rFonts w:ascii="Arial" w:cs="Arial" w:eastAsia="Arial" w:hAnsi="Arial"/>
                <w:sz w:val="15"/>
                <w:szCs w:val="15"/>
                <w:b w:val="1"/>
                <w:bCs w:val="1"/>
                <w:color w:val="auto"/>
              </w:rPr>
              <w:t>Total</w:t>
            </w:r>
          </w:p>
        </w:tc>
        <w:tc>
          <w:tcPr>
            <w:tcW w:w="29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Ownership</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Management</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7"/>
              <w:spacing w:after="0"/>
              <w:rPr>
                <w:sz w:val="20"/>
                <w:szCs w:val="20"/>
                <w:color w:val="auto"/>
              </w:rPr>
            </w:pPr>
            <w:r>
              <w:rPr>
                <w:rFonts w:ascii="Arial" w:cs="Arial" w:eastAsia="Arial" w:hAnsi="Arial"/>
                <w:sz w:val="15"/>
                <w:szCs w:val="15"/>
                <w:b w:val="1"/>
                <w:bCs w:val="1"/>
                <w:color w:val="auto"/>
                <w:w w:val="99"/>
              </w:rPr>
              <w:t>Other</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420" w:type="dxa"/>
            <w:vAlign w:val="bottom"/>
            <w:gridSpan w:val="3"/>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Goods or services transferred at a point in time</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Revenue from contracts with customers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3,012</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3,251</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gridSpan w:val="2"/>
          </w:tcPr>
          <w:p>
            <w:pPr>
              <w:jc w:val="center"/>
              <w:ind w:right="20"/>
              <w:spacing w:after="0"/>
              <w:rPr>
                <w:sz w:val="20"/>
                <w:szCs w:val="20"/>
                <w:color w:val="auto"/>
              </w:rPr>
            </w:pPr>
            <w:r>
              <w:rPr>
                <w:rFonts w:ascii="Arial" w:cs="Arial" w:eastAsia="Arial" w:hAnsi="Arial"/>
                <w:sz w:val="17"/>
                <w:szCs w:val="17"/>
                <w:color w:val="auto"/>
                <w:w w:val="94"/>
              </w:rPr>
              <w:t>12</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Vacation Ownership Products</w:t>
      </w:r>
    </w:p>
    <w:p>
      <w:pPr>
        <w:spacing w:after="0" w:line="113"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Revenues were reduced during the third quarter and first three quarters of 2023 by $47 million and $66 million, respectively, due to changes in our estimates of variable consideration for performance obligations that were satisfied in prior periods.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Receivables from Contracts with Customers, Contract Assets, &amp; Contract Liabilities</w:t>
      </w:r>
    </w:p>
    <w:p>
      <w:pPr>
        <w:spacing w:after="0" w:line="113" w:lineRule="exact"/>
        <w:rPr>
          <w:sz w:val="20"/>
          <w:szCs w:val="20"/>
          <w:color w:val="auto"/>
        </w:rPr>
      </w:pPr>
    </w:p>
    <w:p>
      <w:pPr>
        <w:ind w:right="780"/>
        <w:spacing w:after="0" w:line="277" w:lineRule="auto"/>
        <w:rPr>
          <w:sz w:val="20"/>
          <w:szCs w:val="20"/>
          <w:color w:val="auto"/>
        </w:rPr>
      </w:pPr>
      <w:r>
        <w:rPr>
          <w:rFonts w:ascii="Arial" w:cs="Arial" w:eastAsia="Arial" w:hAnsi="Arial"/>
          <w:sz w:val="17"/>
          <w:szCs w:val="17"/>
          <w:color w:val="auto"/>
        </w:rPr>
        <w:t>The following table shows the composition of our receivables from contracts with customers and contract liabilities. We had no contract assets at either September 30, 2023 or December 31,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5"/>
                <w:szCs w:val="15"/>
                <w:b w:val="1"/>
                <w:bCs w:val="1"/>
                <w:color w:val="auto"/>
              </w:rPr>
              <w:t>At September 30, 2023</w:t>
            </w:r>
          </w:p>
        </w:tc>
        <w:tc>
          <w:tcPr>
            <w:tcW w:w="140" w:type="dxa"/>
            <w:vAlign w:val="bottom"/>
          </w:tcPr>
          <w:p>
            <w:pPr>
              <w:spacing w:after="0"/>
              <w:rPr>
                <w:sz w:val="17"/>
                <w:szCs w:val="17"/>
                <w:color w:val="auto"/>
              </w:rPr>
            </w:pPr>
          </w:p>
        </w:tc>
        <w:tc>
          <w:tcPr>
            <w:tcW w:w="1640" w:type="dxa"/>
            <w:vAlign w:val="bottom"/>
          </w:tcPr>
          <w:p>
            <w:pPr>
              <w:jc w:val="right"/>
              <w:ind w:right="76"/>
              <w:spacing w:after="0"/>
              <w:rPr>
                <w:sz w:val="20"/>
                <w:szCs w:val="20"/>
                <w:color w:val="auto"/>
              </w:rPr>
            </w:pPr>
            <w:r>
              <w:rPr>
                <w:rFonts w:ascii="Arial" w:cs="Arial" w:eastAsia="Arial" w:hAnsi="Arial"/>
                <w:sz w:val="15"/>
                <w:szCs w:val="15"/>
                <w:b w:val="1"/>
                <w:bCs w:val="1"/>
                <w:color w:val="auto"/>
                <w:w w:val="94"/>
              </w:rPr>
              <w:t>At December 31, 2022</w:t>
            </w:r>
          </w:p>
        </w:tc>
      </w:tr>
      <w:tr>
        <w:trPr>
          <w:trHeight w:val="227"/>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Receivables from Contracts with Customers</w:t>
            </w:r>
          </w:p>
        </w:tc>
        <w:tc>
          <w:tcPr>
            <w:tcW w:w="12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7"/>
                <w:szCs w:val="17"/>
                <w:color w:val="auto"/>
              </w:rPr>
              <w:t>Accounts and contracts receivable, net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194</w:t>
            </w:r>
          </w:p>
        </w:tc>
      </w:tr>
      <w:tr>
        <w:trPr>
          <w:trHeight w:val="244"/>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Vacation ownership notes receivable, net</w:t>
            </w: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w:t>
            </w:r>
          </w:p>
        </w:tc>
      </w:tr>
      <w:tr>
        <w:trPr>
          <w:trHeight w:val="211"/>
        </w:trPr>
        <w:tc>
          <w:tcPr>
            <w:tcW w:w="4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2,392</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Contract Liabilities</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7"/>
                <w:szCs w:val="17"/>
                <w:color w:val="auto"/>
              </w:rPr>
              <w:t>Advance deposits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44"/>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w:t>
            </w:r>
          </w:p>
        </w:tc>
      </w:tr>
      <w:tr>
        <w:trPr>
          <w:trHeight w:val="211"/>
        </w:trPr>
        <w:tc>
          <w:tcPr>
            <w:tcW w:w="4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Revenue recognized during the third quarter and first three quarters of 2023 that was included in our contract liabilities balance at December 31, 2022 was $67 million and $241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3" w:lineRule="exact"/>
        <w:rPr>
          <w:sz w:val="20"/>
          <w:szCs w:val="20"/>
          <w:color w:val="auto"/>
        </w:rPr>
      </w:pPr>
    </w:p>
    <w:p>
      <w:pPr>
        <w:jc w:val="both"/>
        <w:ind w:right="20"/>
        <w:spacing w:after="0" w:line="346" w:lineRule="auto"/>
        <w:rPr>
          <w:sz w:val="20"/>
          <w:szCs w:val="20"/>
          <w:color w:val="auto"/>
        </w:rPr>
      </w:pPr>
      <w:r>
        <w:rPr>
          <w:rFonts w:ascii="Arial" w:cs="Arial" w:eastAsia="Arial" w:hAnsi="Arial"/>
          <w:sz w:val="15"/>
          <w:szCs w:val="15"/>
          <w:color w:val="auto"/>
        </w:rPr>
        <w:t>Our remaining performance obligations represent the expected transaction price allocated to our contracts that we expect to recognize as revenue in future periods when we perform under the contracts. At September 30, 2023, approximately 91% of this amount is expected to be recognized as revenue over the next two years.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and Contracts Receivable</w:t>
      </w:r>
    </w:p>
    <w:p>
      <w:pPr>
        <w:spacing w:after="0" w:line="11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Accounts and contracts receivable is comprised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5"/>
                <w:szCs w:val="15"/>
                <w:b w:val="1"/>
                <w:bCs w:val="1"/>
                <w:color w:val="auto"/>
              </w:rPr>
              <w:t>At September 30, 2023</w:t>
            </w:r>
          </w:p>
        </w:tc>
        <w:tc>
          <w:tcPr>
            <w:tcW w:w="140" w:type="dxa"/>
            <w:vAlign w:val="bottom"/>
          </w:tcPr>
          <w:p>
            <w:pPr>
              <w:spacing w:after="0"/>
              <w:rPr>
                <w:sz w:val="17"/>
                <w:szCs w:val="17"/>
                <w:color w:val="auto"/>
              </w:rPr>
            </w:pPr>
          </w:p>
        </w:tc>
        <w:tc>
          <w:tcPr>
            <w:tcW w:w="1640" w:type="dxa"/>
            <w:vAlign w:val="bottom"/>
          </w:tcPr>
          <w:p>
            <w:pPr>
              <w:jc w:val="right"/>
              <w:ind w:right="76"/>
              <w:spacing w:after="0"/>
              <w:rPr>
                <w:sz w:val="20"/>
                <w:szCs w:val="20"/>
                <w:color w:val="auto"/>
              </w:rPr>
            </w:pPr>
            <w:r>
              <w:rPr>
                <w:rFonts w:ascii="Arial" w:cs="Arial" w:eastAsia="Arial" w:hAnsi="Arial"/>
                <w:sz w:val="15"/>
                <w:szCs w:val="15"/>
                <w:b w:val="1"/>
                <w:bCs w:val="1"/>
                <w:color w:val="auto"/>
                <w:w w:val="94"/>
              </w:rPr>
              <w:t>At December 31, 2022</w:t>
            </w:r>
          </w:p>
        </w:tc>
      </w:tr>
      <w:tr>
        <w:trPr>
          <w:trHeight w:val="227"/>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Receivables from contracts with customers,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43"/>
        </w:trPr>
        <w:tc>
          <w:tcPr>
            <w:tcW w:w="4640" w:type="dxa"/>
            <w:vAlign w:val="bottom"/>
          </w:tcPr>
          <w:p>
            <w:pPr>
              <w:ind w:left="20"/>
              <w:spacing w:after="0"/>
              <w:rPr>
                <w:sz w:val="20"/>
                <w:szCs w:val="20"/>
                <w:color w:val="auto"/>
              </w:rPr>
            </w:pPr>
            <w:r>
              <w:rPr>
                <w:rFonts w:ascii="Arial" w:cs="Arial" w:eastAsia="Arial" w:hAnsi="Arial"/>
                <w:sz w:val="17"/>
                <w:szCs w:val="17"/>
                <w:color w:val="auto"/>
              </w:rPr>
              <w:t>Interest receivable</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45"/>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receivable</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43"/>
        </w:trPr>
        <w:tc>
          <w:tcPr>
            <w:tcW w:w="4640" w:type="dxa"/>
            <w:vAlign w:val="bottom"/>
          </w:tcPr>
          <w:p>
            <w:pPr>
              <w:ind w:left="20"/>
              <w:spacing w:after="0"/>
              <w:rPr>
                <w:sz w:val="20"/>
                <w:szCs w:val="20"/>
                <w:color w:val="auto"/>
              </w:rPr>
            </w:pPr>
            <w:r>
              <w:rPr>
                <w:rFonts w:ascii="Arial" w:cs="Arial" w:eastAsia="Arial" w:hAnsi="Arial"/>
                <w:sz w:val="17"/>
                <w:szCs w:val="17"/>
                <w:color w:val="auto"/>
              </w:rPr>
              <w:t>Indemnification assets</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5"/>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tax credit receivable</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4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r>
      <w:tr>
        <w:trPr>
          <w:trHeight w:val="236"/>
        </w:trPr>
        <w:tc>
          <w:tcPr>
            <w:tcW w:w="4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54" w:lineRule="exact"/>
        <w:rPr>
          <w:sz w:val="20"/>
          <w:szCs w:val="20"/>
          <w:color w:val="auto"/>
        </w:rPr>
      </w:pPr>
    </w:p>
    <w:p>
      <w:pPr>
        <w:ind w:left="400" w:hanging="380"/>
        <w:spacing w:after="0"/>
        <w:tabs>
          <w:tab w:leader="none" w:pos="4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provision for income taxes is calculated using an estimated annual effective tax rate (“AETR”), based upon expected annual income less losses in certain jurisdictions, non-deductible expenses under federal and local tax laws, statutory rates and planned tax strategies in the various jurisdictions in which we operate. Certain items that do not relate directly to ordinary income are excluded from the AETR and included in the period in which they occur.</w:t>
      </w:r>
    </w:p>
    <w:p>
      <w:pPr>
        <w:spacing w:after="0" w:line="54"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Our effective tax rate was 36.1% and 34.7% for the three months ended September 30, 2023 and September 30, 2022, respectively, and 34.3% and 30.6% for the nine months ended September 30, 2023 and September 30, 2022, respectively.</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80"/>
        <w:spacing w:after="0" w:line="264" w:lineRule="auto"/>
        <w:rPr>
          <w:sz w:val="20"/>
          <w:szCs w:val="20"/>
          <w:color w:val="auto"/>
        </w:rPr>
      </w:pPr>
      <w:r>
        <w:rPr>
          <w:rFonts w:ascii="Arial" w:cs="Arial" w:eastAsia="Arial" w:hAnsi="Arial"/>
          <w:sz w:val="17"/>
          <w:szCs w:val="17"/>
          <w:color w:val="auto"/>
        </w:rPr>
        <w:t>The increase in the effective tax rate for the three months ended September 30, 2023 compared to the three months ended September 30, 2022 is predominately attributable to a decrease in Income before income taxes and noncontrolling interests from 2022 to 2023 without a proportional decrease to non-deductible tax expenses, in addition to a net decrease in the tax expense for foreign uncertain tax benefits in 2023.</w:t>
      </w:r>
    </w:p>
    <w:p>
      <w:pPr>
        <w:spacing w:after="0" w:line="74"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The increase in the effective tax rate for the nine months ended September 30, 2023 compared to the nine months ended September 30, 2022 is attributable to a decrease in Income before income taxes and noncontrolling interests from 2022 to 2023 without a proportional decrease to non-deductible tax expenses, partially offset by a net increase in the tax expense for foreign uncertain tax benefits in 2023.</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113"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The following table summarizes the activity related to our unrecognized tax benefits (excluding interest and penalties) during the nine months ended September 30, 2023. These unrecognized tax benefits relate to uncertain income tax positions, which would affect the effective tax rate if recognized.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2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1"/>
              </w:rPr>
              <w:t>Unrecognized Tax Benefits</w:t>
            </w: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43"/>
        </w:trPr>
        <w:tc>
          <w:tcPr>
            <w:tcW w:w="6500" w:type="dxa"/>
            <w:vAlign w:val="bottom"/>
          </w:tcPr>
          <w:p>
            <w:pPr>
              <w:ind w:left="220"/>
              <w:spacing w:after="0"/>
              <w:rPr>
                <w:sz w:val="20"/>
                <w:szCs w:val="20"/>
                <w:color w:val="auto"/>
              </w:rPr>
            </w:pPr>
            <w:r>
              <w:rPr>
                <w:rFonts w:ascii="Arial" w:cs="Arial" w:eastAsia="Arial" w:hAnsi="Arial"/>
                <w:sz w:val="17"/>
                <w:szCs w:val="17"/>
                <w:color w:val="auto"/>
              </w:rPr>
              <w:t>Increases to tax positions related to a prior period</w:t>
            </w:r>
          </w:p>
        </w:tc>
        <w:tc>
          <w:tcPr>
            <w:tcW w:w="8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45"/>
        </w:trPr>
        <w:tc>
          <w:tcPr>
            <w:tcW w:w="6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Decreases to tax positions related to a prior period</w:t>
            </w:r>
          </w:p>
        </w:tc>
        <w:tc>
          <w:tcPr>
            <w:tcW w:w="8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0"/>
        </w:trPr>
        <w:tc>
          <w:tcPr>
            <w:tcW w:w="6500" w:type="dxa"/>
            <w:vAlign w:val="bottom"/>
          </w:tcPr>
          <w:p>
            <w:pPr>
              <w:ind w:left="20"/>
              <w:spacing w:after="0"/>
              <w:rPr>
                <w:sz w:val="20"/>
                <w:szCs w:val="20"/>
                <w:color w:val="auto"/>
              </w:rPr>
            </w:pPr>
            <w:r>
              <w:rPr>
                <w:rFonts w:ascii="Arial" w:cs="Arial" w:eastAsia="Arial" w:hAnsi="Arial"/>
                <w:sz w:val="17"/>
                <w:szCs w:val="17"/>
                <w:color w:val="auto"/>
              </w:rPr>
              <w:t>Balance at September 30, 2023</w:t>
            </w: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0"/>
        </w:trPr>
        <w:tc>
          <w:tcPr>
            <w:tcW w:w="6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The total amount of gross interest and penalties accrued was $46 million at September 30, 2023 and $28 million at December 31, 2022, an increase of $18 million, which is predominantly attributable to additional interest and penalties related to the pre-acquisition reserves for uncertain tax positions. We anticipate $35 million of unrecognized tax benefits, including interest and penalties, to be indemnified pursuant to a Tax Matters Agreement dated May 11, 2016 by and among Starwood Hotels &amp; Resorts Worldwide, Inc., Vistana Signature Experiences, Inc., and Interval Leisure Group, Inc., and consequently have recorded a corresponding indemnification asset. The unrecognized tax benefits, including accrued interest and penalties, are included in Other liabilities on our Balance Sheet.</w:t>
      </w:r>
    </w:p>
    <w:p>
      <w:pPr>
        <w:spacing w:after="0" w:line="48" w:lineRule="exact"/>
        <w:rPr>
          <w:sz w:val="20"/>
          <w:szCs w:val="20"/>
          <w:color w:val="auto"/>
        </w:rPr>
      </w:pPr>
    </w:p>
    <w:p>
      <w:pPr>
        <w:ind w:right="280"/>
        <w:spacing w:after="0" w:line="346" w:lineRule="auto"/>
        <w:rPr>
          <w:sz w:val="20"/>
          <w:szCs w:val="20"/>
          <w:color w:val="auto"/>
        </w:rPr>
      </w:pPr>
      <w:r>
        <w:rPr>
          <w:rFonts w:ascii="Arial" w:cs="Arial" w:eastAsia="Arial" w:hAnsi="Arial"/>
          <w:sz w:val="15"/>
          <w:szCs w:val="15"/>
          <w:color w:val="auto"/>
        </w:rPr>
        <w:t>Our income tax returns are subject to examination by relevant tax authorities. Certain of our returns are being audited in various jurisdictions for tax years 2007 through 2020. The amount of the unrecognized tax benefits may increase or decrease within the next twelve months as a result of audits or audit settlements.</w:t>
      </w:r>
    </w:p>
    <w:p>
      <w:pPr>
        <w:spacing w:after="0" w:line="190" w:lineRule="exact"/>
        <w:rPr>
          <w:sz w:val="20"/>
          <w:szCs w:val="20"/>
          <w:color w:val="auto"/>
        </w:rPr>
      </w:pPr>
    </w:p>
    <w:p>
      <w:pPr>
        <w:ind w:left="400" w:hanging="380"/>
        <w:spacing w:after="0"/>
        <w:tabs>
          <w:tab w:leader="none" w:pos="4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VACATION OWNERSHIP NOTES RECEIVABLE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composition of our vacation ownership notes receivable balances, net of reserves.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5"/>
                <w:szCs w:val="15"/>
                <w:b w:val="1"/>
                <w:bCs w:val="1"/>
                <w:color w:val="auto"/>
              </w:rPr>
              <w:t>September 30, 2023</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w w:val="90"/>
              </w:rPr>
              <w:t>December 31, 2022</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99"/>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b w:val="1"/>
                <w:bCs w:val="1"/>
                <w:color w:val="auto"/>
                <w:w w:val="93"/>
              </w:rPr>
              <w:t>Originated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5"/>
              </w:rPr>
              <w:t>Acquired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3"/>
              </w:rPr>
              <w:t>Originated</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8"/>
              </w:rPr>
              <w:t>Acquired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Total</w:t>
            </w:r>
          </w:p>
        </w:tc>
      </w:tr>
      <w:tr>
        <w:trPr>
          <w:trHeight w:val="226"/>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1,792</w:t>
            </w:r>
          </w:p>
        </w:tc>
      </w:tr>
      <w:tr>
        <w:trPr>
          <w:trHeight w:val="243"/>
        </w:trPr>
        <w:tc>
          <w:tcPr>
            <w:tcW w:w="2060" w:type="dxa"/>
            <w:vAlign w:val="bottom"/>
          </w:tcPr>
          <w:p>
            <w:pPr>
              <w:ind w:left="40"/>
              <w:spacing w:after="0"/>
              <w:rPr>
                <w:sz w:val="20"/>
                <w:szCs w:val="20"/>
                <w:color w:val="auto"/>
              </w:rPr>
            </w:pPr>
            <w:r>
              <w:rPr>
                <w:rFonts w:ascii="Arial" w:cs="Arial" w:eastAsia="Arial" w:hAnsi="Arial"/>
                <w:sz w:val="17"/>
                <w:szCs w:val="17"/>
                <w:color w:val="auto"/>
              </w:rPr>
              <w:t>Non-securitized</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45"/>
        </w:trPr>
        <w:tc>
          <w:tcPr>
            <w:tcW w:w="206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9"/>
              </w:rPr>
              <w:t>Eligible for securitization</w:t>
            </w:r>
            <w:r>
              <w:rPr>
                <w:rFonts w:ascii="Arial" w:cs="Arial" w:eastAsia="Arial" w:hAnsi="Arial"/>
                <w:sz w:val="10"/>
                <w:szCs w:val="10"/>
                <w:color w:val="auto"/>
                <w:w w:val="99"/>
              </w:rPr>
              <w:t>(1)</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167"/>
        </w:trPr>
        <w:tc>
          <w:tcPr>
            <w:tcW w:w="2060" w:type="dxa"/>
            <w:vAlign w:val="bottom"/>
          </w:tcPr>
          <w:p>
            <w:pPr>
              <w:ind w:left="120"/>
              <w:spacing w:after="0" w:line="167" w:lineRule="exact"/>
              <w:rPr>
                <w:sz w:val="20"/>
                <w:szCs w:val="20"/>
                <w:color w:val="auto"/>
              </w:rPr>
            </w:pPr>
            <w:r>
              <w:rPr>
                <w:rFonts w:ascii="Arial" w:cs="Arial" w:eastAsia="Arial" w:hAnsi="Arial"/>
                <w:sz w:val="17"/>
                <w:szCs w:val="17"/>
                <w:color w:val="auto"/>
              </w:rPr>
              <w:t>Not eligible for</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0"/>
        </w:trPr>
        <w:tc>
          <w:tcPr>
            <w:tcW w:w="2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securitization</w:t>
            </w:r>
            <w:r>
              <w:rPr>
                <w:rFonts w:ascii="Arial" w:cs="Arial" w:eastAsia="Arial" w:hAnsi="Arial"/>
                <w:sz w:val="10"/>
                <w:szCs w:val="10"/>
                <w:color w:val="auto"/>
              </w:rPr>
              <w:t>(1)</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r>
      <w:tr>
        <w:trPr>
          <w:trHeight w:val="224"/>
        </w:trPr>
        <w:tc>
          <w:tcPr>
            <w:tcW w:w="2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Subtotal</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w:t>
            </w:r>
          </w:p>
        </w:tc>
      </w:tr>
      <w:tr>
        <w:trPr>
          <w:trHeight w:val="211"/>
        </w:trPr>
        <w:tc>
          <w:tcPr>
            <w:tcW w:w="20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2,108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183</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2,291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1,956</w:t>
            </w:r>
          </w:p>
        </w:tc>
        <w:tc>
          <w:tcPr>
            <w:tcW w:w="3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242</w:t>
            </w: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2,198</w:t>
            </w:r>
          </w:p>
        </w:tc>
      </w:tr>
      <w:tr>
        <w:trPr>
          <w:trHeight w:val="20"/>
        </w:trPr>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20" w:right="3000" w:hanging="300"/>
        <w:spacing w:after="0" w:line="225" w:lineRule="auto"/>
        <w:tabs>
          <w:tab w:leader="none" w:pos="30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Refer to Footnote 7 “Financial Instruments” for discussion of eligibility of our vacation ownership notes receivable for securitization.</w:t>
      </w:r>
    </w:p>
    <w:p>
      <w:pPr>
        <w:spacing w:after="0" w:line="36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We reflect interest income associated with vacation ownership notes receivable in our Income Statements in the Financing revenues caption. The following table summarizes interest income associated with vacation ownership notes receivable.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5"/>
          </w:tcPr>
          <w:p>
            <w:pPr>
              <w:ind w:left="46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2440" w:type="dxa"/>
            <w:vAlign w:val="bottom"/>
            <w:gridSpan w:val="4"/>
          </w:tcPr>
          <w:p>
            <w:pPr>
              <w:jc w:val="right"/>
              <w:ind w:right="538"/>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50"/>
        </w:trPr>
        <w:tc>
          <w:tcPr>
            <w:tcW w:w="3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8"/>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8"/>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Interest income associated with vacation</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ownership notes receivable — securitized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line="180" w:lineRule="exact"/>
              <w:rPr>
                <w:sz w:val="20"/>
                <w:szCs w:val="20"/>
                <w:color w:val="auto"/>
              </w:rPr>
            </w:pPr>
            <w:r>
              <w:rPr>
                <w:rFonts w:ascii="Arial" w:cs="Arial" w:eastAsia="Arial" w:hAnsi="Arial"/>
                <w:sz w:val="17"/>
                <w:szCs w:val="17"/>
                <w:color w:val="auto"/>
              </w:rPr>
              <w:t>Interest income associated with vacation</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20"/>
              <w:spacing w:after="0" w:line="167" w:lineRule="exact"/>
              <w:rPr>
                <w:sz w:val="20"/>
                <w:szCs w:val="20"/>
                <w:color w:val="auto"/>
              </w:rPr>
            </w:pPr>
            <w:r>
              <w:rPr>
                <w:rFonts w:ascii="Arial" w:cs="Arial" w:eastAsia="Arial" w:hAnsi="Arial"/>
                <w:sz w:val="17"/>
                <w:szCs w:val="17"/>
                <w:color w:val="auto"/>
              </w:rPr>
              <w:t>ownership notes receivable — non-</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7"/>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securitized</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10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Total interest income associated with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12"/>
        </w:trPr>
        <w:tc>
          <w:tcPr>
            <w:tcW w:w="310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vacation ownership notes receivable</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Quality Indicators - Vacation Ownership Notes Receivable</w:t>
      </w:r>
    </w:p>
    <w:p>
      <w:pPr>
        <w:spacing w:after="0" w:line="113"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vacation ownership interest (“VOI”) they have acquired. The estimates of the variable consideration included in the transaction price for the sale of the related vacation ownership product for originated vacation ownership notes receivable and the reserve for credit losses on the acquired vacation ownership notes receivable are based on default rates that are an output of our static pool analyses and estimates regarding future defaults.</w:t>
      </w:r>
    </w:p>
    <w:p>
      <w:pPr>
        <w:spacing w:after="0" w:line="64" w:lineRule="exact"/>
        <w:rPr>
          <w:sz w:val="20"/>
          <w:szCs w:val="20"/>
          <w:color w:val="auto"/>
        </w:rPr>
      </w:pPr>
    </w:p>
    <w:p>
      <w:pPr>
        <w:ind w:right="460"/>
        <w:spacing w:after="0" w:line="306" w:lineRule="auto"/>
        <w:rPr>
          <w:sz w:val="20"/>
          <w:szCs w:val="20"/>
          <w:color w:val="auto"/>
        </w:rPr>
      </w:pPr>
      <w:r>
        <w:rPr>
          <w:rFonts w:ascii="Arial" w:cs="Arial" w:eastAsia="Arial" w:hAnsi="Arial"/>
          <w:sz w:val="15"/>
          <w:szCs w:val="15"/>
          <w:color w:val="auto"/>
        </w:rPr>
        <w:t>In the third quarter of 2023, we evaluated our vacation ownership notes receivable reserve in light of trends in delinquencies and default rates. As a result, we increased our originated vacation ownership notes receivable reserve by $59 million. We primarily used a historical period of increased defaults as a basis for estimating the increase in our reserve. This additional reserve adjusts our future default rate estimate to reflect current macroeconomic conditions, including inflation outpacing wage growth, continuing high interest rates, mixed economic indicators and increased global insecurity.</w:t>
      </w:r>
    </w:p>
    <w:p>
      <w:pPr>
        <w:spacing w:after="0" w:line="44"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In the third quarter of 2022, in connection with the combination of the reserves for Marriott-, Sheraton-, and Westin-brands, we recorded a reversal of credit loss expense for the acquired vacation ownership notes receivable of $19 million in Financing expense and an increase in the reserve for our originated vacation ownership notes receivable of $21 million, which was recorded as a reduction of sales of vacation ownership products revenues.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We use the term “Combined Marriott” to refer to our Marriott-, Sheraton-, and Westin-brands.</w:t>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The weighted average FICO score of the borrowers within our consolidated vacation ownership notes receivable pool was 722 and 721, at September 30, 2023 and December 31, 2022, respectively, based on the FICO score of the borrower at the time of origination.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Acquired Vacation Ownership Notes Receivable</w:t>
      </w:r>
    </w:p>
    <w:p>
      <w:pPr>
        <w:spacing w:after="0" w:line="11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Acquired vacation ownership notes receivable represent vacation ownership notes receivable acquired as part of the ILG Acquisition and the Welk Acquisition. The following table shows future contractual principal payments, net of reserves, and interest rates for our acquired vacation ownership notes receivable at September 30,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00" w:type="dxa"/>
            <w:vAlign w:val="bottom"/>
            <w:gridSpan w:val="8"/>
          </w:tcPr>
          <w:p>
            <w:pPr>
              <w:jc w:val="center"/>
              <w:ind w:right="3080"/>
              <w:spacing w:after="0"/>
              <w:rPr>
                <w:sz w:val="20"/>
                <w:szCs w:val="20"/>
                <w:color w:val="auto"/>
              </w:rPr>
            </w:pPr>
            <w:r>
              <w:rPr>
                <w:rFonts w:ascii="Arial" w:cs="Arial" w:eastAsia="Arial" w:hAnsi="Arial"/>
                <w:sz w:val="15"/>
                <w:szCs w:val="15"/>
                <w:b w:val="1"/>
                <w:bCs w:val="1"/>
                <w:color w:val="auto"/>
                <w:w w:val="91"/>
              </w:rPr>
              <w:t>Acquired Vacation Ownership Notes Receivable</w:t>
            </w:r>
          </w:p>
        </w:tc>
        <w:tc>
          <w:tcPr>
            <w:tcW w:w="0" w:type="dxa"/>
            <w:vAlign w:val="bottom"/>
          </w:tcPr>
          <w:p>
            <w:pPr>
              <w:spacing w:after="0"/>
              <w:rPr>
                <w:sz w:val="1"/>
                <w:szCs w:val="1"/>
                <w:color w:val="auto"/>
              </w:rPr>
            </w:pPr>
          </w:p>
        </w:tc>
      </w:tr>
      <w:tr>
        <w:trPr>
          <w:trHeight w:val="199"/>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5"/>
                <w:szCs w:val="15"/>
                <w:b w:val="1"/>
                <w:bCs w:val="1"/>
                <w:color w:val="auto"/>
                <w:w w:val="92"/>
              </w:rPr>
              <w:t>Non-Securitized</w:t>
            </w: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92"/>
              </w:rPr>
              <w:t>Securitized</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75"/>
              <w:spacing w:after="0"/>
              <w:rPr>
                <w:sz w:val="20"/>
                <w:szCs w:val="20"/>
                <w:color w:val="auto"/>
              </w:rPr>
            </w:pPr>
            <w:r>
              <w:rPr>
                <w:rFonts w:ascii="Arial" w:cs="Arial" w:eastAsia="Arial" w:hAnsi="Arial"/>
                <w:sz w:val="15"/>
                <w:szCs w:val="15"/>
                <w:b w:val="1"/>
                <w:bCs w:val="1"/>
                <w:color w:val="auto"/>
                <w:w w:val="89"/>
              </w:rPr>
              <w:t>Total</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 remaining</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stated interest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56"/>
              <w:spacing w:after="0" w:line="189" w:lineRule="exact"/>
              <w:rPr>
                <w:sz w:val="20"/>
                <w:szCs w:val="20"/>
                <w:color w:val="auto"/>
              </w:rPr>
            </w:pPr>
            <w:r>
              <w:rPr>
                <w:rFonts w:ascii="Arial" w:cs="Arial" w:eastAsia="Arial" w:hAnsi="Arial"/>
                <w:sz w:val="17"/>
                <w:szCs w:val="17"/>
                <w:color w:val="auto"/>
                <w:w w:val="91"/>
              </w:rPr>
              <w:t>14.0%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5"/>
              <w:spacing w:after="0" w:line="189" w:lineRule="exact"/>
              <w:rPr>
                <w:sz w:val="20"/>
                <w:szCs w:val="20"/>
                <w:color w:val="auto"/>
              </w:rPr>
            </w:pPr>
            <w:r>
              <w:rPr>
                <w:rFonts w:ascii="Arial" w:cs="Arial" w:eastAsia="Arial" w:hAnsi="Arial"/>
                <w:sz w:val="17"/>
                <w:szCs w:val="17"/>
                <w:color w:val="auto"/>
                <w:w w:val="91"/>
              </w:rPr>
              <w:t>14.2%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5"/>
              <w:spacing w:after="0" w:line="189" w:lineRule="exact"/>
              <w:rPr>
                <w:sz w:val="20"/>
                <w:szCs w:val="20"/>
                <w:color w:val="auto"/>
              </w:rPr>
            </w:pPr>
            <w:r>
              <w:rPr>
                <w:rFonts w:ascii="Arial" w:cs="Arial" w:eastAsia="Arial" w:hAnsi="Arial"/>
                <w:sz w:val="17"/>
                <w:szCs w:val="17"/>
                <w:color w:val="auto"/>
                <w:w w:val="91"/>
              </w:rPr>
              <w:t>14.2%</w:t>
            </w: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Range of stated interest rates</w:t>
            </w: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300"/>
              <w:spacing w:after="0"/>
              <w:rPr>
                <w:sz w:val="20"/>
                <w:szCs w:val="20"/>
                <w:color w:val="auto"/>
              </w:rPr>
            </w:pPr>
            <w:r>
              <w:rPr>
                <w:rFonts w:ascii="Arial" w:cs="Arial" w:eastAsia="Arial" w:hAnsi="Arial"/>
                <w:sz w:val="17"/>
                <w:szCs w:val="17"/>
                <w:color w:val="auto"/>
                <w:w w:val="92"/>
              </w:rPr>
              <w:t>0.0% to 21.9%</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92"/>
              </w:rPr>
              <w:t>0.0% to 21.9%</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w w:val="90"/>
              </w:rPr>
              <w:t>0.0% to 21.9%</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1"/>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155"/>
              <w:spacing w:after="0"/>
              <w:rPr>
                <w:sz w:val="20"/>
                <w:szCs w:val="20"/>
                <w:color w:val="auto"/>
              </w:rPr>
            </w:pPr>
            <w:r>
              <w:rPr>
                <w:rFonts w:ascii="Arial" w:cs="Arial" w:eastAsia="Arial" w:hAnsi="Arial"/>
                <w:sz w:val="17"/>
                <w:szCs w:val="17"/>
                <w:color w:val="auto"/>
                <w:w w:val="94"/>
              </w:rPr>
              <w:t>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activity related to our acquired vacation ownership notes receivable reserve.</w:t>
      </w:r>
    </w:p>
    <w:p>
      <w:pPr>
        <w:spacing w:after="0" w:line="58"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Acquired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2283460</wp:posOffset>
            </wp:positionH>
            <wp:positionV relativeFrom="paragraph">
              <wp:posOffset>36195</wp:posOffset>
            </wp:positionV>
            <wp:extent cx="29991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99105" cy="8255"/>
                    </a:xfrm>
                    <a:prstGeom prst="rect">
                      <a:avLst/>
                    </a:prstGeom>
                    <a:noFill/>
                  </pic:spPr>
                </pic:pic>
              </a:graphicData>
            </a:graphic>
          </wp:anchor>
        </w:drawing>
      </w:r>
    </w:p>
    <w:p>
      <w:pPr>
        <w:spacing w:after="0" w:line="49" w:lineRule="exact"/>
        <w:rPr>
          <w:sz w:val="20"/>
          <w:szCs w:val="20"/>
          <w:color w:val="auto"/>
        </w:rPr>
      </w:pPr>
    </w:p>
    <w:p>
      <w:pPr>
        <w:ind w:left="20"/>
        <w:spacing w:after="0"/>
        <w:tabs>
          <w:tab w:leader="none" w:pos="3800" w:val="left"/>
          <w:tab w:leader="none" w:pos="5580" w:val="left"/>
          <w:tab w:leader="none" w:pos="7400" w:val="left"/>
        </w:tabs>
        <w:rPr>
          <w:sz w:val="20"/>
          <w:szCs w:val="20"/>
          <w:color w:val="auto"/>
        </w:rPr>
      </w:pPr>
      <w:r>
        <w:rPr>
          <w:rFonts w:ascii="Arial" w:cs="Arial" w:eastAsia="Arial" w:hAnsi="Arial"/>
          <w:sz w:val="14"/>
          <w:szCs w:val="14"/>
          <w:b w:val="1"/>
          <w:bCs w:val="1"/>
          <w:i w:val="1"/>
          <w:iCs w:val="1"/>
          <w:color w:val="auto"/>
        </w:rPr>
        <w:t>($ in millions)</w:t>
      </w:r>
      <w:r>
        <w:rPr>
          <w:sz w:val="20"/>
          <w:szCs w:val="20"/>
          <w:color w:val="auto"/>
        </w:rPr>
        <w:tab/>
      </w:r>
      <w:r>
        <w:rPr>
          <w:rFonts w:ascii="Arial" w:cs="Arial" w:eastAsia="Arial" w:hAnsi="Arial"/>
          <w:sz w:val="15"/>
          <w:szCs w:val="15"/>
          <w:b w:val="1"/>
          <w:bCs w:val="1"/>
          <w:color w:val="auto"/>
        </w:rPr>
        <w:t>Non-Securitized</w:t>
      </w:r>
      <w:r>
        <w:rPr>
          <w:sz w:val="20"/>
          <w:szCs w:val="20"/>
          <w:color w:val="auto"/>
        </w:rPr>
        <w:tab/>
      </w:r>
      <w:r>
        <w:rPr>
          <w:rFonts w:ascii="Arial" w:cs="Arial" w:eastAsia="Arial" w:hAnsi="Arial"/>
          <w:sz w:val="15"/>
          <w:szCs w:val="15"/>
          <w:b w:val="1"/>
          <w:bCs w:val="1"/>
          <w:color w:val="auto"/>
        </w:rPr>
        <w:t>Securitized</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5280660" cy="154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80660" cy="15494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500" w:type="dxa"/>
            <w:vAlign w:val="bottom"/>
          </w:tcPr>
          <w:p>
            <w:pPr>
              <w:spacing w:after="0"/>
              <w:rPr>
                <w:sz w:val="20"/>
                <w:szCs w:val="20"/>
                <w:color w:val="auto"/>
              </w:rPr>
            </w:pPr>
            <w:r>
              <w:rPr>
                <w:rFonts w:ascii="Arial" w:cs="Arial" w:eastAsia="Arial" w:hAnsi="Arial"/>
                <w:sz w:val="17"/>
                <w:szCs w:val="17"/>
                <w:color w:val="auto"/>
              </w:rPr>
              <w:t>Balance at December 31, 2022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3500" w:type="dxa"/>
            <w:vAlign w:val="bottom"/>
          </w:tcPr>
          <w:p>
            <w:pPr>
              <w:ind w:left="100"/>
              <w:spacing w:after="0"/>
              <w:rPr>
                <w:sz w:val="20"/>
                <w:szCs w:val="20"/>
                <w:color w:val="auto"/>
              </w:rPr>
            </w:pPr>
            <w:r>
              <w:rPr>
                <w:rFonts w:ascii="Arial" w:cs="Arial" w:eastAsia="Arial" w:hAnsi="Arial"/>
                <w:sz w:val="17"/>
                <w:szCs w:val="17"/>
                <w:color w:val="auto"/>
              </w:rPr>
              <w:t>Securitizations</w:t>
            </w:r>
          </w:p>
        </w:tc>
        <w:tc>
          <w:tcPr>
            <w:tcW w:w="180" w:type="dxa"/>
            <w:vAlign w:val="bottom"/>
          </w:tcPr>
          <w:p>
            <w:pPr>
              <w:spacing w:after="0"/>
              <w:rPr>
                <w:sz w:val="18"/>
                <w:szCs w:val="18"/>
                <w:color w:val="auto"/>
              </w:rPr>
            </w:pPr>
          </w:p>
        </w:tc>
      </w:tr>
      <w:tr>
        <w:trPr>
          <w:trHeight w:val="244"/>
        </w:trPr>
        <w:tc>
          <w:tcPr>
            <w:tcW w:w="3500" w:type="dxa"/>
            <w:vAlign w:val="bottom"/>
          </w:tcPr>
          <w:p>
            <w:pPr>
              <w:ind w:left="100"/>
              <w:spacing w:after="0"/>
              <w:rPr>
                <w:sz w:val="20"/>
                <w:szCs w:val="20"/>
                <w:color w:val="auto"/>
              </w:rPr>
            </w:pPr>
            <w:r>
              <w:rPr>
                <w:rFonts w:ascii="Arial" w:cs="Arial" w:eastAsia="Arial" w:hAnsi="Arial"/>
                <w:sz w:val="17"/>
                <w:szCs w:val="17"/>
                <w:color w:val="auto"/>
              </w:rPr>
              <w:t>Clean-up call</w:t>
            </w:r>
          </w:p>
        </w:tc>
        <w:tc>
          <w:tcPr>
            <w:tcW w:w="180" w:type="dxa"/>
            <w:vAlign w:val="bottom"/>
          </w:tcPr>
          <w:p>
            <w:pPr>
              <w:spacing w:after="0"/>
              <w:rPr>
                <w:sz w:val="21"/>
                <w:szCs w:val="21"/>
                <w:color w:val="auto"/>
              </w:rPr>
            </w:pPr>
          </w:p>
        </w:tc>
      </w:tr>
      <w:tr>
        <w:trPr>
          <w:trHeight w:val="244"/>
        </w:trPr>
        <w:tc>
          <w:tcPr>
            <w:tcW w:w="3500" w:type="dxa"/>
            <w:vAlign w:val="bottom"/>
          </w:tcPr>
          <w:p>
            <w:pPr>
              <w:ind w:left="100"/>
              <w:spacing w:after="0"/>
              <w:rPr>
                <w:sz w:val="20"/>
                <w:szCs w:val="20"/>
                <w:color w:val="auto"/>
              </w:rPr>
            </w:pPr>
            <w:r>
              <w:rPr>
                <w:rFonts w:ascii="Arial" w:cs="Arial" w:eastAsia="Arial" w:hAnsi="Arial"/>
                <w:sz w:val="17"/>
                <w:szCs w:val="17"/>
                <w:color w:val="auto"/>
              </w:rPr>
              <w:t>Write-offs</w:t>
            </w:r>
          </w:p>
        </w:tc>
        <w:tc>
          <w:tcPr>
            <w:tcW w:w="180" w:type="dxa"/>
            <w:vAlign w:val="bottom"/>
          </w:tcPr>
          <w:p>
            <w:pPr>
              <w:spacing w:after="0"/>
              <w:rPr>
                <w:sz w:val="21"/>
                <w:szCs w:val="21"/>
                <w:color w:val="auto"/>
              </w:rPr>
            </w:pPr>
          </w:p>
        </w:tc>
      </w:tr>
      <w:tr>
        <w:trPr>
          <w:trHeight w:val="244"/>
        </w:trPr>
        <w:tc>
          <w:tcPr>
            <w:tcW w:w="3500" w:type="dxa"/>
            <w:vAlign w:val="bottom"/>
          </w:tcPr>
          <w:p>
            <w:pPr>
              <w:ind w:left="100"/>
              <w:spacing w:after="0"/>
              <w:rPr>
                <w:sz w:val="20"/>
                <w:szCs w:val="20"/>
                <w:color w:val="auto"/>
              </w:rPr>
            </w:pPr>
            <w:r>
              <w:rPr>
                <w:rFonts w:ascii="Arial" w:cs="Arial" w:eastAsia="Arial" w:hAnsi="Arial"/>
                <w:sz w:val="17"/>
                <w:szCs w:val="17"/>
                <w:color w:val="auto"/>
              </w:rPr>
              <w:t>Recoveries</w:t>
            </w:r>
          </w:p>
        </w:tc>
        <w:tc>
          <w:tcPr>
            <w:tcW w:w="180" w:type="dxa"/>
            <w:vAlign w:val="bottom"/>
          </w:tcPr>
          <w:p>
            <w:pPr>
              <w:spacing w:after="0"/>
              <w:rPr>
                <w:sz w:val="21"/>
                <w:szCs w:val="21"/>
                <w:color w:val="auto"/>
              </w:rPr>
            </w:pPr>
          </w:p>
        </w:tc>
      </w:tr>
      <w:tr>
        <w:trPr>
          <w:trHeight w:val="207"/>
        </w:trPr>
        <w:tc>
          <w:tcPr>
            <w:tcW w:w="3500" w:type="dxa"/>
            <w:vAlign w:val="bottom"/>
          </w:tcPr>
          <w:p>
            <w:pPr>
              <w:ind w:left="100"/>
              <w:spacing w:after="0"/>
              <w:rPr>
                <w:sz w:val="20"/>
                <w:szCs w:val="20"/>
                <w:color w:val="auto"/>
              </w:rPr>
            </w:pPr>
            <w:r>
              <w:rPr>
                <w:rFonts w:ascii="Arial" w:cs="Arial" w:eastAsia="Arial" w:hAnsi="Arial"/>
                <w:sz w:val="17"/>
                <w:szCs w:val="17"/>
                <w:color w:val="auto"/>
                <w:w w:val="96"/>
              </w:rPr>
              <w:t>Defaulted vacation ownership notes receivable</w:t>
            </w:r>
          </w:p>
        </w:tc>
        <w:tc>
          <w:tcPr>
            <w:tcW w:w="180" w:type="dxa"/>
            <w:vAlign w:val="bottom"/>
          </w:tcPr>
          <w:p>
            <w:pPr>
              <w:spacing w:after="0"/>
              <w:rPr>
                <w:sz w:val="18"/>
                <w:szCs w:val="18"/>
                <w:color w:val="auto"/>
              </w:rPr>
            </w:pPr>
          </w:p>
        </w:tc>
      </w:tr>
      <w:tr>
        <w:trPr>
          <w:trHeight w:val="216"/>
        </w:trPr>
        <w:tc>
          <w:tcPr>
            <w:tcW w:w="3500" w:type="dxa"/>
            <w:vAlign w:val="bottom"/>
          </w:tcPr>
          <w:p>
            <w:pPr>
              <w:ind w:left="100"/>
              <w:spacing w:after="0"/>
              <w:rPr>
                <w:sz w:val="20"/>
                <w:szCs w:val="20"/>
                <w:color w:val="auto"/>
              </w:rPr>
            </w:pPr>
            <w:r>
              <w:rPr>
                <w:rFonts w:ascii="Arial" w:cs="Arial" w:eastAsia="Arial" w:hAnsi="Arial"/>
                <w:sz w:val="17"/>
                <w:szCs w:val="17"/>
                <w:color w:val="auto"/>
              </w:rPr>
              <w:t>repurchase activity</w:t>
            </w:r>
            <w:r>
              <w:rPr>
                <w:rFonts w:ascii="Arial" w:cs="Arial" w:eastAsia="Arial" w:hAnsi="Arial"/>
                <w:sz w:val="8"/>
                <w:szCs w:val="8"/>
                <w:color w:val="auto"/>
              </w:rPr>
              <w:t>(1)</w:t>
            </w:r>
          </w:p>
        </w:tc>
        <w:tc>
          <w:tcPr>
            <w:tcW w:w="180" w:type="dxa"/>
            <w:vAlign w:val="bottom"/>
          </w:tcPr>
          <w:p>
            <w:pPr>
              <w:spacing w:after="0"/>
              <w:rPr>
                <w:sz w:val="18"/>
                <w:szCs w:val="18"/>
                <w:color w:val="auto"/>
              </w:rPr>
            </w:pPr>
          </w:p>
        </w:tc>
      </w:tr>
      <w:tr>
        <w:trPr>
          <w:trHeight w:val="181"/>
        </w:trPr>
        <w:tc>
          <w:tcPr>
            <w:tcW w:w="3500" w:type="dxa"/>
            <w:vAlign w:val="bottom"/>
          </w:tcPr>
          <w:p>
            <w:pPr>
              <w:ind w:left="100"/>
              <w:spacing w:after="0" w:line="181" w:lineRule="exact"/>
              <w:rPr>
                <w:sz w:val="20"/>
                <w:szCs w:val="20"/>
                <w:color w:val="auto"/>
              </w:rPr>
            </w:pPr>
            <w:r>
              <w:rPr>
                <w:rFonts w:ascii="Arial" w:cs="Arial" w:eastAsia="Arial" w:hAnsi="Arial"/>
                <w:sz w:val="17"/>
                <w:szCs w:val="17"/>
                <w:color w:val="auto"/>
                <w:w w:val="91"/>
              </w:rPr>
              <w:t>(Decrease) increase in vacation ownership notes</w:t>
            </w:r>
          </w:p>
        </w:tc>
        <w:tc>
          <w:tcPr>
            <w:tcW w:w="180" w:type="dxa"/>
            <w:vAlign w:val="bottom"/>
          </w:tcPr>
          <w:p>
            <w:pPr>
              <w:spacing w:after="0"/>
              <w:rPr>
                <w:sz w:val="15"/>
                <w:szCs w:val="15"/>
                <w:color w:val="auto"/>
              </w:rPr>
            </w:pPr>
          </w:p>
        </w:tc>
      </w:tr>
      <w:tr>
        <w:trPr>
          <w:trHeight w:val="216"/>
        </w:trPr>
        <w:tc>
          <w:tcPr>
            <w:tcW w:w="3500" w:type="dxa"/>
            <w:vAlign w:val="bottom"/>
          </w:tcPr>
          <w:p>
            <w:pPr>
              <w:ind w:left="100"/>
              <w:spacing w:after="0"/>
              <w:rPr>
                <w:sz w:val="20"/>
                <w:szCs w:val="20"/>
                <w:color w:val="auto"/>
              </w:rPr>
            </w:pPr>
            <w:r>
              <w:rPr>
                <w:rFonts w:ascii="Arial" w:cs="Arial" w:eastAsia="Arial" w:hAnsi="Arial"/>
                <w:sz w:val="17"/>
                <w:szCs w:val="17"/>
                <w:color w:val="auto"/>
              </w:rPr>
              <w:t>receivable reserve</w:t>
            </w:r>
          </w:p>
        </w:tc>
        <w:tc>
          <w:tcPr>
            <w:tcW w:w="180" w:type="dxa"/>
            <w:vAlign w:val="bottom"/>
          </w:tcPr>
          <w:p>
            <w:pPr>
              <w:spacing w:after="0"/>
              <w:rPr>
                <w:sz w:val="18"/>
                <w:szCs w:val="18"/>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7"/>
                <w:szCs w:val="17"/>
                <w:color w:val="auto"/>
              </w:rPr>
              <w:t>Balance at September 30, 2023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-1131570</wp:posOffset>
            </wp:positionV>
            <wp:extent cx="5280660" cy="154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80660" cy="154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-821690</wp:posOffset>
            </wp:positionV>
            <wp:extent cx="5280660" cy="154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80660" cy="1549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-414020</wp:posOffset>
            </wp:positionV>
            <wp:extent cx="5280660" cy="252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80660" cy="2527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14"/>
              <w:spacing w:after="0"/>
              <w:rPr>
                <w:sz w:val="20"/>
                <w:szCs w:val="20"/>
                <w:color w:val="auto"/>
              </w:rPr>
            </w:pPr>
            <w:r>
              <w:rPr>
                <w:rFonts w:ascii="Arial" w:cs="Arial" w:eastAsia="Arial" w:hAnsi="Arial"/>
                <w:sz w:val="17"/>
                <w:szCs w:val="17"/>
                <w:color w:val="auto"/>
              </w:rPr>
              <w:t>11</w:t>
            </w:r>
          </w:p>
        </w:tc>
        <w:tc>
          <w:tcPr>
            <w:tcW w:w="640" w:type="dxa"/>
            <w:vAlign w:val="bottom"/>
          </w:tcPr>
          <w:p>
            <w:pPr>
              <w:jc w:val="right"/>
              <w:ind w:right="45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8"/>
                <w:szCs w:val="18"/>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44"/>
        </w:trPr>
        <w:tc>
          <w:tcPr>
            <w:tcW w:w="440" w:type="dxa"/>
            <w:vAlign w:val="bottom"/>
          </w:tcPr>
          <w:p>
            <w:pPr>
              <w:jc w:val="right"/>
              <w:ind w:right="74"/>
              <w:spacing w:after="0"/>
              <w:rPr>
                <w:sz w:val="20"/>
                <w:szCs w:val="20"/>
                <w:color w:val="auto"/>
              </w:rPr>
            </w:pPr>
            <w:r>
              <w:rPr>
                <w:rFonts w:ascii="Arial" w:cs="Arial" w:eastAsia="Arial" w:hAnsi="Arial"/>
                <w:sz w:val="17"/>
                <w:szCs w:val="17"/>
                <w:color w:val="auto"/>
              </w:rPr>
              <w:t>(2)</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4"/>
        </w:trPr>
        <w:tc>
          <w:tcPr>
            <w:tcW w:w="440" w:type="dxa"/>
            <w:vAlign w:val="bottom"/>
          </w:tcPr>
          <w:p>
            <w:pPr>
              <w:jc w:val="right"/>
              <w:ind w:right="114"/>
              <w:spacing w:after="0"/>
              <w:rPr>
                <w:sz w:val="20"/>
                <w:szCs w:val="20"/>
                <w:color w:val="auto"/>
              </w:rPr>
            </w:pPr>
            <w:r>
              <w:rPr>
                <w:rFonts w:ascii="Arial" w:cs="Arial" w:eastAsia="Arial" w:hAnsi="Arial"/>
                <w:sz w:val="17"/>
                <w:szCs w:val="17"/>
                <w:color w:val="auto"/>
              </w:rPr>
              <w:t>2</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4"/>
        </w:trPr>
        <w:tc>
          <w:tcPr>
            <w:tcW w:w="440" w:type="dxa"/>
            <w:vAlign w:val="bottom"/>
          </w:tcPr>
          <w:p>
            <w:pPr>
              <w:jc w:val="right"/>
              <w:ind w:right="74"/>
              <w:spacing w:after="0"/>
              <w:rPr>
                <w:sz w:val="20"/>
                <w:szCs w:val="20"/>
                <w:color w:val="auto"/>
              </w:rPr>
            </w:pPr>
            <w:r>
              <w:rPr>
                <w:rFonts w:ascii="Arial" w:cs="Arial" w:eastAsia="Arial" w:hAnsi="Arial"/>
                <w:sz w:val="17"/>
                <w:szCs w:val="17"/>
                <w:color w:val="auto"/>
                <w:w w:val="85"/>
              </w:rPr>
              <w:t>(21)</w:t>
            </w:r>
          </w:p>
        </w:tc>
        <w:tc>
          <w:tcPr>
            <w:tcW w:w="6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44"/>
        </w:trPr>
        <w:tc>
          <w:tcPr>
            <w:tcW w:w="440" w:type="dxa"/>
            <w:vAlign w:val="bottom"/>
          </w:tcPr>
          <w:p>
            <w:pPr>
              <w:jc w:val="right"/>
              <w:ind w:right="114"/>
              <w:spacing w:after="0"/>
              <w:rPr>
                <w:sz w:val="20"/>
                <w:szCs w:val="20"/>
                <w:color w:val="auto"/>
              </w:rPr>
            </w:pPr>
            <w:r>
              <w:rPr>
                <w:rFonts w:ascii="Arial" w:cs="Arial" w:eastAsia="Arial" w:hAnsi="Arial"/>
                <w:sz w:val="17"/>
                <w:szCs w:val="17"/>
                <w:color w:val="auto"/>
              </w:rPr>
              <w:t>13</w:t>
            </w:r>
          </w:p>
        </w:tc>
        <w:tc>
          <w:tcPr>
            <w:tcW w:w="6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98"/>
        </w:trPr>
        <w:tc>
          <w:tcPr>
            <w:tcW w:w="440" w:type="dxa"/>
            <w:vAlign w:val="bottom"/>
          </w:tcPr>
          <w:p>
            <w:pPr>
              <w:jc w:val="right"/>
              <w:ind w:right="114"/>
              <w:spacing w:after="0"/>
              <w:rPr>
                <w:sz w:val="20"/>
                <w:szCs w:val="20"/>
                <w:color w:val="auto"/>
              </w:rPr>
            </w:pPr>
            <w:r>
              <w:rPr>
                <w:rFonts w:ascii="Arial" w:cs="Arial" w:eastAsia="Arial" w:hAnsi="Arial"/>
                <w:sz w:val="17"/>
                <w:szCs w:val="17"/>
                <w:color w:val="auto"/>
              </w:rPr>
              <w:t>14</w:t>
            </w: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98"/>
        </w:trPr>
        <w:tc>
          <w:tcPr>
            <w:tcW w:w="440" w:type="dxa"/>
            <w:vAlign w:val="bottom"/>
          </w:tcPr>
          <w:p>
            <w:pPr>
              <w:jc w:val="right"/>
              <w:ind w:right="74"/>
              <w:spacing w:after="0"/>
              <w:rPr>
                <w:sz w:val="20"/>
                <w:szCs w:val="20"/>
                <w:color w:val="auto"/>
              </w:rPr>
            </w:pPr>
            <w:r>
              <w:rPr>
                <w:rFonts w:ascii="Arial" w:cs="Arial" w:eastAsia="Arial" w:hAnsi="Arial"/>
                <w:sz w:val="17"/>
                <w:szCs w:val="17"/>
                <w:color w:val="auto"/>
                <w:w w:val="85"/>
              </w:rPr>
              <w:t>(10)</w:t>
            </w: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12"/>
        </w:trPr>
        <w:tc>
          <w:tcPr>
            <w:tcW w:w="440" w:type="dxa"/>
            <w:vAlign w:val="bottom"/>
          </w:tcPr>
          <w:p>
            <w:pPr>
              <w:jc w:val="right"/>
              <w:ind w:right="114"/>
              <w:spacing w:after="0"/>
              <w:rPr>
                <w:sz w:val="20"/>
                <w:szCs w:val="20"/>
                <w:color w:val="auto"/>
              </w:rPr>
            </w:pPr>
            <w:r>
              <w:rPr>
                <w:rFonts w:ascii="Arial" w:cs="Arial" w:eastAsia="Arial" w:hAnsi="Arial"/>
                <w:sz w:val="17"/>
                <w:szCs w:val="17"/>
                <w:color w:val="auto"/>
              </w:rPr>
              <w:t>7</w:t>
            </w:r>
          </w:p>
        </w:tc>
        <w:tc>
          <w:tcPr>
            <w:tcW w:w="6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0"/>
        </w:trPr>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-31750</wp:posOffset>
            </wp:positionV>
            <wp:extent cx="9537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5377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-7620</wp:posOffset>
            </wp:positionV>
            <wp:extent cx="9537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5377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-178435</wp:posOffset>
            </wp:positionV>
            <wp:extent cx="9537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53770" cy="8255"/>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4060" w:space="720"/>
            <w:col w:w="6460"/>
          </w:cols>
          <w:pgMar w:left="320" w:top="230" w:right="339" w:bottom="1440" w:gutter="0" w:footer="0" w:header="0"/>
          <w:type w:val="continuous"/>
        </w:sectPr>
      </w:pPr>
    </w:p>
    <w:p>
      <w:pPr>
        <w:jc w:val="both"/>
        <w:ind w:left="320" w:right="3600" w:hanging="300"/>
        <w:spacing w:after="0" w:line="233" w:lineRule="auto"/>
        <w:tabs>
          <w:tab w:leader="none" w:pos="30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show the acquired vacation ownership notes receivable, before reserves, by brand and borrower FICO score.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gridSpan w:val="21"/>
          </w:tcPr>
          <w:p>
            <w:pPr>
              <w:jc w:val="center"/>
              <w:ind w:right="177"/>
              <w:spacing w:after="0"/>
              <w:rPr>
                <w:sz w:val="20"/>
                <w:szCs w:val="20"/>
                <w:color w:val="auto"/>
              </w:rPr>
            </w:pPr>
            <w:r>
              <w:rPr>
                <w:rFonts w:ascii="Arial" w:cs="Arial" w:eastAsia="Arial" w:hAnsi="Arial"/>
                <w:sz w:val="15"/>
                <w:szCs w:val="15"/>
                <w:b w:val="1"/>
                <w:bCs w:val="1"/>
                <w:color w:val="auto"/>
                <w:w w:val="91"/>
              </w:rPr>
              <w:t>Acquired Vacation Ownership Notes Receivable as of September 30, 2023</w:t>
            </w:r>
          </w:p>
        </w:tc>
      </w:tr>
      <w:tr>
        <w:trPr>
          <w:trHeight w:val="199"/>
        </w:trPr>
        <w:tc>
          <w:tcPr>
            <w:tcW w:w="24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98"/>
              <w:spacing w:after="0"/>
              <w:rPr>
                <w:sz w:val="20"/>
                <w:szCs w:val="20"/>
                <w:color w:val="auto"/>
              </w:rPr>
            </w:pPr>
            <w:r>
              <w:rPr>
                <w:rFonts w:ascii="Arial" w:cs="Arial" w:eastAsia="Arial" w:hAnsi="Arial"/>
                <w:sz w:val="15"/>
                <w:szCs w:val="15"/>
                <w:b w:val="1"/>
                <w:bCs w:val="1"/>
                <w:color w:val="auto"/>
              </w:rPr>
              <w:t>700+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57"/>
              <w:spacing w:after="0"/>
              <w:rPr>
                <w:sz w:val="20"/>
                <w:szCs w:val="20"/>
                <w:color w:val="auto"/>
              </w:rPr>
            </w:pPr>
            <w:r>
              <w:rPr>
                <w:rFonts w:ascii="Arial" w:cs="Arial" w:eastAsia="Arial" w:hAnsi="Arial"/>
                <w:sz w:val="15"/>
                <w:szCs w:val="15"/>
                <w:b w:val="1"/>
                <w:bCs w:val="1"/>
                <w:color w:val="auto"/>
                <w:w w:val="97"/>
              </w:rPr>
              <w:t>600 - 699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center"/>
              <w:ind w:left="136"/>
              <w:spacing w:after="0"/>
              <w:rPr>
                <w:sz w:val="20"/>
                <w:szCs w:val="20"/>
                <w:color w:val="auto"/>
              </w:rPr>
            </w:pPr>
            <w:r>
              <w:rPr>
                <w:rFonts w:ascii="Arial" w:cs="Arial" w:eastAsia="Arial" w:hAnsi="Arial"/>
                <w:sz w:val="15"/>
                <w:szCs w:val="15"/>
                <w:b w:val="1"/>
                <w:bCs w:val="1"/>
                <w:color w:val="auto"/>
                <w:w w:val="94"/>
              </w:rPr>
              <w:t>&lt; 600</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ind w:left="60"/>
              <w:spacing w:after="0"/>
              <w:rPr>
                <w:sz w:val="20"/>
                <w:szCs w:val="20"/>
                <w:color w:val="auto"/>
              </w:rPr>
            </w:pPr>
            <w:r>
              <w:rPr>
                <w:rFonts w:ascii="Arial" w:cs="Arial" w:eastAsia="Arial" w:hAnsi="Arial"/>
                <w:sz w:val="15"/>
                <w:szCs w:val="15"/>
                <w:b w:val="1"/>
                <w:bCs w:val="1"/>
                <w:color w:val="auto"/>
              </w:rPr>
              <w:t>No Score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97"/>
              <w:spacing w:after="0"/>
              <w:rPr>
                <w:sz w:val="20"/>
                <w:szCs w:val="20"/>
                <w:color w:val="auto"/>
              </w:rPr>
            </w:pPr>
            <w:r>
              <w:rPr>
                <w:rFonts w:ascii="Arial" w:cs="Arial" w:eastAsia="Arial" w:hAnsi="Arial"/>
                <w:sz w:val="15"/>
                <w:szCs w:val="15"/>
                <w:b w:val="1"/>
                <w:bCs w:val="1"/>
                <w:color w:val="auto"/>
              </w:rPr>
              <w:t>Total</w:t>
            </w:r>
          </w:p>
        </w:tc>
      </w:tr>
      <w:tr>
        <w:trPr>
          <w:trHeight w:val="226"/>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gridSpan w:val="2"/>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4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Hyatt and Welk</w:t>
            </w: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36"/>
        </w:trPr>
        <w:tc>
          <w:tcPr>
            <w:tcW w:w="2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ind w:right="643"/>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93"/>
        </w:trPr>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1"/>
          </w:tcPr>
          <w:p>
            <w:pPr>
              <w:jc w:val="center"/>
              <w:ind w:right="137"/>
              <w:spacing w:after="0"/>
              <w:rPr>
                <w:sz w:val="20"/>
                <w:szCs w:val="20"/>
                <w:color w:val="auto"/>
              </w:rPr>
            </w:pPr>
            <w:r>
              <w:rPr>
                <w:rFonts w:ascii="Arial" w:cs="Arial" w:eastAsia="Arial" w:hAnsi="Arial"/>
                <w:sz w:val="15"/>
                <w:szCs w:val="15"/>
                <w:b w:val="1"/>
                <w:bCs w:val="1"/>
                <w:color w:val="auto"/>
                <w:w w:val="91"/>
              </w:rPr>
              <w:t>Acquired Vacation Ownership Notes Receivable as of December 31, 2022</w:t>
            </w:r>
          </w:p>
        </w:tc>
      </w:tr>
      <w:tr>
        <w:trPr>
          <w:trHeight w:val="199"/>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5"/>
                <w:szCs w:val="15"/>
                <w:b w:val="1"/>
                <w:bCs w:val="1"/>
                <w:color w:val="auto"/>
              </w:rPr>
              <w:t>700+</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5"/>
                <w:szCs w:val="15"/>
                <w:b w:val="1"/>
                <w:bCs w:val="1"/>
                <w:color w:val="auto"/>
              </w:rPr>
              <w:t>600 - 699</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ind w:left="183"/>
              <w:spacing w:after="0"/>
              <w:rPr>
                <w:sz w:val="20"/>
                <w:szCs w:val="20"/>
                <w:color w:val="auto"/>
              </w:rPr>
            </w:pPr>
            <w:r>
              <w:rPr>
                <w:rFonts w:ascii="Arial" w:cs="Arial" w:eastAsia="Arial" w:hAnsi="Arial"/>
                <w:sz w:val="15"/>
                <w:szCs w:val="15"/>
                <w:b w:val="1"/>
                <w:bCs w:val="1"/>
                <w:color w:val="auto"/>
                <w:w w:val="94"/>
              </w:rPr>
              <w:t>&lt; 600</w:t>
            </w: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No Score</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Total</w:t>
            </w:r>
          </w:p>
        </w:tc>
      </w:tr>
      <w:tr>
        <w:trPr>
          <w:trHeight w:val="226"/>
        </w:trPr>
        <w:tc>
          <w:tcPr>
            <w:tcW w:w="2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4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Hyatt and Welk</w:t>
            </w: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r>
      <w:tr>
        <w:trPr>
          <w:trHeight w:val="231"/>
        </w:trPr>
        <w:tc>
          <w:tcPr>
            <w:tcW w:w="24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3"/>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The following tables detail the origination year of our acquired vacation ownership notes receivable, before reserves, by brand and borrower FICO score as of September 30, 2023, and gross write-offs by brand for the first three quarters of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80" w:type="dxa"/>
            <w:vAlign w:val="bottom"/>
            <w:gridSpan w:val="14"/>
          </w:tcPr>
          <w:p>
            <w:pPr>
              <w:ind w:left="200"/>
              <w:spacing w:after="0"/>
              <w:rPr>
                <w:sz w:val="20"/>
                <w:szCs w:val="20"/>
                <w:color w:val="auto"/>
              </w:rPr>
            </w:pPr>
            <w:r>
              <w:rPr>
                <w:rFonts w:ascii="Arial" w:cs="Arial" w:eastAsia="Arial" w:hAnsi="Arial"/>
                <w:sz w:val="15"/>
                <w:szCs w:val="15"/>
                <w:b w:val="1"/>
                <w:bCs w:val="1"/>
                <w:color w:val="auto"/>
              </w:rPr>
              <w:t>Acquired Vacation Ownership Notes Receivable - Combined Marriott</w:t>
            </w:r>
          </w:p>
        </w:tc>
      </w:tr>
      <w:tr>
        <w:trPr>
          <w:trHeight w:val="199"/>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2019 &amp; Prior</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Total</w:t>
            </w:r>
          </w:p>
        </w:tc>
        <w:tc>
          <w:tcPr>
            <w:tcW w:w="2920" w:type="dxa"/>
            <w:vAlign w:val="bottom"/>
          </w:tcPr>
          <w:p>
            <w:pPr>
              <w:spacing w:after="0"/>
              <w:rPr>
                <w:sz w:val="17"/>
                <w:szCs w:val="17"/>
                <w:color w:val="auto"/>
              </w:rPr>
            </w:pPr>
          </w:p>
        </w:tc>
      </w:tr>
      <w:tr>
        <w:trPr>
          <w:trHeight w:val="226"/>
        </w:trPr>
        <w:tc>
          <w:tcPr>
            <w:tcW w:w="3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700</w:t>
            </w:r>
          </w:p>
        </w:tc>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920" w:type="dxa"/>
            <w:vAlign w:val="bottom"/>
          </w:tcPr>
          <w:p>
            <w:pPr>
              <w:spacing w:after="0"/>
              <w:rPr>
                <w:sz w:val="19"/>
                <w:szCs w:val="19"/>
                <w:color w:val="auto"/>
              </w:rPr>
            </w:pPr>
          </w:p>
        </w:tc>
      </w:tr>
      <w:tr>
        <w:trPr>
          <w:trHeight w:val="243"/>
        </w:trPr>
        <w:tc>
          <w:tcPr>
            <w:tcW w:w="300" w:type="dxa"/>
            <w:vAlign w:val="bottom"/>
          </w:tcPr>
          <w:p>
            <w:pPr>
              <w:ind w:left="20"/>
              <w:spacing w:after="0"/>
              <w:rPr>
                <w:sz w:val="20"/>
                <w:szCs w:val="20"/>
                <w:color w:val="auto"/>
              </w:rPr>
            </w:pPr>
            <w:r>
              <w:rPr>
                <w:rFonts w:ascii="Arial" w:cs="Arial" w:eastAsia="Arial" w:hAnsi="Arial"/>
                <w:sz w:val="17"/>
                <w:szCs w:val="17"/>
                <w:color w:val="auto"/>
                <w:w w:val="91"/>
              </w:rPr>
              <w:t>600</w:t>
            </w:r>
          </w:p>
        </w:tc>
        <w:tc>
          <w:tcPr>
            <w:tcW w:w="2480" w:type="dxa"/>
            <w:vAlign w:val="bottom"/>
          </w:tcPr>
          <w:p>
            <w:pPr>
              <w:ind w:left="20"/>
              <w:spacing w:after="0"/>
              <w:rPr>
                <w:sz w:val="20"/>
                <w:szCs w:val="20"/>
                <w:color w:val="auto"/>
              </w:rPr>
            </w:pPr>
            <w:r>
              <w:rPr>
                <w:rFonts w:ascii="Arial" w:cs="Arial" w:eastAsia="Arial" w:hAnsi="Arial"/>
                <w:sz w:val="17"/>
                <w:szCs w:val="17"/>
                <w:color w:val="auto"/>
              </w:rPr>
              <w:t>- 699</w:t>
            </w:r>
          </w:p>
        </w:tc>
        <w:tc>
          <w:tcPr>
            <w:tcW w:w="280" w:type="dxa"/>
            <w:vAlign w:val="bottom"/>
          </w:tcPr>
          <w:p>
            <w:pPr>
              <w:spacing w:after="0"/>
              <w:rPr>
                <w:sz w:val="21"/>
                <w:szCs w:val="21"/>
                <w:color w:val="auto"/>
              </w:rPr>
            </w:pPr>
          </w:p>
        </w:tc>
        <w:tc>
          <w:tcPr>
            <w:tcW w:w="1120" w:type="dxa"/>
            <w:vAlign w:val="bottom"/>
            <w:gridSpan w:val="3"/>
          </w:tcPr>
          <w:p>
            <w:pPr>
              <w:ind w:left="7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00" w:type="dxa"/>
            <w:vAlign w:val="bottom"/>
            <w:gridSpan w:val="3"/>
          </w:tcPr>
          <w:p>
            <w:pPr>
              <w:ind w:left="7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w:t>
            </w:r>
          </w:p>
        </w:tc>
        <w:tc>
          <w:tcPr>
            <w:tcW w:w="2920" w:type="dxa"/>
            <w:vAlign w:val="bottom"/>
          </w:tcPr>
          <w:p>
            <w:pPr>
              <w:spacing w:after="0"/>
              <w:rPr>
                <w:sz w:val="21"/>
                <w:szCs w:val="21"/>
                <w:color w:val="auto"/>
              </w:rPr>
            </w:pPr>
          </w:p>
        </w:tc>
      </w:tr>
      <w:tr>
        <w:trPr>
          <w:trHeight w:val="245"/>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&lt; 600</w:t>
            </w:r>
          </w:p>
        </w:tc>
        <w:tc>
          <w:tcPr>
            <w:tcW w:w="2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920" w:type="dxa"/>
            <w:vAlign w:val="bottom"/>
          </w:tcPr>
          <w:p>
            <w:pPr>
              <w:spacing w:after="0"/>
              <w:rPr>
                <w:sz w:val="21"/>
                <w:szCs w:val="21"/>
                <w:color w:val="auto"/>
              </w:rPr>
            </w:pPr>
          </w:p>
        </w:tc>
      </w:tr>
      <w:tr>
        <w:trPr>
          <w:trHeight w:val="243"/>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No Score</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920" w:type="dxa"/>
            <w:vAlign w:val="bottom"/>
          </w:tcPr>
          <w:p>
            <w:pPr>
              <w:spacing w:after="0"/>
              <w:rPr>
                <w:sz w:val="21"/>
                <w:szCs w:val="21"/>
                <w:color w:val="auto"/>
              </w:rPr>
            </w:pPr>
          </w:p>
        </w:tc>
      </w:tr>
      <w:tr>
        <w:trPr>
          <w:trHeight w:val="231"/>
        </w:trPr>
        <w:tc>
          <w:tcPr>
            <w:tcW w:w="3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2920" w:type="dxa"/>
            <w:vAlign w:val="bottom"/>
          </w:tcPr>
          <w:p>
            <w:pPr>
              <w:spacing w:after="0"/>
              <w:rPr>
                <w:sz w:val="20"/>
                <w:szCs w:val="20"/>
                <w:color w:val="auto"/>
              </w:rPr>
            </w:pPr>
          </w:p>
        </w:tc>
      </w:tr>
      <w:tr>
        <w:trPr>
          <w:trHeight w:val="20"/>
        </w:trPr>
        <w:tc>
          <w:tcPr>
            <w:tcW w:w="27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00"/>
        </w:trPr>
        <w:tc>
          <w:tcPr>
            <w:tcW w:w="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920" w:type="dxa"/>
            <w:vAlign w:val="bottom"/>
          </w:tcPr>
          <w:p>
            <w:pPr>
              <w:spacing w:after="0"/>
              <w:rPr>
                <w:sz w:val="8"/>
                <w:szCs w:val="8"/>
                <w:color w:val="auto"/>
              </w:rPr>
            </w:pPr>
          </w:p>
        </w:tc>
      </w:tr>
      <w:tr>
        <w:trPr>
          <w:trHeight w:val="244"/>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write-offs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2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0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920" w:type="dxa"/>
            <w:vAlign w:val="bottom"/>
          </w:tcPr>
          <w:p>
            <w:pPr>
              <w:spacing w:after="0"/>
              <w:rPr>
                <w:sz w:val="21"/>
                <w:szCs w:val="21"/>
                <w:color w:val="auto"/>
              </w:rPr>
            </w:pPr>
          </w:p>
        </w:tc>
      </w:tr>
      <w:tr>
        <w:trPr>
          <w:trHeight w:val="370"/>
        </w:trPr>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80" w:type="dxa"/>
            <w:vAlign w:val="bottom"/>
            <w:gridSpan w:val="14"/>
          </w:tcPr>
          <w:p>
            <w:pPr>
              <w:ind w:left="320"/>
              <w:spacing w:after="0"/>
              <w:rPr>
                <w:sz w:val="20"/>
                <w:szCs w:val="20"/>
                <w:color w:val="auto"/>
              </w:rPr>
            </w:pPr>
            <w:r>
              <w:rPr>
                <w:rFonts w:ascii="Arial" w:cs="Arial" w:eastAsia="Arial" w:hAnsi="Arial"/>
                <w:sz w:val="15"/>
                <w:szCs w:val="15"/>
                <w:b w:val="1"/>
                <w:bCs w:val="1"/>
                <w:color w:val="auto"/>
              </w:rPr>
              <w:t>Acquired Vacation Ownership Notes Receivable - Hyatt and Welk</w:t>
            </w:r>
          </w:p>
        </w:tc>
      </w:tr>
      <w:tr>
        <w:trPr>
          <w:trHeight w:val="199"/>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2019 &amp; Prior</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5"/>
                <w:szCs w:val="15"/>
                <w:b w:val="1"/>
                <w:bCs w:val="1"/>
                <w:color w:val="auto"/>
              </w:rPr>
              <w:t>Total</w:t>
            </w:r>
          </w:p>
        </w:tc>
        <w:tc>
          <w:tcPr>
            <w:tcW w:w="2920" w:type="dxa"/>
            <w:vAlign w:val="bottom"/>
          </w:tcPr>
          <w:p>
            <w:pPr>
              <w:spacing w:after="0"/>
              <w:rPr>
                <w:sz w:val="17"/>
                <w:szCs w:val="17"/>
                <w:color w:val="auto"/>
              </w:rPr>
            </w:pPr>
          </w:p>
        </w:tc>
      </w:tr>
      <w:tr>
        <w:trPr>
          <w:trHeight w:val="226"/>
        </w:trPr>
        <w:tc>
          <w:tcPr>
            <w:tcW w:w="3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700</w:t>
            </w:r>
          </w:p>
        </w:tc>
        <w:tc>
          <w:tcPr>
            <w:tcW w:w="2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2920" w:type="dxa"/>
            <w:vAlign w:val="bottom"/>
          </w:tcPr>
          <w:p>
            <w:pPr>
              <w:spacing w:after="0"/>
              <w:rPr>
                <w:sz w:val="19"/>
                <w:szCs w:val="19"/>
                <w:color w:val="auto"/>
              </w:rPr>
            </w:pPr>
          </w:p>
        </w:tc>
      </w:tr>
      <w:tr>
        <w:trPr>
          <w:trHeight w:val="243"/>
        </w:trPr>
        <w:tc>
          <w:tcPr>
            <w:tcW w:w="300" w:type="dxa"/>
            <w:vAlign w:val="bottom"/>
          </w:tcPr>
          <w:p>
            <w:pPr>
              <w:ind w:left="20"/>
              <w:spacing w:after="0"/>
              <w:rPr>
                <w:sz w:val="20"/>
                <w:szCs w:val="20"/>
                <w:color w:val="auto"/>
              </w:rPr>
            </w:pPr>
            <w:r>
              <w:rPr>
                <w:rFonts w:ascii="Arial" w:cs="Arial" w:eastAsia="Arial" w:hAnsi="Arial"/>
                <w:sz w:val="17"/>
                <w:szCs w:val="17"/>
                <w:color w:val="auto"/>
                <w:w w:val="91"/>
              </w:rPr>
              <w:t>600</w:t>
            </w:r>
          </w:p>
        </w:tc>
        <w:tc>
          <w:tcPr>
            <w:tcW w:w="2480" w:type="dxa"/>
            <w:vAlign w:val="bottom"/>
          </w:tcPr>
          <w:p>
            <w:pPr>
              <w:ind w:left="20"/>
              <w:spacing w:after="0"/>
              <w:rPr>
                <w:sz w:val="20"/>
                <w:szCs w:val="20"/>
                <w:color w:val="auto"/>
              </w:rPr>
            </w:pPr>
            <w:r>
              <w:rPr>
                <w:rFonts w:ascii="Arial" w:cs="Arial" w:eastAsia="Arial" w:hAnsi="Arial"/>
                <w:sz w:val="17"/>
                <w:szCs w:val="17"/>
                <w:color w:val="auto"/>
              </w:rPr>
              <w:t>- 699</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w:t>
            </w:r>
          </w:p>
        </w:tc>
        <w:tc>
          <w:tcPr>
            <w:tcW w:w="2920" w:type="dxa"/>
            <w:vAlign w:val="bottom"/>
          </w:tcPr>
          <w:p>
            <w:pPr>
              <w:spacing w:after="0"/>
              <w:rPr>
                <w:sz w:val="21"/>
                <w:szCs w:val="21"/>
                <w:color w:val="auto"/>
              </w:rPr>
            </w:pPr>
          </w:p>
        </w:tc>
      </w:tr>
      <w:tr>
        <w:trPr>
          <w:trHeight w:val="245"/>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&lt; 600</w:t>
            </w:r>
          </w:p>
        </w:tc>
        <w:tc>
          <w:tcPr>
            <w:tcW w:w="28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21"/>
                <w:szCs w:val="21"/>
                <w:color w:val="auto"/>
              </w:rPr>
            </w:pPr>
          </w:p>
        </w:tc>
      </w:tr>
      <w:tr>
        <w:trPr>
          <w:trHeight w:val="243"/>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No Score</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21"/>
                <w:szCs w:val="21"/>
                <w:color w:val="auto"/>
              </w:rPr>
            </w:pPr>
          </w:p>
        </w:tc>
      </w:tr>
      <w:tr>
        <w:trPr>
          <w:trHeight w:val="231"/>
        </w:trPr>
        <w:tc>
          <w:tcPr>
            <w:tcW w:w="3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920" w:type="dxa"/>
            <w:vAlign w:val="bottom"/>
          </w:tcPr>
          <w:p>
            <w:pPr>
              <w:spacing w:after="0"/>
              <w:rPr>
                <w:sz w:val="20"/>
                <w:szCs w:val="20"/>
                <w:color w:val="auto"/>
              </w:rPr>
            </w:pPr>
          </w:p>
        </w:tc>
      </w:tr>
      <w:tr>
        <w:trPr>
          <w:trHeight w:val="20"/>
        </w:trPr>
        <w:tc>
          <w:tcPr>
            <w:tcW w:w="27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00"/>
        </w:trPr>
        <w:tc>
          <w:tcPr>
            <w:tcW w:w="3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920" w:type="dxa"/>
            <w:vAlign w:val="bottom"/>
          </w:tcPr>
          <w:p>
            <w:pPr>
              <w:spacing w:after="0"/>
              <w:rPr>
                <w:sz w:val="8"/>
                <w:szCs w:val="8"/>
                <w:color w:val="auto"/>
              </w:rPr>
            </w:pPr>
          </w:p>
        </w:tc>
      </w:tr>
      <w:tr>
        <w:trPr>
          <w:trHeight w:val="244"/>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write-offs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920" w:type="dxa"/>
            <w:vAlign w:val="bottom"/>
          </w:tcPr>
          <w:p>
            <w:pPr>
              <w:spacing w:after="0"/>
              <w:rPr>
                <w:sz w:val="21"/>
                <w:szCs w:val="21"/>
                <w:color w:val="auto"/>
              </w:rPr>
            </w:pPr>
          </w:p>
        </w:tc>
      </w:tr>
      <w:tr>
        <w:trPr>
          <w:trHeight w:val="551"/>
        </w:trPr>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796"/>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3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Originated Vacation Ownership Notes Receivable</w:t>
      </w:r>
    </w:p>
    <w:p>
      <w:pPr>
        <w:spacing w:after="0" w:line="113"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September 30,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580" w:type="dxa"/>
            <w:vAlign w:val="bottom"/>
            <w:tcBorders>
              <w:bottom w:val="single" w:sz="8" w:color="auto"/>
            </w:tcBorders>
            <w:gridSpan w:val="7"/>
          </w:tcPr>
          <w:p>
            <w:pPr>
              <w:jc w:val="center"/>
              <w:ind w:right="75"/>
              <w:spacing w:after="0"/>
              <w:rPr>
                <w:sz w:val="20"/>
                <w:szCs w:val="20"/>
                <w:color w:val="auto"/>
              </w:rPr>
            </w:pPr>
            <w:r>
              <w:rPr>
                <w:rFonts w:ascii="Arial" w:cs="Arial" w:eastAsia="Arial" w:hAnsi="Arial"/>
                <w:sz w:val="15"/>
                <w:szCs w:val="15"/>
                <w:b w:val="1"/>
                <w:bCs w:val="1"/>
                <w:color w:val="auto"/>
                <w:w w:val="92"/>
              </w:rPr>
              <w:t>Originated Vacation Ownership Notes Receivable</w:t>
            </w:r>
          </w:p>
        </w:tc>
        <w:tc>
          <w:tcPr>
            <w:tcW w:w="0" w:type="dxa"/>
            <w:vAlign w:val="bottom"/>
          </w:tcPr>
          <w:p>
            <w:pPr>
              <w:spacing w:after="0"/>
              <w:rPr>
                <w:sz w:val="1"/>
                <w:szCs w:val="1"/>
                <w:color w:val="auto"/>
              </w:rPr>
            </w:pPr>
          </w:p>
        </w:tc>
      </w:tr>
      <w:tr>
        <w:trPr>
          <w:trHeight w:val="199"/>
        </w:trPr>
        <w:tc>
          <w:tcPr>
            <w:tcW w:w="3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Non-Securitized</w:t>
            </w:r>
          </w:p>
        </w:tc>
        <w:tc>
          <w:tcPr>
            <w:tcW w:w="18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2"/>
              </w:rPr>
              <w:t>Securitized</w:t>
            </w:r>
          </w:p>
        </w:tc>
        <w:tc>
          <w:tcPr>
            <w:tcW w:w="160" w:type="dxa"/>
            <w:vAlign w:val="bottom"/>
          </w:tcPr>
          <w:p>
            <w:pPr>
              <w:spacing w:after="0"/>
              <w:rPr>
                <w:sz w:val="17"/>
                <w:szCs w:val="17"/>
                <w:color w:val="auto"/>
              </w:rPr>
            </w:pPr>
          </w:p>
        </w:tc>
        <w:tc>
          <w:tcPr>
            <w:tcW w:w="1320" w:type="dxa"/>
            <w:vAlign w:val="bottom"/>
          </w:tcPr>
          <w:p>
            <w:pPr>
              <w:jc w:val="center"/>
              <w:ind w:right="95"/>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22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 remaining</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7"/>
                <w:szCs w:val="17"/>
                <w:color w:val="auto"/>
              </w:rPr>
              <w:t>2024</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7"/>
                <w:szCs w:val="17"/>
                <w:color w:val="auto"/>
              </w:rPr>
              <w:t>2026</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1,311</w:t>
            </w: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September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stated interest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center"/>
              <w:ind w:right="96"/>
              <w:spacing w:after="0" w:line="189" w:lineRule="exact"/>
              <w:rPr>
                <w:sz w:val="20"/>
                <w:szCs w:val="20"/>
                <w:color w:val="auto"/>
              </w:rPr>
            </w:pPr>
            <w:r>
              <w:rPr>
                <w:rFonts w:ascii="Arial" w:cs="Arial" w:eastAsia="Arial" w:hAnsi="Arial"/>
                <w:sz w:val="17"/>
                <w:szCs w:val="17"/>
                <w:color w:val="auto"/>
                <w:w w:val="91"/>
              </w:rPr>
              <w:t>12.1%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75"/>
              <w:spacing w:after="0" w:line="189" w:lineRule="exact"/>
              <w:rPr>
                <w:sz w:val="20"/>
                <w:szCs w:val="20"/>
                <w:color w:val="auto"/>
              </w:rPr>
            </w:pPr>
            <w:r>
              <w:rPr>
                <w:rFonts w:ascii="Arial" w:cs="Arial" w:eastAsia="Arial" w:hAnsi="Arial"/>
                <w:sz w:val="17"/>
                <w:szCs w:val="17"/>
                <w:color w:val="auto"/>
                <w:w w:val="91"/>
              </w:rPr>
              <w:t>13.2%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5"/>
              <w:spacing w:after="0" w:line="189" w:lineRule="exact"/>
              <w:rPr>
                <w:sz w:val="20"/>
                <w:szCs w:val="20"/>
                <w:color w:val="auto"/>
              </w:rPr>
            </w:pPr>
            <w:r>
              <w:rPr>
                <w:rFonts w:ascii="Arial" w:cs="Arial" w:eastAsia="Arial" w:hAnsi="Arial"/>
                <w:sz w:val="17"/>
                <w:szCs w:val="17"/>
                <w:color w:val="auto"/>
                <w:w w:val="91"/>
              </w:rPr>
              <w:t>13.0%</w:t>
            </w:r>
          </w:p>
        </w:tc>
        <w:tc>
          <w:tcPr>
            <w:tcW w:w="0" w:type="dxa"/>
            <w:vAlign w:val="bottom"/>
          </w:tcPr>
          <w:p>
            <w:pPr>
              <w:spacing w:after="0"/>
              <w:rPr>
                <w:sz w:val="1"/>
                <w:szCs w:val="1"/>
                <w:color w:val="auto"/>
              </w:rPr>
            </w:pPr>
          </w:p>
        </w:tc>
      </w:tr>
      <w:tr>
        <w:trPr>
          <w:trHeight w:val="245"/>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Range of stated interest rates</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center"/>
              <w:ind w:right="300"/>
              <w:spacing w:after="0"/>
              <w:rPr>
                <w:sz w:val="20"/>
                <w:szCs w:val="20"/>
                <w:color w:val="auto"/>
              </w:rPr>
            </w:pPr>
            <w:r>
              <w:rPr>
                <w:rFonts w:ascii="Arial" w:cs="Arial" w:eastAsia="Arial" w:hAnsi="Arial"/>
                <w:sz w:val="17"/>
                <w:szCs w:val="17"/>
                <w:color w:val="auto"/>
                <w:w w:val="90"/>
              </w:rPr>
              <w:t>0.0% to 20.9%</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7"/>
                <w:szCs w:val="17"/>
                <w:color w:val="auto"/>
                <w:w w:val="92"/>
              </w:rPr>
              <w:t>0.0% to 19.9%</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right="95"/>
              <w:spacing w:after="0"/>
              <w:rPr>
                <w:sz w:val="20"/>
                <w:szCs w:val="20"/>
                <w:color w:val="auto"/>
              </w:rPr>
            </w:pPr>
            <w:r>
              <w:rPr>
                <w:rFonts w:ascii="Arial" w:cs="Arial" w:eastAsia="Arial" w:hAnsi="Arial"/>
                <w:sz w:val="17"/>
                <w:szCs w:val="17"/>
                <w:color w:val="auto"/>
                <w:w w:val="92"/>
              </w:rPr>
              <w:t>0.0% to 20.9%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w:t>
      </w:r>
    </w:p>
    <w:p>
      <w:pPr>
        <w:spacing w:after="0" w:line="46"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Originated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2283460</wp:posOffset>
            </wp:positionH>
            <wp:positionV relativeFrom="paragraph">
              <wp:posOffset>21590</wp:posOffset>
            </wp:positionV>
            <wp:extent cx="29991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99105" cy="8255"/>
                    </a:xfrm>
                    <a:prstGeom prst="rect">
                      <a:avLst/>
                    </a:prstGeom>
                    <a:noFill/>
                  </pic:spPr>
                </pic:pic>
              </a:graphicData>
            </a:graphic>
          </wp:anchor>
        </w:drawing>
      </w:r>
    </w:p>
    <w:p>
      <w:pPr>
        <w:spacing w:after="0" w:line="51" w:lineRule="exact"/>
        <w:rPr>
          <w:sz w:val="20"/>
          <w:szCs w:val="20"/>
          <w:color w:val="auto"/>
        </w:rPr>
      </w:pPr>
    </w:p>
    <w:p>
      <w:pPr>
        <w:ind w:left="20"/>
        <w:spacing w:after="0"/>
        <w:tabs>
          <w:tab w:leader="none" w:pos="3800" w:val="left"/>
          <w:tab w:leader="none" w:pos="5580" w:val="left"/>
          <w:tab w:leader="none" w:pos="7400" w:val="left"/>
        </w:tabs>
        <w:rPr>
          <w:sz w:val="20"/>
          <w:szCs w:val="20"/>
          <w:color w:val="auto"/>
        </w:rPr>
      </w:pPr>
      <w:r>
        <w:rPr>
          <w:rFonts w:ascii="Arial" w:cs="Arial" w:eastAsia="Arial" w:hAnsi="Arial"/>
          <w:sz w:val="14"/>
          <w:szCs w:val="14"/>
          <w:b w:val="1"/>
          <w:bCs w:val="1"/>
          <w:i w:val="1"/>
          <w:iCs w:val="1"/>
          <w:color w:val="auto"/>
        </w:rPr>
        <w:t>($ in millions)</w:t>
      </w:r>
      <w:r>
        <w:rPr>
          <w:sz w:val="20"/>
          <w:szCs w:val="20"/>
          <w:color w:val="auto"/>
        </w:rPr>
        <w:tab/>
      </w:r>
      <w:r>
        <w:rPr>
          <w:rFonts w:ascii="Arial" w:cs="Arial" w:eastAsia="Arial" w:hAnsi="Arial"/>
          <w:sz w:val="15"/>
          <w:szCs w:val="15"/>
          <w:b w:val="1"/>
          <w:bCs w:val="1"/>
          <w:color w:val="auto"/>
        </w:rPr>
        <w:t>Non-Securitized</w:t>
      </w:r>
      <w:r>
        <w:rPr>
          <w:sz w:val="20"/>
          <w:szCs w:val="20"/>
          <w:color w:val="auto"/>
        </w:rPr>
        <w:tab/>
      </w:r>
      <w:r>
        <w:rPr>
          <w:rFonts w:ascii="Arial" w:cs="Arial" w:eastAsia="Arial" w:hAnsi="Arial"/>
          <w:sz w:val="15"/>
          <w:szCs w:val="15"/>
          <w:b w:val="1"/>
          <w:bCs w:val="1"/>
          <w:color w:val="auto"/>
        </w:rPr>
        <w:t>Securitized</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5280660" cy="154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80660" cy="15494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47" w:lineRule="exact"/>
        <w:rPr>
          <w:sz w:val="20"/>
          <w:szCs w:val="20"/>
          <w:color w:val="auto"/>
        </w:rPr>
      </w:pPr>
    </w:p>
    <w:p>
      <w:pPr>
        <w:ind w:left="20"/>
        <w:spacing w:after="0"/>
        <w:tabs>
          <w:tab w:leader="none" w:pos="3600" w:val="left"/>
        </w:tabs>
        <w:rPr>
          <w:sz w:val="20"/>
          <w:szCs w:val="20"/>
          <w:color w:val="auto"/>
        </w:rPr>
      </w:pPr>
      <w:r>
        <w:rPr>
          <w:rFonts w:ascii="Arial" w:cs="Arial" w:eastAsia="Arial" w:hAnsi="Arial"/>
          <w:sz w:val="17"/>
          <w:szCs w:val="17"/>
          <w:color w:val="auto"/>
        </w:rPr>
        <w:t>Balance at December 31, 2022</w:t>
      </w:r>
      <w:r>
        <w:rPr>
          <w:sz w:val="20"/>
          <w:szCs w:val="20"/>
          <w:color w:val="auto"/>
        </w:rPr>
        <w:tab/>
      </w:r>
      <w:r>
        <w:rPr>
          <w:rFonts w:ascii="Arial" w:cs="Arial" w:eastAsia="Arial" w:hAnsi="Arial"/>
          <w:sz w:val="14"/>
          <w:szCs w:val="14"/>
          <w:color w:val="auto"/>
        </w:rPr>
        <w:t>$</w:t>
      </w:r>
    </w:p>
    <w:p>
      <w:pPr>
        <w:spacing w:after="0" w:line="36" w:lineRule="exact"/>
        <w:rPr>
          <w:sz w:val="20"/>
          <w:szCs w:val="20"/>
          <w:color w:val="auto"/>
        </w:rPr>
      </w:pPr>
    </w:p>
    <w:p>
      <w:pPr>
        <w:ind w:left="100" w:right="580"/>
        <w:spacing w:after="0" w:line="235" w:lineRule="auto"/>
        <w:rPr>
          <w:sz w:val="20"/>
          <w:szCs w:val="20"/>
          <w:color w:val="auto"/>
        </w:rPr>
      </w:pPr>
      <w:r>
        <w:rPr>
          <w:rFonts w:ascii="Arial" w:cs="Arial" w:eastAsia="Arial" w:hAnsi="Arial"/>
          <w:sz w:val="17"/>
          <w:szCs w:val="17"/>
          <w:color w:val="auto"/>
        </w:rPr>
        <w:t>Increase in vacation ownership notes receivable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280660" cy="154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80660" cy="154940"/>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Securitizations</w:t>
      </w:r>
    </w:p>
    <w:p>
      <w:pPr>
        <w:spacing w:after="0" w:line="4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Clean-up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5280660" cy="154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80660" cy="154940"/>
                    </a:xfrm>
                    <a:prstGeom prst="rect">
                      <a:avLst/>
                    </a:prstGeom>
                    <a:noFill/>
                  </pic:spPr>
                </pic:pic>
              </a:graphicData>
            </a:graphic>
          </wp:anchor>
        </w:drawing>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Write-offs</w:t>
      </w:r>
    </w:p>
    <w:p>
      <w:pPr>
        <w:spacing w:after="0" w:line="36" w:lineRule="exact"/>
        <w:rPr>
          <w:sz w:val="20"/>
          <w:szCs w:val="20"/>
          <w:color w:val="auto"/>
        </w:rPr>
      </w:pPr>
    </w:p>
    <w:p>
      <w:pPr>
        <w:ind w:left="100" w:right="640"/>
        <w:spacing w:after="0" w:line="235" w:lineRule="auto"/>
        <w:rPr>
          <w:sz w:val="20"/>
          <w:szCs w:val="20"/>
          <w:color w:val="auto"/>
        </w:rPr>
      </w:pPr>
      <w:r>
        <w:rPr>
          <w:rFonts w:ascii="Arial" w:cs="Arial" w:eastAsia="Arial" w:hAnsi="Arial"/>
          <w:sz w:val="17"/>
          <w:szCs w:val="17"/>
          <w:color w:val="auto"/>
        </w:rPr>
        <w:t>Defaulted vacation ownership notes receivable repurchase activity</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528066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80660" cy="16319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3600" w:val="left"/>
        </w:tabs>
        <w:rPr>
          <w:sz w:val="20"/>
          <w:szCs w:val="20"/>
          <w:color w:val="auto"/>
        </w:rPr>
      </w:pPr>
      <w:r>
        <w:rPr>
          <w:rFonts w:ascii="Arial" w:cs="Arial" w:eastAsia="Arial" w:hAnsi="Arial"/>
          <w:sz w:val="17"/>
          <w:szCs w:val="17"/>
          <w:color w:val="auto"/>
        </w:rPr>
        <w:t>Balance at September 30, 2023</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jc w:val="right"/>
              <w:ind w:right="114"/>
              <w:spacing w:after="0"/>
              <w:rPr>
                <w:sz w:val="20"/>
                <w:szCs w:val="20"/>
                <w:color w:val="auto"/>
              </w:rPr>
            </w:pPr>
            <w:r>
              <w:rPr>
                <w:rFonts w:ascii="Arial" w:cs="Arial" w:eastAsia="Arial" w:hAnsi="Arial"/>
                <w:sz w:val="17"/>
                <w:szCs w:val="17"/>
                <w:color w:val="auto"/>
              </w:rPr>
              <w:t>149</w:t>
            </w:r>
          </w:p>
        </w:tc>
        <w:tc>
          <w:tcPr>
            <w:tcW w:w="640" w:type="dxa"/>
            <w:vAlign w:val="bottom"/>
          </w:tcPr>
          <w:p>
            <w:pPr>
              <w:jc w:val="right"/>
              <w:ind w:right="45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213</w:t>
            </w:r>
          </w:p>
        </w:tc>
        <w:tc>
          <w:tcPr>
            <w:tcW w:w="140" w:type="dxa"/>
            <w:vAlign w:val="bottom"/>
          </w:tcPr>
          <w:p>
            <w:pPr>
              <w:spacing w:after="0"/>
              <w:rPr>
                <w:sz w:val="18"/>
                <w:szCs w:val="18"/>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362</w:t>
            </w:r>
          </w:p>
        </w:tc>
      </w:tr>
      <w:tr>
        <w:trPr>
          <w:trHeight w:val="398"/>
        </w:trPr>
        <w:tc>
          <w:tcPr>
            <w:tcW w:w="540" w:type="dxa"/>
            <w:vAlign w:val="bottom"/>
          </w:tcPr>
          <w:p>
            <w:pPr>
              <w:jc w:val="right"/>
              <w:ind w:right="114"/>
              <w:spacing w:after="0"/>
              <w:rPr>
                <w:sz w:val="20"/>
                <w:szCs w:val="20"/>
                <w:color w:val="auto"/>
              </w:rPr>
            </w:pPr>
            <w:r>
              <w:rPr>
                <w:rFonts w:ascii="Arial" w:cs="Arial" w:eastAsia="Arial" w:hAnsi="Arial"/>
                <w:sz w:val="17"/>
                <w:szCs w:val="17"/>
                <w:color w:val="auto"/>
              </w:rPr>
              <w:t>162</w:t>
            </w: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183</w:t>
            </w:r>
          </w:p>
        </w:tc>
      </w:tr>
      <w:tr>
        <w:trPr>
          <w:trHeight w:val="244"/>
        </w:trPr>
        <w:tc>
          <w:tcPr>
            <w:tcW w:w="540" w:type="dxa"/>
            <w:vAlign w:val="bottom"/>
          </w:tcPr>
          <w:p>
            <w:pPr>
              <w:jc w:val="right"/>
              <w:ind w:right="74"/>
              <w:spacing w:after="0"/>
              <w:rPr>
                <w:sz w:val="20"/>
                <w:szCs w:val="20"/>
                <w:color w:val="auto"/>
              </w:rPr>
            </w:pPr>
            <w:r>
              <w:rPr>
                <w:rFonts w:ascii="Arial" w:cs="Arial" w:eastAsia="Arial" w:hAnsi="Arial"/>
                <w:sz w:val="17"/>
                <w:szCs w:val="17"/>
                <w:color w:val="auto"/>
                <w:w w:val="90"/>
              </w:rPr>
              <w:t>(126)</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126</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4"/>
        </w:trPr>
        <w:tc>
          <w:tcPr>
            <w:tcW w:w="540" w:type="dxa"/>
            <w:vAlign w:val="bottom"/>
          </w:tcPr>
          <w:p>
            <w:pPr>
              <w:jc w:val="right"/>
              <w:ind w:right="114"/>
              <w:spacing w:after="0"/>
              <w:rPr>
                <w:sz w:val="20"/>
                <w:szCs w:val="20"/>
                <w:color w:val="auto"/>
              </w:rPr>
            </w:pPr>
            <w:r>
              <w:rPr>
                <w:rFonts w:ascii="Arial" w:cs="Arial" w:eastAsia="Arial" w:hAnsi="Arial"/>
                <w:sz w:val="17"/>
                <w:szCs w:val="17"/>
                <w:color w:val="auto"/>
              </w:rPr>
              <w:t>43</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4"/>
        </w:trPr>
        <w:tc>
          <w:tcPr>
            <w:tcW w:w="540" w:type="dxa"/>
            <w:vAlign w:val="bottom"/>
          </w:tcPr>
          <w:p>
            <w:pPr>
              <w:jc w:val="right"/>
              <w:ind w:right="74"/>
              <w:spacing w:after="0"/>
              <w:rPr>
                <w:sz w:val="20"/>
                <w:szCs w:val="20"/>
                <w:color w:val="auto"/>
              </w:rPr>
            </w:pPr>
            <w:r>
              <w:rPr>
                <w:rFonts w:ascii="Arial" w:cs="Arial" w:eastAsia="Arial" w:hAnsi="Arial"/>
                <w:sz w:val="17"/>
                <w:szCs w:val="17"/>
                <w:color w:val="auto"/>
              </w:rPr>
              <w:t>(88)</w:t>
            </w:r>
          </w:p>
        </w:tc>
        <w:tc>
          <w:tcPr>
            <w:tcW w:w="6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398"/>
        </w:trPr>
        <w:tc>
          <w:tcPr>
            <w:tcW w:w="540" w:type="dxa"/>
            <w:vAlign w:val="bottom"/>
          </w:tcPr>
          <w:p>
            <w:pPr>
              <w:jc w:val="right"/>
              <w:ind w:right="114"/>
              <w:spacing w:after="0"/>
              <w:rPr>
                <w:sz w:val="20"/>
                <w:szCs w:val="20"/>
                <w:color w:val="auto"/>
              </w:rPr>
            </w:pPr>
            <w:r>
              <w:rPr>
                <w:rFonts w:ascii="Arial" w:cs="Arial" w:eastAsia="Arial" w:hAnsi="Arial"/>
                <w:sz w:val="17"/>
                <w:szCs w:val="17"/>
                <w:color w:val="auto"/>
              </w:rPr>
              <w:t>76</w:t>
            </w:r>
          </w:p>
        </w:tc>
        <w:tc>
          <w:tcPr>
            <w:tcW w:w="6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540" w:type="dxa"/>
            <w:vAlign w:val="bottom"/>
          </w:tcPr>
          <w:p>
            <w:pPr>
              <w:jc w:val="right"/>
              <w:ind w:right="114"/>
              <w:spacing w:after="0"/>
              <w:rPr>
                <w:sz w:val="20"/>
                <w:szCs w:val="20"/>
                <w:color w:val="auto"/>
              </w:rPr>
            </w:pPr>
            <w:r>
              <w:rPr>
                <w:rFonts w:ascii="Arial" w:cs="Arial" w:eastAsia="Arial" w:hAnsi="Arial"/>
                <w:sz w:val="17"/>
                <w:szCs w:val="17"/>
                <w:color w:val="auto"/>
              </w:rPr>
              <w:t>216</w:t>
            </w:r>
          </w:p>
        </w:tc>
        <w:tc>
          <w:tcPr>
            <w:tcW w:w="6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w:t>
            </w:r>
          </w:p>
        </w:tc>
      </w:tr>
      <w:tr>
        <w:trPr>
          <w:trHeight w:val="20"/>
        </w:trPr>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-7620</wp:posOffset>
            </wp:positionV>
            <wp:extent cx="9537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53770" cy="825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3960" w:space="720"/>
            <w:col w:w="6560"/>
          </w:cols>
          <w:pgMar w:left="320" w:top="230" w:right="339" w:bottom="1440" w:gutter="0" w:footer="0" w:header="0"/>
          <w:type w:val="continuous"/>
        </w:sectPr>
      </w:pPr>
    </w:p>
    <w:p>
      <w:pPr>
        <w:jc w:val="both"/>
        <w:ind w:left="320" w:right="3600" w:hanging="300"/>
        <w:spacing w:after="0" w:line="233" w:lineRule="auto"/>
        <w:tabs>
          <w:tab w:leader="none" w:pos="30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show originated vacation ownership notes receivable, before reserves, by brand and borrower FICO score.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60" w:type="dxa"/>
            <w:vAlign w:val="bottom"/>
            <w:gridSpan w:val="22"/>
          </w:tcPr>
          <w:p>
            <w:pPr>
              <w:jc w:val="center"/>
              <w:ind w:right="3200"/>
              <w:spacing w:after="0"/>
              <w:rPr>
                <w:sz w:val="20"/>
                <w:szCs w:val="20"/>
                <w:color w:val="auto"/>
              </w:rPr>
            </w:pPr>
            <w:r>
              <w:rPr>
                <w:rFonts w:ascii="Arial" w:cs="Arial" w:eastAsia="Arial" w:hAnsi="Arial"/>
                <w:sz w:val="15"/>
                <w:szCs w:val="15"/>
                <w:b w:val="1"/>
                <w:bCs w:val="1"/>
                <w:color w:val="auto"/>
                <w:w w:val="91"/>
              </w:rPr>
              <w:t>Originated Vacation Ownership Notes Receivable as of September 30, 2023</w:t>
            </w:r>
          </w:p>
        </w:tc>
      </w:tr>
      <w:tr>
        <w:trPr>
          <w:trHeight w:val="19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5"/>
                <w:szCs w:val="15"/>
                <w:b w:val="1"/>
                <w:bCs w:val="1"/>
                <w:color w:val="auto"/>
              </w:rPr>
              <w:t>700 +</w:t>
            </w:r>
          </w:p>
        </w:tc>
        <w:tc>
          <w:tcPr>
            <w:tcW w:w="6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5"/>
                <w:szCs w:val="15"/>
                <w:b w:val="1"/>
                <w:bCs w:val="1"/>
                <w:color w:val="auto"/>
                <w:w w:val="97"/>
              </w:rPr>
              <w:t>600 - 699</w:t>
            </w:r>
          </w:p>
        </w:tc>
        <w:tc>
          <w:tcPr>
            <w:tcW w:w="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center"/>
              <w:ind w:right="97"/>
              <w:spacing w:after="0"/>
              <w:rPr>
                <w:sz w:val="20"/>
                <w:szCs w:val="20"/>
                <w:color w:val="auto"/>
              </w:rPr>
            </w:pPr>
            <w:r>
              <w:rPr>
                <w:rFonts w:ascii="Arial" w:cs="Arial" w:eastAsia="Arial" w:hAnsi="Arial"/>
                <w:sz w:val="15"/>
                <w:szCs w:val="15"/>
                <w:b w:val="1"/>
                <w:bCs w:val="1"/>
                <w:color w:val="auto"/>
                <w:w w:val="94"/>
              </w:rPr>
              <w:t>&lt; 600</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5"/>
                <w:szCs w:val="15"/>
                <w:b w:val="1"/>
                <w:bCs w:val="1"/>
                <w:color w:val="auto"/>
              </w:rPr>
              <w:t>No Score</w:t>
            </w:r>
          </w:p>
        </w:tc>
        <w:tc>
          <w:tcPr>
            <w:tcW w:w="140" w:type="dxa"/>
            <w:vAlign w:val="bottom"/>
            <w:tcBorders>
              <w:top w:val="single" w:sz="8" w:color="auto"/>
              <w:bottom w:val="single" w:sz="8" w:color="CCEEFF"/>
            </w:tcBorders>
            <w:gridSpan w:val="2"/>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Total</w:t>
            </w:r>
          </w:p>
        </w:tc>
        <w:tc>
          <w:tcPr>
            <w:tcW w:w="2920" w:type="dxa"/>
            <w:vAlign w:val="bottom"/>
          </w:tcPr>
          <w:p>
            <w:pPr>
              <w:spacing w:after="0"/>
              <w:rPr>
                <w:sz w:val="17"/>
                <w:szCs w:val="17"/>
                <w:color w:val="auto"/>
              </w:rPr>
            </w:pPr>
          </w:p>
        </w:tc>
      </w:tr>
      <w:tr>
        <w:trPr>
          <w:trHeight w:val="226"/>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34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307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2,307</w:t>
            </w:r>
          </w:p>
        </w:tc>
        <w:tc>
          <w:tcPr>
            <w:tcW w:w="2920" w:type="dxa"/>
            <w:vAlign w:val="bottom"/>
          </w:tcPr>
          <w:p>
            <w:pPr>
              <w:spacing w:after="0"/>
              <w:rPr>
                <w:sz w:val="19"/>
                <w:szCs w:val="19"/>
                <w:color w:val="auto"/>
              </w:rPr>
            </w:pPr>
          </w:p>
        </w:tc>
      </w:tr>
      <w:tr>
        <w:trPr>
          <w:trHeight w:val="24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Hyatt and Welk</w:t>
            </w: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4</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2920" w:type="dxa"/>
            <w:vAlign w:val="bottom"/>
          </w:tcPr>
          <w:p>
            <w:pPr>
              <w:spacing w:after="0"/>
              <w:rPr>
                <w:sz w:val="21"/>
                <w:szCs w:val="21"/>
                <w:color w:val="auto"/>
              </w:rPr>
            </w:pPr>
          </w:p>
        </w:tc>
      </w:tr>
      <w:tr>
        <w:trPr>
          <w:trHeight w:val="231"/>
        </w:trPr>
        <w:tc>
          <w:tcPr>
            <w:tcW w:w="24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rPr>
              <w:t>311</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2,565</w:t>
            </w:r>
          </w:p>
        </w:tc>
        <w:tc>
          <w:tcPr>
            <w:tcW w:w="292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431"/>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60" w:type="dxa"/>
            <w:vAlign w:val="bottom"/>
            <w:gridSpan w:val="22"/>
          </w:tcPr>
          <w:p>
            <w:pPr>
              <w:ind w:left="280"/>
              <w:spacing w:after="0"/>
              <w:rPr>
                <w:sz w:val="20"/>
                <w:szCs w:val="20"/>
                <w:color w:val="auto"/>
              </w:rPr>
            </w:pPr>
            <w:r>
              <w:rPr>
                <w:rFonts w:ascii="Arial" w:cs="Arial" w:eastAsia="Arial" w:hAnsi="Arial"/>
                <w:sz w:val="15"/>
                <w:szCs w:val="15"/>
                <w:b w:val="1"/>
                <w:bCs w:val="1"/>
                <w:color w:val="auto"/>
              </w:rPr>
              <w:t>Originated Vacation Ownership Notes Receivable as of December 31, 2022</w:t>
            </w:r>
          </w:p>
        </w:tc>
      </w:tr>
      <w:tr>
        <w:trPr>
          <w:trHeight w:val="199"/>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5"/>
                <w:szCs w:val="15"/>
                <w:b w:val="1"/>
                <w:bCs w:val="1"/>
                <w:color w:val="auto"/>
              </w:rPr>
              <w:t>700 +</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5"/>
                <w:szCs w:val="15"/>
                <w:b w:val="1"/>
                <w:bCs w:val="1"/>
                <w:color w:val="auto"/>
              </w:rPr>
              <w:t>600 - 699</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center"/>
              <w:ind w:right="57"/>
              <w:spacing w:after="0"/>
              <w:rPr>
                <w:sz w:val="20"/>
                <w:szCs w:val="20"/>
                <w:color w:val="auto"/>
              </w:rPr>
            </w:pPr>
            <w:r>
              <w:rPr>
                <w:rFonts w:ascii="Arial" w:cs="Arial" w:eastAsia="Arial" w:hAnsi="Arial"/>
                <w:sz w:val="15"/>
                <w:szCs w:val="15"/>
                <w:b w:val="1"/>
                <w:bCs w:val="1"/>
                <w:color w:val="auto"/>
                <w:w w:val="94"/>
              </w:rPr>
              <w:t>&lt; 600</w:t>
            </w:r>
          </w:p>
        </w:tc>
        <w:tc>
          <w:tcPr>
            <w:tcW w:w="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No Score</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Total</w:t>
            </w:r>
          </w:p>
        </w:tc>
        <w:tc>
          <w:tcPr>
            <w:tcW w:w="2920" w:type="dxa"/>
            <w:vAlign w:val="bottom"/>
          </w:tcPr>
          <w:p>
            <w:pPr>
              <w:spacing w:after="0"/>
              <w:rPr>
                <w:sz w:val="17"/>
                <w:szCs w:val="17"/>
                <w:color w:val="auto"/>
              </w:rPr>
            </w:pPr>
          </w:p>
        </w:tc>
      </w:tr>
      <w:tr>
        <w:trPr>
          <w:trHeight w:val="226"/>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Combined Marriott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34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278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w:t>
            </w:r>
          </w:p>
        </w:tc>
        <w:tc>
          <w:tcPr>
            <w:tcW w:w="2920" w:type="dxa"/>
            <w:vAlign w:val="bottom"/>
          </w:tcPr>
          <w:p>
            <w:pPr>
              <w:spacing w:after="0"/>
              <w:rPr>
                <w:sz w:val="19"/>
                <w:szCs w:val="19"/>
                <w:color w:val="auto"/>
              </w:rPr>
            </w:pPr>
          </w:p>
        </w:tc>
      </w:tr>
      <w:tr>
        <w:trPr>
          <w:trHeight w:val="24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Hyatt and Welk</w:t>
            </w: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2920" w:type="dxa"/>
            <w:vAlign w:val="bottom"/>
          </w:tcPr>
          <w:p>
            <w:pPr>
              <w:spacing w:after="0"/>
              <w:rPr>
                <w:sz w:val="21"/>
                <w:szCs w:val="21"/>
                <w:color w:val="auto"/>
              </w:rPr>
            </w:pPr>
          </w:p>
        </w:tc>
      </w:tr>
      <w:tr>
        <w:trPr>
          <w:trHeight w:val="231"/>
        </w:trPr>
        <w:tc>
          <w:tcPr>
            <w:tcW w:w="24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340" w:type="dxa"/>
            <w:vAlign w:val="bottom"/>
            <w:gridSpan w:val="5"/>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280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w:t>
            </w:r>
          </w:p>
        </w:tc>
        <w:tc>
          <w:tcPr>
            <w:tcW w:w="2920" w:type="dxa"/>
            <w:vAlign w:val="bottom"/>
          </w:tcPr>
          <w:p>
            <w:pPr>
              <w:spacing w:after="0"/>
              <w:rPr>
                <w:sz w:val="20"/>
                <w:szCs w:val="20"/>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3"/>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Arial" w:cs="Arial" w:eastAsia="Arial" w:hAnsi="Arial"/>
                <w:sz w:val="17"/>
                <w:szCs w:val="17"/>
                <w:color w:val="auto"/>
                <w:w w:val="84"/>
              </w:rPr>
              <w:t>17</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2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980"/>
        <w:spacing w:after="0" w:line="277" w:lineRule="auto"/>
        <w:rPr>
          <w:sz w:val="20"/>
          <w:szCs w:val="20"/>
          <w:color w:val="auto"/>
        </w:rPr>
      </w:pPr>
      <w:r>
        <w:rPr>
          <w:rFonts w:ascii="Arial" w:cs="Arial" w:eastAsia="Arial" w:hAnsi="Arial"/>
          <w:sz w:val="17"/>
          <w:szCs w:val="17"/>
          <w:color w:val="auto"/>
        </w:rPr>
        <w:t>The following tables detail the origination year of our originated vacation ownership notes receivable, before reserves, by brand and FICO score as of September 30, 2023, and gross write-offs by brand for the first three quarters of 2023.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720" w:type="dxa"/>
            <w:vAlign w:val="bottom"/>
            <w:tcBorders>
              <w:bottom w:val="single" w:sz="8" w:color="auto"/>
            </w:tcBorders>
            <w:gridSpan w:val="20"/>
          </w:tcPr>
          <w:p>
            <w:pPr>
              <w:jc w:val="center"/>
              <w:spacing w:after="0"/>
              <w:rPr>
                <w:sz w:val="20"/>
                <w:szCs w:val="20"/>
                <w:color w:val="auto"/>
              </w:rPr>
            </w:pPr>
            <w:r>
              <w:rPr>
                <w:rFonts w:ascii="Arial" w:cs="Arial" w:eastAsia="Arial" w:hAnsi="Arial"/>
                <w:sz w:val="15"/>
                <w:szCs w:val="15"/>
                <w:b w:val="1"/>
                <w:bCs w:val="1"/>
                <w:color w:val="auto"/>
                <w:w w:val="94"/>
              </w:rPr>
              <w:t>Originated Vacation Ownership Notes Receivable - Combined Marriott</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9"/>
        </w:trPr>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2022</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2019 &amp; Prior</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Total</w:t>
            </w:r>
          </w:p>
        </w:tc>
      </w:tr>
      <w:tr>
        <w:trPr>
          <w:trHeight w:val="226"/>
        </w:trPr>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700</w:t>
            </w:r>
          </w:p>
        </w:tc>
        <w:tc>
          <w:tcPr>
            <w:tcW w:w="1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360" w:type="dxa"/>
            <w:vAlign w:val="bottom"/>
            <w:gridSpan w:val="4"/>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w:t>
            </w:r>
          </w:p>
        </w:tc>
      </w:tr>
      <w:tr>
        <w:trPr>
          <w:trHeight w:val="243"/>
        </w:trPr>
        <w:tc>
          <w:tcPr>
            <w:tcW w:w="280" w:type="dxa"/>
            <w:vAlign w:val="bottom"/>
          </w:tcPr>
          <w:p>
            <w:pPr>
              <w:ind w:left="20"/>
              <w:spacing w:after="0"/>
              <w:rPr>
                <w:sz w:val="20"/>
                <w:szCs w:val="20"/>
                <w:color w:val="auto"/>
              </w:rPr>
            </w:pPr>
            <w:r>
              <w:rPr>
                <w:rFonts w:ascii="Arial" w:cs="Arial" w:eastAsia="Arial" w:hAnsi="Arial"/>
                <w:sz w:val="15"/>
                <w:szCs w:val="15"/>
                <w:color w:val="auto"/>
                <w:w w:val="95"/>
              </w:rPr>
              <w:t>600</w:t>
            </w:r>
          </w:p>
        </w:tc>
        <w:tc>
          <w:tcPr>
            <w:tcW w:w="1180" w:type="dxa"/>
            <w:vAlign w:val="bottom"/>
          </w:tcPr>
          <w:p>
            <w:pPr>
              <w:spacing w:after="0"/>
              <w:rPr>
                <w:sz w:val="20"/>
                <w:szCs w:val="20"/>
                <w:color w:val="auto"/>
              </w:rPr>
            </w:pPr>
            <w:r>
              <w:rPr>
                <w:rFonts w:ascii="Arial" w:cs="Arial" w:eastAsia="Arial" w:hAnsi="Arial"/>
                <w:sz w:val="15"/>
                <w:szCs w:val="15"/>
                <w:color w:val="auto"/>
              </w:rPr>
              <w:t>- 699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602</w:t>
            </w:r>
          </w:p>
        </w:tc>
      </w:tr>
      <w:tr>
        <w:trPr>
          <w:trHeight w:val="245"/>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11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43"/>
        </w:trPr>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No Score</w:t>
            </w: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29</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w:t>
            </w:r>
          </w:p>
        </w:tc>
      </w:tr>
      <w:tr>
        <w:trPr>
          <w:trHeight w:val="231"/>
        </w:trPr>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360" w:type="dxa"/>
            <w:vAlign w:val="bottom"/>
            <w:gridSpan w:val="4"/>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2,307</w:t>
            </w:r>
          </w:p>
        </w:tc>
      </w:tr>
      <w:tr>
        <w:trPr>
          <w:trHeight w:val="20"/>
        </w:trPr>
        <w:tc>
          <w:tcPr>
            <w:tcW w:w="14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4"/>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write-offs</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60" w:type="dxa"/>
            <w:vAlign w:val="bottom"/>
            <w:gridSpan w:val="4"/>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22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421"/>
        </w:trPr>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18"/>
          </w:tcPr>
          <w:p>
            <w:pPr>
              <w:jc w:val="center"/>
              <w:ind w:right="80"/>
              <w:spacing w:after="0"/>
              <w:rPr>
                <w:sz w:val="20"/>
                <w:szCs w:val="20"/>
                <w:color w:val="auto"/>
              </w:rPr>
            </w:pPr>
            <w:r>
              <w:rPr>
                <w:rFonts w:ascii="Arial" w:cs="Arial" w:eastAsia="Arial" w:hAnsi="Arial"/>
                <w:sz w:val="15"/>
                <w:szCs w:val="15"/>
                <w:b w:val="1"/>
                <w:bCs w:val="1"/>
                <w:color w:val="auto"/>
                <w:w w:val="93"/>
              </w:rPr>
              <w:t>Originated Vacation Ownership Notes Receivable - Hyatt and Welk</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9"/>
        </w:trPr>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2023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2022</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b w:val="1"/>
                <w:bCs w:val="1"/>
                <w:color w:val="auto"/>
              </w:rPr>
              <w:t>2019 &amp; Prior</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5"/>
                <w:szCs w:val="15"/>
                <w:b w:val="1"/>
                <w:bCs w:val="1"/>
                <w:color w:val="auto"/>
              </w:rPr>
              <w:t>Total</w:t>
            </w:r>
          </w:p>
        </w:tc>
      </w:tr>
      <w:tr>
        <w:trPr>
          <w:trHeight w:val="226"/>
        </w:trPr>
        <w:tc>
          <w:tcPr>
            <w:tcW w:w="28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700</w:t>
            </w:r>
          </w:p>
        </w:tc>
        <w:tc>
          <w:tcPr>
            <w:tcW w:w="1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360" w:type="dxa"/>
            <w:vAlign w:val="bottom"/>
            <w:gridSpan w:val="4"/>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r>
      <w:tr>
        <w:trPr>
          <w:trHeight w:val="243"/>
        </w:trPr>
        <w:tc>
          <w:tcPr>
            <w:tcW w:w="280" w:type="dxa"/>
            <w:vAlign w:val="bottom"/>
          </w:tcPr>
          <w:p>
            <w:pPr>
              <w:ind w:left="20"/>
              <w:spacing w:after="0"/>
              <w:rPr>
                <w:sz w:val="20"/>
                <w:szCs w:val="20"/>
                <w:color w:val="auto"/>
              </w:rPr>
            </w:pPr>
            <w:r>
              <w:rPr>
                <w:rFonts w:ascii="Arial" w:cs="Arial" w:eastAsia="Arial" w:hAnsi="Arial"/>
                <w:sz w:val="15"/>
                <w:szCs w:val="15"/>
                <w:color w:val="auto"/>
                <w:w w:val="95"/>
              </w:rPr>
              <w:t>600</w:t>
            </w:r>
          </w:p>
        </w:tc>
        <w:tc>
          <w:tcPr>
            <w:tcW w:w="1180" w:type="dxa"/>
            <w:vAlign w:val="bottom"/>
          </w:tcPr>
          <w:p>
            <w:pPr>
              <w:spacing w:after="0"/>
              <w:rPr>
                <w:sz w:val="20"/>
                <w:szCs w:val="20"/>
                <w:color w:val="auto"/>
              </w:rPr>
            </w:pPr>
            <w:r>
              <w:rPr>
                <w:rFonts w:ascii="Arial" w:cs="Arial" w:eastAsia="Arial" w:hAnsi="Arial"/>
                <w:sz w:val="15"/>
                <w:szCs w:val="15"/>
                <w:color w:val="auto"/>
              </w:rPr>
              <w:t>- 699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ind w:left="540"/>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45"/>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&lt; 600</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43"/>
        </w:trPr>
        <w:tc>
          <w:tcPr>
            <w:tcW w:w="14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No Score</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ind w:left="5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31"/>
        </w:trPr>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360" w:type="dxa"/>
            <w:vAlign w:val="bottom"/>
            <w:gridSpan w:val="4"/>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44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r>
      <w:tr>
        <w:trPr>
          <w:trHeight w:val="20"/>
        </w:trPr>
        <w:tc>
          <w:tcPr>
            <w:tcW w:w="14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0"/>
        </w:trPr>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44"/>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write-offs</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4"/>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Vacation Ownership Notes Receivable on Non-Accrual Status</w:t>
      </w:r>
    </w:p>
    <w:p>
      <w:pPr>
        <w:spacing w:after="0" w:line="11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For both non-securitized and securitized vacation ownership notes receivable, we estimated the average remaining default rates of 13.35% as of September 30, 2023 and 11.62% as of December 31, 2022. A 0.5 percentage point increase in the estimated default rate would have resulted in an increase in the related vacation ownership notes receivable reserve of $13 million as of September 30, 2023 and $12 million as of December 31, 2022.</w:t>
      </w:r>
    </w:p>
    <w:p>
      <w:pPr>
        <w:spacing w:after="0" w:line="54"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The following table shows our recorded investment in non-accrual vacation ownership notes receivable, which are vacation ownership notes receivable that are 90 days or more past due.</w:t>
      </w:r>
    </w:p>
    <w:p>
      <w:pPr>
        <w:spacing w:after="0" w:line="99" w:lineRule="exact"/>
        <w:rPr>
          <w:sz w:val="20"/>
          <w:szCs w:val="20"/>
          <w:color w:val="auto"/>
        </w:rPr>
      </w:pPr>
    </w:p>
    <w:p>
      <w:pPr>
        <w:ind w:left="4700"/>
        <w:spacing w:after="0"/>
        <w:rPr>
          <w:sz w:val="20"/>
          <w:szCs w:val="20"/>
          <w:color w:val="auto"/>
        </w:rPr>
      </w:pPr>
      <w:r>
        <w:rPr>
          <w:rFonts w:ascii="Arial" w:cs="Arial" w:eastAsia="Arial" w:hAnsi="Arial"/>
          <w:sz w:val="15"/>
          <w:szCs w:val="15"/>
          <w:b w:val="1"/>
          <w:bCs w:val="1"/>
          <w:color w:val="auto"/>
        </w:rPr>
        <w:t>Vacation Ownership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21590</wp:posOffset>
            </wp:positionV>
            <wp:extent cx="30073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07360" cy="8255"/>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3780" w:val="left"/>
          <w:tab w:leader="none" w:pos="5580" w:val="left"/>
          <w:tab w:leader="none" w:pos="7400" w:val="left"/>
        </w:tabs>
        <w:rPr>
          <w:sz w:val="20"/>
          <w:szCs w:val="20"/>
          <w:color w:val="auto"/>
        </w:rPr>
      </w:pPr>
      <w:r>
        <w:rPr>
          <w:rFonts w:ascii="Arial" w:cs="Arial" w:eastAsia="Arial" w:hAnsi="Arial"/>
          <w:sz w:val="14"/>
          <w:szCs w:val="14"/>
          <w:b w:val="1"/>
          <w:bCs w:val="1"/>
          <w:i w:val="1"/>
          <w:iCs w:val="1"/>
          <w:color w:val="auto"/>
        </w:rPr>
        <w:t>($ in millions)</w:t>
      </w:r>
      <w:r>
        <w:rPr>
          <w:sz w:val="20"/>
          <w:szCs w:val="20"/>
          <w:color w:val="auto"/>
        </w:rPr>
        <w:tab/>
      </w:r>
      <w:r>
        <w:rPr>
          <w:rFonts w:ascii="Arial" w:cs="Arial" w:eastAsia="Arial" w:hAnsi="Arial"/>
          <w:sz w:val="15"/>
          <w:szCs w:val="15"/>
          <w:b w:val="1"/>
          <w:bCs w:val="1"/>
          <w:color w:val="auto"/>
        </w:rPr>
        <w:t>Non-Securitized</w:t>
      </w:r>
      <w:r>
        <w:rPr>
          <w:sz w:val="20"/>
          <w:szCs w:val="20"/>
          <w:color w:val="auto"/>
        </w:rPr>
        <w:tab/>
      </w:r>
      <w:r>
        <w:rPr>
          <w:rFonts w:ascii="Arial" w:cs="Arial" w:eastAsia="Arial" w:hAnsi="Arial"/>
          <w:sz w:val="15"/>
          <w:szCs w:val="15"/>
          <w:b w:val="1"/>
          <w:bCs w:val="1"/>
          <w:color w:val="auto"/>
        </w:rPr>
        <w:t>Securitized</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5280660" cy="2527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80660" cy="25273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34" w:lineRule="exact"/>
        <w:rPr>
          <w:sz w:val="20"/>
          <w:szCs w:val="20"/>
          <w:color w:val="auto"/>
        </w:rPr>
      </w:pPr>
    </w:p>
    <w:p>
      <w:pPr>
        <w:ind w:left="20" w:right="340"/>
        <w:spacing w:after="0" w:line="259" w:lineRule="auto"/>
        <w:rPr>
          <w:sz w:val="20"/>
          <w:szCs w:val="20"/>
          <w:color w:val="auto"/>
        </w:rPr>
      </w:pPr>
      <w:r>
        <w:rPr>
          <w:rFonts w:ascii="Arial" w:cs="Arial" w:eastAsia="Arial" w:hAnsi="Arial"/>
          <w:sz w:val="16"/>
          <w:szCs w:val="16"/>
          <w:color w:val="auto"/>
        </w:rPr>
        <w:t>Investment in vacation ownership notes receivable $ on non-accrual status at September 30, 2023</w:t>
      </w:r>
    </w:p>
    <w:p>
      <w:pPr>
        <w:spacing w:after="0" w:line="1" w:lineRule="exact"/>
        <w:rPr>
          <w:sz w:val="20"/>
          <w:szCs w:val="20"/>
          <w:color w:val="auto"/>
        </w:rPr>
      </w:pPr>
    </w:p>
    <w:p>
      <w:pPr>
        <w:ind w:left="20" w:right="340"/>
        <w:spacing w:after="0" w:line="259" w:lineRule="auto"/>
        <w:rPr>
          <w:sz w:val="20"/>
          <w:szCs w:val="20"/>
          <w:color w:val="auto"/>
        </w:rPr>
      </w:pPr>
      <w:r>
        <w:rPr>
          <w:rFonts w:ascii="Arial" w:cs="Arial" w:eastAsia="Arial" w:hAnsi="Arial"/>
          <w:sz w:val="16"/>
          <w:szCs w:val="16"/>
          <w:color w:val="auto"/>
        </w:rPr>
        <w:t>Investment in vacation ownership notes receivable $ on non-accrual status at December 31, 2022</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34"/>
              <w:spacing w:after="0"/>
              <w:rPr>
                <w:sz w:val="20"/>
                <w:szCs w:val="20"/>
                <w:color w:val="auto"/>
              </w:rPr>
            </w:pPr>
            <w:r>
              <w:rPr>
                <w:rFonts w:ascii="Arial" w:cs="Arial" w:eastAsia="Arial" w:hAnsi="Arial"/>
                <w:sz w:val="17"/>
                <w:szCs w:val="17"/>
                <w:color w:val="auto"/>
                <w:w w:val="84"/>
              </w:rPr>
              <w:t>144</w:t>
            </w:r>
          </w:p>
        </w:tc>
        <w:tc>
          <w:tcPr>
            <w:tcW w:w="76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25</w:t>
            </w:r>
          </w:p>
        </w:tc>
        <w:tc>
          <w:tcPr>
            <w:tcW w:w="720" w:type="dxa"/>
            <w:vAlign w:val="bottom"/>
          </w:tcPr>
          <w:p>
            <w:pPr>
              <w:jc w:val="right"/>
              <w:ind w:right="43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169</w:t>
            </w:r>
          </w:p>
        </w:tc>
      </w:tr>
      <w:tr>
        <w:trPr>
          <w:trHeight w:val="398"/>
        </w:trPr>
        <w:tc>
          <w:tcPr>
            <w:tcW w:w="380" w:type="dxa"/>
            <w:vAlign w:val="bottom"/>
          </w:tcPr>
          <w:p>
            <w:pPr>
              <w:jc w:val="right"/>
              <w:ind w:right="34"/>
              <w:spacing w:after="0"/>
              <w:rPr>
                <w:sz w:val="20"/>
                <w:szCs w:val="20"/>
                <w:color w:val="auto"/>
              </w:rPr>
            </w:pPr>
            <w:r>
              <w:rPr>
                <w:rFonts w:ascii="Arial" w:cs="Arial" w:eastAsia="Arial" w:hAnsi="Arial"/>
                <w:sz w:val="17"/>
                <w:szCs w:val="17"/>
                <w:color w:val="auto"/>
                <w:w w:val="84"/>
              </w:rPr>
              <w:t>126</w:t>
            </w:r>
          </w:p>
        </w:tc>
        <w:tc>
          <w:tcPr>
            <w:tcW w:w="76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4"/>
              <w:spacing w:after="0"/>
              <w:rPr>
                <w:sz w:val="20"/>
                <w:szCs w:val="20"/>
                <w:color w:val="auto"/>
              </w:rPr>
            </w:pPr>
            <w:r>
              <w:rPr>
                <w:rFonts w:ascii="Arial" w:cs="Arial" w:eastAsia="Arial" w:hAnsi="Arial"/>
                <w:sz w:val="17"/>
                <w:szCs w:val="17"/>
                <w:color w:val="auto"/>
              </w:rPr>
              <w:t>24</w:t>
            </w:r>
          </w:p>
        </w:tc>
        <w:tc>
          <w:tcPr>
            <w:tcW w:w="720" w:type="dxa"/>
            <w:vAlign w:val="bottom"/>
          </w:tcPr>
          <w:p>
            <w:pPr>
              <w:jc w:val="right"/>
              <w:ind w:right="43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150</w:t>
            </w:r>
          </w:p>
        </w:tc>
      </w:tr>
    </w:tbl>
    <w:p>
      <w:pPr>
        <w:spacing w:after="0" w:line="290" w:lineRule="exact"/>
        <w:rPr>
          <w:sz w:val="20"/>
          <w:szCs w:val="20"/>
          <w:color w:val="auto"/>
        </w:rPr>
      </w:pPr>
    </w:p>
    <w:p>
      <w:pPr>
        <w:sectPr>
          <w:pgSz w:w="11900" w:h="16838" w:orient="portrait"/>
          <w:cols w:equalWidth="0" w:num="2">
            <w:col w:w="4020" w:space="720"/>
            <w:col w:w="6500"/>
          </w:cols>
          <w:pgMar w:left="320" w:top="230" w:right="339" w:bottom="1440" w:gutter="0" w:footer="0" w:header="0"/>
          <w:type w:val="continuous"/>
        </w:sectPr>
      </w:pPr>
    </w:p>
    <w:p>
      <w:pPr>
        <w:spacing w:after="0" w:line="19"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 September 30, 2023 and December 31,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As of September 30, 2023</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As of December 31, 2022</w:t>
            </w:r>
          </w:p>
        </w:tc>
        <w:tc>
          <w:tcPr>
            <w:tcW w:w="680" w:type="dxa"/>
            <w:vAlign w:val="bottom"/>
            <w:tcBorders>
              <w:bottom w:val="single" w:sz="8" w:color="auto"/>
            </w:tcBorders>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20"/>
              <w:spacing w:after="0" w:line="150" w:lineRule="exact"/>
              <w:rPr>
                <w:sz w:val="20"/>
                <w:szCs w:val="20"/>
                <w:color w:val="auto"/>
              </w:rPr>
            </w:pPr>
            <w:r>
              <w:rPr>
                <w:rFonts w:ascii="Arial" w:cs="Arial" w:eastAsia="Arial" w:hAnsi="Arial"/>
                <w:sz w:val="15"/>
                <w:szCs w:val="15"/>
                <w:b w:val="1"/>
                <w:bCs w:val="1"/>
                <w:color w:val="auto"/>
                <w:w w:val="93"/>
              </w:rPr>
              <w:t>Non-</w:t>
            </w:r>
          </w:p>
        </w:tc>
        <w:tc>
          <w:tcPr>
            <w:tcW w:w="100" w:type="dxa"/>
            <w:vAlign w:val="bottom"/>
          </w:tcPr>
          <w:p>
            <w:pPr>
              <w:spacing w:after="0"/>
              <w:rPr>
                <w:sz w:val="13"/>
                <w:szCs w:val="13"/>
                <w:color w:val="auto"/>
              </w:rPr>
            </w:pPr>
          </w:p>
        </w:tc>
        <w:tc>
          <w:tcPr>
            <w:tcW w:w="9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Securitized</w:t>
            </w:r>
          </w:p>
        </w:tc>
        <w:tc>
          <w:tcPr>
            <w:tcW w:w="2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0" w:lineRule="exact"/>
              <w:rPr>
                <w:sz w:val="20"/>
                <w:szCs w:val="20"/>
                <w:color w:val="auto"/>
              </w:rPr>
            </w:pPr>
            <w:r>
              <w:rPr>
                <w:rFonts w:ascii="Arial" w:cs="Arial" w:eastAsia="Arial" w:hAnsi="Arial"/>
                <w:sz w:val="15"/>
                <w:szCs w:val="15"/>
                <w:b w:val="1"/>
                <w:bCs w:val="1"/>
                <w:color w:val="auto"/>
                <w:w w:val="99"/>
              </w:rPr>
              <w:t>Non-</w:t>
            </w:r>
          </w:p>
        </w:tc>
        <w:tc>
          <w:tcPr>
            <w:tcW w:w="12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Securitized</w:t>
            </w:r>
          </w:p>
        </w:tc>
        <w:tc>
          <w:tcPr>
            <w:tcW w:w="240" w:type="dxa"/>
            <w:vAlign w:val="bottom"/>
          </w:tcPr>
          <w:p>
            <w:pPr>
              <w:spacing w:after="0"/>
              <w:rPr>
                <w:sz w:val="13"/>
                <w:szCs w:val="13"/>
                <w:color w:val="auto"/>
              </w:rPr>
            </w:pPr>
          </w:p>
        </w:tc>
        <w:tc>
          <w:tcPr>
            <w:tcW w:w="36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2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Securitized</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Securitized</w:t>
            </w: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3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31 – 90 days past due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60" w:type="dxa"/>
            <w:vAlign w:val="bottom"/>
          </w:tcPr>
          <w:p>
            <w:pPr>
              <w:ind w:left="20"/>
              <w:spacing w:after="0"/>
              <w:rPr>
                <w:sz w:val="20"/>
                <w:szCs w:val="20"/>
                <w:color w:val="auto"/>
              </w:rPr>
            </w:pPr>
            <w:r>
              <w:rPr>
                <w:rFonts w:ascii="Arial" w:cs="Arial" w:eastAsia="Arial" w:hAnsi="Arial"/>
                <w:sz w:val="17"/>
                <w:szCs w:val="17"/>
                <w:color w:val="auto"/>
              </w:rPr>
              <w:t>91 – 120 days past due</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6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w w:val="98"/>
              </w:rPr>
              <w:t>Greater than 120 days past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tcPr>
          <w:p>
            <w:pPr>
              <w:ind w:left="120"/>
              <w:spacing w:after="0"/>
              <w:rPr>
                <w:sz w:val="20"/>
                <w:szCs w:val="20"/>
                <w:color w:val="auto"/>
              </w:rPr>
            </w:pPr>
            <w:r>
              <w:rPr>
                <w:rFonts w:ascii="Arial" w:cs="Arial" w:eastAsia="Arial" w:hAnsi="Arial"/>
                <w:sz w:val="17"/>
                <w:szCs w:val="17"/>
                <w:color w:val="auto"/>
              </w:rPr>
              <w:t>Total past due</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16"/>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231</w:t>
            </w: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2,520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2,358</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120"/>
              <w:spacing w:after="0" w:line="160" w:lineRule="exact"/>
              <w:rPr>
                <w:sz w:val="20"/>
                <w:szCs w:val="20"/>
                <w:color w:val="auto"/>
              </w:rPr>
            </w:pPr>
            <w:r>
              <w:rPr>
                <w:rFonts w:ascii="Arial" w:cs="Arial" w:eastAsia="Arial" w:hAnsi="Arial"/>
                <w:sz w:val="17"/>
                <w:szCs w:val="17"/>
                <w:color w:val="auto"/>
              </w:rPr>
              <w:t>Total vacation ownership</w:t>
            </w: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629</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2,137</w:t>
            </w:r>
          </w:p>
        </w:tc>
        <w:tc>
          <w:tcPr>
            <w:tcW w:w="120" w:type="dxa"/>
            <w:vAlign w:val="bottom"/>
          </w:tcPr>
          <w:p>
            <w:pPr>
              <w:spacing w:after="0"/>
              <w:rPr>
                <w:sz w:val="13"/>
                <w:szCs w:val="13"/>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660" w:type="dxa"/>
            <w:vAlign w:val="bottom"/>
            <w:vMerge w:val="restart"/>
          </w:tcPr>
          <w:p>
            <w:pPr>
              <w:jc w:val="right"/>
              <w:ind w:right="16"/>
              <w:spacing w:after="0"/>
              <w:rPr>
                <w:sz w:val="20"/>
                <w:szCs w:val="20"/>
                <w:color w:val="auto"/>
              </w:rPr>
            </w:pPr>
            <w:r>
              <w:rPr>
                <w:rFonts w:ascii="Arial" w:cs="Arial" w:eastAsia="Arial" w:hAnsi="Arial"/>
                <w:sz w:val="17"/>
                <w:szCs w:val="17"/>
                <w:color w:val="auto"/>
              </w:rPr>
              <w:t>2,766</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566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3"/>
                <w:szCs w:val="13"/>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2,589</w:t>
            </w:r>
          </w:p>
        </w:tc>
        <w:tc>
          <w:tcPr>
            <w:tcW w:w="2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60" w:type="dxa"/>
            <w:vAlign w:val="bottom"/>
          </w:tcPr>
          <w:p>
            <w:pPr>
              <w:ind w:left="120"/>
              <w:spacing w:after="0" w:line="192" w:lineRule="exact"/>
              <w:rPr>
                <w:sz w:val="20"/>
                <w:szCs w:val="20"/>
                <w:color w:val="auto"/>
              </w:rPr>
            </w:pPr>
            <w:r>
              <w:rPr>
                <w:rFonts w:ascii="Arial" w:cs="Arial" w:eastAsia="Arial" w:hAnsi="Arial"/>
                <w:sz w:val="17"/>
                <w:szCs w:val="17"/>
                <w:color w:val="auto"/>
              </w:rPr>
              <w:t>notes receivable</w:t>
            </w: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77"/>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2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0" w:hanging="380"/>
        <w:spacing w:after="0"/>
        <w:tabs>
          <w:tab w:leader="none" w:pos="4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w:t>
      </w:r>
    </w:p>
    <w:p>
      <w:pPr>
        <w:spacing w:after="0" w:line="157"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Accrued liabilities, and derivative instruments, all of which had fair values approximating their carrying amounts due to the short maturities and liquidity of these instruments.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8"/>
          </w:tcPr>
          <w:p>
            <w:pPr>
              <w:ind w:left="240"/>
              <w:spacing w:after="0"/>
              <w:rPr>
                <w:sz w:val="20"/>
                <w:szCs w:val="20"/>
                <w:color w:val="auto"/>
              </w:rPr>
            </w:pPr>
            <w:r>
              <w:rPr>
                <w:rFonts w:ascii="Arial" w:cs="Arial" w:eastAsia="Arial" w:hAnsi="Arial"/>
                <w:sz w:val="15"/>
                <w:szCs w:val="15"/>
                <w:b w:val="1"/>
                <w:bCs w:val="1"/>
                <w:color w:val="auto"/>
              </w:rPr>
              <w:t>At September 30, 2023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4"/>
          </w:tcPr>
          <w:p>
            <w:pPr>
              <w:jc w:val="right"/>
              <w:ind w:right="416"/>
              <w:spacing w:after="0"/>
              <w:rPr>
                <w:sz w:val="20"/>
                <w:szCs w:val="20"/>
                <w:color w:val="auto"/>
              </w:rPr>
            </w:pPr>
            <w:r>
              <w:rPr>
                <w:rFonts w:ascii="Arial" w:cs="Arial" w:eastAsia="Arial" w:hAnsi="Arial"/>
                <w:sz w:val="15"/>
                <w:szCs w:val="15"/>
                <w:b w:val="1"/>
                <w:bCs w:val="1"/>
                <w:color w:val="auto"/>
              </w:rPr>
              <w:t>At December 31, 2022</w:t>
            </w:r>
          </w:p>
        </w:tc>
        <w:tc>
          <w:tcPr>
            <w:tcW w:w="0" w:type="dxa"/>
            <w:vAlign w:val="bottom"/>
          </w:tcPr>
          <w:p>
            <w:pPr>
              <w:spacing w:after="0"/>
              <w:rPr>
                <w:sz w:val="1"/>
                <w:szCs w:val="1"/>
                <w:color w:val="auto"/>
              </w:rPr>
            </w:pPr>
          </w:p>
        </w:tc>
      </w:tr>
      <w:tr>
        <w:trPr>
          <w:trHeight w:val="150"/>
        </w:trPr>
        <w:tc>
          <w:tcPr>
            <w:tcW w:w="33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ind w:left="60"/>
              <w:spacing w:after="0" w:line="150" w:lineRule="exact"/>
              <w:rPr>
                <w:sz w:val="20"/>
                <w:szCs w:val="20"/>
                <w:color w:val="auto"/>
              </w:rPr>
            </w:pPr>
            <w:r>
              <w:rPr>
                <w:rFonts w:ascii="Arial" w:cs="Arial" w:eastAsia="Arial" w:hAnsi="Arial"/>
                <w:sz w:val="15"/>
                <w:szCs w:val="15"/>
                <w:b w:val="1"/>
                <w:bCs w:val="1"/>
                <w:color w:val="auto"/>
              </w:rPr>
              <w:t>Carrying</w:t>
            </w: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6"/>
              <w:spacing w:after="0" w:line="150" w:lineRule="exact"/>
              <w:rPr>
                <w:sz w:val="20"/>
                <w:szCs w:val="20"/>
                <w:color w:val="auto"/>
              </w:rPr>
            </w:pPr>
            <w:r>
              <w:rPr>
                <w:rFonts w:ascii="Arial" w:cs="Arial" w:eastAsia="Arial" w:hAnsi="Arial"/>
                <w:sz w:val="15"/>
                <w:szCs w:val="15"/>
                <w:b w:val="1"/>
                <w:bCs w:val="1"/>
                <w:color w:val="auto"/>
              </w:rPr>
              <w:t>Fair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340"/>
              <w:spacing w:after="0" w:line="150" w:lineRule="exact"/>
              <w:rPr>
                <w:sz w:val="20"/>
                <w:szCs w:val="20"/>
                <w:color w:val="auto"/>
              </w:rPr>
            </w:pPr>
            <w:r>
              <w:rPr>
                <w:rFonts w:ascii="Arial" w:cs="Arial" w:eastAsia="Arial" w:hAnsi="Arial"/>
                <w:sz w:val="15"/>
                <w:szCs w:val="15"/>
                <w:b w:val="1"/>
                <w:bCs w:val="1"/>
                <w:color w:val="auto"/>
              </w:rPr>
              <w:t>Carrying</w:t>
            </w: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56"/>
              <w:spacing w:after="0" w:line="150"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ind w:left="80"/>
              <w:spacing w:after="0"/>
              <w:rPr>
                <w:sz w:val="20"/>
                <w:szCs w:val="20"/>
                <w:color w:val="auto"/>
              </w:rPr>
            </w:pPr>
            <w:r>
              <w:rPr>
                <w:rFonts w:ascii="Arial" w:cs="Arial" w:eastAsia="Arial" w:hAnsi="Arial"/>
                <w:sz w:val="15"/>
                <w:szCs w:val="15"/>
                <w:b w:val="1"/>
                <w:bCs w:val="1"/>
                <w:color w:val="auto"/>
              </w:rPr>
              <w:t>Amount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ind w:left="120"/>
              <w:spacing w:after="0"/>
              <w:rPr>
                <w:sz w:val="20"/>
                <w:szCs w:val="20"/>
                <w:color w:val="auto"/>
              </w:rPr>
            </w:pPr>
            <w:r>
              <w:rPr>
                <w:rFonts w:ascii="Arial" w:cs="Arial" w:eastAsia="Arial" w:hAnsi="Arial"/>
                <w:sz w:val="15"/>
                <w:szCs w:val="15"/>
                <w:b w:val="1"/>
                <w:bCs w:val="1"/>
                <w:color w:val="auto"/>
              </w:rPr>
              <w:t>Value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5"/>
              </w:rPr>
              <w:t>Amount</w:t>
            </w:r>
          </w:p>
        </w:tc>
        <w:tc>
          <w:tcPr>
            <w:tcW w:w="240" w:type="dxa"/>
            <w:vAlign w:val="bottom"/>
          </w:tcPr>
          <w:p>
            <w:pPr>
              <w:spacing w:after="0"/>
              <w:rPr>
                <w:sz w:val="17"/>
                <w:szCs w:val="17"/>
                <w:color w:val="auto"/>
              </w:rPr>
            </w:pPr>
          </w:p>
        </w:tc>
        <w:tc>
          <w:tcPr>
            <w:tcW w:w="920" w:type="dxa"/>
            <w:vAlign w:val="bottom"/>
          </w:tcPr>
          <w:p>
            <w:pPr>
              <w:jc w:val="center"/>
              <w:ind w:right="176"/>
              <w:spacing w:after="0"/>
              <w:rPr>
                <w:sz w:val="20"/>
                <w:szCs w:val="20"/>
                <w:color w:val="auto"/>
              </w:rPr>
            </w:pPr>
            <w:r>
              <w:rPr>
                <w:rFonts w:ascii="Arial" w:cs="Arial" w:eastAsia="Arial" w:hAnsi="Arial"/>
                <w:sz w:val="15"/>
                <w:szCs w:val="15"/>
                <w:b w:val="1"/>
                <w:bCs w:val="1"/>
                <w:color w:val="auto"/>
                <w:w w:val="94"/>
              </w:rPr>
              <w:t>Value</w:t>
            </w:r>
          </w:p>
        </w:tc>
        <w:tc>
          <w:tcPr>
            <w:tcW w:w="0" w:type="dxa"/>
            <w:vAlign w:val="bottom"/>
          </w:tcPr>
          <w:p>
            <w:pPr>
              <w:spacing w:after="0"/>
              <w:rPr>
                <w:sz w:val="1"/>
                <w:szCs w:val="1"/>
                <w:color w:val="auto"/>
              </w:rPr>
            </w:pPr>
          </w:p>
        </w:tc>
      </w:tr>
      <w:tr>
        <w:trPr>
          <w:trHeight w:val="226"/>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net</w:t>
            </w: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167"/>
        </w:trPr>
        <w:tc>
          <w:tcPr>
            <w:tcW w:w="3320" w:type="dxa"/>
            <w:vAlign w:val="bottom"/>
          </w:tcPr>
          <w:p>
            <w:pPr>
              <w:ind w:left="20"/>
              <w:spacing w:after="0" w:line="167" w:lineRule="exact"/>
              <w:rPr>
                <w:sz w:val="20"/>
                <w:szCs w:val="20"/>
                <w:color w:val="auto"/>
              </w:rPr>
            </w:pPr>
            <w:r>
              <w:rPr>
                <w:rFonts w:ascii="Arial" w:cs="Arial" w:eastAsia="Arial" w:hAnsi="Arial"/>
                <w:sz w:val="17"/>
                <w:szCs w:val="17"/>
                <w:color w:val="auto"/>
                <w:w w:val="98"/>
              </w:rPr>
              <w:t>Contracts receivable for financed VOI sales,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7"/>
                <w:szCs w:val="17"/>
                <w:color w:val="auto"/>
              </w:rPr>
              <w:t>net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2"/>
        </w:trPr>
        <w:tc>
          <w:tcPr>
            <w:tcW w:w="3320" w:type="dxa"/>
            <w:vAlign w:val="bottom"/>
          </w:tcPr>
          <w:p>
            <w:pPr>
              <w:ind w:left="220"/>
              <w:spacing w:after="0"/>
              <w:rPr>
                <w:sz w:val="20"/>
                <w:szCs w:val="20"/>
                <w:color w:val="auto"/>
              </w:rPr>
            </w:pPr>
            <w:r>
              <w:rPr>
                <w:rFonts w:ascii="Arial" w:cs="Arial" w:eastAsia="Arial" w:hAnsi="Arial"/>
                <w:sz w:val="17"/>
                <w:szCs w:val="17"/>
                <w:color w:val="auto"/>
              </w:rPr>
              <w:t>Total financial assets</w:t>
            </w: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2,343</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Securitized debt, net</w:t>
            </w: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(2,026)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(1,937)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(1,938)</w:t>
            </w:r>
          </w:p>
        </w:tc>
        <w:tc>
          <w:tcPr>
            <w:tcW w:w="12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(1,828)</w:t>
            </w:r>
          </w:p>
        </w:tc>
        <w:tc>
          <w:tcPr>
            <w:tcW w:w="0" w:type="dxa"/>
            <w:vAlign w:val="bottom"/>
          </w:tcPr>
          <w:p>
            <w:pPr>
              <w:spacing w:after="0"/>
              <w:rPr>
                <w:sz w:val="1"/>
                <w:szCs w:val="1"/>
                <w:color w:val="auto"/>
              </w:rPr>
            </w:pPr>
          </w:p>
        </w:tc>
      </w:tr>
      <w:tr>
        <w:trPr>
          <w:trHeight w:val="245"/>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 net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7"/>
                <w:szCs w:val="17"/>
                <w:color w:val="auto"/>
              </w:rPr>
              <w:t>Revolving Corporate Credit Facility, net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 Notes, net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7"/>
                <w:szCs w:val="17"/>
                <w:color w:val="auto"/>
              </w:rPr>
              <w:t>2028 Notes, net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45"/>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2029 Notes, net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7"/>
                <w:szCs w:val="17"/>
                <w:color w:val="auto"/>
              </w:rPr>
              <w:t>2026 Convertible Notes, net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45"/>
        </w:trPr>
        <w:tc>
          <w:tcPr>
            <w:tcW w:w="3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 Convertible Notes, net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Non-interest bearing note payable, net</w:t>
            </w: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financial liabilities</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Vacation Ownership Notes Receivable</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8"/>
          </w:tcPr>
          <w:p>
            <w:pPr>
              <w:jc w:val="right"/>
              <w:ind w:right="540"/>
              <w:spacing w:after="0"/>
              <w:rPr>
                <w:sz w:val="20"/>
                <w:szCs w:val="20"/>
                <w:color w:val="auto"/>
              </w:rPr>
            </w:pPr>
            <w:r>
              <w:rPr>
                <w:rFonts w:ascii="Arial" w:cs="Arial" w:eastAsia="Arial" w:hAnsi="Arial"/>
                <w:sz w:val="15"/>
                <w:szCs w:val="15"/>
                <w:b w:val="1"/>
                <w:bCs w:val="1"/>
                <w:color w:val="auto"/>
              </w:rPr>
              <w:t>At September 30, 2023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4"/>
          </w:tcPr>
          <w:p>
            <w:pPr>
              <w:jc w:val="right"/>
              <w:ind w:right="416"/>
              <w:spacing w:after="0"/>
              <w:rPr>
                <w:sz w:val="20"/>
                <w:szCs w:val="20"/>
                <w:color w:val="auto"/>
              </w:rPr>
            </w:pPr>
            <w:r>
              <w:rPr>
                <w:rFonts w:ascii="Arial" w:cs="Arial" w:eastAsia="Arial" w:hAnsi="Arial"/>
                <w:sz w:val="15"/>
                <w:szCs w:val="15"/>
                <w:b w:val="1"/>
                <w:bCs w:val="1"/>
                <w:color w:val="auto"/>
              </w:rPr>
              <w:t>At December 31, 2022</w:t>
            </w:r>
          </w:p>
        </w:tc>
        <w:tc>
          <w:tcPr>
            <w:tcW w:w="0" w:type="dxa"/>
            <w:vAlign w:val="bottom"/>
          </w:tcPr>
          <w:p>
            <w:pPr>
              <w:spacing w:after="0"/>
              <w:rPr>
                <w:sz w:val="1"/>
                <w:szCs w:val="1"/>
                <w:color w:val="auto"/>
              </w:rPr>
            </w:pPr>
          </w:p>
        </w:tc>
      </w:tr>
      <w:tr>
        <w:trPr>
          <w:trHeight w:val="150"/>
        </w:trPr>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ind w:left="100"/>
              <w:spacing w:after="0" w:line="150" w:lineRule="exact"/>
              <w:rPr>
                <w:sz w:val="20"/>
                <w:szCs w:val="20"/>
                <w:color w:val="auto"/>
              </w:rPr>
            </w:pPr>
            <w:r>
              <w:rPr>
                <w:rFonts w:ascii="Arial" w:cs="Arial" w:eastAsia="Arial" w:hAnsi="Arial"/>
                <w:sz w:val="15"/>
                <w:szCs w:val="15"/>
                <w:b w:val="1"/>
                <w:bCs w:val="1"/>
                <w:color w:val="auto"/>
              </w:rPr>
              <w:t>Carrying</w:t>
            </w:r>
          </w:p>
        </w:tc>
        <w:tc>
          <w:tcPr>
            <w:tcW w:w="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rPr>
              <w:t>Fair</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300"/>
              <w:spacing w:after="0" w:line="150" w:lineRule="exact"/>
              <w:rPr>
                <w:sz w:val="20"/>
                <w:szCs w:val="20"/>
                <w:color w:val="auto"/>
              </w:rPr>
            </w:pPr>
            <w:r>
              <w:rPr>
                <w:rFonts w:ascii="Arial" w:cs="Arial" w:eastAsia="Arial" w:hAnsi="Arial"/>
                <w:sz w:val="15"/>
                <w:szCs w:val="15"/>
                <w:b w:val="1"/>
                <w:bCs w:val="1"/>
                <w:color w:val="auto"/>
              </w:rPr>
              <w:t>Carrying</w:t>
            </w: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right="156"/>
              <w:spacing w:after="0" w:line="150" w:lineRule="exact"/>
              <w:rPr>
                <w:sz w:val="20"/>
                <w:szCs w:val="20"/>
                <w:color w:val="auto"/>
              </w:rPr>
            </w:pPr>
            <w:r>
              <w:rPr>
                <w:rFonts w:ascii="Arial" w:cs="Arial" w:eastAsia="Arial" w:hAnsi="Arial"/>
                <w:sz w:val="15"/>
                <w:szCs w:val="15"/>
                <w:b w:val="1"/>
                <w:bCs w:val="1"/>
                <w:color w:val="auto"/>
              </w:rPr>
              <w:t>Fair</w:t>
            </w:r>
          </w:p>
        </w:tc>
        <w:tc>
          <w:tcPr>
            <w:tcW w:w="0" w:type="dxa"/>
            <w:vAlign w:val="bottom"/>
          </w:tcPr>
          <w:p>
            <w:pPr>
              <w:spacing w:after="0"/>
              <w:rPr>
                <w:sz w:val="1"/>
                <w:szCs w:val="1"/>
                <w:color w:val="auto"/>
              </w:rPr>
            </w:pPr>
          </w:p>
        </w:tc>
      </w:tr>
      <w:tr>
        <w:trPr>
          <w:trHeight w:val="203"/>
        </w:trPr>
        <w:tc>
          <w:tcPr>
            <w:tcW w:w="3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ind w:left="140"/>
              <w:spacing w:after="0"/>
              <w:rPr>
                <w:sz w:val="20"/>
                <w:szCs w:val="20"/>
                <w:color w:val="auto"/>
              </w:rPr>
            </w:pPr>
            <w:r>
              <w:rPr>
                <w:rFonts w:ascii="Arial" w:cs="Arial" w:eastAsia="Arial" w:hAnsi="Arial"/>
                <w:sz w:val="15"/>
                <w:szCs w:val="15"/>
                <w:b w:val="1"/>
                <w:bCs w:val="1"/>
                <w:color w:val="auto"/>
              </w:rPr>
              <w:t>Amount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5"/>
                <w:szCs w:val="15"/>
                <w:b w:val="1"/>
                <w:bCs w:val="1"/>
                <w:color w:val="auto"/>
                <w:w w:val="94"/>
              </w:rPr>
              <w:t>Value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Amount</w:t>
            </w:r>
          </w:p>
        </w:tc>
        <w:tc>
          <w:tcPr>
            <w:tcW w:w="240" w:type="dxa"/>
            <w:vAlign w:val="bottom"/>
          </w:tcPr>
          <w:p>
            <w:pPr>
              <w:spacing w:after="0"/>
              <w:rPr>
                <w:sz w:val="17"/>
                <w:szCs w:val="17"/>
                <w:color w:val="auto"/>
              </w:rPr>
            </w:pPr>
          </w:p>
        </w:tc>
        <w:tc>
          <w:tcPr>
            <w:tcW w:w="920" w:type="dxa"/>
            <w:vAlign w:val="bottom"/>
          </w:tcPr>
          <w:p>
            <w:pPr>
              <w:jc w:val="center"/>
              <w:ind w:right="156"/>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226"/>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net</w:t>
            </w: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20"/>
              <w:spacing w:after="0"/>
              <w:rPr>
                <w:sz w:val="20"/>
                <w:szCs w:val="20"/>
                <w:color w:val="auto"/>
              </w:rPr>
            </w:pPr>
            <w:r>
              <w:rPr>
                <w:rFonts w:ascii="Arial" w:cs="Arial" w:eastAsia="Arial" w:hAnsi="Arial"/>
                <w:sz w:val="17"/>
                <w:szCs w:val="17"/>
                <w:color w:val="auto"/>
              </w:rPr>
              <w:t>Securitized</w:t>
            </w: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1,885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1,792</w:t>
            </w:r>
          </w:p>
        </w:tc>
        <w:tc>
          <w:tcPr>
            <w:tcW w:w="12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1,837</w:t>
            </w: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440"/>
              <w:spacing w:after="0"/>
              <w:rPr>
                <w:sz w:val="20"/>
                <w:szCs w:val="20"/>
                <w:color w:val="auto"/>
              </w:rPr>
            </w:pPr>
            <w:r>
              <w:rPr>
                <w:rFonts w:ascii="Arial" w:cs="Arial" w:eastAsia="Arial" w:hAnsi="Arial"/>
                <w:sz w:val="17"/>
                <w:szCs w:val="17"/>
                <w:color w:val="auto"/>
              </w:rPr>
              <w:t>Eligible for securitization</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Not eligible for securitization</w:t>
            </w: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24"/>
        </w:trPr>
        <w:tc>
          <w:tcPr>
            <w:tcW w:w="33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Non-securitized</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31"/>
        </w:trPr>
        <w:tc>
          <w:tcPr>
            <w:tcW w:w="33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spacing w:after="0" w:line="6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w:t>
      </w: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60"/>
        <w:spacing w:after="0" w:line="277" w:lineRule="auto"/>
        <w:rPr>
          <w:sz w:val="20"/>
          <w:szCs w:val="20"/>
          <w:color w:val="auto"/>
        </w:rPr>
      </w:pPr>
      <w:r>
        <w:rPr>
          <w:rFonts w:ascii="Arial" w:cs="Arial" w:eastAsia="Arial" w:hAnsi="Arial"/>
          <w:sz w:val="17"/>
          <w:szCs w:val="17"/>
          <w:color w:val="auto"/>
        </w:rPr>
        <w:t>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62"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Contracts Receivable for Financed VOI Sales</w:t>
      </w:r>
    </w:p>
    <w:p>
      <w:pPr>
        <w:spacing w:after="0" w:line="11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At the time at which we recognize revenue for Marriott-branded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prepayment rates, and discount rates. We concluded that this fair value measurement should be categorized within Level 3.</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Assets</w:t>
      </w:r>
    </w:p>
    <w:p>
      <w:pPr>
        <w:spacing w:after="0" w:line="11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Other assets include $88 million of company owned insurance policies (the “COLI policies”), acquired on the lives of certain participants in the Marriott Vacations Worldwide Deferred Compensation Plan, that are held in a rabbi trust. The carrying value of the COLI policies is equal to their cash surrender value (Level 2 inputs).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Securitized Debt</w:t>
      </w:r>
    </w:p>
    <w:p>
      <w:pPr>
        <w:spacing w:after="0" w:line="113"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w:t>
      </w:r>
    </w:p>
    <w:p>
      <w:pPr>
        <w:spacing w:after="0" w:line="113"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We estimate the fair value of our Term Loan (as defined in Footnote 12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Corporate Credit Facility</w:t>
      </w:r>
    </w:p>
    <w:p>
      <w:pPr>
        <w:spacing w:after="0" w:line="113"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We estimate that the gross carrying value of our Revolving Corporate Credit Facility (as defined in Footnote 12 “Debt”) approximates fair value as the contractual interest rate is variable plus an applicable margin. We concluded that this fair value measurement should be categorized within Level 3.</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13"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We estimate the fair value of our 2025 Notes, 2028 Notes, and 2029 Notes (each as defined in Footnote 12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spacing w:after="0" w:line="20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Notes</w:t>
      </w:r>
    </w:p>
    <w:p>
      <w:pPr>
        <w:spacing w:after="0" w:line="113"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Non-Interest Bearing Note Payable</w:t>
      </w:r>
    </w:p>
    <w:p>
      <w:pPr>
        <w:spacing w:after="0" w:line="113" w:lineRule="exact"/>
        <w:rPr>
          <w:sz w:val="20"/>
          <w:szCs w:val="20"/>
          <w:color w:val="auto"/>
        </w:rPr>
      </w:pPr>
    </w:p>
    <w:p>
      <w:pPr>
        <w:ind w:right="520"/>
        <w:spacing w:after="0" w:line="277" w:lineRule="auto"/>
        <w:rPr>
          <w:sz w:val="20"/>
          <w:szCs w:val="20"/>
          <w:color w:val="auto"/>
        </w:rPr>
      </w:pPr>
      <w:r>
        <w:rPr>
          <w:rFonts w:ascii="Arial" w:cs="Arial" w:eastAsia="Arial" w:hAnsi="Arial"/>
          <w:sz w:val="17"/>
          <w:szCs w:val="17"/>
          <w:color w:val="auto"/>
        </w:rPr>
        <w:t>The carrying value of our non-interest bearing note payable issued in connection with the acquisition of vacation ownership units located in Bali, Indonesia approximates fair value. We concluded that this fair value measurement should be categorized within Level 3.</w:t>
      </w:r>
    </w:p>
    <w:p>
      <w:pPr>
        <w:spacing w:after="0" w:line="236" w:lineRule="exact"/>
        <w:rPr>
          <w:sz w:val="20"/>
          <w:szCs w:val="20"/>
          <w:color w:val="auto"/>
        </w:rPr>
      </w:pPr>
    </w:p>
    <w:p>
      <w:pPr>
        <w:ind w:left="400" w:hanging="380"/>
        <w:spacing w:after="0"/>
        <w:tabs>
          <w:tab w:leader="none" w:pos="4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208"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Basic earnings or loss per common share attributable to common shareholders is calculated by dividing net income or loss attributable to common shareholders by the weighted average number of shares of common stock outstanding during the reporting period. Treasury stock is excluded from the weighted average number of shares of common stock outstanding. Diluted earnings or loss per common share attributable to common shareholders is calculated to give effect to all potentially dilutive common shares that were outstanding during the reporting period, except in periods when there is a loss because the inclusion of the potential common shares would have an anti-dilutive effect. The dilutive effect of outstanding equity-based compensation awards is reflected in diluted earnings or loss per common share applicable to common shareholders by application of the treasury stock method using average market prices during the period.</w:t>
      </w:r>
    </w:p>
    <w:p>
      <w:pPr>
        <w:spacing w:after="0" w:line="5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shares issuable upon exercise of the warrants sold in connection with the issuance of our convertible notes will not impact the total dilutive weighted average shares outstanding unless and until the price of our common stock exceeds the respective strike price. If and when the price of our common stock exceeds the respective strike price of any of the warrants, we will include the dilutive effect of the additional shares that may be issued upon exercise of the warrants in total dilutive weighted average shares outstanding, which we calculate using the treasury stock method. The convertible note hedges purchased in connection with each issuance of our convertible notes are considered to be anti-dilutive and do not impact our calculation of diluted earnings per share attributable to common shareholders for any periods presented herein.</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The table below illustrates the reconciliation of the earnings or loss and number of shares used in our calculation of basic earnings or loss per share attributable to common shareholders.</w:t>
      </w:r>
    </w:p>
    <w:p>
      <w:pPr>
        <w:sectPr>
          <w:pgSz w:w="11900" w:h="16838" w:orient="portrait"/>
          <w:cols w:equalWidth="0" w:num="1">
            <w:col w:w="11160"/>
          </w:cols>
          <w:pgMar w:left="320" w:top="230" w:right="41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(in millions, except per share amounts)</w:t>
      </w:r>
    </w:p>
    <w:p>
      <w:pPr>
        <w:spacing w:after="0" w:line="49" w:lineRule="exact"/>
        <w:rPr>
          <w:sz w:val="20"/>
          <w:szCs w:val="20"/>
          <w:color w:val="auto"/>
        </w:rPr>
      </w:pPr>
    </w:p>
    <w:p>
      <w:pPr>
        <w:ind w:left="20"/>
        <w:spacing w:after="0" w:line="235" w:lineRule="auto"/>
        <w:rPr>
          <w:sz w:val="20"/>
          <w:szCs w:val="20"/>
          <w:color w:val="auto"/>
        </w:rPr>
      </w:pPr>
      <w:r>
        <w:rPr>
          <w:rFonts w:ascii="Arial" w:cs="Arial" w:eastAsia="Arial" w:hAnsi="Arial"/>
          <w:sz w:val="17"/>
          <w:szCs w:val="17"/>
          <w:color w:val="auto"/>
        </w:rPr>
        <w:t>Net income attributable to common shareholders</w:t>
      </w:r>
    </w:p>
    <w:p>
      <w:pPr>
        <w:spacing w:after="0" w:line="41" w:lineRule="exact"/>
        <w:rPr>
          <w:sz w:val="20"/>
          <w:szCs w:val="20"/>
          <w:color w:val="auto"/>
        </w:rPr>
      </w:pPr>
    </w:p>
    <w:p>
      <w:pPr>
        <w:ind w:left="20" w:right="60"/>
        <w:spacing w:after="0" w:line="340" w:lineRule="auto"/>
        <w:rPr>
          <w:sz w:val="20"/>
          <w:szCs w:val="20"/>
          <w:color w:val="auto"/>
        </w:rPr>
      </w:pPr>
      <w:r>
        <w:rPr>
          <w:rFonts w:ascii="Arial" w:cs="Arial" w:eastAsia="Arial" w:hAnsi="Arial"/>
          <w:sz w:val="17"/>
          <w:szCs w:val="17"/>
          <w:color w:val="auto"/>
        </w:rPr>
        <w:t>Shares for basic earnings per share Basic earnings per share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2520" w:type="dxa"/>
            <w:vAlign w:val="bottom"/>
            <w:gridSpan w:val="5"/>
          </w:tcPr>
          <w:p>
            <w:pPr>
              <w:ind w:left="44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2440" w:type="dxa"/>
            <w:vAlign w:val="bottom"/>
            <w:gridSpan w:val="4"/>
          </w:tcPr>
          <w:p>
            <w:pPr>
              <w:jc w:val="right"/>
              <w:ind w:right="538"/>
              <w:spacing w:after="0"/>
              <w:rPr>
                <w:sz w:val="20"/>
                <w:szCs w:val="20"/>
                <w:color w:val="auto"/>
              </w:rPr>
            </w:pPr>
            <w:r>
              <w:rPr>
                <w:rFonts w:ascii="Arial" w:cs="Arial" w:eastAsia="Arial" w:hAnsi="Arial"/>
                <w:sz w:val="15"/>
                <w:szCs w:val="15"/>
                <w:b w:val="1"/>
                <w:bCs w:val="1"/>
                <w:color w:val="auto"/>
              </w:rPr>
              <w:t>Nine Months Ended</w:t>
            </w:r>
          </w:p>
        </w:tc>
      </w:tr>
      <w:tr>
        <w:trPr>
          <w:trHeight w:val="150"/>
        </w:trPr>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8"/>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8"/>
              <w:spacing w:after="0" w:line="150" w:lineRule="exact"/>
              <w:rPr>
                <w:sz w:val="20"/>
                <w:szCs w:val="20"/>
                <w:color w:val="auto"/>
              </w:rPr>
            </w:pPr>
            <w:r>
              <w:rPr>
                <w:rFonts w:ascii="Arial" w:cs="Arial" w:eastAsia="Arial" w:hAnsi="Arial"/>
                <w:sz w:val="15"/>
                <w:szCs w:val="15"/>
                <w:b w:val="1"/>
                <w:bCs w:val="1"/>
                <w:color w:val="auto"/>
                <w:w w:val="91"/>
              </w:rPr>
              <w:t>September 30,</w:t>
            </w:r>
          </w:p>
        </w:tc>
      </w:tr>
      <w:tr>
        <w:trPr>
          <w:trHeight w:val="203"/>
        </w:trPr>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2022</w:t>
            </w:r>
          </w:p>
        </w:tc>
      </w:tr>
      <w:tr>
        <w:trPr>
          <w:trHeight w:val="379"/>
        </w:trPr>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303</w:t>
            </w:r>
          </w:p>
        </w:tc>
      </w:tr>
      <w:tr>
        <w:trPr>
          <w:trHeight w:val="245"/>
        </w:trPr>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w:t>
            </w:r>
          </w:p>
        </w:tc>
      </w:tr>
      <w:tr>
        <w:trPr>
          <w:trHeight w:val="211"/>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-586105</wp:posOffset>
            </wp:positionV>
            <wp:extent cx="5280660" cy="2527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80660" cy="252730"/>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-178435</wp:posOffset>
            </wp:positionV>
            <wp:extent cx="528066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80660" cy="163195"/>
                    </a:xfrm>
                    <a:prstGeom prst="rect">
                      <a:avLst/>
                    </a:prstGeom>
                    <a:noFill/>
                  </pic:spPr>
                </pic:pic>
              </a:graphicData>
            </a:graphic>
          </wp:anchor>
        </w:drawing>
      </w:r>
    </w:p>
    <w:p>
      <w:pPr>
        <w:spacing w:after="0" w:line="253" w:lineRule="exact"/>
        <w:rPr>
          <w:sz w:val="20"/>
          <w:szCs w:val="20"/>
          <w:color w:val="auto"/>
        </w:rPr>
      </w:pPr>
    </w:p>
    <w:p>
      <w:pPr>
        <w:sectPr>
          <w:pgSz w:w="11900" w:h="16838" w:orient="portrait"/>
          <w:cols w:equalWidth="0" w:num="2">
            <w:col w:w="2460" w:space="660"/>
            <w:col w:w="8040"/>
          </w:cols>
          <w:pgMar w:left="320" w:top="230" w:right="419" w:bottom="1440" w:gutter="0" w:footer="0" w:header="0"/>
          <w:type w:val="continuous"/>
        </w:sectPr>
      </w:pPr>
    </w:p>
    <w:p>
      <w:pPr>
        <w:spacing w:after="0" w:line="8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285750</wp:posOffset>
            </wp:positionV>
            <wp:extent cx="71647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table below illustrates the reconciliation of the earnings or loss and number of shares used in our calculation of diluted earnings or loss per share attributable to common shareholders.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ind w:left="44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2440" w:type="dxa"/>
            <w:vAlign w:val="bottom"/>
            <w:gridSpan w:val="4"/>
          </w:tcPr>
          <w:p>
            <w:pPr>
              <w:jc w:val="right"/>
              <w:ind w:right="536"/>
              <w:spacing w:after="0"/>
              <w:rPr>
                <w:sz w:val="20"/>
                <w:szCs w:val="20"/>
                <w:color w:val="auto"/>
              </w:rPr>
            </w:pPr>
            <w:r>
              <w:rPr>
                <w:rFonts w:ascii="Arial" w:cs="Arial" w:eastAsia="Arial" w:hAnsi="Arial"/>
                <w:sz w:val="15"/>
                <w:szCs w:val="15"/>
                <w:b w:val="1"/>
                <w:bCs w:val="1"/>
                <w:color w:val="auto"/>
              </w:rPr>
              <w:t>Nine Months Ended</w:t>
            </w:r>
          </w:p>
        </w:tc>
      </w:tr>
      <w:tr>
        <w:trPr>
          <w:trHeight w:val="150"/>
        </w:trPr>
        <w:tc>
          <w:tcPr>
            <w:tcW w:w="3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6"/>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6"/>
              <w:spacing w:after="0" w:line="150" w:lineRule="exact"/>
              <w:rPr>
                <w:sz w:val="20"/>
                <w:szCs w:val="20"/>
                <w:color w:val="auto"/>
              </w:rPr>
            </w:pPr>
            <w:r>
              <w:rPr>
                <w:rFonts w:ascii="Arial" w:cs="Arial" w:eastAsia="Arial" w:hAnsi="Arial"/>
                <w:sz w:val="15"/>
                <w:szCs w:val="15"/>
                <w:b w:val="1"/>
                <w:bCs w:val="1"/>
                <w:color w:val="auto"/>
                <w:w w:val="91"/>
              </w:rPr>
              <w:t>September 30,</w:t>
            </w:r>
          </w:p>
        </w:tc>
      </w:tr>
      <w:tr>
        <w:trPr>
          <w:trHeight w:val="205"/>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6"/>
              <w:spacing w:after="0" w:line="206" w:lineRule="exact"/>
              <w:rPr>
                <w:sz w:val="20"/>
                <w:szCs w:val="20"/>
                <w:color w:val="auto"/>
              </w:rPr>
            </w:pPr>
            <w:r>
              <w:rPr>
                <w:rFonts w:ascii="Arial" w:cs="Arial" w:eastAsia="Arial" w:hAnsi="Arial"/>
                <w:sz w:val="15"/>
                <w:szCs w:val="15"/>
                <w:b w:val="1"/>
                <w:bCs w:val="1"/>
                <w:color w:val="auto"/>
              </w:rPr>
              <w:t>2023</w:t>
            </w:r>
            <w:r>
              <w:rPr>
                <w:rFonts w:ascii="Arial" w:cs="Arial" w:eastAsia="Arial" w:hAnsi="Arial"/>
                <w:sz w:val="20"/>
                <w:szCs w:val="20"/>
                <w:b w:val="1"/>
                <w:bCs w:val="1"/>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6"/>
              <w:spacing w:after="0" w:line="206" w:lineRule="exact"/>
              <w:rPr>
                <w:sz w:val="20"/>
                <w:szCs w:val="20"/>
                <w:color w:val="auto"/>
              </w:rPr>
            </w:pPr>
            <w:r>
              <w:rPr>
                <w:rFonts w:ascii="Arial" w:cs="Arial" w:eastAsia="Arial" w:hAnsi="Arial"/>
                <w:sz w:val="15"/>
                <w:szCs w:val="15"/>
                <w:b w:val="1"/>
                <w:bCs w:val="1"/>
                <w:color w:val="auto"/>
              </w:rPr>
              <w:t>2022</w:t>
            </w:r>
            <w:r>
              <w:rPr>
                <w:rFonts w:ascii="Arial" w:cs="Arial" w:eastAsia="Arial" w:hAnsi="Arial"/>
                <w:sz w:val="20"/>
                <w:szCs w:val="20"/>
                <w:b w:val="1"/>
                <w:bCs w:val="1"/>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6"/>
              <w:spacing w:after="0" w:line="206" w:lineRule="exact"/>
              <w:rPr>
                <w:sz w:val="20"/>
                <w:szCs w:val="20"/>
                <w:color w:val="auto"/>
              </w:rPr>
            </w:pPr>
            <w:r>
              <w:rPr>
                <w:rFonts w:ascii="Arial" w:cs="Arial" w:eastAsia="Arial" w:hAnsi="Arial"/>
                <w:sz w:val="15"/>
                <w:szCs w:val="15"/>
                <w:b w:val="1"/>
                <w:bCs w:val="1"/>
                <w:color w:val="auto"/>
              </w:rPr>
              <w:t>2023</w:t>
            </w:r>
            <w:r>
              <w:rPr>
                <w:rFonts w:ascii="Arial" w:cs="Arial" w:eastAsia="Arial" w:hAnsi="Arial"/>
                <w:sz w:val="20"/>
                <w:szCs w:val="20"/>
                <w:b w:val="1"/>
                <w:bCs w:val="1"/>
                <w:color w:val="auto"/>
                <w:vertAlign w:val="superscript"/>
              </w:rPr>
              <w:t>(1)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6"/>
              <w:spacing w:after="0" w:line="206" w:lineRule="exact"/>
              <w:rPr>
                <w:sz w:val="20"/>
                <w:szCs w:val="20"/>
                <w:color w:val="auto"/>
              </w:rPr>
            </w:pPr>
            <w:r>
              <w:rPr>
                <w:rFonts w:ascii="Arial" w:cs="Arial" w:eastAsia="Arial" w:hAnsi="Arial"/>
                <w:sz w:val="15"/>
                <w:szCs w:val="15"/>
                <w:b w:val="1"/>
                <w:bCs w:val="1"/>
                <w:color w:val="auto"/>
              </w:rPr>
              <w:t>2022</w:t>
            </w:r>
            <w:r>
              <w:rPr>
                <w:rFonts w:ascii="Arial" w:cs="Arial" w:eastAsia="Arial" w:hAnsi="Arial"/>
                <w:sz w:val="20"/>
                <w:szCs w:val="20"/>
                <w:b w:val="1"/>
                <w:bCs w:val="1"/>
                <w:color w:val="auto"/>
                <w:vertAlign w:val="superscript"/>
              </w:rPr>
              <w:t>(1)</w:t>
            </w:r>
          </w:p>
        </w:tc>
      </w:tr>
      <w:tr>
        <w:trPr>
          <w:trHeight w:val="160"/>
        </w:trPr>
        <w:tc>
          <w:tcPr>
            <w:tcW w:w="3120" w:type="dxa"/>
            <w:vAlign w:val="bottom"/>
            <w:shd w:val="clear" w:color="auto" w:fill="CCEEFF"/>
          </w:tcPr>
          <w:p>
            <w:pPr>
              <w:ind w:left="20"/>
              <w:spacing w:after="0" w:line="160" w:lineRule="exact"/>
              <w:rPr>
                <w:sz w:val="20"/>
                <w:szCs w:val="20"/>
                <w:color w:val="auto"/>
              </w:rPr>
            </w:pPr>
            <w:r>
              <w:rPr>
                <w:rFonts w:ascii="Arial" w:cs="Arial" w:eastAsia="Arial" w:hAnsi="Arial"/>
                <w:sz w:val="17"/>
                <w:szCs w:val="17"/>
                <w:color w:val="auto"/>
              </w:rPr>
              <w:t>Net income attributable to common</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r>
      <w:tr>
        <w:trPr>
          <w:trHeight w:val="180"/>
        </w:trPr>
        <w:tc>
          <w:tcPr>
            <w:tcW w:w="3120" w:type="dxa"/>
            <w:vAlign w:val="bottom"/>
          </w:tcPr>
          <w:p>
            <w:pPr>
              <w:ind w:left="20"/>
              <w:spacing w:after="0" w:line="180" w:lineRule="exact"/>
              <w:rPr>
                <w:sz w:val="20"/>
                <w:szCs w:val="20"/>
                <w:color w:val="auto"/>
              </w:rPr>
            </w:pPr>
            <w:r>
              <w:rPr>
                <w:rFonts w:ascii="Arial" w:cs="Arial" w:eastAsia="Arial" w:hAnsi="Arial"/>
                <w:sz w:val="17"/>
                <w:szCs w:val="17"/>
                <w:color w:val="auto"/>
              </w:rPr>
              <w:t>Add back of interest expense related to</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7"/>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convertible notes, net of tax</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161"/>
        </w:trPr>
        <w:tc>
          <w:tcPr>
            <w:tcW w:w="312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w w:val="91"/>
              </w:rPr>
              <w:t>Numerator used to calculate diluted earnings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18"/>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r>
      <w:tr>
        <w:trPr>
          <w:trHeight w:val="257"/>
        </w:trPr>
        <w:tc>
          <w:tcPr>
            <w:tcW w:w="3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4"/>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for basic earnings per share</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r>
      <w:tr>
        <w:trPr>
          <w:trHeight w:val="243"/>
        </w:trPr>
        <w:tc>
          <w:tcPr>
            <w:tcW w:w="3120" w:type="dxa"/>
            <w:vAlign w:val="bottom"/>
          </w:tcPr>
          <w:p>
            <w:pPr>
              <w:ind w:left="20"/>
              <w:spacing w:after="0"/>
              <w:rPr>
                <w:sz w:val="20"/>
                <w:szCs w:val="20"/>
                <w:color w:val="auto"/>
              </w:rPr>
            </w:pPr>
            <w:r>
              <w:rPr>
                <w:rFonts w:ascii="Arial" w:cs="Arial" w:eastAsia="Arial" w:hAnsi="Arial"/>
                <w:sz w:val="17"/>
                <w:szCs w:val="17"/>
                <w:color w:val="auto"/>
              </w:rPr>
              <w:t>Effect of dilutive shares outstanding</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5"/>
        </w:trPr>
        <w:tc>
          <w:tcPr>
            <w:tcW w:w="3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Employee SARs</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43"/>
        </w:trPr>
        <w:tc>
          <w:tcPr>
            <w:tcW w:w="3120" w:type="dxa"/>
            <w:vAlign w:val="bottom"/>
          </w:tcPr>
          <w:p>
            <w:pPr>
              <w:ind w:left="140"/>
              <w:spacing w:after="0"/>
              <w:rPr>
                <w:sz w:val="20"/>
                <w:szCs w:val="20"/>
                <w:color w:val="auto"/>
              </w:rPr>
            </w:pPr>
            <w:r>
              <w:rPr>
                <w:rFonts w:ascii="Arial" w:cs="Arial" w:eastAsia="Arial" w:hAnsi="Arial"/>
                <w:sz w:val="17"/>
                <w:szCs w:val="17"/>
                <w:color w:val="auto"/>
              </w:rPr>
              <w:t>Restricted stock units</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181"/>
        </w:trPr>
        <w:tc>
          <w:tcPr>
            <w:tcW w:w="3120" w:type="dxa"/>
            <w:vAlign w:val="bottom"/>
            <w:shd w:val="clear" w:color="auto" w:fill="CCEEFF"/>
          </w:tcPr>
          <w:p>
            <w:pPr>
              <w:ind w:left="140"/>
              <w:spacing w:after="0" w:line="180" w:lineRule="exact"/>
              <w:rPr>
                <w:sz w:val="20"/>
                <w:szCs w:val="20"/>
                <w:color w:val="auto"/>
              </w:rPr>
            </w:pPr>
            <w:r>
              <w:rPr>
                <w:rFonts w:ascii="Arial" w:cs="Arial" w:eastAsia="Arial" w:hAnsi="Arial"/>
                <w:sz w:val="17"/>
                <w:szCs w:val="17"/>
                <w:color w:val="auto"/>
                <w:w w:val="99"/>
              </w:rPr>
              <w:t>2022 Convertible Notes ($230 million of</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8"/>
        </w:trPr>
        <w:tc>
          <w:tcPr>
            <w:tcW w:w="3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principal)</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180"/>
        </w:trPr>
        <w:tc>
          <w:tcPr>
            <w:tcW w:w="3120" w:type="dxa"/>
            <w:vAlign w:val="bottom"/>
          </w:tcPr>
          <w:p>
            <w:pPr>
              <w:ind w:left="140"/>
              <w:spacing w:after="0" w:line="180" w:lineRule="exact"/>
              <w:rPr>
                <w:sz w:val="20"/>
                <w:szCs w:val="20"/>
                <w:color w:val="auto"/>
              </w:rPr>
            </w:pPr>
            <w:r>
              <w:rPr>
                <w:rFonts w:ascii="Arial" w:cs="Arial" w:eastAsia="Arial" w:hAnsi="Arial"/>
                <w:sz w:val="17"/>
                <w:szCs w:val="17"/>
                <w:color w:val="auto"/>
                <w:w w:val="99"/>
              </w:rPr>
              <w:t>2026 Convertible Notes ($575 million of</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7"/>
        </w:trPr>
        <w:tc>
          <w:tcPr>
            <w:tcW w:w="3120" w:type="dxa"/>
            <w:vAlign w:val="bottom"/>
          </w:tcPr>
          <w:p>
            <w:pPr>
              <w:ind w:left="140"/>
              <w:spacing w:after="0"/>
              <w:rPr>
                <w:sz w:val="20"/>
                <w:szCs w:val="20"/>
                <w:color w:val="auto"/>
              </w:rPr>
            </w:pPr>
            <w:r>
              <w:rPr>
                <w:rFonts w:ascii="Arial" w:cs="Arial" w:eastAsia="Arial" w:hAnsi="Arial"/>
                <w:sz w:val="17"/>
                <w:szCs w:val="17"/>
                <w:color w:val="auto"/>
              </w:rPr>
              <w:t>principal)</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181"/>
        </w:trPr>
        <w:tc>
          <w:tcPr>
            <w:tcW w:w="3120" w:type="dxa"/>
            <w:vAlign w:val="bottom"/>
            <w:shd w:val="clear" w:color="auto" w:fill="CCEEFF"/>
          </w:tcPr>
          <w:p>
            <w:pPr>
              <w:ind w:left="140"/>
              <w:spacing w:after="0" w:line="180" w:lineRule="exact"/>
              <w:rPr>
                <w:sz w:val="20"/>
                <w:szCs w:val="20"/>
                <w:color w:val="auto"/>
              </w:rPr>
            </w:pPr>
            <w:r>
              <w:rPr>
                <w:rFonts w:ascii="Arial" w:cs="Arial" w:eastAsia="Arial" w:hAnsi="Arial"/>
                <w:sz w:val="17"/>
                <w:szCs w:val="17"/>
                <w:color w:val="auto"/>
                <w:w w:val="99"/>
              </w:rPr>
              <w:t>2027 Convertible Notes ($575 million of</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7"/>
        </w:trPr>
        <w:tc>
          <w:tcPr>
            <w:tcW w:w="3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principal)</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4"/>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Shares for diluted earnings per share</w:t>
            </w: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43.4</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43.8</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45.9</w:t>
            </w:r>
          </w:p>
        </w:tc>
      </w:tr>
      <w:tr>
        <w:trPr>
          <w:trHeight w:val="237"/>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20" w:right="20" w:hanging="317"/>
        <w:spacing w:after="0" w:line="279" w:lineRule="auto"/>
        <w:tabs>
          <w:tab w:leader="none" w:pos="308"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The computations of diluted earnings per share attributable to common shareholders exclude approximately 200,000 and 293,000 shares of common stock, the maximum number of shares issuable as of September 30, 2023 and September 30, 2022, respectively, upon the vesting of certain performance-based awards, because the performance conditions required to be met for the shares subject to such awards to vest were not achieved by the end of the reporting period.</w:t>
      </w:r>
    </w:p>
    <w:p>
      <w:pPr>
        <w:spacing w:after="0" w:line="64" w:lineRule="exact"/>
        <w:rPr>
          <w:sz w:val="20"/>
          <w:szCs w:val="20"/>
          <w:color w:val="auto"/>
        </w:rPr>
      </w:pPr>
    </w:p>
    <w:p>
      <w:pPr>
        <w:ind w:right="120"/>
        <w:spacing w:after="0" w:line="316" w:lineRule="auto"/>
        <w:rPr>
          <w:sz w:val="20"/>
          <w:szCs w:val="20"/>
          <w:color w:val="auto"/>
        </w:rPr>
      </w:pPr>
      <w:r>
        <w:rPr>
          <w:rFonts w:ascii="Arial" w:cs="Arial" w:eastAsia="Arial" w:hAnsi="Arial"/>
          <w:sz w:val="15"/>
          <w:szCs w:val="15"/>
          <w:color w:val="auto"/>
        </w:rPr>
        <w:t>In accordance with the applicable accounting guidance for calculating earnings per share, for the third quarter and first three quarters of 2023, we excluded from our calculation of diluted earnings per share 287,125 shares underlying stock appreciation rights (“SARs”) that may settle in shares of common stock because the exercise prices of such SARs, which ranged from $143.38 to $173.88, were greater than the average market price of our common stock for the applicable period.</w:t>
      </w:r>
    </w:p>
    <w:p>
      <w:pPr>
        <w:spacing w:after="0" w:line="3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For the third quarter of 2022, we excluded from our calculation of diluted earnings per share 252,314 shares underlying SARs that may settle in shares of common stock because the exercise prices of such SARs, which ranged from $143.38 to $173.88, were greater than the average market price of our common stock for the applicable period.</w:t>
      </w:r>
    </w:p>
    <w:p>
      <w:pPr>
        <w:spacing w:after="0" w:line="74"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For the first three quarters of 2022, we excluded from our calculation of diluted earnings per share 199,813 shares underlying SARs that may settle in shares of common stock because the exercise prices of such SARs, which ranged from $159.27 to $173.88, were greater than the average market price of our common stock for the applicable period.</w:t>
      </w:r>
    </w:p>
    <w:p>
      <w:pPr>
        <w:spacing w:after="0" w:line="22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0" w:hanging="380"/>
        <w:spacing w:after="0"/>
        <w:tabs>
          <w:tab w:leader="none" w:pos="4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INVENTORY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composition of our inventory balances: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5"/>
                <w:szCs w:val="15"/>
                <w:b w:val="1"/>
                <w:bCs w:val="1"/>
                <w:color w:val="auto"/>
              </w:rPr>
              <w:t>At September 30, 2023</w:t>
            </w:r>
          </w:p>
        </w:tc>
        <w:tc>
          <w:tcPr>
            <w:tcW w:w="140" w:type="dxa"/>
            <w:vAlign w:val="bottom"/>
          </w:tcPr>
          <w:p>
            <w:pPr>
              <w:spacing w:after="0"/>
              <w:rPr>
                <w:sz w:val="17"/>
                <w:szCs w:val="17"/>
                <w:color w:val="auto"/>
              </w:rPr>
            </w:pPr>
          </w:p>
        </w:tc>
        <w:tc>
          <w:tcPr>
            <w:tcW w:w="1640" w:type="dxa"/>
            <w:vAlign w:val="bottom"/>
          </w:tcPr>
          <w:p>
            <w:pPr>
              <w:jc w:val="right"/>
              <w:ind w:right="77"/>
              <w:spacing w:after="0"/>
              <w:rPr>
                <w:sz w:val="20"/>
                <w:szCs w:val="20"/>
                <w:color w:val="auto"/>
              </w:rPr>
            </w:pPr>
            <w:r>
              <w:rPr>
                <w:rFonts w:ascii="Arial" w:cs="Arial" w:eastAsia="Arial" w:hAnsi="Arial"/>
                <w:sz w:val="15"/>
                <w:szCs w:val="15"/>
                <w:b w:val="1"/>
                <w:bCs w:val="1"/>
                <w:color w:val="auto"/>
                <w:w w:val="94"/>
              </w:rPr>
              <w:t>At December 31, 2022</w:t>
            </w:r>
          </w:p>
        </w:tc>
      </w:tr>
      <w:tr>
        <w:trPr>
          <w:trHeight w:val="227"/>
        </w:trPr>
        <w:tc>
          <w:tcPr>
            <w:tcW w:w="464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7"/>
                <w:szCs w:val="17"/>
                <w:color w:val="auto"/>
              </w:rPr>
              <w:t>Real estate inventory</w:t>
            </w:r>
            <w:r>
              <w:rPr>
                <w:rFonts w:ascii="Arial" w:cs="Arial" w:eastAsia="Arial" w:hAnsi="Arial"/>
                <w:sz w:val="22"/>
                <w:szCs w:val="22"/>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651</w:t>
            </w:r>
          </w:p>
        </w:tc>
      </w:tr>
      <w:tr>
        <w:trPr>
          <w:trHeight w:val="24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4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20" w:right="3000" w:hanging="300"/>
        <w:spacing w:after="0" w:line="237" w:lineRule="auto"/>
        <w:tabs>
          <w:tab w:leader="none" w:pos="30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Represents completed inventory that is registered for sale as VOIs and vacation ownership inventory expected to be reacquired pursuant to estimated future defaults on originated vacation ownership notes receivable.</w:t>
      </w:r>
    </w:p>
    <w:p>
      <w:pPr>
        <w:spacing w:after="0" w:line="157" w:lineRule="exact"/>
        <w:rPr>
          <w:sz w:val="20"/>
          <w:szCs w:val="20"/>
          <w:color w:val="auto"/>
        </w:rPr>
      </w:pPr>
    </w:p>
    <w:p>
      <w:pPr>
        <w:ind w:right="80"/>
        <w:spacing w:after="0" w:line="316" w:lineRule="auto"/>
        <w:rPr>
          <w:sz w:val="20"/>
          <w:szCs w:val="20"/>
          <w:color w:val="auto"/>
        </w:rPr>
      </w:pPr>
      <w:r>
        <w:rPr>
          <w:rFonts w:ascii="Arial" w:cs="Arial" w:eastAsia="Arial" w:hAnsi="Arial"/>
          <w:sz w:val="15"/>
          <w:szCs w:val="15"/>
          <w:color w:val="auto"/>
        </w:rPr>
        <w:t>We value vacation ownership products at the lower of cost or fair market value less costs to sell, in accordance with applicable accounting guidance, and we record operating supplies at the lower of cost (using the first-in, first-out method) or net realizable value. Product cost true-up activity relating to vacation ownership products increased carrying values of inventory by $24 million during the first three quarters of 2023 and $15 million during the first three quarters of 2022.</w:t>
      </w:r>
    </w:p>
    <w:p>
      <w:pPr>
        <w:spacing w:after="0" w:line="37"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In addition to the above, at September 30, 2023 and December 31, 2022, we had $369 million and $428 million, respectively, of completed vacation ownership units which are classified as a component of Property and equipment, net until the time at which they are available and legally registered for sale as vacation ownership products.</w:t>
      </w:r>
    </w:p>
    <w:p>
      <w:pPr>
        <w:spacing w:after="0" w:line="145" w:lineRule="exact"/>
        <w:rPr>
          <w:sz w:val="20"/>
          <w:szCs w:val="20"/>
          <w:color w:val="auto"/>
        </w:rPr>
      </w:pPr>
    </w:p>
    <w:p>
      <w:pPr>
        <w:ind w:left="460" w:hanging="440"/>
        <w:spacing w:after="0"/>
        <w:tabs>
          <w:tab w:leader="none" w:pos="46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CONTINGENCIES AND COMMITMENTS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 and Letters of Credit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we had the following commitments outstanding:</w:t>
      </w:r>
    </w:p>
    <w:p>
      <w:pPr>
        <w:spacing w:after="0" w:line="113" w:lineRule="exact"/>
        <w:rPr>
          <w:sz w:val="20"/>
          <w:szCs w:val="20"/>
          <w:color w:val="auto"/>
        </w:rPr>
      </w:pPr>
    </w:p>
    <w:p>
      <w:pPr>
        <w:ind w:left="460" w:right="160" w:hanging="303"/>
        <w:spacing w:after="0" w:line="264" w:lineRule="auto"/>
        <w:tabs>
          <w:tab w:leader="none" w:pos="4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various contracts for the use of information technology hardware and software that we use in the normal course of business. Our aggregate commitment under these contracts was $107 million, of which we expect $17 million, $42 million, $24 million, $14 million, $6 million and $4 million will be paid in the remainder of 2023, 2024, 2025, 2026, 2027, and thereafter, respectively.</w:t>
      </w:r>
    </w:p>
    <w:p>
      <w:pPr>
        <w:spacing w:after="0" w:line="73" w:lineRule="exact"/>
        <w:rPr>
          <w:rFonts w:ascii="Arial" w:cs="Arial" w:eastAsia="Arial" w:hAnsi="Arial"/>
          <w:sz w:val="17"/>
          <w:szCs w:val="17"/>
          <w:color w:val="auto"/>
        </w:rPr>
      </w:pPr>
    </w:p>
    <w:p>
      <w:pPr>
        <w:ind w:left="460" w:right="300" w:hanging="303"/>
        <w:spacing w:after="0" w:line="277" w:lineRule="auto"/>
        <w:tabs>
          <w:tab w:leader="none" w:pos="4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a commitment to acquire real estate for use in our Vacation Ownership segment via our involvement with a VIE. Refer to Footnote 15 “Variable Interest Entities” for additional information and our activities relating to the VIE involved in this transaction.</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Surety bonds issued as of September 30, 2023 totaled $121 million, the majority of which were requested by federal, state, or local governments in connection with our operations.</w:t>
      </w:r>
    </w:p>
    <w:p>
      <w:pPr>
        <w:spacing w:after="0" w:line="62"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As of September 30, 2023, we had $1 million of letters of credit outstanding under our Revolving Corporate Credit Facility (as defined in Footnote 12 “Debt”). In addition, as of September 30, 2023, we had $1 million in letters of credit outstanding related to and in lieu of reserves required for several vacation ownership notes receivable securitization transactions outstanding. These letters of credit are not issued pursuant to, nor do they impact our borrowing capacity under, the Revolving Corporate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Certain of our rental management agreements in our Exchange &amp; Third-Party Management segment provide for owners of properties we manage to receive specified percentages of rental revenue or guaranteed amounts generated under our management. In these cases, the operating expenses for the rental operations are paid from the revenue generated by the rentals, the owners are then paid their contractual percentages or guaranteed amounts, and we either retain the balance of the rental revenue (if any) as our fee or we make up the deficit if the owners have not received their guaranteed amounts. At September 30, 2023, our maximum exposure under fixed dollar guarantees was $5 million, of which $2 million, $1 million, $1 million, and $1 million relate to 2024, 2025, 2026, and 2027 and thereafter, respectively.</w:t>
      </w:r>
    </w:p>
    <w:p>
      <w:pPr>
        <w:spacing w:after="0" w:line="7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September 30, 2023, our expected commitment for the remainder of 2023 is $3 million.</w:t>
      </w:r>
    </w:p>
    <w:p>
      <w:pPr>
        <w:spacing w:after="0" w:line="24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February 2019, the owners’ association for the St. Regis Residence Club, New York filed a lawsuit in the Supreme Court for the State of New York, New York County, Commercial Division against ILG and several of its subsidiaries and certain third parties. The operative complaint alleges that the defendants breached their fiduciary duties related to sale and rental practices, aided and abetted certain breaches of fiduciary duty, engaged in self-dealing as the sponsor and manager of the club, tortiously interfered with the management agreement, were unjustly enriched, and engaged in anticompetitive conduct. The plaintiff is seeking unspecified damages, punitive damages and disgorgement of payments under the management and purchase agreements. In February 2022, the Court granted our motion to dismiss the complaint and dismissed with prejudice all claims except one (such claim, the “Remaining Claim”), with respect to which the plaintiff was granted leave to amend its complaint. The plaintiff filed an amended complaint with respect to the Remaining Claim and appealed the dismissal of the other claims. In June 2023, the appellate court upheld the dismissal of those claims. Plaintiff filed a motion for reconsideration of that appellate ruling, and in October 2023, the appellate court denied that motion. In November 2022, the Court granted our motion to dismiss the amended complaint with respect to the Remaining Claim and again granted plaintiff leave to amend its complaint. The plaintiff filed an amended complaint with respect to the Remaining Claim and again appealed the dismissal of the other claims. That appeal remains pending. In September 2023, the Court granted our motion to dismiss the amended complaint with respect to the Remaining Claim and denied plaintiff permission to file any additional amended complaints. We believe we have meritorious defenses to the claims in this matter and intend to vigorously defend against them.</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the ordinary course of our business, various claims and lawsuits have been filed or are pending against us. A number of these lawsuits and claims may exist at any given time. Additionally, the COVID-19 pandemic may give rise to various claims and lawsuits from owners, members and other parties.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spacing w:after="0" w:line="79"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We have not accrued for the pending matter described above and we cannot estimate a range of the potential liability associated with this pending matter, if any, at this time. We have accrued for other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asserted, unfavorable rulings could occur that could, individually or in the aggregate, have a material adverse effect on our business, financial condition, or operating results.</w:t>
      </w:r>
    </w:p>
    <w:p>
      <w:pPr>
        <w:spacing w:after="0" w:line="239" w:lineRule="exact"/>
        <w:rPr>
          <w:sz w:val="20"/>
          <w:szCs w:val="20"/>
          <w:color w:val="auto"/>
        </w:rPr>
      </w:pPr>
    </w:p>
    <w:p>
      <w:pPr>
        <w:ind w:left="460" w:hanging="440"/>
        <w:spacing w:after="0"/>
        <w:tabs>
          <w:tab w:leader="none" w:pos="46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SECURITIZED DEBT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 on our securitized debt, net of unamortized debt discount and issuance costs.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760" w:type="dxa"/>
            <w:vAlign w:val="bottom"/>
            <w:gridSpan w:val="2"/>
          </w:tcPr>
          <w:p>
            <w:pPr>
              <w:ind w:left="20"/>
              <w:spacing w:after="0"/>
              <w:rPr>
                <w:sz w:val="20"/>
                <w:szCs w:val="20"/>
                <w:color w:val="auto"/>
              </w:rPr>
            </w:pPr>
            <w:r>
              <w:rPr>
                <w:rFonts w:ascii="Arial" w:cs="Arial" w:eastAsia="Arial" w:hAnsi="Arial"/>
                <w:sz w:val="15"/>
                <w:szCs w:val="15"/>
                <w:b w:val="1"/>
                <w:bCs w:val="1"/>
                <w:color w:val="auto"/>
              </w:rPr>
              <w:t>At September 30, 2023</w:t>
            </w:r>
          </w:p>
        </w:tc>
        <w:tc>
          <w:tcPr>
            <w:tcW w:w="140" w:type="dxa"/>
            <w:vAlign w:val="bottom"/>
          </w:tcPr>
          <w:p>
            <w:pPr>
              <w:spacing w:after="0"/>
              <w:rPr>
                <w:sz w:val="17"/>
                <w:szCs w:val="17"/>
                <w:color w:val="auto"/>
              </w:rPr>
            </w:pPr>
          </w:p>
        </w:tc>
        <w:tc>
          <w:tcPr>
            <w:tcW w:w="1620" w:type="dxa"/>
            <w:vAlign w:val="bottom"/>
          </w:tcPr>
          <w:p>
            <w:pPr>
              <w:jc w:val="right"/>
              <w:ind w:right="76"/>
              <w:spacing w:after="0"/>
              <w:rPr>
                <w:sz w:val="20"/>
                <w:szCs w:val="20"/>
                <w:color w:val="auto"/>
              </w:rPr>
            </w:pPr>
            <w:r>
              <w:rPr>
                <w:rFonts w:ascii="Arial" w:cs="Arial" w:eastAsia="Arial" w:hAnsi="Arial"/>
                <w:sz w:val="15"/>
                <w:szCs w:val="15"/>
                <w:b w:val="1"/>
                <w:bCs w:val="1"/>
                <w:color w:val="auto"/>
                <w:w w:val="92"/>
              </w:rPr>
              <w:t>At December 31, 2022</w:t>
            </w:r>
          </w:p>
        </w:tc>
      </w:tr>
      <w:tr>
        <w:trPr>
          <w:trHeight w:val="227"/>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securitizations, gross</w:t>
            </w:r>
            <w:r>
              <w:rPr>
                <w:rFonts w:ascii="Arial" w:cs="Arial" w:eastAsia="Arial" w:hAnsi="Arial"/>
                <w:sz w:val="10"/>
                <w:szCs w:val="10"/>
                <w:color w:val="auto"/>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1,799</w:t>
            </w:r>
          </w:p>
        </w:tc>
      </w:tr>
      <w:tr>
        <w:trPr>
          <w:trHeight w:val="24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discount and issuance costs</w:t>
            </w: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25"/>
        </w:trPr>
        <w:tc>
          <w:tcPr>
            <w:tcW w:w="4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1,778</w:t>
            </w:r>
          </w:p>
        </w:tc>
      </w:tr>
      <w:tr>
        <w:trPr>
          <w:trHeight w:val="154"/>
        </w:trPr>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44"/>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Warehouse Credit Facility, gross</w:t>
            </w:r>
            <w:r>
              <w:rPr>
                <w:rFonts w:ascii="Arial" w:cs="Arial" w:eastAsia="Arial" w:hAnsi="Arial"/>
                <w:sz w:val="10"/>
                <w:szCs w:val="10"/>
                <w:color w:val="auto"/>
              </w:rPr>
              <w:t>(2)</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4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issuance costs</w:t>
            </w: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25"/>
        </w:trPr>
        <w:tc>
          <w:tcPr>
            <w:tcW w:w="4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154"/>
        </w:trPr>
        <w:tc>
          <w:tcPr>
            <w:tcW w:w="46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r>
      <w:tr>
        <w:trPr>
          <w:trHeight w:val="235"/>
        </w:trPr>
        <w:tc>
          <w:tcPr>
            <w:tcW w:w="4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1,938</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320" w:hanging="300"/>
        <w:spacing w:after="0"/>
        <w:tabs>
          <w:tab w:leader="none" w:pos="32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Interest rates as of September 30, 2023 range from 1.5% to 6.6%, with a weighted average interest rate of 3.8%.</w:t>
      </w:r>
    </w:p>
    <w:p>
      <w:pPr>
        <w:spacing w:after="0" w:line="66" w:lineRule="exact"/>
        <w:rPr>
          <w:rFonts w:ascii="Arial" w:cs="Arial" w:eastAsia="Arial" w:hAnsi="Arial"/>
          <w:sz w:val="22"/>
          <w:szCs w:val="22"/>
          <w:color w:val="auto"/>
          <w:vertAlign w:val="superscript"/>
        </w:rPr>
      </w:pPr>
    </w:p>
    <w:p>
      <w:pPr>
        <w:ind w:left="320" w:hanging="300"/>
        <w:spacing w:after="0" w:line="229" w:lineRule="auto"/>
        <w:tabs>
          <w:tab w:leader="none" w:pos="32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Effective interest rate as of September 30, 2023 was 6.8%.</w:t>
      </w:r>
    </w:p>
    <w:p>
      <w:pPr>
        <w:spacing w:after="0" w:line="259"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All of our securitized debt is non-recourse. See Footnote 15 “Variable Interest Entities” for a discussion of the collateral for the non-recourse debt associated with our securitized debt.</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anticipated future principal payments for our securitized debt as of September 30,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Vacation Ownership</w:t>
            </w:r>
          </w:p>
        </w:tc>
        <w:tc>
          <w:tcPr>
            <w:tcW w:w="180" w:type="dxa"/>
            <w:vAlign w:val="bottom"/>
          </w:tcPr>
          <w:p>
            <w:pPr>
              <w:spacing w:after="0"/>
              <w:rPr>
                <w:sz w:val="14"/>
                <w:szCs w:val="14"/>
                <w:color w:val="auto"/>
              </w:rPr>
            </w:pPr>
          </w:p>
        </w:tc>
        <w:tc>
          <w:tcPr>
            <w:tcW w:w="168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1"/>
              </w:rPr>
              <w:t>Warehouse Credit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260"/>
              <w:spacing w:after="0" w:line="154" w:lineRule="exact"/>
              <w:rPr>
                <w:sz w:val="20"/>
                <w:szCs w:val="20"/>
                <w:color w:val="auto"/>
              </w:rPr>
            </w:pPr>
            <w:r>
              <w:rPr>
                <w:rFonts w:ascii="Arial" w:cs="Arial" w:eastAsia="Arial" w:hAnsi="Arial"/>
                <w:sz w:val="15"/>
                <w:szCs w:val="15"/>
                <w:b w:val="1"/>
                <w:bCs w:val="1"/>
                <w:color w:val="auto"/>
                <w:w w:val="90"/>
              </w:rPr>
              <w:t>Notes Receivable</w:t>
            </w:r>
          </w:p>
        </w:tc>
        <w:tc>
          <w:tcPr>
            <w:tcW w:w="18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vMerge w:val="restart"/>
          </w:tcPr>
          <w:p>
            <w:pPr>
              <w:jc w:val="right"/>
              <w:ind w:right="59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5"/>
        </w:trPr>
        <w:tc>
          <w:tcPr>
            <w:tcW w:w="2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Securitizations</w:t>
            </w:r>
          </w:p>
        </w:tc>
        <w:tc>
          <w:tcPr>
            <w:tcW w:w="180" w:type="dxa"/>
            <w:vAlign w:val="bottom"/>
          </w:tcPr>
          <w:p>
            <w:pPr>
              <w:spacing w:after="0"/>
              <w:rPr>
                <w:sz w:val="17"/>
                <w:szCs w:val="17"/>
                <w:color w:val="auto"/>
              </w:rPr>
            </w:pPr>
          </w:p>
        </w:tc>
        <w:tc>
          <w:tcPr>
            <w:tcW w:w="1680" w:type="dxa"/>
            <w:vAlign w:val="bottom"/>
            <w:gridSpan w:val="2"/>
          </w:tcPr>
          <w:p>
            <w:pPr>
              <w:jc w:val="center"/>
              <w:ind w:right="300"/>
              <w:spacing w:after="0" w:line="206" w:lineRule="exact"/>
              <w:rPr>
                <w:sz w:val="20"/>
                <w:szCs w:val="20"/>
                <w:color w:val="auto"/>
              </w:rPr>
            </w:pPr>
            <w:r>
              <w:rPr>
                <w:rFonts w:ascii="Arial" w:cs="Arial" w:eastAsia="Arial" w:hAnsi="Arial"/>
                <w:sz w:val="15"/>
                <w:szCs w:val="15"/>
                <w:b w:val="1"/>
                <w:bCs w:val="1"/>
                <w:color w:val="auto"/>
                <w:w w:val="91"/>
              </w:rPr>
              <w:t>Facility</w:t>
            </w:r>
            <w:r>
              <w:rPr>
                <w:rFonts w:ascii="Arial" w:cs="Arial" w:eastAsia="Arial" w:hAnsi="Arial"/>
                <w:sz w:val="20"/>
                <w:szCs w:val="20"/>
                <w:b w:val="1"/>
                <w:bCs w:val="1"/>
                <w:color w:val="auto"/>
                <w:w w:val="91"/>
                <w:vertAlign w:val="superscript"/>
              </w:rPr>
              <w:t>(1)</w:t>
            </w:r>
          </w:p>
        </w:tc>
        <w:tc>
          <w:tcPr>
            <w:tcW w:w="3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Payments Year</w:t>
            </w: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220"/>
              <w:spacing w:after="0"/>
              <w:rPr>
                <w:sz w:val="20"/>
                <w:szCs w:val="20"/>
                <w:color w:val="auto"/>
              </w:rPr>
            </w:pPr>
            <w:r>
              <w:rPr>
                <w:rFonts w:ascii="Arial" w:cs="Arial" w:eastAsia="Arial" w:hAnsi="Arial"/>
                <w:sz w:val="17"/>
                <w:szCs w:val="17"/>
                <w:color w:val="auto"/>
              </w:rPr>
              <w:t>2023, remaining</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1"/>
                <w:szCs w:val="21"/>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45"/>
        </w:trPr>
        <w:tc>
          <w:tcPr>
            <w:tcW w:w="2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2024</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43"/>
        </w:trPr>
        <w:tc>
          <w:tcPr>
            <w:tcW w:w="2900" w:type="dxa"/>
            <w:vAlign w:val="bottom"/>
          </w:tcPr>
          <w:p>
            <w:pPr>
              <w:ind w:left="220"/>
              <w:spacing w:after="0"/>
              <w:rPr>
                <w:sz w:val="20"/>
                <w:szCs w:val="20"/>
                <w:color w:val="auto"/>
              </w:rPr>
            </w:pPr>
            <w:r>
              <w:rPr>
                <w:rFonts w:ascii="Arial" w:cs="Arial" w:eastAsia="Arial" w:hAnsi="Arial"/>
                <w:sz w:val="17"/>
                <w:szCs w:val="17"/>
                <w:color w:val="auto"/>
              </w:rPr>
              <w:t>2025</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45"/>
        </w:trPr>
        <w:tc>
          <w:tcPr>
            <w:tcW w:w="2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2026</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43"/>
        </w:trPr>
        <w:tc>
          <w:tcPr>
            <w:tcW w:w="2900" w:type="dxa"/>
            <w:vAlign w:val="bottom"/>
          </w:tcPr>
          <w:p>
            <w:pPr>
              <w:ind w:left="220"/>
              <w:spacing w:after="0"/>
              <w:rPr>
                <w:sz w:val="20"/>
                <w:szCs w:val="20"/>
                <w:color w:val="auto"/>
              </w:rPr>
            </w:pPr>
            <w:r>
              <w:rPr>
                <w:rFonts w:ascii="Arial" w:cs="Arial" w:eastAsia="Arial" w:hAnsi="Arial"/>
                <w:sz w:val="17"/>
                <w:szCs w:val="17"/>
                <w:color w:val="auto"/>
              </w:rPr>
              <w:t>2027</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44"/>
        </w:trPr>
        <w:tc>
          <w:tcPr>
            <w:tcW w:w="2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Thereafter</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1,703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345</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2,048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20" w:hanging="300"/>
        <w:spacing w:after="0"/>
        <w:tabs>
          <w:tab w:leader="none" w:pos="32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Excludes future Warehouse Credit Facility renewals.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Vacation Ownership Notes Receivable Securitizations</w:t>
      </w:r>
    </w:p>
    <w:p>
      <w:pPr>
        <w:spacing w:after="0" w:line="11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third quarter of 2023, and as of September 30, 2023, we had 14 securitized vacation ownership notes receivable pools outstanding, none of which were out of compliance with their respective established parameters.</w:t>
      </w:r>
    </w:p>
    <w:p>
      <w:pPr>
        <w:spacing w:after="0" w:line="65"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38"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During the second quarter of 2023, we securitized a pool of $388 million of vacation ownership notes receivable. In connection with the securitization, $380 million in vacation ownership loan backed notes were issued by MVW 2023-1 LLC (the “2023-1 LLC”) in a private placement. Four classes of vacation ownership loan backed notes were issued by the 2023-1 LLC: $237 million of Class A Notes, $65 million of Class B Notes, $48 million of Class C Notes, and $30 million of Class D Notes. The Class A Notes have an interest rate of 4.93%, the Class B Notes have an interest rate of 5.42%, the Class C Notes have an interest rate of</w:t>
      </w:r>
    </w:p>
    <w:p>
      <w:pPr>
        <w:spacing w:after="0" w:line="2" w:lineRule="exact"/>
        <w:rPr>
          <w:sz w:val="20"/>
          <w:szCs w:val="20"/>
          <w:color w:val="auto"/>
        </w:rPr>
      </w:pPr>
    </w:p>
    <w:p>
      <w:pPr>
        <w:jc w:val="both"/>
        <w:ind w:right="80"/>
        <w:spacing w:after="0" w:line="300" w:lineRule="auto"/>
        <w:rPr>
          <w:sz w:val="20"/>
          <w:szCs w:val="20"/>
          <w:color w:val="auto"/>
        </w:rPr>
      </w:pPr>
      <w:r>
        <w:rPr>
          <w:rFonts w:ascii="Arial" w:cs="Arial" w:eastAsia="Arial" w:hAnsi="Arial"/>
          <w:sz w:val="15"/>
          <w:szCs w:val="15"/>
          <w:color w:val="auto"/>
        </w:rPr>
        <w:t>6.54%, and the Class D Notes have an interest rate of 8.83%. Investors purchased $369 million of the vacation ownership loan backed notes issued by the 2023-1 LLC, composed of the Class A Notes, the Class B Notes, the Class C Notes, and a portion of the Class D Notes, of which we retained $11 million. Proceeds from the transaction, net of fees and a reserve, were used to repay the outstanding obligations on our warehouse credit facility (the “Warehouse Credit Facility”) and for other general corporate purposes. The Class D notes that we retained were subsequently sold at par during the second quarter of 2023.</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Warehouse Credit Facility</w:t>
      </w:r>
    </w:p>
    <w:p>
      <w:pPr>
        <w:spacing w:after="0" w:line="11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During the second quarter of 2023, we amended certain agreements associated with our Warehouse Credit Facility (the “Warehouse Amendment”). The Warehouse Amendment increased the borrowing capacity of the existing facility from $425 million to $500 million and extended the revolving period from July 28, 2024 to May 31, 2025. The Warehouse Amendment made no other material changes to the Warehouse Credit Facility.</w:t>
      </w:r>
    </w:p>
    <w:p>
      <w:pPr>
        <w:spacing w:after="0" w:line="22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 w:hanging="440"/>
        <w:spacing w:after="0"/>
        <w:tabs>
          <w:tab w:leader="none" w:pos="46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detail on our debt balances, net of unamortized debt discount and issuance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760" w:type="dxa"/>
            <w:vAlign w:val="bottom"/>
            <w:gridSpan w:val="3"/>
          </w:tcPr>
          <w:p>
            <w:pPr>
              <w:ind w:left="80"/>
              <w:spacing w:after="0"/>
              <w:rPr>
                <w:sz w:val="20"/>
                <w:szCs w:val="20"/>
                <w:color w:val="auto"/>
              </w:rPr>
            </w:pPr>
            <w:r>
              <w:rPr>
                <w:rFonts w:ascii="Arial" w:cs="Arial" w:eastAsia="Arial" w:hAnsi="Arial"/>
                <w:sz w:val="15"/>
                <w:szCs w:val="15"/>
                <w:b w:val="1"/>
                <w:bCs w:val="1"/>
                <w:color w:val="auto"/>
              </w:rPr>
              <w:t>At September 30, 2023</w:t>
            </w:r>
          </w:p>
        </w:tc>
        <w:tc>
          <w:tcPr>
            <w:tcW w:w="100" w:type="dxa"/>
            <w:vAlign w:val="bottom"/>
          </w:tcPr>
          <w:p>
            <w:pPr>
              <w:spacing w:after="0"/>
              <w:rPr>
                <w:sz w:val="17"/>
                <w:szCs w:val="17"/>
                <w:color w:val="auto"/>
              </w:rPr>
            </w:pPr>
          </w:p>
        </w:tc>
        <w:tc>
          <w:tcPr>
            <w:tcW w:w="1560" w:type="dxa"/>
            <w:vAlign w:val="bottom"/>
          </w:tcPr>
          <w:p>
            <w:pPr>
              <w:jc w:val="right"/>
              <w:ind w:right="15"/>
              <w:spacing w:after="0"/>
              <w:rPr>
                <w:sz w:val="20"/>
                <w:szCs w:val="20"/>
                <w:color w:val="auto"/>
              </w:rPr>
            </w:pPr>
            <w:r>
              <w:rPr>
                <w:rFonts w:ascii="Arial" w:cs="Arial" w:eastAsia="Arial" w:hAnsi="Arial"/>
                <w:sz w:val="15"/>
                <w:szCs w:val="15"/>
                <w:b w:val="1"/>
                <w:bCs w:val="1"/>
                <w:color w:val="auto"/>
                <w:w w:val="92"/>
              </w:rPr>
              <w:t>At December 31, 2022</w:t>
            </w:r>
          </w:p>
        </w:tc>
      </w:tr>
      <w:tr>
        <w:trPr>
          <w:trHeight w:val="207"/>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Corporate Credit Facility</w:t>
            </w:r>
          </w:p>
        </w:tc>
        <w:tc>
          <w:tcPr>
            <w:tcW w:w="640" w:type="dxa"/>
            <w:vAlign w:val="bottom"/>
            <w:tcBorders>
              <w:top w:val="single" w:sz="8" w:color="auto"/>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43"/>
        </w:trPr>
        <w:tc>
          <w:tcPr>
            <w:tcW w:w="4900" w:type="dxa"/>
            <w:vAlign w:val="bottom"/>
          </w:tcPr>
          <w:p>
            <w:pPr>
              <w:ind w:left="540"/>
              <w:spacing w:after="0"/>
              <w:rPr>
                <w:sz w:val="20"/>
                <w:szCs w:val="20"/>
                <w:color w:val="auto"/>
              </w:rPr>
            </w:pPr>
            <w:r>
              <w:rPr>
                <w:rFonts w:ascii="Arial" w:cs="Arial" w:eastAsia="Arial" w:hAnsi="Arial"/>
                <w:sz w:val="17"/>
                <w:szCs w:val="17"/>
                <w:color w:val="auto"/>
              </w:rPr>
              <w:t>Term Loan</w:t>
            </w:r>
          </w:p>
        </w:tc>
        <w:tc>
          <w:tcPr>
            <w:tcW w:w="640" w:type="dxa"/>
            <w:vAlign w:val="bottom"/>
          </w:tcPr>
          <w:p>
            <w:pPr>
              <w:jc w:val="right"/>
              <w:ind w:right="45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784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784</w:t>
            </w:r>
          </w:p>
        </w:tc>
      </w:tr>
      <w:tr>
        <w:trPr>
          <w:trHeight w:val="244"/>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discount and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4"/>
        </w:trPr>
        <w:tc>
          <w:tcPr>
            <w:tcW w:w="4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778</w:t>
            </w:r>
          </w:p>
        </w:tc>
      </w:tr>
      <w:tr>
        <w:trPr>
          <w:trHeight w:val="245"/>
        </w:trPr>
        <w:tc>
          <w:tcPr>
            <w:tcW w:w="49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900" w:type="dxa"/>
            <w:vAlign w:val="bottom"/>
          </w:tcPr>
          <w:p>
            <w:pPr>
              <w:ind w:left="540"/>
              <w:spacing w:after="0"/>
              <w:rPr>
                <w:sz w:val="20"/>
                <w:szCs w:val="20"/>
                <w:color w:val="auto"/>
              </w:rPr>
            </w:pPr>
            <w:r>
              <w:rPr>
                <w:rFonts w:ascii="Arial" w:cs="Arial" w:eastAsia="Arial" w:hAnsi="Arial"/>
                <w:sz w:val="17"/>
                <w:szCs w:val="17"/>
                <w:color w:val="auto"/>
              </w:rPr>
              <w:t>Revolving Corporate Credit Facility</w:t>
            </w:r>
            <w:r>
              <w:rPr>
                <w:rFonts w:ascii="Arial" w:cs="Arial" w:eastAsia="Arial" w:hAnsi="Arial"/>
                <w:sz w:val="8"/>
                <w:szCs w:val="8"/>
                <w:color w:val="auto"/>
              </w:rPr>
              <w:t>(1)</w:t>
            </w:r>
          </w:p>
        </w:tc>
        <w:tc>
          <w:tcPr>
            <w:tcW w:w="6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4"/>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issuance costs</w:t>
            </w:r>
            <w:r>
              <w:rPr>
                <w:rFonts w:ascii="Arial" w:cs="Arial" w:eastAsia="Arial" w:hAnsi="Arial"/>
                <w:sz w:val="8"/>
                <w:szCs w:val="8"/>
                <w:color w:val="auto"/>
              </w:rPr>
              <w:t>(2)</w:t>
            </w:r>
          </w:p>
        </w:tc>
        <w:tc>
          <w:tcPr>
            <w:tcW w:w="6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4"/>
        </w:trPr>
        <w:tc>
          <w:tcPr>
            <w:tcW w:w="4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Senior Secured Notes</w:t>
            </w: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900" w:type="dxa"/>
            <w:vAlign w:val="bottom"/>
          </w:tcPr>
          <w:p>
            <w:pPr>
              <w:ind w:left="540"/>
              <w:spacing w:after="0"/>
              <w:rPr>
                <w:sz w:val="20"/>
                <w:szCs w:val="20"/>
                <w:color w:val="auto"/>
              </w:rPr>
            </w:pPr>
            <w:r>
              <w:rPr>
                <w:rFonts w:ascii="Arial" w:cs="Arial" w:eastAsia="Arial" w:hAnsi="Arial"/>
                <w:sz w:val="17"/>
                <w:szCs w:val="17"/>
                <w:color w:val="auto"/>
              </w:rPr>
              <w:t>2025 Notes</w:t>
            </w:r>
          </w:p>
        </w:tc>
        <w:tc>
          <w:tcPr>
            <w:tcW w:w="6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250</w:t>
            </w:r>
          </w:p>
        </w:tc>
      </w:tr>
      <w:tr>
        <w:trPr>
          <w:trHeight w:val="244"/>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discount and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4"/>
        </w:trPr>
        <w:tc>
          <w:tcPr>
            <w:tcW w:w="4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248</w:t>
            </w:r>
          </w:p>
        </w:tc>
      </w:tr>
      <w:tr>
        <w:trPr>
          <w:trHeight w:val="245"/>
        </w:trPr>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Senior Unsecured Notes</w:t>
            </w: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900" w:type="dxa"/>
            <w:vAlign w:val="bottom"/>
          </w:tcPr>
          <w:p>
            <w:pPr>
              <w:ind w:left="540"/>
              <w:spacing w:after="0"/>
              <w:rPr>
                <w:sz w:val="20"/>
                <w:szCs w:val="20"/>
                <w:color w:val="auto"/>
              </w:rPr>
            </w:pPr>
            <w:r>
              <w:rPr>
                <w:rFonts w:ascii="Arial" w:cs="Arial" w:eastAsia="Arial" w:hAnsi="Arial"/>
                <w:sz w:val="17"/>
                <w:szCs w:val="17"/>
                <w:color w:val="auto"/>
              </w:rPr>
              <w:t>2028 Notes</w:t>
            </w:r>
          </w:p>
        </w:tc>
        <w:tc>
          <w:tcPr>
            <w:tcW w:w="6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350</w:t>
            </w:r>
          </w:p>
        </w:tc>
      </w:tr>
      <w:tr>
        <w:trPr>
          <w:trHeight w:val="244"/>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discount and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4"/>
        </w:trPr>
        <w:tc>
          <w:tcPr>
            <w:tcW w:w="4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347</w:t>
            </w:r>
          </w:p>
        </w:tc>
      </w:tr>
      <w:tr>
        <w:trPr>
          <w:trHeight w:val="245"/>
        </w:trPr>
        <w:tc>
          <w:tcPr>
            <w:tcW w:w="49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900" w:type="dxa"/>
            <w:vAlign w:val="bottom"/>
          </w:tcPr>
          <w:p>
            <w:pPr>
              <w:ind w:left="540"/>
              <w:spacing w:after="0"/>
              <w:rPr>
                <w:sz w:val="20"/>
                <w:szCs w:val="20"/>
                <w:color w:val="auto"/>
              </w:rPr>
            </w:pPr>
            <w:r>
              <w:rPr>
                <w:rFonts w:ascii="Arial" w:cs="Arial" w:eastAsia="Arial" w:hAnsi="Arial"/>
                <w:sz w:val="17"/>
                <w:szCs w:val="17"/>
                <w:color w:val="auto"/>
              </w:rPr>
              <w:t>2029 Notes</w:t>
            </w:r>
          </w:p>
        </w:tc>
        <w:tc>
          <w:tcPr>
            <w:tcW w:w="6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44"/>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discount and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4"/>
        </w:trPr>
        <w:tc>
          <w:tcPr>
            <w:tcW w:w="4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494</w:t>
            </w:r>
          </w:p>
        </w:tc>
      </w:tr>
      <w:tr>
        <w:trPr>
          <w:trHeight w:val="22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Convertible Notes</w:t>
            </w:r>
          </w:p>
        </w:tc>
        <w:tc>
          <w:tcPr>
            <w:tcW w:w="6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r>
      <w:tr>
        <w:trPr>
          <w:trHeight w:val="243"/>
        </w:trPr>
        <w:tc>
          <w:tcPr>
            <w:tcW w:w="4900" w:type="dxa"/>
            <w:vAlign w:val="bottom"/>
          </w:tcPr>
          <w:p>
            <w:pPr>
              <w:ind w:left="540"/>
              <w:spacing w:after="0"/>
              <w:rPr>
                <w:sz w:val="20"/>
                <w:szCs w:val="20"/>
                <w:color w:val="auto"/>
              </w:rPr>
            </w:pPr>
            <w:r>
              <w:rPr>
                <w:rFonts w:ascii="Arial" w:cs="Arial" w:eastAsia="Arial" w:hAnsi="Arial"/>
                <w:sz w:val="17"/>
                <w:szCs w:val="17"/>
                <w:color w:val="auto"/>
              </w:rPr>
              <w:t>2026 Convertible Notes</w:t>
            </w:r>
          </w:p>
        </w:tc>
        <w:tc>
          <w:tcPr>
            <w:tcW w:w="6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575</w:t>
            </w:r>
          </w:p>
        </w:tc>
      </w:tr>
      <w:tr>
        <w:trPr>
          <w:trHeight w:val="244"/>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4"/>
        </w:trPr>
        <w:tc>
          <w:tcPr>
            <w:tcW w:w="4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565</w:t>
            </w:r>
          </w:p>
        </w:tc>
      </w:tr>
      <w:tr>
        <w:trPr>
          <w:trHeight w:val="245"/>
        </w:trPr>
        <w:tc>
          <w:tcPr>
            <w:tcW w:w="49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900" w:type="dxa"/>
            <w:vAlign w:val="bottom"/>
          </w:tcPr>
          <w:p>
            <w:pPr>
              <w:ind w:left="540"/>
              <w:spacing w:after="0"/>
              <w:rPr>
                <w:sz w:val="20"/>
                <w:szCs w:val="20"/>
                <w:color w:val="auto"/>
              </w:rPr>
            </w:pPr>
            <w:r>
              <w:rPr>
                <w:rFonts w:ascii="Arial" w:cs="Arial" w:eastAsia="Arial" w:hAnsi="Arial"/>
                <w:sz w:val="17"/>
                <w:szCs w:val="17"/>
                <w:color w:val="auto"/>
              </w:rPr>
              <w:t>2027 Convertible Notes</w:t>
            </w:r>
          </w:p>
        </w:tc>
        <w:tc>
          <w:tcPr>
            <w:tcW w:w="6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575</w:t>
            </w:r>
          </w:p>
        </w:tc>
      </w:tr>
      <w:tr>
        <w:trPr>
          <w:trHeight w:val="244"/>
        </w:trPr>
        <w:tc>
          <w:tcPr>
            <w:tcW w:w="49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Unamortized debt issuance costs</w:t>
            </w:r>
          </w:p>
        </w:tc>
        <w:tc>
          <w:tcPr>
            <w:tcW w:w="6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4"/>
        </w:trPr>
        <w:tc>
          <w:tcPr>
            <w:tcW w:w="4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560</w:t>
            </w:r>
          </w:p>
        </w:tc>
      </w:tr>
      <w:tr>
        <w:trPr>
          <w:trHeight w:val="245"/>
        </w:trPr>
        <w:tc>
          <w:tcPr>
            <w:tcW w:w="49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7"/>
                <w:szCs w:val="17"/>
                <w:color w:val="auto"/>
              </w:rPr>
              <w:t>Finance Leases</w:t>
            </w:r>
          </w:p>
        </w:tc>
        <w:tc>
          <w:tcPr>
            <w:tcW w:w="6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45"/>
        </w:trPr>
        <w:tc>
          <w:tcPr>
            <w:tcW w:w="49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Non-interest bearing note payable</w:t>
            </w:r>
          </w:p>
        </w:tc>
        <w:tc>
          <w:tcPr>
            <w:tcW w:w="6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49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3,088</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20" w:hanging="300"/>
        <w:spacing w:after="0"/>
        <w:tabs>
          <w:tab w:leader="none" w:pos="32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Effective interest rate as of September 30, 2023 was 7.2%.</w:t>
      </w:r>
    </w:p>
    <w:p>
      <w:pPr>
        <w:spacing w:after="0" w:line="91" w:lineRule="exact"/>
        <w:rPr>
          <w:rFonts w:ascii="Arial" w:cs="Arial" w:eastAsia="Arial" w:hAnsi="Arial"/>
          <w:sz w:val="22"/>
          <w:szCs w:val="22"/>
          <w:color w:val="auto"/>
          <w:vertAlign w:val="superscript"/>
        </w:rPr>
      </w:pPr>
    </w:p>
    <w:p>
      <w:pPr>
        <w:ind w:left="320" w:right="2079" w:hanging="300"/>
        <w:spacing w:after="0" w:line="233" w:lineRule="auto"/>
        <w:tabs>
          <w:tab w:leader="none" w:pos="30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Excludes $5 million of unamortized debt issuance costs as of December 31, 2022. As no cash borrowings were outstanding under the Revolving Corporate Credit Facility at that time, the unamortized debt issuance costs were included in Other assets.</w:t>
      </w:r>
    </w:p>
    <w:p>
      <w:pPr>
        <w:spacing w:after="0" w:line="36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The following table shows scheduled principal payments for our debt, based on contractual terms and maturity dates, excluding finance leases, as of September 30, 2023.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5"/>
          </w:tcPr>
          <w:p>
            <w:pPr>
              <w:ind w:left="80"/>
              <w:spacing w:after="0"/>
              <w:rPr>
                <w:sz w:val="20"/>
                <w:szCs w:val="20"/>
                <w:color w:val="auto"/>
              </w:rPr>
            </w:pPr>
            <w:r>
              <w:rPr>
                <w:rFonts w:ascii="Arial" w:cs="Arial" w:eastAsia="Arial" w:hAnsi="Arial"/>
                <w:sz w:val="15"/>
                <w:szCs w:val="15"/>
                <w:b w:val="1"/>
                <w:bCs w:val="1"/>
                <w:color w:val="auto"/>
              </w:rPr>
              <w:t>Payments Year</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640" w:type="dxa"/>
            <w:vAlign w:val="bottom"/>
          </w:tcPr>
          <w:p>
            <w:pPr>
              <w:spacing w:after="0"/>
              <w:rPr>
                <w:sz w:val="13"/>
                <w:szCs w:val="13"/>
                <w:color w:val="auto"/>
              </w:rPr>
            </w:pPr>
          </w:p>
        </w:tc>
        <w:tc>
          <w:tcPr>
            <w:tcW w:w="1040" w:type="dxa"/>
            <w:vAlign w:val="bottom"/>
            <w:gridSpan w:val="3"/>
          </w:tcPr>
          <w:p>
            <w:pPr>
              <w:ind w:left="100"/>
              <w:spacing w:after="0" w:line="150" w:lineRule="exact"/>
              <w:rPr>
                <w:sz w:val="20"/>
                <w:szCs w:val="20"/>
                <w:color w:val="auto"/>
              </w:rPr>
            </w:pPr>
            <w:r>
              <w:rPr>
                <w:rFonts w:ascii="Arial" w:cs="Arial" w:eastAsia="Arial" w:hAnsi="Arial"/>
                <w:sz w:val="15"/>
                <w:szCs w:val="15"/>
                <w:b w:val="1"/>
                <w:bCs w:val="1"/>
                <w:color w:val="auto"/>
              </w:rPr>
              <w:t>Remaining</w:t>
            </w:r>
          </w:p>
        </w:tc>
        <w:tc>
          <w:tcPr>
            <w:tcW w:w="160" w:type="dxa"/>
            <w:vAlign w:val="bottom"/>
          </w:tcPr>
          <w:p>
            <w:pPr>
              <w:spacing w:after="0"/>
              <w:rPr>
                <w:sz w:val="13"/>
                <w:szCs w:val="13"/>
                <w:color w:val="auto"/>
              </w:rPr>
            </w:pPr>
          </w:p>
        </w:tc>
        <w:tc>
          <w:tcPr>
            <w:tcW w:w="620" w:type="dxa"/>
            <w:vAlign w:val="bottom"/>
            <w:vMerge w:val="restart"/>
          </w:tcPr>
          <w:p>
            <w:pPr>
              <w:jc w:val="right"/>
              <w:ind w:right="155"/>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2026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95"/>
              <w:spacing w:after="0"/>
              <w:rPr>
                <w:sz w:val="20"/>
                <w:szCs w:val="20"/>
                <w:color w:val="auto"/>
              </w:rPr>
            </w:pPr>
            <w:r>
              <w:rPr>
                <w:rFonts w:ascii="Arial" w:cs="Arial" w:eastAsia="Arial" w:hAnsi="Arial"/>
                <w:sz w:val="15"/>
                <w:szCs w:val="15"/>
                <w:b w:val="1"/>
                <w:bCs w:val="1"/>
                <w:color w:val="auto"/>
              </w:rPr>
              <w:t>2027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ind w:right="35"/>
              <w:spacing w:after="0"/>
              <w:rPr>
                <w:sz w:val="20"/>
                <w:szCs w:val="20"/>
                <w:color w:val="auto"/>
              </w:rPr>
            </w:pPr>
            <w:r>
              <w:rPr>
                <w:rFonts w:ascii="Arial" w:cs="Arial" w:eastAsia="Arial" w:hAnsi="Arial"/>
                <w:sz w:val="15"/>
                <w:szCs w:val="15"/>
                <w:b w:val="1"/>
                <w:bCs w:val="1"/>
                <w:color w:val="auto"/>
                <w:w w:val="92"/>
              </w:rPr>
              <w:t>Thereafter</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0" w:type="dxa"/>
            <w:vAlign w:val="bottom"/>
          </w:tcPr>
          <w:p>
            <w:pPr>
              <w:spacing w:after="0"/>
              <w:rPr>
                <w:sz w:val="1"/>
                <w:szCs w:val="1"/>
                <w:color w:val="auto"/>
              </w:rPr>
            </w:pPr>
          </w:p>
        </w:tc>
      </w:tr>
      <w:tr>
        <w:trPr>
          <w:trHeight w:val="180"/>
        </w:trPr>
        <w:tc>
          <w:tcPr>
            <w:tcW w:w="1640" w:type="dxa"/>
            <w:vAlign w:val="bottom"/>
          </w:tcPr>
          <w:p>
            <w:pPr>
              <w:ind w:left="20"/>
              <w:spacing w:after="0" w:line="180" w:lineRule="exact"/>
              <w:rPr>
                <w:sz w:val="20"/>
                <w:szCs w:val="20"/>
                <w:color w:val="auto"/>
              </w:rPr>
            </w:pPr>
            <w:r>
              <w:rPr>
                <w:rFonts w:ascii="Arial" w:cs="Arial" w:eastAsia="Arial" w:hAnsi="Arial"/>
                <w:sz w:val="17"/>
                <w:szCs w:val="17"/>
                <w:color w:val="auto"/>
              </w:rPr>
              <w:t>Revolving Corporate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640" w:type="dxa"/>
            <w:vAlign w:val="bottom"/>
          </w:tcPr>
          <w:p>
            <w:pPr>
              <w:ind w:left="20"/>
              <w:spacing w:after="0"/>
              <w:rPr>
                <w:sz w:val="20"/>
                <w:szCs w:val="20"/>
                <w:color w:val="auto"/>
              </w:rPr>
            </w:pPr>
            <w:r>
              <w:rPr>
                <w:rFonts w:ascii="Arial" w:cs="Arial" w:eastAsia="Arial" w:hAnsi="Arial"/>
                <w:sz w:val="17"/>
                <w:szCs w:val="17"/>
                <w:color w:val="auto"/>
              </w:rPr>
              <w:t>Credit Facility</w:t>
            </w:r>
          </w:p>
        </w:tc>
        <w:tc>
          <w:tcPr>
            <w:tcW w:w="2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45"/>
        </w:trPr>
        <w:tc>
          <w:tcPr>
            <w:tcW w:w="1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 Notes</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43"/>
        </w:trPr>
        <w:tc>
          <w:tcPr>
            <w:tcW w:w="1640" w:type="dxa"/>
            <w:vAlign w:val="bottom"/>
          </w:tcPr>
          <w:p>
            <w:pPr>
              <w:ind w:left="20"/>
              <w:spacing w:after="0"/>
              <w:rPr>
                <w:sz w:val="20"/>
                <w:szCs w:val="20"/>
                <w:color w:val="auto"/>
              </w:rPr>
            </w:pPr>
            <w:r>
              <w:rPr>
                <w:rFonts w:ascii="Arial" w:cs="Arial" w:eastAsia="Arial" w:hAnsi="Arial"/>
                <w:sz w:val="17"/>
                <w:szCs w:val="17"/>
                <w:color w:val="auto"/>
              </w:rPr>
              <w:t>2029 Notes</w:t>
            </w:r>
          </w:p>
        </w:tc>
        <w:tc>
          <w:tcPr>
            <w:tcW w:w="20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181"/>
        </w:trPr>
        <w:tc>
          <w:tcPr>
            <w:tcW w:w="164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2026 Convertible</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180"/>
        </w:trPr>
        <w:tc>
          <w:tcPr>
            <w:tcW w:w="1640" w:type="dxa"/>
            <w:vAlign w:val="bottom"/>
          </w:tcPr>
          <w:p>
            <w:pPr>
              <w:ind w:left="20"/>
              <w:spacing w:after="0" w:line="180" w:lineRule="exact"/>
              <w:rPr>
                <w:sz w:val="20"/>
                <w:szCs w:val="20"/>
                <w:color w:val="auto"/>
              </w:rPr>
            </w:pPr>
            <w:r>
              <w:rPr>
                <w:rFonts w:ascii="Arial" w:cs="Arial" w:eastAsia="Arial" w:hAnsi="Arial"/>
                <w:sz w:val="17"/>
                <w:szCs w:val="17"/>
                <w:color w:val="auto"/>
              </w:rPr>
              <w:t>2027 Convertible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640" w:type="dxa"/>
            <w:vAlign w:val="bottom"/>
          </w:tcPr>
          <w:p>
            <w:pPr>
              <w:ind w:left="20"/>
              <w:spacing w:after="0"/>
              <w:rPr>
                <w:sz w:val="20"/>
                <w:szCs w:val="20"/>
                <w:color w:val="auto"/>
              </w:rPr>
            </w:pPr>
            <w:r>
              <w:rPr>
                <w:rFonts w:ascii="Arial" w:cs="Arial" w:eastAsia="Arial" w:hAnsi="Arial"/>
                <w:sz w:val="17"/>
                <w:szCs w:val="17"/>
                <w:color w:val="auto"/>
              </w:rPr>
              <w:t>Notes</w:t>
            </w:r>
          </w:p>
        </w:tc>
        <w:tc>
          <w:tcPr>
            <w:tcW w:w="2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181"/>
        </w:trPr>
        <w:tc>
          <w:tcPr>
            <w:tcW w:w="164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Non-Interest Bearing</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 Payable</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1"/>
        </w:trPr>
        <w:tc>
          <w:tcPr>
            <w:tcW w:w="164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784</w:t>
            </w:r>
          </w:p>
        </w:tc>
        <w:tc>
          <w:tcPr>
            <w:tcW w:w="30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850</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2,878</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Credit Facility</w:t>
      </w:r>
    </w:p>
    <w:p>
      <w:pPr>
        <w:spacing w:after="0" w:line="113" w:lineRule="exact"/>
        <w:rPr>
          <w:sz w:val="20"/>
          <w:szCs w:val="20"/>
          <w:color w:val="auto"/>
        </w:rPr>
      </w:pPr>
    </w:p>
    <w:p>
      <w:pPr>
        <w:jc w:val="both"/>
        <w:ind w:right="300"/>
        <w:spacing w:after="0" w:line="289" w:lineRule="auto"/>
        <w:rPr>
          <w:sz w:val="20"/>
          <w:szCs w:val="20"/>
          <w:color w:val="auto"/>
        </w:rPr>
      </w:pPr>
      <w:r>
        <w:rPr>
          <w:rFonts w:ascii="Arial" w:cs="Arial" w:eastAsia="Arial" w:hAnsi="Arial"/>
          <w:sz w:val="16"/>
          <w:szCs w:val="16"/>
          <w:color w:val="auto"/>
        </w:rPr>
        <w:t>Our corporate credit facility (“Corporate Credit Facility”), which provides support for our business, including ongoing liquidity and letters of credit, includes a $900 million term loan facility (the “Term Loan”), which matures on August 31, 2025, and a revolving credit facility with a borrowing capacity of $750 million (the “Revolving Corporate Credit Facility”), including a letter of credit sub-facility of $75 million, that terminates on March 31, 2027.</w:t>
      </w:r>
    </w:p>
    <w:p>
      <w:pPr>
        <w:spacing w:after="0" w:line="54"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During the second quarter of 2023, we entered into an amendment to the Corporate Credit Facility (the “Amendment”), which modified the interest rate applicable to borrowings under the Term Loan. Beginning July 31, 2023, the Term Loan references the Secured Overnight Financing Rate (“SOFR”) and is based on “Adjusted Term SOFR,” which is calculated as Term SOFR (as defined in the Amendment), plus a 0.10% adjustment for a one-month interest period, a 0.15% adjustment for a three-month interest period, or a 0.25% adjustment for a six-month interest period, subject to a 0.00% floor.</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Prior to 2022, we entered into interest rate swaps and an interest rate collar under which we may pay a fixed rate and receive a floating interest rate to hedge a portion of our interest rate risk on the Term Loan. During the second quarter of 2023, we amended these interest rate swaps and the collar to reference SOFR rather than LIBOR, effective July 31, 2023. As a result of this transition, the fixed rate on the $250 million of interest rate swaps that matured in September 2023 was amended to 2.88%, the fixed rate on the $200 million of interest rate swaps maturing in April 2024 was amended to 2.17%, and the cap strike price on the $100 million interest rate collar was amended to 2.43%. Both the interest rate swaps and the interest rate collar have been designated and qualify as cash flow hedges of interest rate risk and are recorded in Other assets on our Balance Sheets as of September 30, 2023 and December 31, 2022. We characterize payments we make or receive in connection with these derivative instruments as interest expense and a reclassification of accumulated other comprehensive income or loss for presentation purposes.</w:t>
      </w:r>
    </w:p>
    <w:p>
      <w:pPr>
        <w:spacing w:after="0" w:line="84"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The following table reflects the activity in accumulated other comprehensive income or loss related to our derivative instruments during the first three quarters of 2023 and 2022. There were no reclassifications to the Income Statement for any of the periods presented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5"/>
                <w:szCs w:val="15"/>
                <w:b w:val="1"/>
                <w:bCs w:val="1"/>
                <w:color w:val="auto"/>
              </w:rPr>
              <w:t>2022</w:t>
            </w:r>
          </w:p>
        </w:tc>
        <w:tc>
          <w:tcPr>
            <w:tcW w:w="2920" w:type="dxa"/>
            <w:vAlign w:val="bottom"/>
          </w:tcPr>
          <w:p>
            <w:pPr>
              <w:spacing w:after="0"/>
              <w:rPr>
                <w:sz w:val="17"/>
                <w:szCs w:val="17"/>
                <w:color w:val="auto"/>
              </w:rPr>
            </w:pPr>
          </w:p>
        </w:tc>
      </w:tr>
      <w:tr>
        <w:trPr>
          <w:trHeight w:val="227"/>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instrument adjustment balance, January 1</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920" w:type="dxa"/>
            <w:vAlign w:val="bottom"/>
          </w:tcPr>
          <w:p>
            <w:pPr>
              <w:spacing w:after="0"/>
              <w:rPr>
                <w:sz w:val="19"/>
                <w:szCs w:val="19"/>
                <w:color w:val="auto"/>
              </w:rPr>
            </w:pPr>
          </w:p>
        </w:tc>
      </w:tr>
      <w:tr>
        <w:trPr>
          <w:trHeight w:val="243"/>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comprehensive (loss) gain before reclassifications</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920" w:type="dxa"/>
            <w:vAlign w:val="bottom"/>
          </w:tcPr>
          <w:p>
            <w:pPr>
              <w:spacing w:after="0"/>
              <w:rPr>
                <w:sz w:val="21"/>
                <w:szCs w:val="21"/>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instrument adjustment balance, March 31</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19"/>
                <w:szCs w:val="19"/>
                <w:color w:val="auto"/>
              </w:rPr>
            </w:pPr>
          </w:p>
        </w:tc>
      </w:tr>
      <w:tr>
        <w:trPr>
          <w:trHeight w:val="256"/>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comprehensive (loss) gain before reclassifications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920" w:type="dxa"/>
            <w:vAlign w:val="bottom"/>
          </w:tcPr>
          <w:p>
            <w:pPr>
              <w:spacing w:after="0"/>
              <w:rPr>
                <w:sz w:val="22"/>
                <w:szCs w:val="22"/>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instrument adjustment balance, June 30</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920" w:type="dxa"/>
            <w:vAlign w:val="bottom"/>
          </w:tcPr>
          <w:p>
            <w:pPr>
              <w:spacing w:after="0"/>
              <w:rPr>
                <w:sz w:val="20"/>
                <w:szCs w:val="20"/>
                <w:color w:val="auto"/>
              </w:rPr>
            </w:pPr>
          </w:p>
        </w:tc>
      </w:tr>
      <w:tr>
        <w:trPr>
          <w:trHeight w:val="256"/>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comprehensive (loss) gain before reclassifications</w:t>
            </w: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920" w:type="dxa"/>
            <w:vAlign w:val="bottom"/>
          </w:tcPr>
          <w:p>
            <w:pPr>
              <w:spacing w:after="0"/>
              <w:rPr>
                <w:sz w:val="22"/>
                <w:szCs w:val="22"/>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Derivative instrument adjustment balance, September 30</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920" w:type="dxa"/>
            <w:vAlign w:val="bottom"/>
          </w:tcPr>
          <w:p>
            <w:pPr>
              <w:spacing w:after="0"/>
              <w:rPr>
                <w:sz w:val="20"/>
                <w:szCs w:val="20"/>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2"/>
        </w:trPr>
        <w:tc>
          <w:tcPr>
            <w:tcW w:w="4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jc w:val="right"/>
              <w:ind w:right="415"/>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4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Our senior notes include:</w:t>
      </w:r>
    </w:p>
    <w:p>
      <w:pPr>
        <w:spacing w:after="0" w:line="61" w:lineRule="exact"/>
        <w:rPr>
          <w:sz w:val="20"/>
          <w:szCs w:val="20"/>
          <w:color w:val="auto"/>
        </w:rPr>
      </w:pPr>
    </w:p>
    <w:p>
      <w:pPr>
        <w:ind w:left="320" w:hanging="317"/>
        <w:spacing w:after="0" w:line="225" w:lineRule="auto"/>
        <w:tabs>
          <w:tab w:leader="none" w:pos="307" w:val="left"/>
        </w:tabs>
        <w:numPr>
          <w:ilvl w:val="0"/>
          <w:numId w:val="24"/>
        </w:numPr>
        <w:rPr>
          <w:rFonts w:ascii="Arial" w:cs="Arial" w:eastAsia="Arial" w:hAnsi="Arial"/>
          <w:sz w:val="22"/>
          <w:szCs w:val="22"/>
          <w:b w:val="1"/>
          <w:bCs w:val="1"/>
          <w:i w:val="1"/>
          <w:iCs w:val="1"/>
          <w:color w:val="auto"/>
          <w:vertAlign w:val="superscript"/>
        </w:rPr>
      </w:pPr>
      <w:r>
        <w:rPr>
          <w:rFonts w:ascii="Arial" w:cs="Arial" w:eastAsia="Arial" w:hAnsi="Arial"/>
          <w:sz w:val="17"/>
          <w:szCs w:val="17"/>
          <w:color w:val="auto"/>
        </w:rPr>
        <w:t>$500 million aggregate principal amount of 6.125% Senior Secured Notes due 2025 issued in the second quarter of 2020 with a maturity date of September 15, 2025 (the “2025 Notes”), of which $250 million was outstanding as of December 31, 2022.</w:t>
      </w:r>
    </w:p>
    <w:p>
      <w:pPr>
        <w:spacing w:after="0" w:line="41" w:lineRule="exact"/>
        <w:rPr>
          <w:rFonts w:ascii="Arial" w:cs="Arial" w:eastAsia="Arial" w:hAnsi="Arial"/>
          <w:sz w:val="22"/>
          <w:szCs w:val="22"/>
          <w:b w:val="1"/>
          <w:bCs w:val="1"/>
          <w:i w:val="1"/>
          <w:iCs w:val="1"/>
          <w:color w:val="auto"/>
          <w:vertAlign w:val="superscript"/>
        </w:rPr>
      </w:pPr>
    </w:p>
    <w:p>
      <w:pPr>
        <w:ind w:left="320" w:right="80" w:hanging="317"/>
        <w:spacing w:after="0" w:line="277" w:lineRule="auto"/>
        <w:tabs>
          <w:tab w:leader="none" w:pos="3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$350 million aggregate principal amount of 4.750% Senior Unsecured Notes due 2028 issued in the fourth quarter of 2019 with a maturity date of January 15, 2028 (the “2028 Notes”).</w:t>
      </w:r>
    </w:p>
    <w:p>
      <w:pPr>
        <w:spacing w:after="0" w:line="10" w:lineRule="exact"/>
        <w:rPr>
          <w:rFonts w:ascii="Arial" w:cs="Arial" w:eastAsia="Arial" w:hAnsi="Arial"/>
          <w:sz w:val="17"/>
          <w:szCs w:val="17"/>
          <w:color w:val="auto"/>
        </w:rPr>
      </w:pPr>
    </w:p>
    <w:p>
      <w:pPr>
        <w:ind w:left="320" w:right="240" w:hanging="317"/>
        <w:spacing w:after="0" w:line="277" w:lineRule="auto"/>
        <w:tabs>
          <w:tab w:leader="none" w:pos="3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$500 million aggregate principal amount of 4.500% Senior Unsecured Notes due 2029 issued in the second quarter of 2021 with a maturity date of June 15, 2029 (the “2029 Notes”).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 of Senior Secured Notes</w:t>
      </w:r>
    </w:p>
    <w:p>
      <w:pPr>
        <w:spacing w:after="0" w:line="113"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During the first quarter of 2023, we redeemed, prior to maturity, the remaining $250 million of the 2025 Notes outstanding pursuant to a redemption notice issued in the fourth quarter of 2022 and the terms of the indenture governing the 2025 Notes. In connection with this redemption, we incurred charges of $10 million, inclusive of a redemption premium and the write-off of unamortized debt issuance costs, which was recorded in Gains (losses) and other income (expense), net on our Income Statement for the nine months ended September 30, 2023.</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Notes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2026 Convertible Notes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During 2021, we issued $575 million aggregate principal amount of convertible senior notes (the “2026 Convertible Notes”) that bear interest at a rate of 0.00%.</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2026 Convertible Notes mature on January 15, 2026, unless repurchased or converted in accordance with their terms prior to that date.</w:t>
      </w:r>
    </w:p>
    <w:p>
      <w:pPr>
        <w:spacing w:after="0" w:line="10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conversion rate is subject to adjustment for certain events as described in the indenture governing the notes, and was subject to adjustment as of September 30, 2023 to 6.1044 shares of common stock per $1,000 principal amount of 2026 Convertible Notes (equivalent to a conversion price of $163.82 per share of our common stock), as a result of the 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September 30, 2023, the effective interest rate was 0.55%.</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interest expense information related to the 2026 Convertible Notes.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ind w:left="46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2440" w:type="dxa"/>
            <w:vAlign w:val="bottom"/>
            <w:gridSpan w:val="4"/>
          </w:tcPr>
          <w:p>
            <w:pPr>
              <w:jc w:val="right"/>
              <w:ind w:right="540"/>
              <w:spacing w:after="0"/>
              <w:rPr>
                <w:sz w:val="20"/>
                <w:szCs w:val="20"/>
                <w:color w:val="auto"/>
              </w:rPr>
            </w:pPr>
            <w:r>
              <w:rPr>
                <w:rFonts w:ascii="Arial" w:cs="Arial" w:eastAsia="Arial" w:hAnsi="Arial"/>
                <w:sz w:val="15"/>
                <w:szCs w:val="15"/>
                <w:b w:val="1"/>
                <w:bCs w:val="1"/>
                <w:color w:val="auto"/>
              </w:rPr>
              <w:t>Nine Months Ended</w:t>
            </w:r>
          </w:p>
        </w:tc>
      </w:tr>
      <w:tr>
        <w:trPr>
          <w:trHeight w:val="150"/>
        </w:trPr>
        <w:tc>
          <w:tcPr>
            <w:tcW w:w="3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jc w:val="center"/>
              <w:ind w:right="3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080" w:type="dxa"/>
            <w:vAlign w:val="bottom"/>
            <w:tcBorders>
              <w:top w:val="single" w:sz="8" w:color="auto"/>
            </w:tcBorders>
          </w:tcPr>
          <w:p>
            <w:pPr>
              <w:jc w:val="center"/>
              <w:ind w:right="2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40"/>
              <w:spacing w:after="0" w:line="150" w:lineRule="exact"/>
              <w:rPr>
                <w:sz w:val="20"/>
                <w:szCs w:val="20"/>
                <w:color w:val="auto"/>
              </w:rPr>
            </w:pPr>
            <w:r>
              <w:rPr>
                <w:rFonts w:ascii="Arial" w:cs="Arial" w:eastAsia="Arial" w:hAnsi="Arial"/>
                <w:sz w:val="15"/>
                <w:szCs w:val="15"/>
                <w:b w:val="1"/>
                <w:bCs w:val="1"/>
                <w:color w:val="auto"/>
                <w:w w:val="91"/>
              </w:rPr>
              <w:t>September 30,</w:t>
            </w:r>
          </w:p>
        </w:tc>
      </w:tr>
      <w:tr>
        <w:trPr>
          <w:trHeight w:val="20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5"/>
                <w:szCs w:val="15"/>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5"/>
                <w:szCs w:val="15"/>
                <w:b w:val="1"/>
                <w:bCs w:val="1"/>
                <w:color w:val="auto"/>
              </w:rPr>
              <w:t>2022</w:t>
            </w: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debt issuance costs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3"/>
            <w:shd w:val="clear" w:color="auto" w:fill="CCEEFF"/>
          </w:tcPr>
          <w:p>
            <w:pPr>
              <w:ind w:left="840"/>
              <w:spacing w:after="0"/>
              <w:rPr>
                <w:sz w:val="20"/>
                <w:szCs w:val="20"/>
                <w:color w:val="auto"/>
              </w:rPr>
            </w:pPr>
            <w:r>
              <w:rPr>
                <w:rFonts w:ascii="Arial" w:cs="Arial" w:eastAsia="Arial" w:hAnsi="Arial"/>
                <w:sz w:val="17"/>
                <w:szCs w:val="17"/>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2026 Convertible Note Hedges and Warrants</w:t>
      </w:r>
    </w:p>
    <w:p>
      <w:pPr>
        <w:spacing w:after="0" w:line="113"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In connection with the offering of the 2026 Convertible Notes, we concurrently entered into the following privately-negotiated separate transactions: convertible note hedge transactions with respect to our common stock (the “2026 Convertible Note Hedges”), covering a total of 3.5 million shares of our common stock, and warrant transactions (the “2026 Warrants”), whereby we sold to the counterparties to the 2026 Convertible Note Hedges warrants to acquire 3.5 million shares of our common stock. As of September 30, 2023, the strike prices of the 2026 Convertible Note Hedges and the 2026 Warrants were subject to adjustment to approximately $163.82 and $204.77, respectively, and no 2026 Convertible Note Hedges or 2026 Warrants have been exercised.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2027 Convertible Notes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During 2022, we issued $575 million aggregate principal amount of convertible senior notes (the “2027 Convertible Notes”) that bear interest at a rate of 3.25%.</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2027 Convertible Notes mature on December 15, 2027, unless earlier repurchased or converted in accordance with their terms prior to that date.</w:t>
      </w:r>
    </w:p>
    <w:p>
      <w:pPr>
        <w:spacing w:after="0" w:line="10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2027 Convertible Notes are convertible at a rate of 5.2729 shares of common stock per $1,000 principal amount of 2027 Convertible Notes (equivalent to a conversion price of $189.65 per share of our common stock) as of September 30, 2023. The conversion rate is subject to adjustment for certain events as described in the indenture governing the notes. Upon conversion, we will pay or deliver, as the case may be, cash, shares of our common stock, or a combination of cash and shares of our common stock, at our election. As of September 30, 2023, the effective interest rate was 3.88%.</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interest expense information related to the 2027 Convertible Notes.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gridSpan w:val="5"/>
          </w:tcPr>
          <w:p>
            <w:pPr>
              <w:ind w:left="44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2440" w:type="dxa"/>
            <w:vAlign w:val="bottom"/>
            <w:gridSpan w:val="4"/>
          </w:tcPr>
          <w:p>
            <w:pPr>
              <w:ind w:left="500"/>
              <w:spacing w:after="0"/>
              <w:rPr>
                <w:sz w:val="20"/>
                <w:szCs w:val="20"/>
                <w:color w:val="auto"/>
              </w:rPr>
            </w:pPr>
            <w:r>
              <w:rPr>
                <w:rFonts w:ascii="Arial" w:cs="Arial" w:eastAsia="Arial" w:hAnsi="Arial"/>
                <w:sz w:val="15"/>
                <w:szCs w:val="15"/>
                <w:b w:val="1"/>
                <w:bCs w:val="1"/>
                <w:color w:val="auto"/>
              </w:rPr>
              <w:t>Nine Months Ended</w:t>
            </w:r>
          </w:p>
        </w:tc>
      </w:tr>
      <w:tr>
        <w:trPr>
          <w:trHeight w:val="150"/>
        </w:trPr>
        <w:tc>
          <w:tcPr>
            <w:tcW w:w="3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8"/>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38"/>
              <w:spacing w:after="0" w:line="150" w:lineRule="exact"/>
              <w:rPr>
                <w:sz w:val="20"/>
                <w:szCs w:val="20"/>
                <w:color w:val="auto"/>
              </w:rPr>
            </w:pPr>
            <w:r>
              <w:rPr>
                <w:rFonts w:ascii="Arial" w:cs="Arial" w:eastAsia="Arial" w:hAnsi="Arial"/>
                <w:sz w:val="15"/>
                <w:szCs w:val="15"/>
                <w:b w:val="1"/>
                <w:bCs w:val="1"/>
                <w:color w:val="auto"/>
                <w:w w:val="91"/>
              </w:rPr>
              <w:t>September 30,</w:t>
            </w:r>
          </w:p>
        </w:tc>
      </w:tr>
      <w:tr>
        <w:trPr>
          <w:trHeight w:val="203"/>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2022</w:t>
            </w:r>
          </w:p>
        </w:tc>
      </w:tr>
      <w:tr>
        <w:trPr>
          <w:trHeight w:val="226"/>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43"/>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debt issuance costs</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rPr>
              <w:t>—</w:t>
            </w:r>
          </w:p>
        </w:tc>
      </w:tr>
      <w:tr>
        <w:trPr>
          <w:trHeight w:val="231"/>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2027 Convertible Note Hedges and Warrants</w:t>
      </w:r>
    </w:p>
    <w:p>
      <w:pPr>
        <w:spacing w:after="0" w:line="113"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In connection with the offering of the 2027 Convertible Notes, we concurrently entered into the following privately-negotiated separate transactions: convertible note hedge transactions with respect to our common stock (the “2027 Convertible Note Hedges”), covering a total of 3.0 million shares of our common stock, and warrant transactions (the “2027 Warrants”), whereby we sold to the counterparties to the 2027 Convertible Note Hedges warrants to acquire 3.0 million shares of our common stock. As of September 30, 2023, the strike prices of the 2027 Convertible Note Hedges and the 2027 Warrants were $189.65 and $286.26, respectively, and no 2027 Convertible Note Hedges or 2027 Warrants have been exercised.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Security and Guarantees</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subsidiaries), in each case including inventory, subject to certain exceptions. In addition, the Corporate Credit Facility, the 2026 Convertible Notes, the 2027 Convertible Notes, the 2028 Notes, and the 2029 Notes are guaranteed by MVWC and certain of our direct and indirect, existing and future, domestic subsidiaries, excluding certain bankruptcy remote special purpose subsidiaries.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Finance Lease</w:t>
      </w:r>
    </w:p>
    <w:p>
      <w:pPr>
        <w:spacing w:after="0" w:line="11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During 2020, we entered into a finance lease arrangement, which was amended in 2021, for our new global headquarters office building in Orlando, Florida. The lease for the new building commenced for accounting purposes during the first quarter of 2023, upon the substantial completion of construction. The lease includes a 26-year lease term, consisting of a 16-year initial term plus two five-year renewal options. As of September 30, 2023, the present value of the future lease payments, net of lease incentives, was $78 million, with a corresponding lease liability of $99 million. We record right-of-use assets for our finance leases in Property and equipment, net. Our total payments under this lease are $245 million, of which we expect $1 million, $7 million, $8 million, $8 million, $9 million, and $212 million will be paid in 2023, 2024, 2025, 2026, 2027, and thereafter, respectively.</w:t>
      </w:r>
    </w:p>
    <w:p>
      <w:pPr>
        <w:spacing w:after="0" w:line="239" w:lineRule="exact"/>
        <w:rPr>
          <w:sz w:val="20"/>
          <w:szCs w:val="20"/>
          <w:color w:val="auto"/>
        </w:rPr>
      </w:pPr>
    </w:p>
    <w:p>
      <w:pPr>
        <w:ind w:left="460" w:hanging="440"/>
        <w:spacing w:after="0"/>
        <w:tabs>
          <w:tab w:leader="none" w:pos="46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SHAREHOLDERS’ EQUITY</w:t>
      </w:r>
    </w:p>
    <w:p>
      <w:pPr>
        <w:spacing w:after="0" w:line="15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Marriott Vacations Worldwide has 100,000,000 authorized shares of common stock, par value of $0.01 per share. At September 30, 2023, there were 75,807,873 shares of Marriott Vacations Worldwide common stock issued, of which 35,685,051 shares were outstanding and 40,122,822 shares were held as treasury stock. At December 31, 2022, there were 75,744,524 shares of Marriott Vacations Worldwide common stock issued, of which 37,481,082 shares were outstanding and 38,263,442 shares were held as treasury stock. Marriott Vacations Worldwide has 2,000,000 authorized shares of preferred stock, par value of $0.01 per share, none of which were issued or outstanding as of September 30, 2023 or December 31, 2022.</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11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From time to time, with the approval of our Board of Directors, we may undertake programs to purchase shares of our common stock (each, a “Share Repurchase Program” and collectively, the “Share Repurchase Programs”). During the third quarter of 2021, our Board of Directors authorized us to purchase shares of our common stock under a Share Repurchase Program for an aggregate purchase price not to exceed $250 million, prior to December 31, 2022. During the first quarter of 2022, our Board of Directors authorized the purchase of up to an additional $300 million of our common stock under this program and extended the term of this program to March 31, 2023. During the third quarter of 2022, our Board of Directors authorized the purchase of up to an additional $500 million of our common stock under this program and extended the term of this program to June 30, 2023. During the second quarter of 2023, our Board of Directors increased the remaining authorization to authorize purchases of up to $600 million and extended the term of this program</w:t>
      </w:r>
    </w:p>
    <w:p>
      <w:pPr>
        <w:spacing w:after="0" w:line="22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to December 31, 2024. As of September 30, 2023, approximately $476 million remained available for share repurchases under the Share Repurchase Program.</w:t>
      </w:r>
    </w:p>
    <w:p>
      <w:pPr>
        <w:spacing w:after="0" w:line="13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w:t>
      </w:r>
    </w:p>
    <w:p>
      <w:pPr>
        <w:spacing w:after="0" w:line="79"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The Inflation Reduction Act of 2022, which was enacted in August 2022, imposes a 1% excise tax on the net value of certain stock repurchases made after December 31, 2022. For purposes of calculating the excise tax, the fair value of certain share issuances may be netted against the fair market value of stock repurchases during the same taxable year. In the first three quarters of 2023, we reflected the applicable excise tax in treasury stock as part of the cost basis of the stock repurchased and recorded a corresponding liability for the excise taxes payable in Accrued liabilities on our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 repurchase activity under our Share Repurchase Programs: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0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Arial" w:cs="Arial" w:eastAsia="Arial" w:hAnsi="Arial"/>
                <w:sz w:val="15"/>
                <w:szCs w:val="15"/>
                <w:b w:val="1"/>
                <w:bCs w:val="1"/>
                <w:color w:val="auto"/>
              </w:rPr>
              <w:t>Number of Shares</w:t>
            </w:r>
          </w:p>
        </w:tc>
        <w:tc>
          <w:tcPr>
            <w:tcW w:w="140" w:type="dxa"/>
            <w:vAlign w:val="bottom"/>
          </w:tcPr>
          <w:p>
            <w:pPr>
              <w:spacing w:after="0"/>
              <w:rPr>
                <w:sz w:val="14"/>
                <w:szCs w:val="14"/>
                <w:color w:val="auto"/>
              </w:rPr>
            </w:pPr>
          </w:p>
        </w:tc>
        <w:tc>
          <w:tcPr>
            <w:tcW w:w="1600" w:type="dxa"/>
            <w:vAlign w:val="bottom"/>
          </w:tcPr>
          <w:p>
            <w:pPr>
              <w:jc w:val="right"/>
              <w:ind w:right="138"/>
              <w:spacing w:after="0"/>
              <w:rPr>
                <w:sz w:val="20"/>
                <w:szCs w:val="20"/>
                <w:color w:val="auto"/>
              </w:rPr>
            </w:pPr>
            <w:r>
              <w:rPr>
                <w:rFonts w:ascii="Arial" w:cs="Arial" w:eastAsia="Arial" w:hAnsi="Arial"/>
                <w:sz w:val="15"/>
                <w:szCs w:val="15"/>
                <w:b w:val="1"/>
                <w:bCs w:val="1"/>
                <w:color w:val="auto"/>
                <w:w w:val="90"/>
              </w:rPr>
              <w:t>Cost Basis of 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right"/>
              <w:ind w:right="318"/>
              <w:spacing w:after="0"/>
              <w:rPr>
                <w:sz w:val="20"/>
                <w:szCs w:val="20"/>
                <w:color w:val="auto"/>
              </w:rPr>
            </w:pPr>
            <w:r>
              <w:rPr>
                <w:rFonts w:ascii="Arial" w:cs="Arial" w:eastAsia="Arial" w:hAnsi="Arial"/>
                <w:sz w:val="15"/>
                <w:szCs w:val="15"/>
                <w:b w:val="1"/>
                <w:bCs w:val="1"/>
                <w:color w:val="auto"/>
              </w:rPr>
              <w:t>Average Price</w:t>
            </w:r>
          </w:p>
        </w:tc>
      </w:tr>
      <w:tr>
        <w:trPr>
          <w:trHeight w:val="203"/>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680" w:type="dxa"/>
            <w:vAlign w:val="bottom"/>
            <w:tcBorders>
              <w:bottom w:val="single" w:sz="8" w:color="auto"/>
            </w:tcBorders>
          </w:tcPr>
          <w:p>
            <w:pPr>
              <w:jc w:val="right"/>
              <w:ind w:right="338"/>
              <w:spacing w:after="0"/>
              <w:rPr>
                <w:sz w:val="20"/>
                <w:szCs w:val="20"/>
                <w:color w:val="auto"/>
              </w:rPr>
            </w:pPr>
            <w:r>
              <w:rPr>
                <w:rFonts w:ascii="Arial" w:cs="Arial" w:eastAsia="Arial" w:hAnsi="Arial"/>
                <w:sz w:val="15"/>
                <w:szCs w:val="15"/>
                <w:b w:val="1"/>
                <w:bCs w:val="1"/>
                <w:color w:val="auto"/>
              </w:rPr>
              <w:t>Repurchased</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Repurchased</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Paid per Share</w:t>
            </w:r>
          </w:p>
        </w:tc>
      </w:tr>
      <w:tr>
        <w:trPr>
          <w:trHeight w:val="226"/>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 of December 31, 2022</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22,773,218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93.06</w:t>
            </w:r>
          </w:p>
        </w:tc>
      </w:tr>
      <w:tr>
        <w:trPr>
          <w:trHeight w:val="243"/>
        </w:trPr>
        <w:tc>
          <w:tcPr>
            <w:tcW w:w="29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 the first three quarters of 2023</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1,936,855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128.03</w:t>
            </w:r>
          </w:p>
        </w:tc>
      </w:tr>
      <w:tr>
        <w:trPr>
          <w:trHeight w:val="23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September 30, 2023</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24,710,073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95.80</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13" w:lineRule="exact"/>
        <w:rPr>
          <w:sz w:val="20"/>
          <w:szCs w:val="20"/>
          <w:color w:val="auto"/>
        </w:rPr>
      </w:pPr>
    </w:p>
    <w:p>
      <w:pPr>
        <w:ind w:right="400"/>
        <w:spacing w:after="0" w:line="346" w:lineRule="auto"/>
        <w:rPr>
          <w:sz w:val="20"/>
          <w:szCs w:val="20"/>
          <w:color w:val="auto"/>
        </w:rPr>
      </w:pPr>
      <w:r>
        <w:rPr>
          <w:rFonts w:ascii="Arial" w:cs="Arial" w:eastAsia="Arial" w:hAnsi="Arial"/>
          <w:sz w:val="15"/>
          <w:szCs w:val="15"/>
          <w:color w:val="auto"/>
        </w:rPr>
        <w:t>We declared cash dividends to holders of common stock during the first three quarters of 2023 as follows. Any future dividend payments will be subject to the restrictions imposed under the agreements covering our debt, and Board approval. There can be no assurance that we will pay dividends in the future.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4"/>
              </w:rPr>
              <w:t>Declaration Date</w:t>
            </w:r>
          </w:p>
        </w:tc>
        <w:tc>
          <w:tcPr>
            <w:tcW w:w="1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Shareholder Record Date</w:t>
            </w:r>
          </w:p>
        </w:tc>
        <w:tc>
          <w:tcPr>
            <w:tcW w:w="1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Distribution Date</w:t>
            </w:r>
          </w:p>
        </w:tc>
        <w:tc>
          <w:tcPr>
            <w:tcW w:w="12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Dividend per Share</w:t>
            </w:r>
          </w:p>
        </w:tc>
      </w:tr>
      <w:tr>
        <w:trPr>
          <w:trHeight w:val="227"/>
        </w:trPr>
        <w:tc>
          <w:tcPr>
            <w:tcW w:w="2100" w:type="dxa"/>
            <w:vAlign w:val="bottom"/>
            <w:gridSpan w:val="3"/>
            <w:shd w:val="clear" w:color="auto" w:fill="CCEEFF"/>
          </w:tcPr>
          <w:p>
            <w:pPr>
              <w:jc w:val="center"/>
              <w:ind w:right="120"/>
              <w:spacing w:after="0"/>
              <w:rPr>
                <w:sz w:val="20"/>
                <w:szCs w:val="20"/>
                <w:color w:val="auto"/>
              </w:rPr>
            </w:pPr>
            <w:r>
              <w:rPr>
                <w:rFonts w:ascii="Arial" w:cs="Arial" w:eastAsia="Arial" w:hAnsi="Arial"/>
                <w:sz w:val="17"/>
                <w:szCs w:val="17"/>
                <w:color w:val="auto"/>
                <w:w w:val="90"/>
              </w:rPr>
              <w:t>February 16, 2023</w:t>
            </w:r>
          </w:p>
        </w:tc>
        <w:tc>
          <w:tcPr>
            <w:tcW w:w="21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March 2, 2023</w:t>
            </w: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March 16, 2023</w:t>
            </w: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$0.72</w:t>
            </w:r>
          </w:p>
        </w:tc>
      </w:tr>
      <w:tr>
        <w:trPr>
          <w:trHeight w:val="237"/>
        </w:trPr>
        <w:tc>
          <w:tcPr>
            <w:tcW w:w="1100" w:type="dxa"/>
            <w:vAlign w:val="bottom"/>
          </w:tcPr>
          <w:p>
            <w:pPr>
              <w:jc w:val="right"/>
              <w:spacing w:after="0"/>
              <w:rPr>
                <w:sz w:val="20"/>
                <w:szCs w:val="20"/>
                <w:color w:val="auto"/>
              </w:rPr>
            </w:pPr>
            <w:r>
              <w:rPr>
                <w:rFonts w:ascii="Arial" w:cs="Arial" w:eastAsia="Arial" w:hAnsi="Arial"/>
                <w:sz w:val="17"/>
                <w:szCs w:val="17"/>
                <w:color w:val="auto"/>
              </w:rPr>
              <w:t>May 11,</w:t>
            </w:r>
          </w:p>
        </w:tc>
        <w:tc>
          <w:tcPr>
            <w:tcW w:w="860" w:type="dxa"/>
            <w:vAlign w:val="bottom"/>
          </w:tcPr>
          <w:p>
            <w:pPr>
              <w:ind w:left="20"/>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20"/>
                <w:szCs w:val="20"/>
                <w:color w:val="auto"/>
              </w:rPr>
            </w:pPr>
          </w:p>
        </w:tc>
        <w:tc>
          <w:tcPr>
            <w:tcW w:w="2120" w:type="dxa"/>
            <w:vAlign w:val="bottom"/>
            <w:gridSpan w:val="2"/>
          </w:tcPr>
          <w:p>
            <w:pPr>
              <w:jc w:val="center"/>
              <w:ind w:right="140"/>
              <w:spacing w:after="0"/>
              <w:rPr>
                <w:sz w:val="20"/>
                <w:szCs w:val="20"/>
                <w:color w:val="auto"/>
              </w:rPr>
            </w:pPr>
            <w:r>
              <w:rPr>
                <w:rFonts w:ascii="Arial" w:cs="Arial" w:eastAsia="Arial" w:hAnsi="Arial"/>
                <w:sz w:val="17"/>
                <w:szCs w:val="17"/>
                <w:color w:val="auto"/>
                <w:w w:val="91"/>
              </w:rPr>
              <w:t>May 25, 2023</w:t>
            </w:r>
          </w:p>
        </w:tc>
        <w:tc>
          <w:tcPr>
            <w:tcW w:w="210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June 8, 2023</w:t>
            </w:r>
          </w:p>
        </w:tc>
        <w:tc>
          <w:tcPr>
            <w:tcW w:w="1980" w:type="dxa"/>
            <w:vAlign w:val="bottom"/>
          </w:tcPr>
          <w:p>
            <w:pPr>
              <w:jc w:val="center"/>
              <w:spacing w:after="0"/>
              <w:rPr>
                <w:sz w:val="20"/>
                <w:szCs w:val="20"/>
                <w:color w:val="auto"/>
              </w:rPr>
            </w:pPr>
            <w:r>
              <w:rPr>
                <w:rFonts w:ascii="Arial" w:cs="Arial" w:eastAsia="Arial" w:hAnsi="Arial"/>
                <w:sz w:val="17"/>
                <w:szCs w:val="17"/>
                <w:color w:val="auto"/>
                <w:w w:val="93"/>
              </w:rPr>
              <w:t>$0.72</w:t>
            </w:r>
          </w:p>
        </w:tc>
      </w:tr>
      <w:tr>
        <w:trPr>
          <w:trHeight w:val="251"/>
        </w:trPr>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September</w:t>
            </w:r>
          </w:p>
        </w:tc>
        <w:tc>
          <w:tcPr>
            <w:tcW w:w="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7, 2023</w:t>
            </w:r>
          </w:p>
        </w:tc>
        <w:tc>
          <w:tcPr>
            <w:tcW w:w="14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89"/>
              </w:rPr>
              <w:t>September 21, 2023</w:t>
            </w: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0"/>
              </w:rPr>
              <w:t>October 5, 2023</w:t>
            </w:r>
          </w:p>
        </w:tc>
        <w:tc>
          <w:tcPr>
            <w:tcW w:w="1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$0.72</w:t>
            </w:r>
          </w:p>
        </w:tc>
      </w:tr>
    </w:tbl>
    <w:p>
      <w:pPr>
        <w:spacing w:after="0" w:line="354" w:lineRule="exact"/>
        <w:rPr>
          <w:sz w:val="20"/>
          <w:szCs w:val="20"/>
          <w:color w:val="auto"/>
        </w:rPr>
      </w:pPr>
    </w:p>
    <w:p>
      <w:pPr>
        <w:ind w:left="460" w:hanging="440"/>
        <w:spacing w:after="0"/>
        <w:tabs>
          <w:tab w:leader="none" w:pos="46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93"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We maintain the Marriott Vacations Worldwide Corporation 2020 Equity Incentive Plan (the “MVW Equity Plan”)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 A total of 1.8 million shares are authorized for issuance pursuant to grants under the MVW Equity Plan. As of September 30, 2023, approximately 0.8 million shares were available for grants under the MVW Equity Plan.</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our share-based compensation expense related to award grants to our officers, directors, and employees: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ind w:left="440"/>
              <w:spacing w:after="0"/>
              <w:rPr>
                <w:sz w:val="20"/>
                <w:szCs w:val="20"/>
                <w:color w:val="auto"/>
              </w:rPr>
            </w:pPr>
            <w:r>
              <w:rPr>
                <w:rFonts w:ascii="Arial" w:cs="Arial" w:eastAsia="Arial" w:hAnsi="Arial"/>
                <w:sz w:val="15"/>
                <w:szCs w:val="15"/>
                <w:b w:val="1"/>
                <w:bCs w:val="1"/>
                <w:color w:val="auto"/>
              </w:rPr>
              <w:t>Three Months Ended</w:t>
            </w:r>
          </w:p>
        </w:tc>
        <w:tc>
          <w:tcPr>
            <w:tcW w:w="360" w:type="dxa"/>
            <w:vAlign w:val="bottom"/>
          </w:tcPr>
          <w:p>
            <w:pPr>
              <w:spacing w:after="0"/>
              <w:rPr>
                <w:sz w:val="17"/>
                <w:szCs w:val="17"/>
                <w:color w:val="auto"/>
              </w:rPr>
            </w:pPr>
          </w:p>
        </w:tc>
        <w:tc>
          <w:tcPr>
            <w:tcW w:w="5120" w:type="dxa"/>
            <w:vAlign w:val="bottom"/>
            <w:gridSpan w:val="5"/>
          </w:tcPr>
          <w:p>
            <w:pPr>
              <w:ind w:left="260"/>
              <w:spacing w:after="0"/>
              <w:rPr>
                <w:sz w:val="20"/>
                <w:szCs w:val="20"/>
                <w:color w:val="auto"/>
              </w:rPr>
            </w:pPr>
            <w:r>
              <w:rPr>
                <w:rFonts w:ascii="Arial" w:cs="Arial" w:eastAsia="Arial" w:hAnsi="Arial"/>
                <w:sz w:val="15"/>
                <w:szCs w:val="15"/>
                <w:b w:val="1"/>
                <w:bCs w:val="1"/>
                <w:color w:val="auto"/>
              </w:rPr>
              <w:t>Nine Months Ended</w:t>
            </w:r>
          </w:p>
        </w:tc>
      </w:tr>
      <w:tr>
        <w:trPr>
          <w:trHeight w:val="150"/>
        </w:trPr>
        <w:tc>
          <w:tcPr>
            <w:tcW w:w="3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22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340" w:type="dxa"/>
            <w:vAlign w:val="bottom"/>
            <w:tcBorders>
              <w:top w:val="single" w:sz="8" w:color="auto"/>
            </w:tcBorders>
            <w:gridSpan w:val="3"/>
          </w:tcPr>
          <w:p>
            <w:pPr>
              <w:ind w:left="14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2920" w:type="dxa"/>
            <w:vAlign w:val="bottom"/>
          </w:tcPr>
          <w:p>
            <w:pPr>
              <w:spacing w:after="0"/>
              <w:rPr>
                <w:sz w:val="13"/>
                <w:szCs w:val="13"/>
                <w:color w:val="auto"/>
              </w:rPr>
            </w:pPr>
          </w:p>
        </w:tc>
      </w:tr>
      <w:tr>
        <w:trPr>
          <w:trHeight w:val="20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2920" w:type="dxa"/>
            <w:vAlign w:val="bottom"/>
          </w:tcPr>
          <w:p>
            <w:pPr>
              <w:spacing w:after="0"/>
              <w:rPr>
                <w:sz w:val="17"/>
                <w:szCs w:val="17"/>
                <w:color w:val="auto"/>
              </w:rPr>
            </w:pP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Service-based RSUs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center"/>
              <w:ind w:left="758"/>
              <w:spacing w:after="0"/>
              <w:rPr>
                <w:sz w:val="20"/>
                <w:szCs w:val="20"/>
                <w:color w:val="auto"/>
              </w:rPr>
            </w:pPr>
            <w:r>
              <w:rPr>
                <w:rFonts w:ascii="Arial" w:cs="Arial" w:eastAsia="Arial" w:hAnsi="Arial"/>
                <w:sz w:val="17"/>
                <w:szCs w:val="17"/>
                <w:color w:val="auto"/>
                <w:w w:val="84"/>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920" w:type="dxa"/>
            <w:vAlign w:val="bottom"/>
          </w:tcPr>
          <w:p>
            <w:pPr>
              <w:spacing w:after="0"/>
              <w:rPr>
                <w:sz w:val="19"/>
                <w:szCs w:val="19"/>
                <w:color w:val="auto"/>
              </w:rPr>
            </w:pPr>
          </w:p>
        </w:tc>
      </w:tr>
      <w:tr>
        <w:trPr>
          <w:trHeight w:val="24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Performance-based RSUs</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738"/>
              <w:spacing w:after="0"/>
              <w:rPr>
                <w:sz w:val="20"/>
                <w:szCs w:val="20"/>
                <w:color w:val="auto"/>
              </w:rPr>
            </w:pPr>
            <w:r>
              <w:rPr>
                <w:rFonts w:ascii="Arial" w:cs="Arial" w:eastAsia="Arial" w:hAnsi="Arial"/>
                <w:sz w:val="17"/>
                <w:szCs w:val="17"/>
                <w:color w:val="auto"/>
                <w:w w:val="86"/>
              </w:rPr>
              <w:t>(2)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21"/>
                <w:szCs w:val="21"/>
                <w:color w:val="auto"/>
              </w:rPr>
            </w:pPr>
          </w:p>
        </w:tc>
      </w:tr>
      <w:tr>
        <w:trPr>
          <w:trHeight w:val="225"/>
        </w:trPr>
        <w:tc>
          <w:tcPr>
            <w:tcW w:w="3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758"/>
              <w:spacing w:after="0"/>
              <w:rPr>
                <w:sz w:val="20"/>
                <w:szCs w:val="20"/>
                <w:color w:val="auto"/>
              </w:rPr>
            </w:pPr>
            <w:r>
              <w:rPr>
                <w:rFonts w:ascii="Arial" w:cs="Arial" w:eastAsia="Arial" w:hAnsi="Arial"/>
                <w:sz w:val="17"/>
                <w:szCs w:val="17"/>
                <w:color w:val="auto"/>
                <w:w w:val="84"/>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920" w:type="dxa"/>
            <w:vAlign w:val="bottom"/>
          </w:tcPr>
          <w:p>
            <w:pPr>
              <w:spacing w:after="0"/>
              <w:rPr>
                <w:sz w:val="19"/>
                <w:szCs w:val="19"/>
                <w:color w:val="auto"/>
              </w:rPr>
            </w:pPr>
          </w:p>
        </w:tc>
      </w:tr>
      <w:tr>
        <w:trPr>
          <w:trHeight w:val="24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SARs</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758"/>
              <w:spacing w:after="0"/>
              <w:rPr>
                <w:sz w:val="20"/>
                <w:szCs w:val="20"/>
                <w:color w:val="auto"/>
              </w:rPr>
            </w:pPr>
            <w:r>
              <w:rPr>
                <w:rFonts w:ascii="Arial" w:cs="Arial" w:eastAsia="Arial" w:hAnsi="Arial"/>
                <w:sz w:val="17"/>
                <w:szCs w:val="17"/>
                <w:color w:val="auto"/>
                <w:w w:val="84"/>
              </w:rPr>
              <w:t>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920" w:type="dxa"/>
            <w:vAlign w:val="bottom"/>
          </w:tcPr>
          <w:p>
            <w:pPr>
              <w:spacing w:after="0"/>
              <w:rPr>
                <w:sz w:val="21"/>
                <w:szCs w:val="21"/>
                <w:color w:val="auto"/>
              </w:rPr>
            </w:pPr>
          </w:p>
        </w:tc>
      </w:tr>
      <w:tr>
        <w:trPr>
          <w:trHeight w:val="236"/>
        </w:trPr>
        <w:tc>
          <w:tcPr>
            <w:tcW w:w="3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center"/>
              <w:ind w:left="758"/>
              <w:spacing w:after="0"/>
              <w:rPr>
                <w:sz w:val="20"/>
                <w:szCs w:val="20"/>
                <w:color w:val="auto"/>
              </w:rPr>
            </w:pPr>
            <w:r>
              <w:rPr>
                <w:rFonts w:ascii="Arial" w:cs="Arial" w:eastAsia="Arial" w:hAnsi="Arial"/>
                <w:sz w:val="17"/>
                <w:szCs w:val="17"/>
                <w:color w:val="auto"/>
                <w:w w:val="84"/>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920" w:type="dxa"/>
            <w:vAlign w:val="bottom"/>
          </w:tcPr>
          <w:p>
            <w:pPr>
              <w:spacing w:after="0"/>
              <w:rPr>
                <w:sz w:val="20"/>
                <w:szCs w:val="20"/>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3"/>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30</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3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our deferred compensation costs related to unvested awards: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0" w:type="dxa"/>
            <w:vAlign w:val="bottom"/>
            <w:gridSpan w:val="3"/>
          </w:tcPr>
          <w:p>
            <w:pPr>
              <w:ind w:left="100"/>
              <w:spacing w:after="0"/>
              <w:rPr>
                <w:sz w:val="20"/>
                <w:szCs w:val="20"/>
                <w:color w:val="auto"/>
              </w:rPr>
            </w:pPr>
            <w:r>
              <w:rPr>
                <w:rFonts w:ascii="Arial" w:cs="Arial" w:eastAsia="Arial" w:hAnsi="Arial"/>
                <w:sz w:val="15"/>
                <w:szCs w:val="15"/>
                <w:b w:val="1"/>
                <w:bCs w:val="1"/>
                <w:color w:val="auto"/>
              </w:rPr>
              <w:t>At September 30, 2023</w:t>
            </w:r>
          </w:p>
        </w:tc>
        <w:tc>
          <w:tcPr>
            <w:tcW w:w="100" w:type="dxa"/>
            <w:vAlign w:val="bottom"/>
          </w:tcPr>
          <w:p>
            <w:pPr>
              <w:spacing w:after="0"/>
              <w:rPr>
                <w:sz w:val="17"/>
                <w:szCs w:val="17"/>
                <w:color w:val="auto"/>
              </w:rPr>
            </w:pPr>
          </w:p>
        </w:tc>
        <w:tc>
          <w:tcPr>
            <w:tcW w:w="1580" w:type="dxa"/>
            <w:vAlign w:val="bottom"/>
          </w:tcPr>
          <w:p>
            <w:pPr>
              <w:jc w:val="right"/>
              <w:ind w:right="36"/>
              <w:spacing w:after="0"/>
              <w:rPr>
                <w:sz w:val="20"/>
                <w:szCs w:val="20"/>
                <w:color w:val="auto"/>
              </w:rPr>
            </w:pPr>
            <w:r>
              <w:rPr>
                <w:rFonts w:ascii="Arial" w:cs="Arial" w:eastAsia="Arial" w:hAnsi="Arial"/>
                <w:sz w:val="15"/>
                <w:szCs w:val="15"/>
                <w:b w:val="1"/>
                <w:bCs w:val="1"/>
                <w:color w:val="auto"/>
                <w:w w:val="92"/>
              </w:rPr>
              <w:t>At December 31, 2022</w:t>
            </w:r>
          </w:p>
        </w:tc>
      </w:tr>
      <w:tr>
        <w:trPr>
          <w:trHeight w:val="227"/>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Service-based RSUs</w:t>
            </w:r>
          </w:p>
        </w:tc>
        <w:tc>
          <w:tcPr>
            <w:tcW w:w="760" w:type="dxa"/>
            <w:vAlign w:val="bottom"/>
            <w:tcBorders>
              <w:top w:val="single" w:sz="8" w:color="auto"/>
            </w:tcBorders>
            <w:shd w:val="clear" w:color="auto" w:fill="CCEEFF"/>
          </w:tcPr>
          <w:p>
            <w:pPr>
              <w:jc w:val="right"/>
              <w:ind w:right="57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4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Performance-based RSUs</w:t>
            </w:r>
          </w:p>
        </w:tc>
        <w:tc>
          <w:tcPr>
            <w:tcW w:w="7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25"/>
        </w:trPr>
        <w:tc>
          <w:tcPr>
            <w:tcW w:w="48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4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SARs</w:t>
            </w:r>
          </w:p>
        </w:tc>
        <w:tc>
          <w:tcPr>
            <w:tcW w:w="7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36"/>
        </w:trPr>
        <w:tc>
          <w:tcPr>
            <w:tcW w:w="48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3"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We granted 199,468 service-based RSUs, which are subject to time-based vesting conditions, with a weighted average grant-date fair value of $143.54, to our employees and non-employee directors during the first three quarters of 2023. During the first three quarters of 2023, we also granted performance-based RSUs, which are subject to performance-based vesting conditions, to members of management. A maximum of 114,602 RSUs may be earned under the performance-based RSU awards granted during the first three quarters of 2023.</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1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granted 37,436 SARs, with a weighted average grant-date fair value of $58.50 and a weighted average exercise price of $153.10, to members of management during the first three quarters of 2023.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outlines the assumptions used to estimate the fair value of grants during the first three quarters of 2023:</w:t>
      </w:r>
    </w:p>
    <w:p>
      <w:pPr>
        <w:spacing w:after="0" w:line="151" w:lineRule="exact"/>
        <w:rPr>
          <w:sz w:val="20"/>
          <w:szCs w:val="20"/>
          <w:color w:val="auto"/>
        </w:rPr>
      </w:pPr>
    </w:p>
    <w:tbl>
      <w:tblPr>
        <w:tblLayout w:type="fixed"/>
        <w:tblInd w:w="1860" w:type="dxa"/>
        <w:tblCellMar>
          <w:top w:w="0" w:type="dxa"/>
          <w:left w:w="0" w:type="dxa"/>
          <w:bottom w:w="0" w:type="dxa"/>
          <w:right w:w="0" w:type="dxa"/>
        </w:tblCellMar>
      </w:tblPr>
      <w:tr>
        <w:trPr>
          <w:trHeight w:val="244"/>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2000" w:type="dxa"/>
            <w:vAlign w:val="bottom"/>
            <w:shd w:val="clear" w:color="auto" w:fill="CCEEFF"/>
          </w:tcPr>
          <w:p>
            <w:pPr>
              <w:jc w:val="center"/>
              <w:ind w:left="354"/>
              <w:spacing w:after="0"/>
              <w:rPr>
                <w:sz w:val="20"/>
                <w:szCs w:val="20"/>
                <w:color w:val="auto"/>
              </w:rPr>
            </w:pPr>
            <w:r>
              <w:rPr>
                <w:rFonts w:ascii="Arial" w:cs="Arial" w:eastAsia="Arial" w:hAnsi="Arial"/>
                <w:sz w:val="17"/>
                <w:szCs w:val="17"/>
                <w:color w:val="auto"/>
                <w:w w:val="90"/>
              </w:rPr>
              <w:t>40.47%</w:t>
            </w:r>
          </w:p>
        </w:tc>
      </w:tr>
      <w:tr>
        <w:trPr>
          <w:trHeight w:val="243"/>
        </w:trPr>
        <w:tc>
          <w:tcPr>
            <w:tcW w:w="2640" w:type="dxa"/>
            <w:vAlign w:val="bottom"/>
          </w:tcPr>
          <w:p>
            <w:pPr>
              <w:spacing w:after="0"/>
              <w:rPr>
                <w:sz w:val="20"/>
                <w:szCs w:val="20"/>
                <w:color w:val="auto"/>
              </w:rPr>
            </w:pPr>
            <w:r>
              <w:rPr>
                <w:rFonts w:ascii="Arial" w:cs="Arial" w:eastAsia="Arial" w:hAnsi="Arial"/>
                <w:sz w:val="17"/>
                <w:szCs w:val="17"/>
                <w:color w:val="auto"/>
              </w:rPr>
              <w:t>Dividend yield</w:t>
            </w:r>
          </w:p>
        </w:tc>
        <w:tc>
          <w:tcPr>
            <w:tcW w:w="2000" w:type="dxa"/>
            <w:vAlign w:val="bottom"/>
          </w:tcPr>
          <w:p>
            <w:pPr>
              <w:jc w:val="center"/>
              <w:ind w:left="354"/>
              <w:spacing w:after="0"/>
              <w:rPr>
                <w:sz w:val="20"/>
                <w:szCs w:val="20"/>
                <w:color w:val="auto"/>
              </w:rPr>
            </w:pPr>
            <w:r>
              <w:rPr>
                <w:rFonts w:ascii="Arial" w:cs="Arial" w:eastAsia="Arial" w:hAnsi="Arial"/>
                <w:sz w:val="17"/>
                <w:szCs w:val="17"/>
                <w:color w:val="auto"/>
                <w:w w:val="91"/>
              </w:rPr>
              <w:t>1.87%</w:t>
            </w:r>
          </w:p>
        </w:tc>
      </w:tr>
      <w:tr>
        <w:trPr>
          <w:trHeight w:val="245"/>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Risk-free rate</w:t>
            </w:r>
          </w:p>
        </w:tc>
        <w:tc>
          <w:tcPr>
            <w:tcW w:w="2000" w:type="dxa"/>
            <w:vAlign w:val="bottom"/>
            <w:shd w:val="clear" w:color="auto" w:fill="CCEEFF"/>
          </w:tcPr>
          <w:p>
            <w:pPr>
              <w:jc w:val="center"/>
              <w:ind w:left="354"/>
              <w:spacing w:after="0"/>
              <w:rPr>
                <w:sz w:val="20"/>
                <w:szCs w:val="20"/>
                <w:color w:val="auto"/>
              </w:rPr>
            </w:pPr>
            <w:r>
              <w:rPr>
                <w:rFonts w:ascii="Arial" w:cs="Arial" w:eastAsia="Arial" w:hAnsi="Arial"/>
                <w:sz w:val="17"/>
                <w:szCs w:val="17"/>
                <w:color w:val="auto"/>
                <w:w w:val="91"/>
              </w:rPr>
              <w:t>4.07%</w:t>
            </w:r>
          </w:p>
        </w:tc>
      </w:tr>
      <w:tr>
        <w:trPr>
          <w:trHeight w:val="243"/>
        </w:trPr>
        <w:tc>
          <w:tcPr>
            <w:tcW w:w="2640" w:type="dxa"/>
            <w:vAlign w:val="bottom"/>
          </w:tcPr>
          <w:p>
            <w:pPr>
              <w:spacing w:after="0"/>
              <w:rPr>
                <w:sz w:val="20"/>
                <w:szCs w:val="20"/>
                <w:color w:val="auto"/>
              </w:rPr>
            </w:pPr>
            <w:r>
              <w:rPr>
                <w:rFonts w:ascii="Arial" w:cs="Arial" w:eastAsia="Arial" w:hAnsi="Arial"/>
                <w:sz w:val="17"/>
                <w:szCs w:val="17"/>
                <w:color w:val="auto"/>
              </w:rPr>
              <w:t>Expected term (in years)</w:t>
            </w:r>
          </w:p>
        </w:tc>
        <w:tc>
          <w:tcPr>
            <w:tcW w:w="2000" w:type="dxa"/>
            <w:vAlign w:val="bottom"/>
          </w:tcPr>
          <w:p>
            <w:pPr>
              <w:jc w:val="center"/>
              <w:ind w:left="374"/>
              <w:spacing w:after="0"/>
              <w:rPr>
                <w:sz w:val="20"/>
                <w:szCs w:val="20"/>
                <w:color w:val="auto"/>
              </w:rPr>
            </w:pPr>
            <w:r>
              <w:rPr>
                <w:rFonts w:ascii="Arial" w:cs="Arial" w:eastAsia="Arial" w:hAnsi="Arial"/>
                <w:sz w:val="17"/>
                <w:szCs w:val="17"/>
                <w:color w:val="auto"/>
                <w:w w:val="90"/>
              </w:rPr>
              <w:t>6.25</w:t>
            </w:r>
          </w:p>
        </w:tc>
      </w:tr>
    </w:tbl>
    <w:p>
      <w:pPr>
        <w:spacing w:after="0" w:line="355" w:lineRule="exact"/>
        <w:rPr>
          <w:sz w:val="20"/>
          <w:szCs w:val="20"/>
          <w:color w:val="auto"/>
        </w:rPr>
      </w:pPr>
    </w:p>
    <w:p>
      <w:pPr>
        <w:ind w:left="460" w:hanging="440"/>
        <w:spacing w:after="0"/>
        <w:tabs>
          <w:tab w:leader="none" w:pos="46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VARIABLE INTEREST ENTITIES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Interest Entities Related to Our Vacation Ownership Notes Receivable Securitizations</w:t>
      </w:r>
    </w:p>
    <w:p>
      <w:pPr>
        <w:spacing w:after="0" w:line="11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general corporate purposes. In a vacation ownership notes receivable securitization, various classes of debt securities issued by a special purpose entity are generally collateralized by a single tranche of transferred assets, which consist of vacation ownership notes receivable. With each vacation ownership notes receivable securitization, we may retain all or a portion of the securities that are issued, and certain residual interests.</w:t>
      </w:r>
    </w:p>
    <w:p>
      <w:pPr>
        <w:spacing w:after="0" w:line="7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We created these bankruptcy remote special purpose entities to serve as a mechanism for holding assets and related liabilities, and the entities have no equity investment at risk, making them VIEs.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 There is no noncontrolling interest balance related to these entities and the creditors of these entities do not have general recourse to us.</w:t>
      </w:r>
    </w:p>
    <w:p>
      <w:pPr>
        <w:spacing w:after="0" w:line="24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consolidated assets, which are collateral for the obligations of these VIEs, and consolidated liabilities included on our Balance Sheet at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2023:</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Vacation Ownership</w:t>
            </w:r>
          </w:p>
        </w:tc>
        <w:tc>
          <w:tcPr>
            <w:tcW w:w="200" w:type="dxa"/>
            <w:vAlign w:val="bottom"/>
          </w:tcPr>
          <w:p>
            <w:pPr>
              <w:spacing w:after="0"/>
              <w:rPr>
                <w:sz w:val="14"/>
                <w:szCs w:val="1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88"/>
              </w:rPr>
              <w:t>Warehouse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220"/>
              <w:spacing w:after="0" w:line="154" w:lineRule="exact"/>
              <w:rPr>
                <w:sz w:val="20"/>
                <w:szCs w:val="20"/>
                <w:color w:val="auto"/>
              </w:rPr>
            </w:pPr>
            <w:r>
              <w:rPr>
                <w:rFonts w:ascii="Arial" w:cs="Arial" w:eastAsia="Arial" w:hAnsi="Arial"/>
                <w:sz w:val="15"/>
                <w:szCs w:val="15"/>
                <w:b w:val="1"/>
                <w:bCs w:val="1"/>
                <w:color w:val="auto"/>
                <w:w w:val="88"/>
              </w:rPr>
              <w:t>Notes Receivable</w:t>
            </w:r>
          </w:p>
        </w:tc>
        <w:tc>
          <w:tcPr>
            <w:tcW w:w="2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9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Securitizations</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6"/>
              </w:rPr>
              <w:t>Credit Facility</w:t>
            </w: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Assets</w:t>
            </w:r>
          </w:p>
        </w:tc>
        <w:tc>
          <w:tcPr>
            <w:tcW w:w="1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20"/>
              <w:spacing w:after="0" w:line="180" w:lineRule="exact"/>
              <w:rPr>
                <w:sz w:val="20"/>
                <w:szCs w:val="20"/>
                <w:color w:val="auto"/>
              </w:rPr>
            </w:pPr>
            <w:r>
              <w:rPr>
                <w:rFonts w:ascii="Arial" w:cs="Arial" w:eastAsia="Arial" w:hAnsi="Arial"/>
                <w:sz w:val="17"/>
                <w:szCs w:val="17"/>
                <w:color w:val="auto"/>
              </w:rPr>
              <w:t>Vacation ownership notes receivable, net of</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7"/>
                <w:szCs w:val="17"/>
                <w:color w:val="auto"/>
              </w:rPr>
              <w:t>reserves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ind w:right="17"/>
              <w:spacing w:after="0"/>
              <w:rPr>
                <w:sz w:val="20"/>
                <w:szCs w:val="20"/>
                <w:color w:val="auto"/>
              </w:rPr>
            </w:pPr>
            <w:r>
              <w:rPr>
                <w:rFonts w:ascii="Arial" w:cs="Arial" w:eastAsia="Arial" w:hAnsi="Arial"/>
                <w:sz w:val="17"/>
                <w:szCs w:val="17"/>
                <w:color w:val="auto"/>
              </w:rPr>
              <w:t>1,526</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359</w:t>
            </w:r>
          </w:p>
        </w:tc>
        <w:tc>
          <w:tcPr>
            <w:tcW w:w="12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1,885</w:t>
            </w:r>
          </w:p>
        </w:tc>
        <w:tc>
          <w:tcPr>
            <w:tcW w:w="0" w:type="dxa"/>
            <w:vAlign w:val="bottom"/>
          </w:tcPr>
          <w:p>
            <w:pPr>
              <w:spacing w:after="0"/>
              <w:rPr>
                <w:sz w:val="1"/>
                <w:szCs w:val="1"/>
                <w:color w:val="auto"/>
              </w:rPr>
            </w:pPr>
          </w:p>
        </w:tc>
      </w:tr>
      <w:tr>
        <w:trPr>
          <w:trHeight w:val="245"/>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receivable</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1,598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Consolidated 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Securitized debt</w:t>
            </w: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1,703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2,048</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1,705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interest income and expense recognized as a result of our involvement with these VIEs during the third quarter of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Vacation Ownership</w:t>
            </w:r>
          </w:p>
        </w:tc>
        <w:tc>
          <w:tcPr>
            <w:tcW w:w="180" w:type="dxa"/>
            <w:vAlign w:val="bottom"/>
          </w:tcPr>
          <w:p>
            <w:pPr>
              <w:spacing w:after="0"/>
              <w:rPr>
                <w:sz w:val="14"/>
                <w:szCs w:val="14"/>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1"/>
              </w:rPr>
              <w:t>Warehouse</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240"/>
              <w:spacing w:after="0" w:line="154" w:lineRule="exact"/>
              <w:rPr>
                <w:sz w:val="20"/>
                <w:szCs w:val="20"/>
                <w:color w:val="auto"/>
              </w:rPr>
            </w:pPr>
            <w:r>
              <w:rPr>
                <w:rFonts w:ascii="Arial" w:cs="Arial" w:eastAsia="Arial" w:hAnsi="Arial"/>
                <w:sz w:val="15"/>
                <w:szCs w:val="15"/>
                <w:b w:val="1"/>
                <w:bCs w:val="1"/>
                <w:color w:val="auto"/>
                <w:w w:val="90"/>
              </w:rPr>
              <w:t>Notes Receivable</w:t>
            </w:r>
          </w:p>
        </w:tc>
        <w:tc>
          <w:tcPr>
            <w:tcW w:w="1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77"/>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Securitizations</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Credit Facility</w:t>
            </w:r>
          </w:p>
        </w:tc>
        <w:tc>
          <w:tcPr>
            <w:tcW w:w="3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45"/>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issuance cost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interest income and expense recognized as a result of our involvement with these VIEs during the first three quarters of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Vacation Ownership</w:t>
            </w:r>
          </w:p>
        </w:tc>
        <w:tc>
          <w:tcPr>
            <w:tcW w:w="180" w:type="dxa"/>
            <w:vAlign w:val="bottom"/>
          </w:tcPr>
          <w:p>
            <w:pPr>
              <w:spacing w:after="0"/>
              <w:rPr>
                <w:sz w:val="15"/>
                <w:szCs w:val="15"/>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1"/>
              </w:rPr>
              <w:t>Warehouse</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240"/>
              <w:spacing w:after="0" w:line="154" w:lineRule="exact"/>
              <w:rPr>
                <w:sz w:val="20"/>
                <w:szCs w:val="20"/>
                <w:color w:val="auto"/>
              </w:rPr>
            </w:pPr>
            <w:r>
              <w:rPr>
                <w:rFonts w:ascii="Arial" w:cs="Arial" w:eastAsia="Arial" w:hAnsi="Arial"/>
                <w:sz w:val="15"/>
                <w:szCs w:val="15"/>
                <w:b w:val="1"/>
                <w:bCs w:val="1"/>
                <w:color w:val="auto"/>
                <w:w w:val="88"/>
              </w:rPr>
              <w:t>Notes Receivable</w:t>
            </w:r>
          </w:p>
        </w:tc>
        <w:tc>
          <w:tcPr>
            <w:tcW w:w="1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76"/>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Securitizations</w:t>
            </w:r>
          </w:p>
        </w:tc>
        <w:tc>
          <w:tcPr>
            <w:tcW w:w="1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Credit Facility</w:t>
            </w:r>
          </w:p>
        </w:tc>
        <w:tc>
          <w:tcPr>
            <w:tcW w:w="3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45"/>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Debt issuance cost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7"/>
                <w:szCs w:val="17"/>
                <w:color w:val="auto"/>
              </w:rPr>
              <w:t>Administrative expenses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cash flows between us and the vacation ownership notes receivable securitization VIEs:</w:t>
      </w:r>
    </w:p>
    <w:p>
      <w:pPr>
        <w:sectPr>
          <w:pgSz w:w="11900" w:h="16838" w:orient="portrait"/>
          <w:cols w:equalWidth="0" w:num="1">
            <w:col w:w="11100"/>
          </w:cols>
          <w:pgMar w:left="320" w:top="230" w:right="479" w:bottom="1440" w:gutter="0" w:footer="0" w:header="0"/>
        </w:sect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5280660" cy="154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80660" cy="15494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Cash Inflows</w:t>
      </w:r>
    </w:p>
    <w:p>
      <w:pPr>
        <w:spacing w:after="0" w:line="42" w:lineRule="exact"/>
        <w:rPr>
          <w:sz w:val="20"/>
          <w:szCs w:val="20"/>
          <w:color w:val="auto"/>
        </w:rPr>
      </w:pPr>
    </w:p>
    <w:p>
      <w:pPr>
        <w:ind w:left="220" w:right="220"/>
        <w:spacing w:after="0" w:line="246" w:lineRule="auto"/>
        <w:rPr>
          <w:sz w:val="20"/>
          <w:szCs w:val="20"/>
          <w:color w:val="auto"/>
        </w:rPr>
      </w:pPr>
      <w:r>
        <w:rPr>
          <w:rFonts w:ascii="Arial" w:cs="Arial" w:eastAsia="Arial" w:hAnsi="Arial"/>
          <w:sz w:val="17"/>
          <w:szCs w:val="17"/>
          <w:color w:val="auto"/>
        </w:rPr>
        <w:t>Net proceeds from vacation ownership notes receivable securitizations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5280660" cy="154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80660" cy="15494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Principal receipts</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Interest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5280660" cy="154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80660" cy="154940"/>
                    </a:xfrm>
                    <a:prstGeom prst="rect">
                      <a:avLst/>
                    </a:prstGeom>
                    <a:noFill/>
                  </pic:spPr>
                </pic:pic>
              </a:graphicData>
            </a:graphic>
          </wp:anchor>
        </w:drawing>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Reserve release</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5280660" cy="154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80660" cy="15494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Cash Outflows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Nine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September 30, 2023</w:t>
            </w:r>
          </w:p>
        </w:tc>
        <w:tc>
          <w:tcPr>
            <w:tcW w:w="1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76"/>
              <w:spacing w:after="0"/>
              <w:rPr>
                <w:sz w:val="20"/>
                <w:szCs w:val="20"/>
                <w:color w:val="auto"/>
              </w:rPr>
            </w:pPr>
            <w:r>
              <w:rPr>
                <w:rFonts w:ascii="Arial" w:cs="Arial" w:eastAsia="Arial" w:hAnsi="Arial"/>
                <w:sz w:val="15"/>
                <w:szCs w:val="15"/>
                <w:b w:val="1"/>
                <w:bCs w:val="1"/>
                <w:color w:val="auto"/>
                <w:w w:val="92"/>
              </w:rPr>
              <w:t>September 30, 2022</w:t>
            </w:r>
          </w:p>
        </w:tc>
      </w:tr>
      <w:tr>
        <w:trPr>
          <w:trHeight w:val="622"/>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396</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371</w:t>
            </w:r>
          </w:p>
        </w:tc>
      </w:tr>
      <w:tr>
        <w:trPr>
          <w:trHeight w:val="244"/>
        </w:trPr>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413</w:t>
            </w:r>
          </w:p>
        </w:tc>
      </w:tr>
      <w:tr>
        <w:trPr>
          <w:trHeight w:val="244"/>
        </w:trPr>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174</w:t>
            </w:r>
          </w:p>
        </w:tc>
      </w:tr>
      <w:tr>
        <w:trPr>
          <w:trHeight w:val="245"/>
        </w:trPr>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r>
      <w:tr>
        <w:trPr>
          <w:trHeight w:val="224"/>
        </w:trPr>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1,111</w:t>
            </w:r>
          </w:p>
        </w:tc>
      </w:tr>
    </w:tbl>
    <w:p>
      <w:pPr>
        <w:spacing w:after="0" w:line="243" w:lineRule="exact"/>
        <w:rPr>
          <w:sz w:val="20"/>
          <w:szCs w:val="20"/>
          <w:color w:val="auto"/>
        </w:rPr>
      </w:pPr>
    </w:p>
    <w:p>
      <w:pPr>
        <w:sectPr>
          <w:pgSz w:w="11900" w:h="16838" w:orient="portrait"/>
          <w:cols w:equalWidth="0" w:num="2">
            <w:col w:w="4240" w:space="720"/>
            <w:col w:w="6140"/>
          </w:cols>
          <w:pgMar w:left="320" w:top="230" w:right="47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220"/>
              <w:spacing w:after="0"/>
              <w:rPr>
                <w:sz w:val="20"/>
                <w:szCs w:val="20"/>
                <w:color w:val="auto"/>
              </w:rPr>
            </w:pPr>
            <w:r>
              <w:rPr>
                <w:rFonts w:ascii="Arial" w:cs="Arial" w:eastAsia="Arial" w:hAnsi="Arial"/>
                <w:sz w:val="17"/>
                <w:szCs w:val="17"/>
                <w:color w:val="auto"/>
              </w:rPr>
              <w:t>Principal payments</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(446)</w:t>
            </w:r>
          </w:p>
        </w:tc>
      </w:tr>
      <w:tr>
        <w:trPr>
          <w:trHeight w:val="181"/>
        </w:trPr>
        <w:tc>
          <w:tcPr>
            <w:tcW w:w="4960" w:type="dxa"/>
            <w:vAlign w:val="bottom"/>
            <w:shd w:val="clear" w:color="auto" w:fill="CCEEFF"/>
          </w:tcPr>
          <w:p>
            <w:pPr>
              <w:ind w:left="220"/>
              <w:spacing w:after="0" w:line="180" w:lineRule="exact"/>
              <w:rPr>
                <w:sz w:val="20"/>
                <w:szCs w:val="20"/>
                <w:color w:val="auto"/>
              </w:rPr>
            </w:pPr>
            <w:r>
              <w:rPr>
                <w:rFonts w:ascii="Arial" w:cs="Arial" w:eastAsia="Arial" w:hAnsi="Arial"/>
                <w:sz w:val="17"/>
                <w:szCs w:val="17"/>
                <w:color w:val="auto"/>
              </w:rPr>
              <w:t>Voluntary repurchases of defaulted vacation ownership notes</w:t>
            </w: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8"/>
        </w:trPr>
        <w:tc>
          <w:tcPr>
            <w:tcW w:w="4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receivable</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43"/>
        </w:trPr>
        <w:tc>
          <w:tcPr>
            <w:tcW w:w="4960" w:type="dxa"/>
            <w:vAlign w:val="bottom"/>
          </w:tcPr>
          <w:p>
            <w:pPr>
              <w:ind w:left="220"/>
              <w:spacing w:after="0"/>
              <w:rPr>
                <w:sz w:val="20"/>
                <w:szCs w:val="20"/>
                <w:color w:val="auto"/>
              </w:rPr>
            </w:pPr>
            <w:r>
              <w:rPr>
                <w:rFonts w:ascii="Arial" w:cs="Arial" w:eastAsia="Arial" w:hAnsi="Arial"/>
                <w:sz w:val="17"/>
                <w:szCs w:val="17"/>
                <w:color w:val="auto"/>
              </w:rPr>
              <w:t>Voluntary clean-up call</w:t>
            </w:r>
          </w:p>
        </w:tc>
        <w:tc>
          <w:tcPr>
            <w:tcW w:w="6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45"/>
        </w:trPr>
        <w:tc>
          <w:tcPr>
            <w:tcW w:w="4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payments</w:t>
            </w:r>
          </w:p>
        </w:tc>
        <w:tc>
          <w:tcPr>
            <w:tcW w:w="6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43"/>
        </w:trPr>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Funding of restricted cash</w:t>
            </w:r>
          </w:p>
        </w:tc>
        <w:tc>
          <w:tcPr>
            <w:tcW w:w="6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w:t>
            </w:r>
          </w:p>
        </w:tc>
      </w:tr>
      <w:tr>
        <w:trPr>
          <w:trHeight w:val="225"/>
        </w:trPr>
        <w:tc>
          <w:tcPr>
            <w:tcW w:w="49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w:t>
            </w:r>
          </w:p>
        </w:tc>
      </w:tr>
      <w:tr>
        <w:trPr>
          <w:trHeight w:val="210"/>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Net Cash Flows</w:t>
            </w:r>
          </w:p>
        </w:tc>
        <w:tc>
          <w:tcPr>
            <w:tcW w:w="6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w:t>
            </w:r>
          </w:p>
        </w:tc>
      </w:tr>
      <w:tr>
        <w:trPr>
          <w:trHeight w:val="20"/>
        </w:trPr>
        <w:tc>
          <w:tcPr>
            <w:tcW w:w="4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230" w:right="479" w:bottom="1440" w:gutter="0" w:footer="0" w:header="0"/>
          <w:type w:val="continuous"/>
        </w:sectPr>
      </w:pPr>
    </w:p>
    <w:p>
      <w:pPr>
        <w:spacing w:after="0" w:line="134"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285750</wp:posOffset>
            </wp:positionV>
            <wp:extent cx="716470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cash flows between us and the Warehouse Credit Facility VIE: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5"/>
                <w:szCs w:val="15"/>
                <w:b w:val="1"/>
                <w:bCs w:val="1"/>
                <w:color w:val="auto"/>
              </w:rPr>
              <w:t>Nine Months Ended</w:t>
            </w:r>
          </w:p>
        </w:tc>
      </w:tr>
      <w:tr>
        <w:trPr>
          <w:trHeight w:val="199"/>
        </w:trPr>
        <w:tc>
          <w:tcPr>
            <w:tcW w:w="49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 2023</w:t>
            </w:r>
          </w:p>
        </w:tc>
        <w:tc>
          <w:tcPr>
            <w:tcW w:w="140" w:type="dxa"/>
            <w:vAlign w:val="bottom"/>
          </w:tcPr>
          <w:p>
            <w:pPr>
              <w:spacing w:after="0"/>
              <w:rPr>
                <w:sz w:val="17"/>
                <w:szCs w:val="17"/>
                <w:color w:val="auto"/>
              </w:rPr>
            </w:pPr>
          </w:p>
        </w:tc>
        <w:tc>
          <w:tcPr>
            <w:tcW w:w="1520" w:type="dxa"/>
            <w:vAlign w:val="bottom"/>
          </w:tcPr>
          <w:p>
            <w:pPr>
              <w:jc w:val="right"/>
              <w:ind w:right="95"/>
              <w:spacing w:after="0"/>
              <w:rPr>
                <w:sz w:val="20"/>
                <w:szCs w:val="20"/>
                <w:color w:val="auto"/>
              </w:rPr>
            </w:pPr>
            <w:r>
              <w:rPr>
                <w:rFonts w:ascii="Arial" w:cs="Arial" w:eastAsia="Arial" w:hAnsi="Arial"/>
                <w:sz w:val="15"/>
                <w:szCs w:val="15"/>
                <w:b w:val="1"/>
                <w:bCs w:val="1"/>
                <w:color w:val="auto"/>
                <w:w w:val="94"/>
              </w:rPr>
              <w:t>September 30, 2022</w:t>
            </w:r>
          </w:p>
        </w:tc>
      </w:tr>
      <w:tr>
        <w:trPr>
          <w:trHeight w:val="206"/>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Inflows</w:t>
            </w: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43"/>
        </w:trPr>
        <w:tc>
          <w:tcPr>
            <w:tcW w:w="4900" w:type="dxa"/>
            <w:vAlign w:val="bottom"/>
          </w:tcPr>
          <w:p>
            <w:pPr>
              <w:ind w:left="220"/>
              <w:spacing w:after="0"/>
              <w:rPr>
                <w:sz w:val="20"/>
                <w:szCs w:val="20"/>
                <w:color w:val="auto"/>
              </w:rPr>
            </w:pPr>
            <w:r>
              <w:rPr>
                <w:rFonts w:ascii="Arial" w:cs="Arial" w:eastAsia="Arial" w:hAnsi="Arial"/>
                <w:sz w:val="17"/>
                <w:szCs w:val="17"/>
                <w:color w:val="auto"/>
                <w:w w:val="92"/>
              </w:rPr>
              <w:t>Proceeds from vacation ownership notes receivable securitizations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515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45"/>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 receipts</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43"/>
        </w:trPr>
        <w:tc>
          <w:tcPr>
            <w:tcW w:w="4900" w:type="dxa"/>
            <w:vAlign w:val="bottom"/>
          </w:tcPr>
          <w:p>
            <w:pPr>
              <w:ind w:left="220"/>
              <w:spacing w:after="0"/>
              <w:rPr>
                <w:sz w:val="20"/>
                <w:szCs w:val="20"/>
                <w:color w:val="auto"/>
              </w:rPr>
            </w:pPr>
            <w:r>
              <w:rPr>
                <w:rFonts w:ascii="Arial" w:cs="Arial" w:eastAsia="Arial" w:hAnsi="Arial"/>
                <w:sz w:val="17"/>
                <w:szCs w:val="17"/>
                <w:color w:val="auto"/>
              </w:rPr>
              <w:t>Interest receipts</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44"/>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Reserve release</w:t>
            </w: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4"/>
        </w:trPr>
        <w:tc>
          <w:tcPr>
            <w:tcW w:w="4900" w:type="dxa"/>
            <w:vAlign w:val="bottom"/>
          </w:tcPr>
          <w:p>
            <w:pPr>
              <w:ind w:left="440"/>
              <w:spacing w:after="0"/>
              <w:rPr>
                <w:sz w:val="20"/>
                <w:szCs w:val="20"/>
                <w:color w:val="auto"/>
              </w:rPr>
            </w:pPr>
            <w:r>
              <w:rPr>
                <w:rFonts w:ascii="Arial" w:cs="Arial" w:eastAsia="Arial" w:hAnsi="Arial"/>
                <w:sz w:val="17"/>
                <w:szCs w:val="17"/>
                <w:color w:val="auto"/>
              </w:rPr>
              <w:t>Total</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252</w:t>
            </w:r>
          </w:p>
        </w:tc>
      </w:tr>
      <w:tr>
        <w:trPr>
          <w:trHeight w:val="22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Outflows</w:t>
            </w:r>
          </w:p>
        </w:tc>
        <w:tc>
          <w:tcPr>
            <w:tcW w:w="1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r>
      <w:tr>
        <w:trPr>
          <w:trHeight w:val="243"/>
        </w:trPr>
        <w:tc>
          <w:tcPr>
            <w:tcW w:w="4900" w:type="dxa"/>
            <w:vAlign w:val="bottom"/>
          </w:tcPr>
          <w:p>
            <w:pPr>
              <w:ind w:left="220"/>
              <w:spacing w:after="0"/>
              <w:rPr>
                <w:sz w:val="20"/>
                <w:szCs w:val="20"/>
                <w:color w:val="auto"/>
              </w:rPr>
            </w:pPr>
            <w:r>
              <w:rPr>
                <w:rFonts w:ascii="Arial" w:cs="Arial" w:eastAsia="Arial" w:hAnsi="Arial"/>
                <w:sz w:val="17"/>
                <w:szCs w:val="17"/>
                <w:color w:val="auto"/>
              </w:rPr>
              <w:t>Principal payments</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181"/>
        </w:trPr>
        <w:tc>
          <w:tcPr>
            <w:tcW w:w="4900" w:type="dxa"/>
            <w:vAlign w:val="bottom"/>
            <w:shd w:val="clear" w:color="auto" w:fill="CCEEFF"/>
          </w:tcPr>
          <w:p>
            <w:pPr>
              <w:ind w:left="220"/>
              <w:spacing w:after="0" w:line="180" w:lineRule="exact"/>
              <w:rPr>
                <w:sz w:val="20"/>
                <w:szCs w:val="20"/>
                <w:color w:val="auto"/>
              </w:rPr>
            </w:pPr>
            <w:r>
              <w:rPr>
                <w:rFonts w:ascii="Arial" w:cs="Arial" w:eastAsia="Arial" w:hAnsi="Arial"/>
                <w:sz w:val="17"/>
                <w:szCs w:val="17"/>
                <w:color w:val="auto"/>
              </w:rPr>
              <w:t>Voluntary repurchases of defaulted vacation ownership notes</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18"/>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receivable</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43"/>
        </w:trPr>
        <w:tc>
          <w:tcPr>
            <w:tcW w:w="4900" w:type="dxa"/>
            <w:vAlign w:val="bottom"/>
          </w:tcPr>
          <w:p>
            <w:pPr>
              <w:ind w:left="220"/>
              <w:spacing w:after="0"/>
              <w:rPr>
                <w:sz w:val="20"/>
                <w:szCs w:val="20"/>
                <w:color w:val="auto"/>
              </w:rPr>
            </w:pPr>
            <w:r>
              <w:rPr>
                <w:rFonts w:ascii="Arial" w:cs="Arial" w:eastAsia="Arial" w:hAnsi="Arial"/>
                <w:sz w:val="17"/>
                <w:szCs w:val="17"/>
                <w:color w:val="auto"/>
              </w:rPr>
              <w:t>Repayment of Warehouse Credit Facility</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45"/>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payments</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43"/>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Funding of restricted cash</w:t>
            </w: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25"/>
        </w:trPr>
        <w:tc>
          <w:tcPr>
            <w:tcW w:w="4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10"/>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Net Cash Flows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Variable Interest Entities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a commitment to purchase a property located in Waikiki, Hawaii. The property is held by a VIE for which we are not the primary beneficiary. We do not control the decisions that most significantly impact the economic performance of the entity during construction. Further, our purchase commitment is generally contingent upon the property being redeveloped to our brand standards. Accordingly, we have not consolidated the VIE. We expect to acquire the property over time and as of September 30, 2023, we expect to make payments for the property as follows: $112 million in 2024, $81 million in 2025 and $41 million in 2026. As of September 30, 2023, our Balance Sheet reflected $1 million in Accounts Receivable, including a note receivable of approximately $1 million, $3 million in Property and Equipment, and $1 million in Accrued Liabilities. We believe that our maximum exposure to loss as a result of our involvement with this VIE is approximately $3 million as of September 30, 2023.</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Compensation Plan</w:t>
      </w:r>
    </w:p>
    <w:p>
      <w:pPr>
        <w:spacing w:after="0" w:line="11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We consolidate the liabilities of the Marriott Vacations Worldwide Deferred Compensation Plan and the related assets, which consist of the COLI policies held in a rabbi trust. The rabbi trust is considered a VIE. We are considered the primary beneficiary of the rabbi trust because we direct the activities of the trust and are the beneficiary of the trust. At September 30, 2023, the value of the assets held in the rabbi trust was $88 million, which is included in the Other line within assets on our Balance Sheets.</w:t>
      </w:r>
    </w:p>
    <w:p>
      <w:pPr>
        <w:spacing w:after="0" w:line="23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 w:hanging="440"/>
        <w:spacing w:after="0"/>
        <w:tabs>
          <w:tab w:leader="none" w:pos="46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BUSINESS SEGMENTS</w:t>
      </w:r>
    </w:p>
    <w:p>
      <w:pPr>
        <w:spacing w:after="0" w:line="208" w:lineRule="exact"/>
        <w:rPr>
          <w:sz w:val="20"/>
          <w:szCs w:val="20"/>
          <w:color w:val="auto"/>
        </w:rPr>
      </w:pPr>
    </w:p>
    <w:p>
      <w:pPr>
        <w:ind w:right="280"/>
        <w:spacing w:after="0" w:line="346" w:lineRule="auto"/>
        <w:rPr>
          <w:sz w:val="20"/>
          <w:szCs w:val="20"/>
          <w:color w:val="auto"/>
        </w:rPr>
      </w:pPr>
      <w:r>
        <w:rPr>
          <w:rFonts w:ascii="Arial" w:cs="Arial" w:eastAsia="Arial" w:hAnsi="Arial"/>
          <w:sz w:val="15"/>
          <w:szCs w:val="15"/>
          <w:color w:val="auto"/>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w:t>
      </w:r>
    </w:p>
    <w:p>
      <w:pPr>
        <w:spacing w:after="0" w:line="16" w:lineRule="exact"/>
        <w:rPr>
          <w:sz w:val="20"/>
          <w:szCs w:val="20"/>
          <w:color w:val="auto"/>
        </w:rPr>
      </w:pPr>
    </w:p>
    <w:p>
      <w:pPr>
        <w:ind w:left="320" w:right="20" w:hanging="317"/>
        <w:spacing w:after="0" w:line="276" w:lineRule="auto"/>
        <w:tabs>
          <w:tab w:leader="none" w:pos="316" w:val="left"/>
        </w:tabs>
        <w:numPr>
          <w:ilvl w:val="0"/>
          <w:numId w:val="29"/>
        </w:numPr>
        <w:rPr>
          <w:rFonts w:ascii="Arial" w:cs="Arial" w:eastAsia="Arial" w:hAnsi="Arial"/>
          <w:sz w:val="16"/>
          <w:szCs w:val="16"/>
          <w:color w:val="auto"/>
        </w:rPr>
      </w:pPr>
      <w:r>
        <w:rPr>
          <w:rFonts w:ascii="Arial" w:cs="Arial" w:eastAsia="Arial" w:hAnsi="Arial"/>
          <w:sz w:val="16"/>
          <w:szCs w:val="16"/>
          <w:color w:val="auto"/>
        </w:rPr>
        <w:t>Vacation Ownership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as well as under Marriott Vacation Club Pulse, an extension of the Marriott Vacation Club brand. We are also the exclusive worldwide developer, marketer, and seller of vacation ownership and related products under The Ritz-Carlton Club brand, we have the non-exclusive right to develop, market, and sell whole ownership residential products under The Ritz-Carlton Residences brand and have a license to use the St. Regis brand for specified fractional ownership resorts.</w:t>
      </w:r>
    </w:p>
    <w:p>
      <w:pPr>
        <w:spacing w:after="0" w:line="65" w:lineRule="exact"/>
        <w:rPr>
          <w:rFonts w:ascii="Arial" w:cs="Arial" w:eastAsia="Arial" w:hAnsi="Arial"/>
          <w:sz w:val="16"/>
          <w:szCs w:val="16"/>
          <w:color w:val="auto"/>
        </w:rPr>
      </w:pPr>
    </w:p>
    <w:p>
      <w:pPr>
        <w:ind w:left="320" w:right="140" w:hanging="317"/>
        <w:spacing w:after="0" w:line="346" w:lineRule="auto"/>
        <w:tabs>
          <w:tab w:leader="none" w:pos="3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6" w:lineRule="exact"/>
        <w:rPr>
          <w:rFonts w:ascii="Arial" w:cs="Arial" w:eastAsia="Arial" w:hAnsi="Arial"/>
          <w:sz w:val="15"/>
          <w:szCs w:val="15"/>
          <w:color w:val="auto"/>
        </w:rPr>
      </w:pPr>
    </w:p>
    <w:p>
      <w:pPr>
        <w:ind w:left="320" w:right="120" w:hanging="317"/>
        <w:spacing w:after="0" w:line="306" w:lineRule="auto"/>
        <w:tabs>
          <w:tab w:leader="none" w:pos="316" w:val="left"/>
        </w:tabs>
        <w:numPr>
          <w:ilvl w:val="0"/>
          <w:numId w:val="29"/>
        </w:numPr>
        <w:rPr>
          <w:rFonts w:ascii="Arial" w:cs="Arial" w:eastAsia="Arial" w:hAnsi="Arial"/>
          <w:sz w:val="15"/>
          <w:szCs w:val="15"/>
          <w:color w:val="auto"/>
        </w:rPr>
      </w:pPr>
      <w:r>
        <w:rPr>
          <w:rFonts w:ascii="Arial" w:cs="Arial" w:eastAsia="Arial" w:hAnsi="Arial"/>
          <w:sz w:val="15"/>
          <w:szCs w:val="15"/>
          <w:color w:val="auto"/>
        </w:rPr>
        <w:t>Exchange &amp; Third-Party Management includes an exchange network and membership programs, as well as provision of management services to other resorts and lodging properties. We provide these services through our Interval International and Aqua-Aston businesses. Exchange &amp; Third-Party Management revenue generally is fee-based and derived from membership, exchange and rental transactions, property and owners’ association management, and other related products and services. VRI Americas was part of the Exchange &amp; Third-Party Management segment through the date of sale in April 2022.</w:t>
      </w:r>
    </w:p>
    <w:p>
      <w:pPr>
        <w:spacing w:after="0" w:line="44"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spacing w:after="0" w:line="48"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Our CODM uses Adjusted Earnings before Interest Expense, Taxes, Depreciation and Amortization (“Adjusted EBITDA”) to evaluate the profitability of our operating segments, and the components of net income or loss attributable to common shareholders excluded from Adjusted EBITDA are not separately evaluated. Adjusted EBITDA is defined as net income or loss attributable to common shareholders, before interest expense (excluding consumer financing interest expense associated with term securitization transactions), income taxes, depreciation and amortization, excluding share-based compensation expense and adjusted for certain items that affect the comparability of our operating performance. Our reconciliation of the aggregate amount of Adjusted EBITDA for our reportable segments to consolidated net income or loss attributable to common shareholders is presented below.</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ind w:left="440"/>
              <w:spacing w:after="0"/>
              <w:rPr>
                <w:sz w:val="20"/>
                <w:szCs w:val="20"/>
                <w:color w:val="auto"/>
              </w:rPr>
            </w:pPr>
            <w:r>
              <w:rPr>
                <w:rFonts w:ascii="Arial" w:cs="Arial" w:eastAsia="Arial" w:hAnsi="Arial"/>
                <w:sz w:val="15"/>
                <w:szCs w:val="15"/>
                <w:b w:val="1"/>
                <w:bCs w:val="1"/>
                <w:color w:val="auto"/>
              </w:rPr>
              <w:t>Three Months Ended</w:t>
            </w:r>
          </w:p>
        </w:tc>
        <w:tc>
          <w:tcPr>
            <w:tcW w:w="360" w:type="dxa"/>
            <w:vAlign w:val="bottom"/>
          </w:tcPr>
          <w:p>
            <w:pPr>
              <w:spacing w:after="0"/>
              <w:rPr>
                <w:sz w:val="17"/>
                <w:szCs w:val="17"/>
                <w:color w:val="auto"/>
              </w:rPr>
            </w:pPr>
          </w:p>
        </w:tc>
        <w:tc>
          <w:tcPr>
            <w:tcW w:w="5120" w:type="dxa"/>
            <w:vAlign w:val="bottom"/>
            <w:gridSpan w:val="5"/>
          </w:tcPr>
          <w:p>
            <w:pPr>
              <w:ind w:left="260"/>
              <w:spacing w:after="0"/>
              <w:rPr>
                <w:sz w:val="20"/>
                <w:szCs w:val="20"/>
                <w:color w:val="auto"/>
              </w:rPr>
            </w:pPr>
            <w:r>
              <w:rPr>
                <w:rFonts w:ascii="Arial" w:cs="Arial" w:eastAsia="Arial" w:hAnsi="Arial"/>
                <w:sz w:val="15"/>
                <w:szCs w:val="15"/>
                <w:b w:val="1"/>
                <w:bCs w:val="1"/>
                <w:color w:val="auto"/>
              </w:rPr>
              <w:t>Nine Months Ended</w:t>
            </w:r>
          </w:p>
        </w:tc>
      </w:tr>
      <w:tr>
        <w:trPr>
          <w:trHeight w:val="150"/>
        </w:trPr>
        <w:tc>
          <w:tcPr>
            <w:tcW w:w="3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340" w:type="dxa"/>
            <w:vAlign w:val="bottom"/>
            <w:tcBorders>
              <w:top w:val="single" w:sz="8" w:color="auto"/>
            </w:tcBorders>
            <w:gridSpan w:val="3"/>
          </w:tcPr>
          <w:p>
            <w:pPr>
              <w:ind w:left="14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2920" w:type="dxa"/>
            <w:vAlign w:val="bottom"/>
          </w:tcPr>
          <w:p>
            <w:pPr>
              <w:spacing w:after="0"/>
              <w:rPr>
                <w:sz w:val="13"/>
                <w:szCs w:val="13"/>
                <w:color w:val="auto"/>
              </w:rPr>
            </w:pPr>
          </w:p>
        </w:tc>
      </w:tr>
      <w:tr>
        <w:trPr>
          <w:trHeight w:val="20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8"/>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2920" w:type="dxa"/>
            <w:vAlign w:val="bottom"/>
          </w:tcPr>
          <w:p>
            <w:pPr>
              <w:spacing w:after="0"/>
              <w:rPr>
                <w:sz w:val="17"/>
                <w:szCs w:val="17"/>
                <w:color w:val="auto"/>
              </w:rPr>
            </w:pP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3,229</w:t>
            </w:r>
          </w:p>
        </w:tc>
        <w:tc>
          <w:tcPr>
            <w:tcW w:w="2920" w:type="dxa"/>
            <w:vAlign w:val="bottom"/>
          </w:tcPr>
          <w:p>
            <w:pPr>
              <w:spacing w:after="0"/>
              <w:rPr>
                <w:sz w:val="19"/>
                <w:szCs w:val="19"/>
                <w:color w:val="auto"/>
              </w:rPr>
            </w:pPr>
          </w:p>
        </w:tc>
      </w:tr>
      <w:tr>
        <w:trPr>
          <w:trHeight w:val="24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2920" w:type="dxa"/>
            <w:vAlign w:val="bottom"/>
          </w:tcPr>
          <w:p>
            <w:pPr>
              <w:spacing w:after="0"/>
              <w:rPr>
                <w:sz w:val="21"/>
                <w:szCs w:val="21"/>
                <w:color w:val="auto"/>
              </w:rPr>
            </w:pPr>
          </w:p>
        </w:tc>
      </w:tr>
      <w:tr>
        <w:trPr>
          <w:trHeight w:val="225"/>
        </w:trPr>
        <w:tc>
          <w:tcPr>
            <w:tcW w:w="3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segment revenues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2920" w:type="dxa"/>
            <w:vAlign w:val="bottom"/>
          </w:tcPr>
          <w:p>
            <w:pPr>
              <w:spacing w:after="0"/>
              <w:rPr>
                <w:sz w:val="19"/>
                <w:szCs w:val="19"/>
                <w:color w:val="auto"/>
              </w:rPr>
            </w:pPr>
          </w:p>
        </w:tc>
      </w:tr>
      <w:tr>
        <w:trPr>
          <w:trHeight w:val="24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 and other</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920" w:type="dxa"/>
            <w:vAlign w:val="bottom"/>
          </w:tcPr>
          <w:p>
            <w:pPr>
              <w:spacing w:after="0"/>
              <w:rPr>
                <w:sz w:val="21"/>
                <w:szCs w:val="21"/>
                <w:color w:val="auto"/>
              </w:rPr>
            </w:pPr>
          </w:p>
        </w:tc>
      </w:tr>
      <w:tr>
        <w:trPr>
          <w:trHeight w:val="236"/>
        </w:trPr>
        <w:tc>
          <w:tcPr>
            <w:tcW w:w="3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3,468</w:t>
            </w:r>
          </w:p>
        </w:tc>
        <w:tc>
          <w:tcPr>
            <w:tcW w:w="2920" w:type="dxa"/>
            <w:vAlign w:val="bottom"/>
          </w:tcPr>
          <w:p>
            <w:pPr>
              <w:spacing w:after="0"/>
              <w:rPr>
                <w:sz w:val="20"/>
                <w:szCs w:val="20"/>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3"/>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34</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3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and Reconciliation to Net Income Attributable to Common Shareholders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8"/>
          </w:tcPr>
          <w:p>
            <w:pPr>
              <w:ind w:left="460"/>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gridSpan w:val="10"/>
          </w:tcPr>
          <w:p>
            <w:pPr>
              <w:ind w:left="60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1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tcBorders>
              <w:top w:val="single" w:sz="8" w:color="auto"/>
            </w:tcBorders>
            <w:gridSpan w:val="7"/>
          </w:tcPr>
          <w:p>
            <w:pPr>
              <w:jc w:val="center"/>
              <w:ind w:right="1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36"/>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343"/>
              <w:spacing w:after="0"/>
              <w:rPr>
                <w:sz w:val="20"/>
                <w:szCs w:val="20"/>
                <w:color w:val="auto"/>
              </w:rPr>
            </w:pPr>
            <w:r>
              <w:rPr>
                <w:rFonts w:ascii="Arial" w:cs="Arial" w:eastAsia="Arial" w:hAnsi="Arial"/>
                <w:sz w:val="15"/>
                <w:szCs w:val="15"/>
                <w:b w:val="1"/>
                <w:bCs w:val="1"/>
                <w:color w:val="auto"/>
              </w:rPr>
              <w:t>2022</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gridSpan w:val="2"/>
          </w:tcPr>
          <w:p>
            <w:pPr>
              <w:spacing w:after="0"/>
              <w:rPr>
                <w:sz w:val="17"/>
                <w:szCs w:val="17"/>
                <w:color w:val="auto"/>
              </w:rPr>
            </w:pPr>
          </w:p>
        </w:tc>
        <w:tc>
          <w:tcPr>
            <w:tcW w:w="740" w:type="dxa"/>
            <w:vAlign w:val="bottom"/>
            <w:tcBorders>
              <w:bottom w:val="single" w:sz="8" w:color="auto"/>
            </w:tcBorders>
            <w:gridSpan w:val="2"/>
          </w:tcPr>
          <w:p>
            <w:pPr>
              <w:jc w:val="center"/>
              <w:ind w:left="363"/>
              <w:spacing w:after="0"/>
              <w:rPr>
                <w:sz w:val="20"/>
                <w:szCs w:val="20"/>
                <w:color w:val="auto"/>
              </w:rPr>
            </w:pPr>
            <w:r>
              <w:rPr>
                <w:rFonts w:ascii="Arial" w:cs="Arial" w:eastAsia="Arial" w:hAnsi="Arial"/>
                <w:sz w:val="15"/>
                <w:szCs w:val="15"/>
                <w:b w:val="1"/>
                <w:bCs w:val="1"/>
                <w:color w:val="auto"/>
                <w:w w:val="89"/>
              </w:rPr>
              <w:t>2023</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95"/>
              </w:rPr>
              <w:t>2022</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 Vacation Ownership</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523"/>
              <w:spacing w:after="0"/>
              <w:rPr>
                <w:sz w:val="20"/>
                <w:szCs w:val="20"/>
                <w:color w:val="auto"/>
              </w:rPr>
            </w:pPr>
            <w:r>
              <w:rPr>
                <w:rFonts w:ascii="Arial" w:cs="Arial" w:eastAsia="Arial" w:hAnsi="Arial"/>
                <w:sz w:val="17"/>
                <w:szCs w:val="17"/>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080" w:type="dxa"/>
            <w:vAlign w:val="bottom"/>
          </w:tcPr>
          <w:p>
            <w:pPr>
              <w:ind w:left="20"/>
              <w:spacing w:after="0" w:line="180" w:lineRule="exact"/>
              <w:rPr>
                <w:sz w:val="20"/>
                <w:szCs w:val="20"/>
                <w:color w:val="auto"/>
              </w:rPr>
            </w:pPr>
            <w:r>
              <w:rPr>
                <w:rFonts w:ascii="Arial" w:cs="Arial" w:eastAsia="Arial" w:hAnsi="Arial"/>
                <w:sz w:val="17"/>
                <w:szCs w:val="17"/>
                <w:color w:val="auto"/>
                <w:w w:val="95"/>
              </w:rPr>
              <w:t>Adjusted EBITDA Exchange &amp; Third-Party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7"/>
                <w:szCs w:val="17"/>
                <w:color w:val="auto"/>
              </w:rPr>
              <w:t>Management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117</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Reconciling items: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20"/>
              <w:spacing w:after="0"/>
              <w:rPr>
                <w:sz w:val="20"/>
                <w:szCs w:val="20"/>
                <w:color w:val="auto"/>
              </w:rPr>
            </w:pPr>
            <w:r>
              <w:rPr>
                <w:rFonts w:ascii="Arial" w:cs="Arial" w:eastAsia="Arial" w:hAnsi="Arial"/>
                <w:sz w:val="17"/>
                <w:szCs w:val="17"/>
                <w:color w:val="auto"/>
              </w:rPr>
              <w:t>Corporate and other</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(171)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(162)</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20"/>
              <w:spacing w:after="0"/>
              <w:rPr>
                <w:sz w:val="20"/>
                <w:szCs w:val="20"/>
                <w:color w:val="auto"/>
              </w:rPr>
            </w:pPr>
            <w:r>
              <w:rPr>
                <w:rFonts w:ascii="Arial" w:cs="Arial" w:eastAsia="Arial" w:hAnsi="Arial"/>
                <w:sz w:val="17"/>
                <w:szCs w:val="17"/>
                <w:color w:val="auto"/>
              </w:rPr>
              <w:t>Tax provision</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20"/>
              <w:spacing w:after="0"/>
              <w:rPr>
                <w:sz w:val="20"/>
                <w:szCs w:val="20"/>
                <w:color w:val="auto"/>
              </w:rPr>
            </w:pPr>
            <w:r>
              <w:rPr>
                <w:rFonts w:ascii="Arial" w:cs="Arial" w:eastAsia="Arial" w:hAnsi="Arial"/>
                <w:sz w:val="17"/>
                <w:szCs w:val="17"/>
                <w:color w:val="auto"/>
              </w:rPr>
              <w:t>Share-based compensation expense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Certain items</w:t>
            </w:r>
          </w:p>
        </w:tc>
        <w:tc>
          <w:tcPr>
            <w:tcW w:w="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080" w:type="dxa"/>
            <w:vAlign w:val="bottom"/>
          </w:tcPr>
          <w:p>
            <w:pPr>
              <w:ind w:left="20"/>
              <w:spacing w:after="0" w:line="160" w:lineRule="exact"/>
              <w:rPr>
                <w:sz w:val="20"/>
                <w:szCs w:val="20"/>
                <w:color w:val="auto"/>
              </w:rPr>
            </w:pPr>
            <w:r>
              <w:rPr>
                <w:rFonts w:ascii="Arial" w:cs="Arial" w:eastAsia="Arial" w:hAnsi="Arial"/>
                <w:sz w:val="17"/>
                <w:szCs w:val="17"/>
                <w:color w:val="auto"/>
              </w:rPr>
              <w:t>Net income attributable to common</w:t>
            </w:r>
          </w:p>
        </w:tc>
        <w:tc>
          <w:tcPr>
            <w:tcW w:w="1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42</w:t>
            </w:r>
          </w:p>
        </w:tc>
        <w:tc>
          <w:tcPr>
            <w:tcW w:w="60" w:type="dxa"/>
            <w:vAlign w:val="bottom"/>
          </w:tcPr>
          <w:p>
            <w:pPr>
              <w:spacing w:after="0"/>
              <w:rPr>
                <w:sz w:val="13"/>
                <w:szCs w:val="13"/>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vMerge w:val="restart"/>
          </w:tcPr>
          <w:p>
            <w:pPr>
              <w:jc w:val="right"/>
              <w:spacing w:after="0"/>
              <w:rPr>
                <w:sz w:val="20"/>
                <w:szCs w:val="20"/>
                <w:color w:val="auto"/>
              </w:rPr>
            </w:pPr>
            <w:r>
              <w:rPr>
                <w:rFonts w:ascii="Arial" w:cs="Arial" w:eastAsia="Arial" w:hAnsi="Arial"/>
                <w:sz w:val="17"/>
                <w:szCs w:val="17"/>
                <w:color w:val="auto"/>
              </w:rPr>
              <w:t>109</w:t>
            </w:r>
          </w:p>
        </w:tc>
        <w:tc>
          <w:tcPr>
            <w:tcW w:w="40" w:type="dxa"/>
            <w:vAlign w:val="bottom"/>
          </w:tcPr>
          <w:p>
            <w:pPr>
              <w:spacing w:after="0"/>
              <w:rPr>
                <w:sz w:val="13"/>
                <w:szCs w:val="13"/>
                <w:color w:val="auto"/>
              </w:rPr>
            </w:pPr>
          </w:p>
        </w:tc>
        <w:tc>
          <w:tcPr>
            <w:tcW w:w="820" w:type="dxa"/>
            <w:vAlign w:val="bottom"/>
            <w:gridSpan w:val="3"/>
            <w:vMerge w:val="restart"/>
          </w:tcPr>
          <w:p>
            <w:pPr>
              <w:jc w:val="right"/>
              <w:ind w:right="523"/>
              <w:spacing w:after="0"/>
              <w:rPr>
                <w:sz w:val="20"/>
                <w:szCs w:val="20"/>
                <w:color w:val="auto"/>
              </w:rPr>
            </w:pPr>
            <w:r>
              <w:rPr>
                <w:rFonts w:ascii="Arial" w:cs="Arial" w:eastAsia="Arial" w:hAnsi="Arial"/>
                <w:sz w:val="17"/>
                <w:szCs w:val="17"/>
                <w:color w:val="auto"/>
              </w:rPr>
              <w:t>$</w:t>
            </w:r>
          </w:p>
        </w:tc>
        <w:tc>
          <w:tcPr>
            <w:tcW w:w="480" w:type="dxa"/>
            <w:vAlign w:val="bottom"/>
            <w:gridSpan w:val="3"/>
            <w:vMerge w:val="restart"/>
          </w:tcPr>
          <w:p>
            <w:pPr>
              <w:jc w:val="right"/>
              <w:spacing w:after="0"/>
              <w:rPr>
                <w:sz w:val="20"/>
                <w:szCs w:val="20"/>
                <w:color w:val="auto"/>
              </w:rPr>
            </w:pPr>
            <w:r>
              <w:rPr>
                <w:rFonts w:ascii="Arial" w:cs="Arial" w:eastAsia="Arial" w:hAnsi="Arial"/>
                <w:sz w:val="17"/>
                <w:szCs w:val="17"/>
                <w:color w:val="auto"/>
              </w:rPr>
              <w:t>219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303</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080" w:type="dxa"/>
            <w:vAlign w:val="bottom"/>
          </w:tcPr>
          <w:p>
            <w:pPr>
              <w:ind w:left="20"/>
              <w:spacing w:after="0" w:line="192" w:lineRule="exact"/>
              <w:rPr>
                <w:sz w:val="20"/>
                <w:szCs w:val="20"/>
                <w:color w:val="auto"/>
              </w:rPr>
            </w:pPr>
            <w:r>
              <w:rPr>
                <w:rFonts w:ascii="Arial" w:cs="Arial" w:eastAsia="Arial" w:hAnsi="Arial"/>
                <w:sz w:val="17"/>
                <w:szCs w:val="17"/>
                <w:color w:val="auto"/>
              </w:rPr>
              <w:t>shareholders</w:t>
            </w:r>
          </w:p>
        </w:tc>
        <w:tc>
          <w:tcPr>
            <w:tcW w:w="1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Assets</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0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96"/>
              </w:rPr>
              <w:t>At September 30, 2023</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6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5"/>
                <w:szCs w:val="15"/>
                <w:b w:val="1"/>
                <w:bCs w:val="1"/>
                <w:color w:val="auto"/>
                <w:w w:val="99"/>
              </w:rPr>
              <w:t>At December 31, 2022</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6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8,057</w:t>
            </w:r>
          </w:p>
        </w:tc>
        <w:tc>
          <w:tcPr>
            <w:tcW w:w="480" w:type="dxa"/>
            <w:vAlign w:val="bottom"/>
            <w:gridSpan w:val="3"/>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8,037</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830</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segment assets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8,887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8,902</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 and other</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566</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63"/>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9,453</w:t>
            </w:r>
          </w:p>
        </w:tc>
        <w:tc>
          <w:tcPr>
            <w:tcW w:w="480" w:type="dxa"/>
            <w:vAlign w:val="bottom"/>
            <w:gridSpan w:val="3"/>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9,639</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w w:val="87"/>
              </w:rPr>
              <w:t>Revenues Excluding Cost Reimbursements</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0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20" w:type="dxa"/>
            <w:vAlign w:val="bottom"/>
            <w:gridSpan w:val="8"/>
          </w:tcPr>
          <w:p>
            <w:pPr>
              <w:ind w:left="400"/>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40" w:type="dxa"/>
            <w:vAlign w:val="bottom"/>
            <w:gridSpan w:val="10"/>
          </w:tcPr>
          <w:p>
            <w:pPr>
              <w:ind w:left="58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right"/>
              <w:ind w:right="200"/>
              <w:spacing w:after="0" w:line="150" w:lineRule="exact"/>
              <w:rPr>
                <w:sz w:val="20"/>
                <w:szCs w:val="20"/>
                <w:color w:val="auto"/>
              </w:rPr>
            </w:pPr>
            <w:r>
              <w:rPr>
                <w:rFonts w:ascii="Arial" w:cs="Arial" w:eastAsia="Arial" w:hAnsi="Arial"/>
                <w:sz w:val="15"/>
                <w:szCs w:val="15"/>
                <w:b w:val="1"/>
                <w:bCs w:val="1"/>
                <w:color w:val="auto"/>
                <w:w w:val="97"/>
              </w:rPr>
              <w:t>September 30,</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43"/>
              <w:spacing w:after="0" w:line="150" w:lineRule="exact"/>
              <w:rPr>
                <w:sz w:val="20"/>
                <w:szCs w:val="20"/>
                <w:color w:val="auto"/>
              </w:rPr>
            </w:pPr>
            <w:r>
              <w:rPr>
                <w:rFonts w:ascii="Arial" w:cs="Arial" w:eastAsia="Arial" w:hAnsi="Arial"/>
                <w:sz w:val="15"/>
                <w:szCs w:val="15"/>
                <w:b w:val="1"/>
                <w:bCs w:val="1"/>
                <w:color w:val="auto"/>
                <w:w w:val="89"/>
              </w:rPr>
              <w:t>September 30,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7"/>
          </w:tcPr>
          <w:p>
            <w:pPr>
              <w:jc w:val="center"/>
              <w:ind w:right="18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36"/>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ind w:right="363"/>
              <w:spacing w:after="0"/>
              <w:rPr>
                <w:sz w:val="20"/>
                <w:szCs w:val="20"/>
                <w:color w:val="auto"/>
              </w:rPr>
            </w:pPr>
            <w:r>
              <w:rPr>
                <w:rFonts w:ascii="Arial" w:cs="Arial" w:eastAsia="Arial" w:hAnsi="Arial"/>
                <w:sz w:val="15"/>
                <w:szCs w:val="15"/>
                <w:b w:val="1"/>
                <w:bCs w:val="1"/>
                <w:color w:val="auto"/>
              </w:rPr>
              <w:t>2022</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3"/>
          </w:tcPr>
          <w:p>
            <w:pPr>
              <w:jc w:val="center"/>
              <w:ind w:left="363"/>
              <w:spacing w:after="0"/>
              <w:rPr>
                <w:sz w:val="20"/>
                <w:szCs w:val="20"/>
                <w:color w:val="auto"/>
              </w:rPr>
            </w:pPr>
            <w:r>
              <w:rPr>
                <w:rFonts w:ascii="Arial" w:cs="Arial" w:eastAsia="Arial" w:hAnsi="Arial"/>
                <w:sz w:val="15"/>
                <w:szCs w:val="15"/>
                <w:b w:val="1"/>
                <w:bCs w:val="1"/>
                <w:color w:val="auto"/>
                <w:w w:val="89"/>
              </w:rPr>
              <w:t>2023</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89"/>
              </w:rPr>
              <w:t>2022</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6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771</w:t>
            </w:r>
          </w:p>
        </w:tc>
        <w:tc>
          <w:tcPr>
            <w:tcW w:w="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563"/>
              <w:spacing w:after="0"/>
              <w:rPr>
                <w:sz w:val="20"/>
                <w:szCs w:val="20"/>
                <w:color w:val="auto"/>
              </w:rPr>
            </w:pPr>
            <w:r>
              <w:rPr>
                <w:rFonts w:ascii="Arial" w:cs="Arial" w:eastAsia="Arial" w:hAnsi="Arial"/>
                <w:sz w:val="17"/>
                <w:szCs w:val="17"/>
                <w:color w:val="auto"/>
              </w:rPr>
              <w:t>$</w:t>
            </w:r>
          </w:p>
        </w:tc>
        <w:tc>
          <w:tcPr>
            <w:tcW w:w="480" w:type="dxa"/>
            <w:vAlign w:val="bottom"/>
            <w:gridSpan w:val="3"/>
            <w:shd w:val="clear" w:color="auto" w:fill="CCEEFF"/>
          </w:tcPr>
          <w:p>
            <w:pPr>
              <w:jc w:val="right"/>
              <w:ind w:right="3"/>
              <w:spacing w:after="0"/>
              <w:rPr>
                <w:sz w:val="20"/>
                <w:szCs w:val="20"/>
                <w:color w:val="auto"/>
              </w:rPr>
            </w:pPr>
            <w:r>
              <w:rPr>
                <w:rFonts w:ascii="Arial" w:cs="Arial" w:eastAsia="Arial" w:hAnsi="Arial"/>
                <w:sz w:val="17"/>
                <w:szCs w:val="17"/>
                <w:color w:val="auto"/>
                <w:w w:val="89"/>
              </w:rPr>
              <w:t>2,038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2,173</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 other countries</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7"/>
                <w:szCs w:val="17"/>
                <w:color w:val="auto"/>
              </w:rPr>
              <w:t>110</w:t>
            </w: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7"/>
                <w:szCs w:val="17"/>
                <w:color w:val="auto"/>
              </w:rPr>
              <w:t>332</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0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3"/>
              <w:spacing w:after="0"/>
              <w:rPr>
                <w:sz w:val="20"/>
                <w:szCs w:val="20"/>
                <w:color w:val="auto"/>
              </w:rPr>
            </w:pPr>
            <w:r>
              <w:rPr>
                <w:rFonts w:ascii="Arial" w:cs="Arial" w:eastAsia="Arial" w:hAnsi="Arial"/>
                <w:sz w:val="17"/>
                <w:szCs w:val="17"/>
                <w:color w:val="auto"/>
              </w:rPr>
              <w:t>881</w:t>
            </w:r>
          </w:p>
        </w:tc>
        <w:tc>
          <w:tcPr>
            <w:tcW w:w="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563"/>
              <w:spacing w:after="0"/>
              <w:rPr>
                <w:sz w:val="20"/>
                <w:szCs w:val="20"/>
                <w:color w:val="auto"/>
              </w:rPr>
            </w:pPr>
            <w:r>
              <w:rPr>
                <w:rFonts w:ascii="Arial" w:cs="Arial" w:eastAsia="Arial" w:hAnsi="Arial"/>
                <w:sz w:val="17"/>
                <w:szCs w:val="17"/>
                <w:color w:val="auto"/>
              </w:rPr>
              <w:t>$</w:t>
            </w:r>
          </w:p>
        </w:tc>
        <w:tc>
          <w:tcPr>
            <w:tcW w:w="480" w:type="dxa"/>
            <w:vAlign w:val="bottom"/>
            <w:gridSpan w:val="3"/>
            <w:shd w:val="clear" w:color="auto" w:fill="CCEEFF"/>
          </w:tcPr>
          <w:p>
            <w:pPr>
              <w:jc w:val="right"/>
              <w:ind w:right="3"/>
              <w:spacing w:after="0"/>
              <w:rPr>
                <w:sz w:val="20"/>
                <w:szCs w:val="20"/>
                <w:color w:val="auto"/>
              </w:rPr>
            </w:pPr>
            <w:r>
              <w:rPr>
                <w:rFonts w:ascii="Arial" w:cs="Arial" w:eastAsia="Arial" w:hAnsi="Arial"/>
                <w:sz w:val="17"/>
                <w:szCs w:val="17"/>
                <w:color w:val="auto"/>
                <w:w w:val="89"/>
              </w:rPr>
              <w:t>2,370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2,457</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3"/>
          </w:tcPr>
          <w:p>
            <w:pPr>
              <w:jc w:val="right"/>
              <w:ind w:right="403"/>
              <w:spacing w:after="0"/>
              <w:rPr>
                <w:sz w:val="20"/>
                <w:szCs w:val="20"/>
                <w:color w:val="auto"/>
              </w:rPr>
            </w:pPr>
            <w:r>
              <w:rPr>
                <w:rFonts w:ascii="Arial" w:cs="Arial" w:eastAsia="Arial" w:hAnsi="Arial"/>
                <w:sz w:val="17"/>
                <w:szCs w:val="17"/>
                <w:color w:val="auto"/>
              </w:rPr>
              <w:t>35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0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19"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make forward-looking statements in this Management’s Discussion and Analysis of Financial Condition and Results of Operations, and elsewhere in this Quarterly Report on Form 10-Q, based on our management’s beliefs and assumptions and on information currently available to our management. Forward-looking statements include the information concerning: our possible or assumed future results of operations; financial condition and leverage, including the expected impact of the Maui wildfires; dividend payments; our expectations regarding development profit margins, defaults and expected losses, notes receivable balances, commitments to owners’ associations, payments for property acquisitions and development plans, lease payments, that interest income and notes receivable will increase in 2023, interest rates, indemnification receivables, financing profit margin, general and administrative expenses, inventory costs and inventory spending, taxes, and any effects of the COVID-19 pandemic; and business strategies, such as our expectations that we will continue to offer financing incentives.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7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the effects of a future health crisis, including its short and longer-term impacts on consumer confidence and demand for travel, and the pace of recovery following a health crisis; variations in demand for vacation ownership and exchange products and services; worker absenteeism; price and wage inflation; global supply chain disruptions; volatility in the international and national economy and credit markets; the impact of the current or a future banking crisis; wars involving Russia, Ukraine, Israel and Gaza and related sanctions and other measures; our ability to attract and retain our global workforce; competitive conditions; the availability of capital to finance growth; the impact of rising interest rates; political or social strife; difficulties associated with implementing new or maintaining existing technology; changes in privacy laws; the effects of steps that we or our affiliates have taken and may continue to take to reduce operating costs; impacts from natural or man-made disasters and wildfires, including the Maui wildfires; and other matters referred to under the heading “Risk Factors” contained herein and also in our most recent Annual Report on Form 10-K, and which may be updated in our future periodic filings with the U.S. Securities and Exchange Commission (the “SEC”).</w:t>
      </w:r>
    </w:p>
    <w:p>
      <w:pPr>
        <w:spacing w:after="0" w:line="68"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All forward-looking statements in this Quarterly Report on Form 10-Q apply only as of the date of this Quarterly Report on Form 10-Q or as of the date they were made or as otherwise specified herein. We do not undertake any obligation to publicly update or revise any forward-looking statement, whether as a result of new information, future events, or otherwise, except as required by law.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Our Financial Statements (as defined below), which we discuss below, reflect our historical financial condition, results of operations and cash flows. However, the financial information discussed below and included in this Quarterly Report on Form 10-Q may not necessarily reflect what our financial condition, results of operations or cash flows may be in the future.</w:t>
      </w:r>
    </w:p>
    <w:p>
      <w:pPr>
        <w:spacing w:after="0" w:line="7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Interim Condensed Notes to Consolidated Financial Statements that we include in the Financial Statements of this Quarterly Report on Form 10-Q.</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19" w:lineRule="exact"/>
        <w:rPr>
          <w:sz w:val="20"/>
          <w:szCs w:val="20"/>
          <w:color w:val="auto"/>
        </w:rPr>
      </w:pPr>
    </w:p>
    <w:p>
      <w:pPr>
        <w:ind w:right="340"/>
        <w:spacing w:after="0" w:line="310" w:lineRule="auto"/>
        <w:rPr>
          <w:sz w:val="20"/>
          <w:szCs w:val="20"/>
          <w:color w:val="auto"/>
        </w:rPr>
      </w:pPr>
      <w:r>
        <w:rPr>
          <w:rFonts w:ascii="Arial" w:cs="Arial" w:eastAsia="Arial" w:hAnsi="Arial"/>
          <w:sz w:val="16"/>
          <w:szCs w:val="16"/>
          <w:color w:val="auto"/>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spacing w:after="0" w:line="38"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as well as under Marriott Vacation Club Pulse, an extension to the Marriott Vacation Club brand. We are also the exclusive worldwide developer, marketer and seller of vacation ownership and related products under The Ritz-Carlton Club brand, we have the non-exclusive right to develop, market and sell whole ownership residential products under The Ritz-Carlton Residences brand and we have a license to use the St. Regis brand for specified fractional ownership resorts.</w:t>
      </w:r>
    </w:p>
    <w:p>
      <w:pPr>
        <w:spacing w:after="0" w:line="65" w:lineRule="exact"/>
        <w:rPr>
          <w:sz w:val="20"/>
          <w:szCs w:val="20"/>
          <w:color w:val="auto"/>
        </w:rPr>
      </w:pPr>
    </w:p>
    <w:p>
      <w:pPr>
        <w:ind w:right="280"/>
        <w:spacing w:after="0" w:line="346" w:lineRule="auto"/>
        <w:rPr>
          <w:sz w:val="20"/>
          <w:szCs w:val="20"/>
          <w:color w:val="auto"/>
        </w:rPr>
      </w:pPr>
      <w:r>
        <w:rPr>
          <w:rFonts w:ascii="Arial" w:cs="Arial" w:eastAsia="Arial" w:hAnsi="Arial"/>
          <w:sz w:val="15"/>
          <w:szCs w:val="15"/>
          <w:color w:val="auto"/>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spacing w:after="0" w:line="16"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Since May 2022, we provide these services through our Interval International and Aqua-Aston businesses. In April 2022, we disposed of VRI Americas after determining that the business was not a core component of our future growth strategy and operating model. This business was a component of our Exchange &amp; Third-Party Management segment through the date of the sale.</w:t>
      </w:r>
    </w:p>
    <w:p>
      <w:pPr>
        <w:spacing w:after="0" w:line="48" w:lineRule="exact"/>
        <w:rPr>
          <w:sz w:val="20"/>
          <w:szCs w:val="20"/>
          <w:color w:val="auto"/>
        </w:rPr>
      </w:pPr>
    </w:p>
    <w:p>
      <w:pPr>
        <w:ind w:right="760"/>
        <w:spacing w:after="0" w:line="277" w:lineRule="auto"/>
        <w:rPr>
          <w:sz w:val="20"/>
          <w:szCs w:val="20"/>
          <w:color w:val="auto"/>
        </w:rPr>
      </w:pPr>
      <w:r>
        <w:rPr>
          <w:rFonts w:ascii="Arial" w:cs="Arial" w:eastAsia="Arial" w:hAnsi="Arial"/>
          <w:sz w:val="17"/>
          <w:szCs w:val="17"/>
          <w:color w:val="auto"/>
        </w:rPr>
        <w:t>Corporate and other represents that portion of our results that are not allocable to our segments, including those relating to consolidated property owners’ associations (“Consolidated Property Owners’ Associations”).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Integration of Marriott-, Sheraton- and Westin-Branded Vacation Ownership Products</w:t>
      </w:r>
    </w:p>
    <w:p>
      <w:pPr>
        <w:spacing w:after="0" w:line="113"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In 2016, Marriott International purchased Starwood Hotels and Resorts Worldwide, Inc., which at the time exclusively licensed the Sheraton and Westin vacation ownership brands to Legacy-ILG. Part of the rationale for our acquisition of ILG in 2018 was to achieve operating efficiencies and business growth by leveraging the brands then licensed by Marriott International and its subsidiaries to us and to ILG. In August 2022, we launched Abound by Marriott Vacations, a new owner benefit and exchange program which affiliates the Marriott, Sheraton and Westin vacation ownership brands to offer similar benefits to owners of our products under these brands. Under this program, owners of Marriott-, Sheraton- and Westin-branded VOIs can access over 90 resorts under the Marriott Vacation Club, Sheraton Vacation Club and Westin Vacation Club brands using a common currency. The program also harmonizes fee structures and owner benefit levels and has allowed us to transition most of our Legacy-ILG sales galleries to sell our Marriott Vacation Club Destinations product. Further, in late 2022, we added certain Sheraton- and Westin-branded VOIs to the Marriott Vacation Club Destinations product.</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recognize revenues from the sale of vacation ownership products (also referred to as VOIs) when control of the vacation ownership product is transferred to the customer and the transaction price is deemed collectible. Based upon the different terms of our contracts with the customer and business practices, control of the vacation ownership product has historically transferred to the customer at different points in time for each brand of VOIs. In the third quarter of 2022, we aligned our business practices and contract terms for the sale of vacation ownership products (the “Contract Alignment”), resulting in the prospective change in the timing of the transfer of control to the customer for Marriott-branded VOIs. Prior to these changes, control transfer occurred at closing for Marriott-branded vacation ownership products. Subsequent to the Contract Alignment, transfer of control of Marriott-branded vacation ownership products occurs at expiration of the statutory rescission period, consistent with the historical timing of Sheraton-, Westin- and Hyatt- branded transactions. Marriott-branded VOI sales contracts executed prior to these modifications have been accounted for with transfer of control of the VOI occurring at closing. Control transfer for Legacy-Welk VOIs continues to occur at closing.</w:t>
      </w:r>
    </w:p>
    <w:p>
      <w:pPr>
        <w:spacing w:after="0" w:line="82"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As a result of the unification of our Marriott-, Sheraton- and Westin-branded vacation ownership products under the Abound by Marriott Vacations program in the third quarter of 2022, we combined the reserves, and aligned our reserve methodology, for vacation ownership notes receivable for our Marriott, Sheraton and Westin brands (the “Reserve Alignment”).</w:t>
      </w:r>
    </w:p>
    <w:p>
      <w:pPr>
        <w:spacing w:after="0" w:line="24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Measures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We measure operating performance using the key metrics described below:</w:t>
      </w:r>
    </w:p>
    <w:p>
      <w:pPr>
        <w:spacing w:after="0" w:line="113" w:lineRule="exact"/>
        <w:rPr>
          <w:sz w:val="20"/>
          <w:szCs w:val="20"/>
          <w:color w:val="auto"/>
        </w:rPr>
      </w:pPr>
    </w:p>
    <w:p>
      <w:pPr>
        <w:ind w:left="320" w:right="40" w:hanging="317"/>
        <w:spacing w:after="0" w:line="262" w:lineRule="auto"/>
        <w:tabs>
          <w:tab w:leader="none" w:pos="307"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i w:val="1"/>
          <w:iCs w:val="1"/>
          <w:color w:val="auto"/>
        </w:rPr>
        <w:t xml:space="preserve">Contract sales from the sale of vacation ownership products, </w:t>
      </w:r>
      <w:r>
        <w:rPr>
          <w:rFonts w:ascii="Arial" w:cs="Arial" w:eastAsia="Arial" w:hAnsi="Arial"/>
          <w:sz w:val="16"/>
          <w:szCs w:val="16"/>
          <w:color w:val="auto"/>
        </w:rPr>
        <w:t>which consists of the total amount of vacation ownership product sales under contracts signed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period where we have generally received a down payment of at least ten percent of the contract price, reduced by actual rescissions during the period, inclusive of contracts associated with sales of vacation ownership products on behalf of third parties, which we refer to as “resales contract sales.” In circumstances where customers apply any or all of their existing ownership interests as part of the purchase price for additional interests, we include only the incremental value purchased as contract sales. Contract sales differ from revenues from the sale of vacation ownership products that we report on our income statements due to the requirements for revenue recognition described above and adjustments for sales incentives that will not be recognized as Sale of vacation ownership products revenue and other adjustments to Sale of vacation ownership products revenue. We consider contract sales to be an important operating measure because it reflects the pace of sales in our business.</w:t>
      </w:r>
    </w:p>
    <w:p>
      <w:pPr>
        <w:spacing w:after="0" w:line="75" w:lineRule="exact"/>
        <w:rPr>
          <w:rFonts w:ascii="Arial" w:cs="Arial" w:eastAsia="Arial" w:hAnsi="Arial"/>
          <w:sz w:val="21"/>
          <w:szCs w:val="21"/>
          <w:color w:val="auto"/>
          <w:vertAlign w:val="superscript"/>
        </w:rPr>
      </w:pPr>
    </w:p>
    <w:p>
      <w:pPr>
        <w:ind w:left="620" w:hanging="309"/>
        <w:spacing w:after="0"/>
        <w:tabs>
          <w:tab w:leader="none" w:pos="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Total contract sales include contract sales from the sale of vacation ownership products including non-consolidated joint ventures.</w:t>
      </w:r>
    </w:p>
    <w:p>
      <w:pPr>
        <w:spacing w:after="0" w:line="112" w:lineRule="exact"/>
        <w:rPr>
          <w:rFonts w:ascii="Arial" w:cs="Arial" w:eastAsia="Arial" w:hAnsi="Arial"/>
          <w:sz w:val="17"/>
          <w:szCs w:val="17"/>
          <w:color w:val="auto"/>
        </w:rPr>
      </w:pPr>
    </w:p>
    <w:p>
      <w:pPr>
        <w:ind w:left="620" w:hanging="309"/>
        <w:spacing w:after="0"/>
        <w:tabs>
          <w:tab w:leader="none" w:pos="6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Consolidated contract sales exclude contracts sales from the sale of vacation ownership products for non-consolidated joint ventures.</w:t>
      </w:r>
    </w:p>
    <w:p>
      <w:pPr>
        <w:spacing w:after="0" w:line="112" w:lineRule="exact"/>
        <w:rPr>
          <w:rFonts w:ascii="Arial" w:cs="Arial" w:eastAsia="Arial" w:hAnsi="Arial"/>
          <w:sz w:val="17"/>
          <w:szCs w:val="17"/>
          <w:color w:val="auto"/>
        </w:rPr>
      </w:pPr>
    </w:p>
    <w:p>
      <w:pPr>
        <w:ind w:left="320" w:right="100" w:hanging="317"/>
        <w:spacing w:after="0" w:line="260" w:lineRule="auto"/>
        <w:tabs>
          <w:tab w:leader="none" w:pos="316"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Volume per guest </w:t>
      </w:r>
      <w:r>
        <w:rPr>
          <w:rFonts w:ascii="Arial" w:cs="Arial" w:eastAsia="Arial" w:hAnsi="Arial"/>
          <w:sz w:val="17"/>
          <w:szCs w:val="17"/>
          <w:color w:val="auto"/>
        </w:rPr>
        <w:t>(“VPG”) is calculated by dividing consolidated vacation ownership contract sales, excluding fractional sales, telesales, resales,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77" w:lineRule="exact"/>
        <w:rPr>
          <w:rFonts w:ascii="Arial" w:cs="Arial" w:eastAsia="Arial" w:hAnsi="Arial"/>
          <w:sz w:val="17"/>
          <w:szCs w:val="17"/>
          <w:i w:val="1"/>
          <w:iCs w:val="1"/>
          <w:color w:val="auto"/>
        </w:rPr>
      </w:pPr>
    </w:p>
    <w:p>
      <w:pPr>
        <w:ind w:left="320" w:right="80" w:hanging="317"/>
        <w:spacing w:after="0" w:line="289" w:lineRule="auto"/>
        <w:tabs>
          <w:tab w:leader="none" w:pos="31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Development profit margin </w:t>
      </w:r>
      <w:r>
        <w:rPr>
          <w:rFonts w:ascii="Arial" w:cs="Arial" w:eastAsia="Arial" w:hAnsi="Arial"/>
          <w:sz w:val="16"/>
          <w:szCs w:val="16"/>
          <w:color w:val="auto"/>
        </w:rPr>
        <w:t>is calculated by dividing Development profit by revenues from the sale of vacation ownership products. We refer to revenues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of vacation ownership products less the cost of vacation ownership products and marketing and sales costs as Development profit. We believe that Development profit margin is an important measure of the profitability of our development and subsequent marketing and sales of VOIs.</w:t>
      </w:r>
    </w:p>
    <w:p>
      <w:pPr>
        <w:spacing w:after="0" w:line="54" w:lineRule="exact"/>
        <w:rPr>
          <w:rFonts w:ascii="Arial" w:cs="Arial" w:eastAsia="Arial" w:hAnsi="Arial"/>
          <w:sz w:val="16"/>
          <w:szCs w:val="16"/>
          <w:color w:val="auto"/>
        </w:rPr>
      </w:pPr>
    </w:p>
    <w:p>
      <w:pPr>
        <w:ind w:left="320" w:right="80" w:hanging="317"/>
        <w:spacing w:after="0" w:line="310" w:lineRule="auto"/>
        <w:tabs>
          <w:tab w:leader="none" w:pos="31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Total active members </w:t>
      </w:r>
      <w:r>
        <w:rPr>
          <w:rFonts w:ascii="Arial" w:cs="Arial" w:eastAsia="Arial" w:hAnsi="Arial"/>
          <w:sz w:val="16"/>
          <w:szCs w:val="16"/>
          <w:color w:val="auto"/>
        </w:rPr>
        <w:t>is the number of Interval International network active members at the end of the applicable period. We consider active members to be an</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important metric because it represents the population of owners eligible to book transactions using the Interval International network.</w:t>
      </w:r>
    </w:p>
    <w:p>
      <w:pPr>
        <w:spacing w:after="0" w:line="38" w:lineRule="exact"/>
        <w:rPr>
          <w:rFonts w:ascii="Arial" w:cs="Arial" w:eastAsia="Arial" w:hAnsi="Arial"/>
          <w:sz w:val="16"/>
          <w:szCs w:val="16"/>
          <w:color w:val="auto"/>
        </w:rPr>
      </w:pPr>
    </w:p>
    <w:p>
      <w:pPr>
        <w:jc w:val="both"/>
        <w:ind w:left="320" w:hanging="317"/>
        <w:spacing w:after="0" w:line="289" w:lineRule="auto"/>
        <w:tabs>
          <w:tab w:leader="none" w:pos="31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Average revenue per member </w:t>
      </w:r>
      <w:r>
        <w:rPr>
          <w:rFonts w:ascii="Arial" w:cs="Arial" w:eastAsia="Arial" w:hAnsi="Arial"/>
          <w:sz w:val="16"/>
          <w:szCs w:val="16"/>
          <w:color w:val="auto"/>
        </w:rPr>
        <w:t>is calculated by dividing membership fee revenue, transaction revenue, rental revenue, and other member revenue for the Interval</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network by the monthly weighted average number of Interval International network active members during the applicable period. We believe this metric is valuable in measuring the overall engagement of our Interval International network active members.</w:t>
      </w:r>
    </w:p>
    <w:p>
      <w:pPr>
        <w:spacing w:after="0" w:line="54" w:lineRule="exact"/>
        <w:rPr>
          <w:rFonts w:ascii="Arial" w:cs="Arial" w:eastAsia="Arial" w:hAnsi="Arial"/>
          <w:sz w:val="16"/>
          <w:szCs w:val="16"/>
          <w:color w:val="auto"/>
        </w:rPr>
      </w:pPr>
    </w:p>
    <w:p>
      <w:pPr>
        <w:ind w:left="320" w:right="120" w:hanging="317"/>
        <w:spacing w:after="0" w:line="316" w:lineRule="auto"/>
        <w:tabs>
          <w:tab w:leader="none" w:pos="316" w:val="left"/>
        </w:tabs>
        <w:numPr>
          <w:ilvl w:val="0"/>
          <w:numId w:val="30"/>
        </w:numPr>
        <w:rPr>
          <w:rFonts w:ascii="Arial" w:cs="Arial" w:eastAsia="Arial" w:hAnsi="Arial"/>
          <w:sz w:val="15"/>
          <w:szCs w:val="15"/>
          <w:color w:val="auto"/>
        </w:rPr>
      </w:pPr>
      <w:r>
        <w:rPr>
          <w:rFonts w:ascii="Arial" w:cs="Arial" w:eastAsia="Arial" w:hAnsi="Arial"/>
          <w:sz w:val="15"/>
          <w:szCs w:val="15"/>
          <w:i w:val="1"/>
          <w:iCs w:val="1"/>
          <w:color w:val="auto"/>
        </w:rPr>
        <w:t xml:space="preserve">Segment financial results attributable to common shareholders </w:t>
      </w:r>
      <w:r>
        <w:rPr>
          <w:rFonts w:ascii="Arial" w:cs="Arial" w:eastAsia="Arial" w:hAnsi="Arial"/>
          <w:sz w:val="15"/>
          <w:szCs w:val="15"/>
          <w:color w:val="auto"/>
        </w:rPr>
        <w:t>represents revenues less expenses directly attributable to each applicable reportable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segment (Vacation Ownership and Exchange &amp; Third-Party Management). We consider this measure to be important in evaluating the performance of our reportable business segments. See Footnote 16 “Business Segments” to our Financial Statements for further information on our reportable business segments.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27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ind w:left="46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5340" w:type="dxa"/>
            <w:vAlign w:val="bottom"/>
            <w:gridSpan w:val="5"/>
          </w:tcPr>
          <w:p>
            <w:pPr>
              <w:ind w:left="48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50"/>
        </w:trPr>
        <w:tc>
          <w:tcPr>
            <w:tcW w:w="3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5"/>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55"/>
              <w:spacing w:after="0" w:line="150" w:lineRule="exact"/>
              <w:rPr>
                <w:sz w:val="20"/>
                <w:szCs w:val="20"/>
                <w:color w:val="auto"/>
              </w:rPr>
            </w:pPr>
            <w:r>
              <w:rPr>
                <w:rFonts w:ascii="Arial" w:cs="Arial" w:eastAsia="Arial" w:hAnsi="Arial"/>
                <w:sz w:val="15"/>
                <w:szCs w:val="15"/>
                <w:b w:val="1"/>
                <w:bCs w:val="1"/>
                <w:color w:val="auto"/>
                <w:w w:val="89"/>
              </w:rPr>
              <w:t>September 30,</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2022</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Sale of vacation ownership products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319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444</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1,085</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1,179</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Management and exchange</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Rental</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438</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1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REVENUES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3,533</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3,468</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vacation ownership products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Marketing and sales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603</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Management and exchange</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Rental</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Litigation charges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Royalty fee</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Impairment</w:t>
            </w: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EXPENSES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2,880</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100" w:type="dxa"/>
            <w:vAlign w:val="bottom"/>
            <w:shd w:val="clear" w:color="auto" w:fill="CCEEFF"/>
          </w:tcPr>
          <w:p>
            <w:pPr>
              <w:ind w:left="220"/>
              <w:spacing w:after="0" w:line="161" w:lineRule="exact"/>
              <w:rPr>
                <w:sz w:val="20"/>
                <w:szCs w:val="20"/>
                <w:color w:val="auto"/>
              </w:rPr>
            </w:pPr>
            <w:r>
              <w:rPr>
                <w:rFonts w:ascii="Arial" w:cs="Arial" w:eastAsia="Arial" w:hAnsi="Arial"/>
                <w:sz w:val="17"/>
                <w:szCs w:val="17"/>
                <w:color w:val="auto"/>
              </w:rPr>
              <w:t>Gains (losses) and other income</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(expense), net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Transaction and integration costs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4000" w:type="dxa"/>
            <w:vAlign w:val="bottom"/>
            <w:gridSpan w:val="2"/>
          </w:tcPr>
          <w:p>
            <w:pPr>
              <w:jc w:val="right"/>
              <w:ind w:right="30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rPr>
              <w:t>INCOME BEFORE INCOME TAXES</w:t>
            </w: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1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b w:val="1"/>
                <w:bCs w:val="1"/>
                <w:color w:val="auto"/>
              </w:rPr>
              <w:t>AND NONCONTROLLING</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INTERESTS</w:t>
            </w: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line="180" w:lineRule="exact"/>
              <w:rPr>
                <w:sz w:val="20"/>
                <w:szCs w:val="20"/>
                <w:color w:val="auto"/>
              </w:rPr>
            </w:pPr>
            <w:r>
              <w:rPr>
                <w:rFonts w:ascii="Arial" w:cs="Arial" w:eastAsia="Arial" w:hAnsi="Arial"/>
                <w:sz w:val="17"/>
                <w:szCs w:val="17"/>
                <w:color w:val="auto"/>
              </w:rPr>
              <w:t>Net income attributable to noncontrolling</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100" w:type="dxa"/>
            <w:vAlign w:val="bottom"/>
          </w:tcPr>
          <w:p>
            <w:pPr>
              <w:ind w:left="20"/>
              <w:spacing w:after="0"/>
              <w:rPr>
                <w:sz w:val="20"/>
                <w:szCs w:val="20"/>
                <w:color w:val="auto"/>
              </w:rPr>
            </w:pPr>
            <w:r>
              <w:rPr>
                <w:rFonts w:ascii="Arial" w:cs="Arial" w:eastAsia="Arial" w:hAnsi="Arial"/>
                <w:sz w:val="17"/>
                <w:szCs w:val="17"/>
                <w:color w:val="auto"/>
              </w:rPr>
              <w:t>interests</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000" w:type="dxa"/>
            <w:vAlign w:val="bottom"/>
            <w:gridSpan w:val="2"/>
          </w:tcPr>
          <w:p>
            <w:pPr>
              <w:jc w:val="right"/>
              <w:ind w:right="30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rPr>
              <w:t>NET INCOME ATTRIBUTABLE TO</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SHAREHOLDERS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875"/>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Statistics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7"/>
          </w:tcPr>
          <w:p>
            <w:pPr>
              <w:jc w:val="center"/>
              <w:ind w:right="260"/>
              <w:spacing w:after="0"/>
              <w:rPr>
                <w:sz w:val="20"/>
                <w:szCs w:val="20"/>
                <w:color w:val="auto"/>
              </w:rPr>
            </w:pPr>
            <w:r>
              <w:rPr>
                <w:rFonts w:ascii="Arial" w:cs="Arial" w:eastAsia="Arial" w:hAnsi="Arial"/>
                <w:sz w:val="15"/>
                <w:szCs w:val="15"/>
                <w:b w:val="1"/>
                <w:bCs w:val="1"/>
                <w:color w:val="auto"/>
                <w:w w:val="94"/>
              </w:rPr>
              <w:t>Three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ind w:right="2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3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Change</w:t>
            </w:r>
          </w:p>
        </w:tc>
        <w:tc>
          <w:tcPr>
            <w:tcW w:w="3800" w:type="dxa"/>
            <w:vAlign w:val="bottom"/>
            <w:gridSpan w:val="2"/>
            <w:vMerge w:val="restart"/>
          </w:tcPr>
          <w:p>
            <w:pPr>
              <w:jc w:val="center"/>
              <w:ind w:right="2940"/>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57"/>
              <w:spacing w:after="0"/>
              <w:rPr>
                <w:sz w:val="20"/>
                <w:szCs w:val="20"/>
                <w:color w:val="auto"/>
              </w:rPr>
            </w:pPr>
            <w:r>
              <w:rPr>
                <w:rFonts w:ascii="Arial" w:cs="Arial" w:eastAsia="Arial" w:hAnsi="Arial"/>
                <w:sz w:val="15"/>
                <w:szCs w:val="15"/>
                <w:b w:val="1"/>
                <w:bCs w:val="1"/>
                <w:color w:val="auto"/>
                <w:w w:val="95"/>
              </w:rPr>
              <w:t>2023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7"/>
              <w:spacing w:after="0"/>
              <w:rPr>
                <w:sz w:val="20"/>
                <w:szCs w:val="20"/>
                <w:color w:val="auto"/>
              </w:rPr>
            </w:pPr>
            <w:r>
              <w:rPr>
                <w:rFonts w:ascii="Arial" w:cs="Arial" w:eastAsia="Arial" w:hAnsi="Arial"/>
                <w:sz w:val="15"/>
                <w:szCs w:val="15"/>
                <w:b w:val="1"/>
                <w:bCs w:val="1"/>
                <w:color w:val="auto"/>
                <w:w w:val="89"/>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Vacation Ownership</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20"/>
              <w:spacing w:after="0"/>
              <w:rPr>
                <w:sz w:val="20"/>
                <w:szCs w:val="20"/>
                <w:color w:val="auto"/>
              </w:rPr>
            </w:pPr>
            <w:r>
              <w:rPr>
                <w:rFonts w:ascii="Arial" w:cs="Arial" w:eastAsia="Arial" w:hAnsi="Arial"/>
                <w:sz w:val="17"/>
                <w:szCs w:val="17"/>
                <w:color w:val="auto"/>
              </w:rPr>
              <w:t>Total contract sales</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6"/>
              </w:rPr>
              <w:t>(10%)</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Consolidated contract sales</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(9%)</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20"/>
              <w:spacing w:after="0"/>
              <w:rPr>
                <w:sz w:val="20"/>
                <w:szCs w:val="20"/>
                <w:color w:val="auto"/>
              </w:rPr>
            </w:pPr>
            <w:r>
              <w:rPr>
                <w:rFonts w:ascii="Arial" w:cs="Arial" w:eastAsia="Arial" w:hAnsi="Arial"/>
                <w:sz w:val="17"/>
                <w:szCs w:val="17"/>
                <w:color w:val="auto"/>
              </w:rPr>
              <w:t>Joint venture contract sales</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6"/>
              </w:rPr>
              <w:t>(51%)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VPG</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7"/>
                <w:szCs w:val="17"/>
                <w:b w:val="1"/>
                <w:bCs w:val="1"/>
                <w:color w:val="auto"/>
              </w:rPr>
              <w:t>Exchange &amp; Third-Party Management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6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9"/>
              </w:rPr>
              <w:t>Total active members at end of period (000's)</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20"/>
              <w:spacing w:after="0"/>
              <w:rPr>
                <w:sz w:val="20"/>
                <w:szCs w:val="20"/>
                <w:color w:val="auto"/>
              </w:rPr>
            </w:pPr>
            <w:r>
              <w:rPr>
                <w:rFonts w:ascii="Arial" w:cs="Arial" w:eastAsia="Arial" w:hAnsi="Arial"/>
                <w:sz w:val="17"/>
                <w:szCs w:val="17"/>
                <w:color w:val="auto"/>
              </w:rPr>
              <w:t>Average revenue per member</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39.15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38.91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0.24</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7"/>
              </w:rPr>
              <w:t>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3640" w:type="dxa"/>
            <w:vAlign w:val="bottom"/>
          </w:tcPr>
          <w:p>
            <w:pPr>
              <w:spacing w:after="0"/>
              <w:rPr>
                <w:sz w:val="20"/>
                <w:szCs w:val="20"/>
                <w:color w:val="auto"/>
              </w:rPr>
            </w:pPr>
            <w:r>
              <w:rPr>
                <w:rFonts w:ascii="Arial" w:cs="Arial" w:eastAsia="Arial" w:hAnsi="Arial"/>
                <w:sz w:val="17"/>
                <w:szCs w:val="17"/>
                <w:i w:val="1"/>
                <w:iCs w:val="1"/>
                <w:color w:val="auto"/>
              </w:rPr>
              <w:t>2023 First Three Quarters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7"/>
          </w:tcPr>
          <w:p>
            <w:pPr>
              <w:jc w:val="center"/>
              <w:ind w:right="260"/>
              <w:spacing w:after="0"/>
              <w:rPr>
                <w:sz w:val="20"/>
                <w:szCs w:val="20"/>
                <w:color w:val="auto"/>
              </w:rPr>
            </w:pPr>
            <w:r>
              <w:rPr>
                <w:rFonts w:ascii="Arial" w:cs="Arial" w:eastAsia="Arial" w:hAnsi="Arial"/>
                <w:sz w:val="15"/>
                <w:szCs w:val="15"/>
                <w:b w:val="1"/>
                <w:bCs w:val="1"/>
                <w:color w:val="auto"/>
                <w:w w:val="94"/>
              </w:rPr>
              <w:t>Nine Months Ended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36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ind w:right="2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3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Change</w:t>
            </w:r>
          </w:p>
        </w:tc>
        <w:tc>
          <w:tcPr>
            <w:tcW w:w="3800" w:type="dxa"/>
            <w:vAlign w:val="bottom"/>
            <w:gridSpan w:val="2"/>
            <w:vMerge w:val="restart"/>
          </w:tcPr>
          <w:p>
            <w:pPr>
              <w:jc w:val="center"/>
              <w:ind w:right="2940"/>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(Contract sales $ in millions)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57"/>
              <w:spacing w:after="0"/>
              <w:rPr>
                <w:sz w:val="20"/>
                <w:szCs w:val="20"/>
                <w:color w:val="auto"/>
              </w:rPr>
            </w:pPr>
            <w:r>
              <w:rPr>
                <w:rFonts w:ascii="Arial" w:cs="Arial" w:eastAsia="Arial" w:hAnsi="Arial"/>
                <w:sz w:val="15"/>
                <w:szCs w:val="15"/>
                <w:b w:val="1"/>
                <w:bCs w:val="1"/>
                <w:color w:val="auto"/>
                <w:w w:val="95"/>
              </w:rPr>
              <w:t>2023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7"/>
              <w:spacing w:after="0"/>
              <w:rPr>
                <w:sz w:val="20"/>
                <w:szCs w:val="20"/>
                <w:color w:val="auto"/>
              </w:rPr>
            </w:pPr>
            <w:r>
              <w:rPr>
                <w:rFonts w:ascii="Arial" w:cs="Arial" w:eastAsia="Arial" w:hAnsi="Arial"/>
                <w:sz w:val="15"/>
                <w:szCs w:val="15"/>
                <w:b w:val="1"/>
                <w:bCs w:val="1"/>
                <w:color w:val="auto"/>
                <w:w w:val="89"/>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Vacation Ownership</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20"/>
              <w:spacing w:after="0"/>
              <w:rPr>
                <w:sz w:val="20"/>
                <w:szCs w:val="20"/>
                <w:color w:val="auto"/>
              </w:rPr>
            </w:pPr>
            <w:r>
              <w:rPr>
                <w:rFonts w:ascii="Arial" w:cs="Arial" w:eastAsia="Arial" w:hAnsi="Arial"/>
                <w:sz w:val="17"/>
                <w:szCs w:val="17"/>
                <w:color w:val="auto"/>
              </w:rPr>
              <w:t>Total contract sales</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Consolidated contract sales</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20"/>
              <w:spacing w:after="0"/>
              <w:rPr>
                <w:sz w:val="20"/>
                <w:szCs w:val="20"/>
                <w:color w:val="auto"/>
              </w:rPr>
            </w:pPr>
            <w:r>
              <w:rPr>
                <w:rFonts w:ascii="Arial" w:cs="Arial" w:eastAsia="Arial" w:hAnsi="Arial"/>
                <w:sz w:val="17"/>
                <w:szCs w:val="17"/>
                <w:color w:val="auto"/>
              </w:rPr>
              <w:t>Joint venture contract sales</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6"/>
              </w:rPr>
              <w:t>(16%)</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VPG</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(9%)</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7"/>
                <w:szCs w:val="17"/>
                <w:b w:val="1"/>
                <w:bCs w:val="1"/>
                <w:color w:val="auto"/>
              </w:rPr>
              <w:t>Exchange &amp; Third-Party Management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6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9"/>
              </w:rPr>
              <w:t>Total active members at end of period (000's)</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20"/>
              <w:spacing w:after="0"/>
              <w:rPr>
                <w:sz w:val="20"/>
                <w:szCs w:val="20"/>
                <w:color w:val="auto"/>
              </w:rPr>
            </w:pPr>
            <w:r>
              <w:rPr>
                <w:rFonts w:ascii="Arial" w:cs="Arial" w:eastAsia="Arial" w:hAnsi="Arial"/>
                <w:sz w:val="17"/>
                <w:szCs w:val="17"/>
                <w:color w:val="auto"/>
              </w:rPr>
              <w:t>Average revenue per member</w:t>
            </w: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120.48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122.30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(1.82)</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364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640" w:type="dxa"/>
            <w:vAlign w:val="bottom"/>
          </w:tcPr>
          <w:p>
            <w:pPr>
              <w:spacing w:after="0"/>
              <w:rPr>
                <w:sz w:val="20"/>
                <w:szCs w:val="20"/>
                <w:color w:val="auto"/>
              </w:rPr>
            </w:pPr>
            <w:r>
              <w:rPr>
                <w:rFonts w:ascii="Arial" w:cs="Arial" w:eastAsia="Arial" w:hAnsi="Arial"/>
                <w:sz w:val="17"/>
                <w:szCs w:val="17"/>
                <w:i w:val="1"/>
                <w:iCs w:val="1"/>
                <w:color w:val="auto"/>
              </w:rPr>
              <w:t>2023 Third Quarter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7"/>
          </w:tcPr>
          <w:p>
            <w:pPr>
              <w:jc w:val="center"/>
              <w:ind w:right="260"/>
              <w:spacing w:after="0"/>
              <w:rPr>
                <w:sz w:val="20"/>
                <w:szCs w:val="20"/>
                <w:color w:val="auto"/>
              </w:rPr>
            </w:pPr>
            <w:r>
              <w:rPr>
                <w:rFonts w:ascii="Arial" w:cs="Arial" w:eastAsia="Arial" w:hAnsi="Arial"/>
                <w:sz w:val="15"/>
                <w:szCs w:val="15"/>
                <w:b w:val="1"/>
                <w:bCs w:val="1"/>
                <w:color w:val="auto"/>
                <w:w w:val="94"/>
              </w:rPr>
              <w:t>Three Months Ended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36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center"/>
              <w:ind w:right="2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3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Change</w:t>
            </w:r>
          </w:p>
        </w:tc>
        <w:tc>
          <w:tcPr>
            <w:tcW w:w="3800" w:type="dxa"/>
            <w:vAlign w:val="bottom"/>
            <w:gridSpan w:val="2"/>
            <w:vMerge w:val="restart"/>
          </w:tcPr>
          <w:p>
            <w:pPr>
              <w:jc w:val="center"/>
              <w:ind w:right="2940"/>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57"/>
              <w:spacing w:after="0"/>
              <w:rPr>
                <w:sz w:val="20"/>
                <w:szCs w:val="20"/>
                <w:color w:val="auto"/>
              </w:rPr>
            </w:pPr>
            <w:r>
              <w:rPr>
                <w:rFonts w:ascii="Arial" w:cs="Arial" w:eastAsia="Arial" w:hAnsi="Arial"/>
                <w:sz w:val="15"/>
                <w:szCs w:val="15"/>
                <w:b w:val="1"/>
                <w:bCs w:val="1"/>
                <w:color w:val="auto"/>
                <w:w w:val="95"/>
              </w:rPr>
              <w:t>2023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7"/>
              <w:spacing w:after="0"/>
              <w:rPr>
                <w:sz w:val="20"/>
                <w:szCs w:val="20"/>
                <w:color w:val="auto"/>
              </w:rPr>
            </w:pPr>
            <w:r>
              <w:rPr>
                <w:rFonts w:ascii="Arial" w:cs="Arial" w:eastAsia="Arial" w:hAnsi="Arial"/>
                <w:sz w:val="15"/>
                <w:szCs w:val="15"/>
                <w:b w:val="1"/>
                <w:bCs w:val="1"/>
                <w:color w:val="auto"/>
                <w:w w:val="89"/>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1,182</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4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(5%)</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4"/>
              </w:rPr>
              <w:t>(8%)</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Segment Revenues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1,190</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40" w:type="dxa"/>
            <w:vAlign w:val="bottom"/>
          </w:tcPr>
          <w:p>
            <w:pPr>
              <w:ind w:left="20"/>
              <w:spacing w:after="0"/>
              <w:rPr>
                <w:sz w:val="20"/>
                <w:szCs w:val="20"/>
                <w:color w:val="auto"/>
              </w:rPr>
            </w:pPr>
            <w:r>
              <w:rPr>
                <w:rFonts w:ascii="Arial" w:cs="Arial" w:eastAsia="Arial" w:hAnsi="Arial"/>
                <w:sz w:val="17"/>
                <w:szCs w:val="17"/>
                <w:color w:val="auto"/>
              </w:rPr>
              <w:t>Consolidated Property Owners’ Associations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2"/>
                <w:szCs w:val="22"/>
                <w:color w:val="auto"/>
              </w:rPr>
            </w:pPr>
          </w:p>
        </w:tc>
        <w:tc>
          <w:tcPr>
            <w:tcW w:w="3800" w:type="dxa"/>
            <w:vAlign w:val="bottom"/>
            <w:gridSpan w:val="2"/>
          </w:tcPr>
          <w:p>
            <w:pPr>
              <w:jc w:val="center"/>
              <w:ind w:right="29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7"/>
        </w:trPr>
        <w:tc>
          <w:tcPr>
            <w:tcW w:w="36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Revenues</w:t>
            </w:r>
          </w:p>
        </w:tc>
        <w:tc>
          <w:tcPr>
            <w:tcW w:w="1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(5%)</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i w:val="1"/>
                <w:iCs w:val="1"/>
                <w:color w:val="auto"/>
              </w:rPr>
              <w:t>2023 First Three Quarters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36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7"/>
          </w:tcPr>
          <w:p>
            <w:pPr>
              <w:jc w:val="center"/>
              <w:ind w:right="220"/>
              <w:spacing w:after="0"/>
              <w:rPr>
                <w:sz w:val="20"/>
                <w:szCs w:val="20"/>
                <w:color w:val="auto"/>
              </w:rPr>
            </w:pPr>
            <w:r>
              <w:rPr>
                <w:rFonts w:ascii="Arial" w:cs="Arial" w:eastAsia="Arial" w:hAnsi="Arial"/>
                <w:sz w:val="15"/>
                <w:szCs w:val="15"/>
                <w:b w:val="1"/>
                <w:bCs w:val="1"/>
                <w:color w:val="auto"/>
                <w:w w:val="94"/>
              </w:rPr>
              <w:t>Nine Months Ended</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3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ind w:left="40"/>
              <w:spacing w:after="0" w:line="150" w:lineRule="exact"/>
              <w:rPr>
                <w:sz w:val="20"/>
                <w:szCs w:val="20"/>
                <w:color w:val="auto"/>
              </w:rPr>
            </w:pPr>
            <w:r>
              <w:rPr>
                <w:rFonts w:ascii="Arial" w:cs="Arial" w:eastAsia="Arial" w:hAnsi="Arial"/>
                <w:sz w:val="15"/>
                <w:szCs w:val="15"/>
                <w:b w:val="1"/>
                <w:bCs w:val="1"/>
                <w:color w:val="auto"/>
              </w:rPr>
              <w:t>September 30,</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Change</w:t>
            </w:r>
          </w:p>
        </w:tc>
        <w:tc>
          <w:tcPr>
            <w:tcW w:w="140" w:type="dxa"/>
            <w:vAlign w:val="bottom"/>
            <w:vMerge w:val="restart"/>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29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2023</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7"/>
              <w:spacing w:after="0"/>
              <w:rPr>
                <w:sz w:val="20"/>
                <w:szCs w:val="20"/>
                <w:color w:val="auto"/>
              </w:rPr>
            </w:pPr>
            <w:r>
              <w:rPr>
                <w:rFonts w:ascii="Arial" w:cs="Arial" w:eastAsia="Arial" w:hAnsi="Arial"/>
                <w:sz w:val="15"/>
                <w:szCs w:val="15"/>
                <w:b w:val="1"/>
                <w:bCs w:val="1"/>
                <w:color w:val="auto"/>
                <w:w w:val="95"/>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3%</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6"/>
              </w:rPr>
              <w:t>(12%)</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Segment Revenues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2%</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640" w:type="dxa"/>
            <w:vAlign w:val="bottom"/>
          </w:tcPr>
          <w:p>
            <w:pPr>
              <w:ind w:left="20"/>
              <w:spacing w:after="0"/>
              <w:rPr>
                <w:sz w:val="20"/>
                <w:szCs w:val="20"/>
                <w:color w:val="auto"/>
              </w:rPr>
            </w:pPr>
            <w:r>
              <w:rPr>
                <w:rFonts w:ascii="Arial" w:cs="Arial" w:eastAsia="Arial" w:hAnsi="Arial"/>
                <w:sz w:val="17"/>
                <w:szCs w:val="17"/>
                <w:color w:val="auto"/>
              </w:rPr>
              <w:t>Consolidated Property Owners’ Associations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22"/>
                <w:szCs w:val="22"/>
                <w:color w:val="auto"/>
              </w:rPr>
            </w:pPr>
          </w:p>
        </w:tc>
        <w:tc>
          <w:tcPr>
            <w:tcW w:w="3800" w:type="dxa"/>
            <w:vAlign w:val="bottom"/>
            <w:gridSpan w:val="2"/>
          </w:tcPr>
          <w:p>
            <w:pPr>
              <w:jc w:val="center"/>
              <w:ind w:right="29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7"/>
        </w:trPr>
        <w:tc>
          <w:tcPr>
            <w:tcW w:w="36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Revenues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3,533</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7"/>
              </w:rPr>
              <w:t>2%</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137"/>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Before Interest Expense, Taxes, Depreciation and Amortization (“EBITDA”) and Adjusted EBITDA</w:t>
      </w:r>
    </w:p>
    <w:p>
      <w:pPr>
        <w:spacing w:after="0" w:line="22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EBITDA, a financial measure that is not prescribed by GAAP, is defined as earnings, or net income or loss attributable to common shareholders,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shareholders.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spacing w:after="0" w:line="17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attributable to common shareholders, which is the most directly comparable GAAP financial measure.</w:t>
      </w:r>
    </w:p>
    <w:p>
      <w:pPr>
        <w:spacing w:after="0" w:line="24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76"/>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Net income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(61%)</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4%</w:t>
            </w:r>
          </w:p>
        </w:tc>
        <w:tc>
          <w:tcPr>
            <w:tcW w:w="0" w:type="dxa"/>
            <w:vAlign w:val="bottom"/>
          </w:tcPr>
          <w:p>
            <w:pPr>
              <w:spacing w:after="0"/>
              <w:rPr>
                <w:sz w:val="1"/>
                <w:szCs w:val="1"/>
                <w:color w:val="auto"/>
              </w:rPr>
            </w:pPr>
          </w:p>
        </w:tc>
      </w:tr>
      <w:tr>
        <w:trPr>
          <w:trHeight w:val="245"/>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(59%)</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7"/>
              </w:rPr>
              <w:t>1%</w:t>
            </w: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EBITDA</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(42%)</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6"/>
              </w:rPr>
              <w:t>(33%)</w:t>
            </w: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Certain items</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2"/>
        </w:trPr>
        <w:tc>
          <w:tcPr>
            <w:tcW w:w="3660" w:type="dxa"/>
            <w:vAlign w:val="bottom"/>
          </w:tcPr>
          <w:p>
            <w:pPr>
              <w:ind w:left="220"/>
              <w:spacing w:after="0"/>
              <w:rPr>
                <w:sz w:val="20"/>
                <w:szCs w:val="20"/>
                <w:color w:val="auto"/>
              </w:rPr>
            </w:pPr>
            <w:r>
              <w:rPr>
                <w:rFonts w:ascii="Arial" w:cs="Arial" w:eastAsia="Arial" w:hAnsi="Arial"/>
                <w:sz w:val="17"/>
                <w:szCs w:val="17"/>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6"/>
              </w:rPr>
              <w:t>(47%)</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 Margin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97"/>
              </w:rPr>
              <w:t>(12 pts)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 for the three months ended September 30, 2023 and September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5"/>
                <w:szCs w:val="15"/>
                <w:b w:val="1"/>
                <w:bCs w:val="1"/>
                <w:color w:val="auto"/>
                <w:w w:val="97"/>
              </w:rPr>
              <w:t>Three Months Ended</w:t>
            </w:r>
          </w:p>
        </w:tc>
        <w:tc>
          <w:tcPr>
            <w:tcW w:w="28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19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5"/>
                <w:szCs w:val="15"/>
                <w:b w:val="1"/>
                <w:bCs w:val="1"/>
                <w:color w:val="auto"/>
                <w:w w:val="97"/>
              </w:rPr>
              <w:t>September 30, 2023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7"/>
              </w:rPr>
              <w:t>September 30, 2022</w:t>
            </w:r>
          </w:p>
        </w:tc>
        <w:tc>
          <w:tcPr>
            <w:tcW w:w="28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226"/>
        </w:trPr>
        <w:tc>
          <w:tcPr>
            <w:tcW w:w="4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ILG integration</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920" w:type="dxa"/>
            <w:vAlign w:val="bottom"/>
          </w:tcPr>
          <w:p>
            <w:pPr>
              <w:spacing w:after="0"/>
              <w:rPr>
                <w:sz w:val="19"/>
                <w:szCs w:val="19"/>
                <w:color w:val="auto"/>
              </w:rPr>
            </w:pPr>
          </w:p>
        </w:tc>
      </w:tr>
      <w:tr>
        <w:trPr>
          <w:trHeight w:val="243"/>
        </w:trPr>
        <w:tc>
          <w:tcPr>
            <w:tcW w:w="4460" w:type="dxa"/>
            <w:vAlign w:val="bottom"/>
          </w:tcPr>
          <w:p>
            <w:pPr>
              <w:ind w:left="220"/>
              <w:spacing w:after="0"/>
              <w:rPr>
                <w:sz w:val="20"/>
                <w:szCs w:val="20"/>
                <w:color w:val="auto"/>
              </w:rPr>
            </w:pPr>
            <w:r>
              <w:rPr>
                <w:rFonts w:ascii="Arial" w:cs="Arial" w:eastAsia="Arial" w:hAnsi="Arial"/>
                <w:sz w:val="17"/>
                <w:szCs w:val="17"/>
                <w:color w:val="auto"/>
              </w:rPr>
              <w:t>Welk acquisition and integration</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45"/>
        </w:trPr>
        <w:tc>
          <w:tcPr>
            <w:tcW w:w="4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transformation initiatives</w:t>
            </w:r>
          </w:p>
        </w:tc>
        <w:tc>
          <w:tcPr>
            <w:tcW w:w="2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43"/>
        </w:trPr>
        <w:tc>
          <w:tcPr>
            <w:tcW w:w="4460" w:type="dxa"/>
            <w:vAlign w:val="bottom"/>
          </w:tcPr>
          <w:p>
            <w:pPr>
              <w:ind w:left="220"/>
              <w:spacing w:after="0"/>
              <w:rPr>
                <w:sz w:val="20"/>
                <w:szCs w:val="20"/>
                <w:color w:val="auto"/>
              </w:rPr>
            </w:pPr>
            <w:r>
              <w:rPr>
                <w:rFonts w:ascii="Arial" w:cs="Arial" w:eastAsia="Arial" w:hAnsi="Arial"/>
                <w:sz w:val="17"/>
                <w:szCs w:val="17"/>
                <w:color w:val="auto"/>
              </w:rPr>
              <w:t>Other transaction costs</w:t>
            </w:r>
          </w:p>
        </w:tc>
        <w:tc>
          <w:tcPr>
            <w:tcW w:w="200" w:type="dxa"/>
            <w:vAlign w:val="bottom"/>
          </w:tcPr>
          <w:p>
            <w:pPr>
              <w:spacing w:after="0"/>
              <w:rPr>
                <w:sz w:val="21"/>
                <w:szCs w:val="21"/>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25"/>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Transaction and integration costs</w:t>
            </w: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34</w:t>
            </w:r>
          </w:p>
        </w:tc>
        <w:tc>
          <w:tcPr>
            <w:tcW w:w="2920" w:type="dxa"/>
            <w:vAlign w:val="bottom"/>
          </w:tcPr>
          <w:p>
            <w:pPr>
              <w:spacing w:after="0"/>
              <w:rPr>
                <w:sz w:val="19"/>
                <w:szCs w:val="19"/>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7"/>
                <w:szCs w:val="17"/>
                <w:color w:val="auto"/>
              </w:rPr>
              <w:t>Purchase accounting adjustments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5</w:t>
            </w:r>
          </w:p>
        </w:tc>
        <w:tc>
          <w:tcPr>
            <w:tcW w:w="2920" w:type="dxa"/>
            <w:vAlign w:val="bottom"/>
          </w:tcPr>
          <w:p>
            <w:pPr>
              <w:spacing w:after="0"/>
              <w:rPr>
                <w:sz w:val="21"/>
                <w:szCs w:val="21"/>
                <w:color w:val="auto"/>
              </w:rPr>
            </w:pPr>
          </w:p>
        </w:tc>
      </w:tr>
      <w:tr>
        <w:trPr>
          <w:trHeight w:val="245"/>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charges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21"/>
                <w:szCs w:val="2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7"/>
                <w:szCs w:val="17"/>
                <w:color w:val="auto"/>
              </w:rPr>
              <w:t>Impairment</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21"/>
                <w:szCs w:val="21"/>
                <w:color w:val="auto"/>
              </w:rPr>
            </w:pPr>
          </w:p>
        </w:tc>
      </w:tr>
      <w:tr>
        <w:trPr>
          <w:trHeight w:val="245"/>
        </w:trPr>
        <w:tc>
          <w:tcPr>
            <w:tcW w:w="4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disposition of hotel, land and other</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43"/>
        </w:trPr>
        <w:tc>
          <w:tcPr>
            <w:tcW w:w="4460" w:type="dxa"/>
            <w:vAlign w:val="bottom"/>
          </w:tcPr>
          <w:p>
            <w:pPr>
              <w:ind w:left="220"/>
              <w:spacing w:after="0"/>
              <w:rPr>
                <w:sz w:val="20"/>
                <w:szCs w:val="20"/>
                <w:color w:val="auto"/>
              </w:rPr>
            </w:pPr>
            <w:r>
              <w:rPr>
                <w:rFonts w:ascii="Arial" w:cs="Arial" w:eastAsia="Arial" w:hAnsi="Arial"/>
                <w:sz w:val="17"/>
                <w:szCs w:val="17"/>
                <w:color w:val="auto"/>
              </w:rPr>
              <w:t>Gain on disposition of VRI Americas</w:t>
            </w:r>
          </w:p>
        </w:tc>
        <w:tc>
          <w:tcPr>
            <w:tcW w:w="200" w:type="dxa"/>
            <w:vAlign w:val="bottom"/>
          </w:tcPr>
          <w:p>
            <w:pPr>
              <w:spacing w:after="0"/>
              <w:rPr>
                <w:sz w:val="21"/>
                <w:szCs w:val="21"/>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45"/>
        </w:trPr>
        <w:tc>
          <w:tcPr>
            <w:tcW w:w="4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currency translation</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43"/>
        </w:trPr>
        <w:tc>
          <w:tcPr>
            <w:tcW w:w="4460" w:type="dxa"/>
            <w:vAlign w:val="bottom"/>
          </w:tcPr>
          <w:p>
            <w:pPr>
              <w:ind w:left="220"/>
              <w:spacing w:after="0"/>
              <w:rPr>
                <w:sz w:val="20"/>
                <w:szCs w:val="20"/>
                <w:color w:val="auto"/>
              </w:rPr>
            </w:pPr>
            <w:r>
              <w:rPr>
                <w:rFonts w:ascii="Arial" w:cs="Arial" w:eastAsia="Arial" w:hAnsi="Arial"/>
                <w:sz w:val="17"/>
                <w:szCs w:val="17"/>
                <w:color w:val="auto"/>
              </w:rPr>
              <w:t>Insurance proceeds</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3"/>
          </w:tcPr>
          <w:p>
            <w:pPr>
              <w:jc w:val="right"/>
              <w:ind w:right="8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45"/>
        </w:trPr>
        <w:tc>
          <w:tcPr>
            <w:tcW w:w="4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indemnification asset</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43"/>
        </w:trPr>
        <w:tc>
          <w:tcPr>
            <w:tcW w:w="4460" w:type="dxa"/>
            <w:vAlign w:val="bottom"/>
          </w:tcPr>
          <w:p>
            <w:pPr>
              <w:ind w:left="220"/>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21"/>
                <w:szCs w:val="21"/>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25"/>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(Gains) losses and other (income) expense, net</w:t>
            </w: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19"/>
                <w:szCs w:val="19"/>
                <w:color w:val="auto"/>
              </w:rPr>
            </w:pPr>
          </w:p>
        </w:tc>
      </w:tr>
      <w:tr>
        <w:trPr>
          <w:trHeight w:val="167"/>
        </w:trPr>
        <w:tc>
          <w:tcPr>
            <w:tcW w:w="4460" w:type="dxa"/>
            <w:vAlign w:val="bottom"/>
          </w:tcPr>
          <w:p>
            <w:pPr>
              <w:ind w:left="20"/>
              <w:spacing w:after="0" w:line="167" w:lineRule="exact"/>
              <w:rPr>
                <w:sz w:val="20"/>
                <w:szCs w:val="20"/>
                <w:color w:val="auto"/>
              </w:rPr>
            </w:pPr>
            <w:r>
              <w:rPr>
                <w:rFonts w:ascii="Arial" w:cs="Arial" w:eastAsia="Arial" w:hAnsi="Arial"/>
                <w:sz w:val="17"/>
                <w:szCs w:val="17"/>
                <w:color w:val="auto"/>
              </w:rPr>
              <w:t>Expiration/forfeiture of deposits on pre-acquisition preview</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230"/>
        </w:trPr>
        <w:tc>
          <w:tcPr>
            <w:tcW w:w="4460" w:type="dxa"/>
            <w:vAlign w:val="bottom"/>
          </w:tcPr>
          <w:p>
            <w:pPr>
              <w:ind w:left="20"/>
              <w:spacing w:after="0"/>
              <w:rPr>
                <w:sz w:val="20"/>
                <w:szCs w:val="20"/>
                <w:color w:val="auto"/>
              </w:rPr>
            </w:pPr>
            <w:r>
              <w:rPr>
                <w:rFonts w:ascii="Arial" w:cs="Arial" w:eastAsia="Arial" w:hAnsi="Arial"/>
                <w:sz w:val="17"/>
                <w:szCs w:val="17"/>
                <w:color w:val="auto"/>
              </w:rPr>
              <w:t>packages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(6)</w:t>
            </w:r>
          </w:p>
        </w:tc>
        <w:tc>
          <w:tcPr>
            <w:tcW w:w="2920" w:type="dxa"/>
            <w:vAlign w:val="bottom"/>
          </w:tcPr>
          <w:p>
            <w:pPr>
              <w:spacing w:after="0"/>
              <w:rPr>
                <w:sz w:val="19"/>
                <w:szCs w:val="19"/>
                <w:color w:val="auto"/>
              </w:rPr>
            </w:pPr>
          </w:p>
        </w:tc>
      </w:tr>
      <w:tr>
        <w:trPr>
          <w:trHeight w:val="245"/>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Change in estimate relating to pre-acquisition contingencies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21"/>
                <w:szCs w:val="21"/>
                <w:color w:val="auto"/>
              </w:rPr>
            </w:pPr>
          </w:p>
        </w:tc>
      </w:tr>
      <w:tr>
        <w:trPr>
          <w:trHeight w:val="24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920" w:type="dxa"/>
            <w:vAlign w:val="bottom"/>
          </w:tcPr>
          <w:p>
            <w:pPr>
              <w:spacing w:after="0"/>
              <w:rPr>
                <w:sz w:val="21"/>
                <w:szCs w:val="21"/>
                <w:color w:val="auto"/>
              </w:rPr>
            </w:pPr>
          </w:p>
        </w:tc>
      </w:tr>
      <w:tr>
        <w:trPr>
          <w:trHeight w:val="232"/>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Certain items</w:t>
            </w:r>
          </w:p>
        </w:tc>
        <w:tc>
          <w:tcPr>
            <w:tcW w:w="2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39</w:t>
            </w:r>
          </w:p>
        </w:tc>
        <w:tc>
          <w:tcPr>
            <w:tcW w:w="2920" w:type="dxa"/>
            <w:vAlign w:val="bottom"/>
          </w:tcPr>
          <w:p>
            <w:pPr>
              <w:spacing w:after="0"/>
              <w:rPr>
                <w:sz w:val="20"/>
                <w:szCs w:val="20"/>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2"/>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15"/>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4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52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76"/>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Net income attributable to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(28%)</w:t>
            </w:r>
          </w:p>
        </w:tc>
        <w:tc>
          <w:tcPr>
            <w:tcW w:w="0" w:type="dxa"/>
            <w:vAlign w:val="bottom"/>
          </w:tcPr>
          <w:p>
            <w:pPr>
              <w:spacing w:after="0"/>
              <w:rPr>
                <w:sz w:val="1"/>
                <w:szCs w:val="1"/>
                <w:color w:val="auto"/>
              </w:rPr>
            </w:pPr>
          </w:p>
        </w:tc>
      </w:tr>
      <w:tr>
        <w:trPr>
          <w:trHeight w:val="256"/>
        </w:trPr>
        <w:tc>
          <w:tcPr>
            <w:tcW w:w="366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3"/>
              </w:rPr>
              <w:t>15%</w:t>
            </w: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(14%)</w:t>
            </w: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7"/>
              </w:rPr>
              <w:t>1%</w:t>
            </w: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EBITDA</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(14%)</w:t>
            </w:r>
          </w:p>
        </w:tc>
        <w:tc>
          <w:tcPr>
            <w:tcW w:w="0" w:type="dxa"/>
            <w:vAlign w:val="bottom"/>
          </w:tcPr>
          <w:p>
            <w:pPr>
              <w:spacing w:after="0"/>
              <w:rPr>
                <w:sz w:val="1"/>
                <w:szCs w:val="1"/>
                <w:color w:val="auto"/>
              </w:rPr>
            </w:pPr>
          </w:p>
        </w:tc>
      </w:tr>
      <w:tr>
        <w:trPr>
          <w:trHeight w:val="256"/>
        </w:trPr>
        <w:tc>
          <w:tcPr>
            <w:tcW w:w="366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6"/>
              </w:rPr>
              <w:t>(15%)</w:t>
            </w: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Certain items</w:t>
            </w: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2"/>
        </w:trPr>
        <w:tc>
          <w:tcPr>
            <w:tcW w:w="3660" w:type="dxa"/>
            <w:vAlign w:val="bottom"/>
          </w:tcPr>
          <w:p>
            <w:pPr>
              <w:ind w:left="220"/>
              <w:spacing w:after="0"/>
              <w:rPr>
                <w:sz w:val="20"/>
                <w:szCs w:val="20"/>
                <w:color w:val="auto"/>
              </w:rPr>
            </w:pPr>
            <w:r>
              <w:rPr>
                <w:rFonts w:ascii="Arial" w:cs="Arial" w:eastAsia="Arial" w:hAnsi="Arial"/>
                <w:sz w:val="17"/>
                <w:szCs w:val="17"/>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6"/>
              </w:rPr>
              <w:t>(21%)</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 Margin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 for the nine months ended September 30, 2023 and September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5"/>
                <w:szCs w:val="15"/>
                <w:b w:val="1"/>
                <w:bCs w:val="1"/>
                <w:color w:val="auto"/>
                <w:w w:val="98"/>
              </w:rPr>
              <w:t>Nine Months Ended</w:t>
            </w:r>
          </w:p>
        </w:tc>
        <w:tc>
          <w:tcPr>
            <w:tcW w:w="54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5"/>
                <w:szCs w:val="15"/>
                <w:b w:val="1"/>
                <w:bCs w:val="1"/>
                <w:color w:val="auto"/>
                <w:w w:val="95"/>
              </w:rPr>
              <w:t>September 30, 2023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5"/>
                <w:szCs w:val="15"/>
                <w:b w:val="1"/>
                <w:bCs w:val="1"/>
                <w:color w:val="auto"/>
                <w:w w:val="97"/>
              </w:rPr>
              <w:t>September 30, 2022</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ILG integration</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7"/>
                <w:szCs w:val="17"/>
                <w:color w:val="auto"/>
              </w:rPr>
              <w:t>Welk acquisition and integration</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transformation initiatives</w:t>
            </w:r>
          </w:p>
        </w:tc>
        <w:tc>
          <w:tcPr>
            <w:tcW w:w="2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7"/>
                <w:szCs w:val="17"/>
                <w:color w:val="auto"/>
              </w:rPr>
              <w:t>Other transaction costs</w:t>
            </w:r>
          </w:p>
        </w:tc>
        <w:tc>
          <w:tcPr>
            <w:tcW w:w="200" w:type="dxa"/>
            <w:vAlign w:val="bottom"/>
          </w:tcPr>
          <w:p>
            <w:pPr>
              <w:spacing w:after="0"/>
              <w:rPr>
                <w:sz w:val="21"/>
                <w:szCs w:val="21"/>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Transaction and integration costs</w:t>
            </w:r>
          </w:p>
        </w:tc>
        <w:tc>
          <w:tcPr>
            <w:tcW w:w="2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7"/>
                <w:szCs w:val="17"/>
                <w:color w:val="auto"/>
              </w:rPr>
              <w:t>Early redemption of senior secured notes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disposition of hotel, land and other</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7"/>
                <w:szCs w:val="17"/>
                <w:color w:val="auto"/>
              </w:rPr>
              <w:t>Gain on disposition of VRI Americas</w:t>
            </w:r>
          </w:p>
        </w:tc>
        <w:tc>
          <w:tcPr>
            <w:tcW w:w="200" w:type="dxa"/>
            <w:vAlign w:val="bottom"/>
          </w:tcPr>
          <w:p>
            <w:pPr>
              <w:spacing w:after="0"/>
              <w:rPr>
                <w:sz w:val="21"/>
                <w:szCs w:val="21"/>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currency translation</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7"/>
                <w:szCs w:val="17"/>
                <w:color w:val="auto"/>
              </w:rPr>
              <w:t>Insurance proceeds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indemnification asset</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7"/>
                <w:szCs w:val="17"/>
                <w:color w:val="auto"/>
              </w:rPr>
              <w:t>Purchase accounting adjustments</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charges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7"/>
                <w:szCs w:val="17"/>
                <w:color w:val="auto"/>
              </w:rPr>
              <w:t>Impairment</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48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rPr>
              <w:t>Expiration/forfeiture of deposits on pre-acquisition preview</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4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packages</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448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20"/>
              <w:spacing w:after="0"/>
              <w:rPr>
                <w:sz w:val="20"/>
                <w:szCs w:val="20"/>
                <w:color w:val="auto"/>
              </w:rPr>
            </w:pPr>
            <w:r>
              <w:rPr>
                <w:rFonts w:ascii="Arial" w:cs="Arial" w:eastAsia="Arial" w:hAnsi="Arial"/>
                <w:sz w:val="17"/>
                <w:szCs w:val="17"/>
                <w:color w:val="auto"/>
              </w:rPr>
              <w:t>Early termination of VRI management contract</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Change in estimate relating to pre-acquisition contingencies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Certain items</w:t>
            </w:r>
          </w:p>
        </w:tc>
        <w:tc>
          <w:tcPr>
            <w:tcW w:w="2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215"/>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Adjusted EBITDA</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w w:val="94"/>
              </w:rPr>
              <w:t>Three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5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95"/>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95"/>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(42%)</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6"/>
              </w:rPr>
              <w:t>(20%)</w:t>
            </w: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Segment adjusted EBITDA</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(40%)</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(47%)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i w:val="1"/>
                <w:iCs w:val="1"/>
                <w:color w:val="auto"/>
              </w:rPr>
              <w:t>2023 First Three Quarters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5"/>
                <w:szCs w:val="15"/>
                <w:b w:val="1"/>
                <w:bCs w:val="1"/>
                <w:color w:val="auto"/>
                <w:w w:val="94"/>
              </w:rPr>
              <w:t>Nine Months Ended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5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w w:val="95"/>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95"/>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(16%)</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&amp; Third-Party Management</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6"/>
              </w:rPr>
              <w:t>(15%)</w:t>
            </w:r>
          </w:p>
        </w:tc>
        <w:tc>
          <w:tcPr>
            <w:tcW w:w="0" w:type="dxa"/>
            <w:vAlign w:val="bottom"/>
          </w:tcPr>
          <w:p>
            <w:pPr>
              <w:spacing w:after="0"/>
              <w:rPr>
                <w:sz w:val="1"/>
                <w:szCs w:val="1"/>
                <w:color w:val="auto"/>
              </w:rPr>
            </w:pPr>
          </w:p>
        </w:tc>
      </w:tr>
      <w:tr>
        <w:trPr>
          <w:trHeight w:val="225"/>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Segment adjusted EBITDA</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(16%)</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0" w:type="dxa"/>
            <w:vAlign w:val="bottom"/>
            <w:tcBorders>
              <w:bottom w:val="single" w:sz="8" w:color="CCEEFF"/>
            </w:tcBorders>
            <w:gridSpan w:val="2"/>
          </w:tcPr>
          <w:p>
            <w:pPr>
              <w:jc w:val="center"/>
              <w:ind w:left="14"/>
              <w:spacing w:after="0"/>
              <w:rPr>
                <w:sz w:val="20"/>
                <w:szCs w:val="20"/>
                <w:color w:val="auto"/>
              </w:rPr>
            </w:pPr>
            <w:r>
              <w:rPr>
                <w:rFonts w:ascii="Arial" w:cs="Arial" w:eastAsia="Arial" w:hAnsi="Arial"/>
                <w:sz w:val="17"/>
                <w:szCs w:val="17"/>
                <w:color w:val="auto"/>
                <w:w w:val="94"/>
              </w:rPr>
              <w:t>(6%)</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(21%)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segment financial results attributable to common shareholders reconciled to segment Adjusted EBITDA.</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Vacation Ownership</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7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financial results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(45%)</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(3%)</w:t>
            </w:r>
          </w:p>
        </w:tc>
        <w:tc>
          <w:tcPr>
            <w:tcW w:w="0" w:type="dxa"/>
            <w:vAlign w:val="bottom"/>
          </w:tcPr>
          <w:p>
            <w:pPr>
              <w:spacing w:after="0"/>
              <w:rPr>
                <w:sz w:val="1"/>
                <w:szCs w:val="1"/>
                <w:color w:val="auto"/>
              </w:rPr>
            </w:pPr>
          </w:p>
        </w:tc>
      </w:tr>
      <w:tr>
        <w:trPr>
          <w:trHeight w:val="245"/>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17%</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Certain items</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(42%)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 for the three months ended September 30, 2023 and September 30,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5"/>
                <w:szCs w:val="15"/>
                <w:b w:val="1"/>
                <w:bCs w:val="1"/>
                <w:color w:val="auto"/>
                <w:w w:val="98"/>
              </w:rPr>
              <w:t>Three Months Ended</w:t>
            </w:r>
          </w:p>
        </w:tc>
        <w:tc>
          <w:tcPr>
            <w:tcW w:w="26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19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2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5"/>
                <w:szCs w:val="15"/>
                <w:b w:val="1"/>
                <w:bCs w:val="1"/>
                <w:color w:val="auto"/>
              </w:rPr>
              <w:t>September 30, 2023</w:t>
            </w:r>
          </w:p>
        </w:tc>
        <w:tc>
          <w:tcPr>
            <w:tcW w:w="1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3"/>
          </w:tcPr>
          <w:p>
            <w:pPr>
              <w:ind w:left="260"/>
              <w:spacing w:after="0"/>
              <w:rPr>
                <w:sz w:val="20"/>
                <w:szCs w:val="20"/>
                <w:color w:val="auto"/>
              </w:rPr>
            </w:pPr>
            <w:r>
              <w:rPr>
                <w:rFonts w:ascii="Arial" w:cs="Arial" w:eastAsia="Arial" w:hAnsi="Arial"/>
                <w:sz w:val="15"/>
                <w:szCs w:val="15"/>
                <w:b w:val="1"/>
                <w:bCs w:val="1"/>
                <w:color w:val="auto"/>
                <w:w w:val="91"/>
              </w:rPr>
              <w:t>September 30, 2022</w:t>
            </w:r>
          </w:p>
        </w:tc>
        <w:tc>
          <w:tcPr>
            <w:tcW w:w="26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and integration costs</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gridSpan w:val="4"/>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2920" w:type="dxa"/>
            <w:vAlign w:val="bottom"/>
          </w:tcPr>
          <w:p>
            <w:pPr>
              <w:spacing w:after="0"/>
              <w:rPr>
                <w:sz w:val="19"/>
                <w:szCs w:val="19"/>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7"/>
                <w:szCs w:val="17"/>
                <w:color w:val="auto"/>
              </w:rPr>
              <w:t>Purchase accounting adjustments</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2920" w:type="dxa"/>
            <w:vAlign w:val="bottom"/>
          </w:tcPr>
          <w:p>
            <w:pPr>
              <w:spacing w:after="0"/>
              <w:rPr>
                <w:sz w:val="21"/>
                <w:szCs w:val="21"/>
                <w:color w:val="auto"/>
              </w:rPr>
            </w:pPr>
          </w:p>
        </w:tc>
      </w:tr>
      <w:tr>
        <w:trPr>
          <w:trHeight w:val="245"/>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charges</w:t>
            </w: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2920" w:type="dxa"/>
            <w:vAlign w:val="bottom"/>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7"/>
                <w:szCs w:val="17"/>
                <w:color w:val="auto"/>
              </w:rPr>
              <w:t>Impairment</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2920" w:type="dxa"/>
            <w:vAlign w:val="bottom"/>
          </w:tcPr>
          <w:p>
            <w:pPr>
              <w:spacing w:after="0"/>
              <w:rPr>
                <w:sz w:val="21"/>
                <w:szCs w:val="21"/>
                <w:color w:val="auto"/>
              </w:rPr>
            </w:pPr>
          </w:p>
        </w:tc>
      </w:tr>
      <w:tr>
        <w:trPr>
          <w:trHeight w:val="245"/>
        </w:trPr>
        <w:tc>
          <w:tcPr>
            <w:tcW w:w="4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currency translation</w:t>
            </w:r>
          </w:p>
        </w:tc>
        <w:tc>
          <w:tcPr>
            <w:tcW w:w="1120" w:type="dxa"/>
            <w:vAlign w:val="bottom"/>
            <w:gridSpan w:val="3"/>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7"/>
                <w:szCs w:val="17"/>
                <w:color w:val="auto"/>
              </w:rPr>
              <w:t>Insurance proceeds</w:t>
            </w:r>
          </w:p>
        </w:tc>
        <w:tc>
          <w:tcPr>
            <w:tcW w:w="820" w:type="dxa"/>
            <w:vAlign w:val="bottom"/>
          </w:tcPr>
          <w:p>
            <w:pPr>
              <w:ind w:left="58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3"/>
          </w:tcPr>
          <w:p>
            <w:pPr>
              <w:ind w:left="5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44"/>
        </w:trPr>
        <w:tc>
          <w:tcPr>
            <w:tcW w:w="4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indemnification asset</w:t>
            </w:r>
          </w:p>
        </w:tc>
        <w:tc>
          <w:tcPr>
            <w:tcW w:w="8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24"/>
        </w:trPr>
        <w:tc>
          <w:tcPr>
            <w:tcW w:w="4540" w:type="dxa"/>
            <w:vAlign w:val="bottom"/>
          </w:tcPr>
          <w:p>
            <w:pPr>
              <w:ind w:left="20"/>
              <w:spacing w:after="0"/>
              <w:rPr>
                <w:sz w:val="20"/>
                <w:szCs w:val="20"/>
                <w:color w:val="auto"/>
              </w:rPr>
            </w:pPr>
            <w:r>
              <w:rPr>
                <w:rFonts w:ascii="Arial" w:cs="Arial" w:eastAsia="Arial" w:hAnsi="Arial"/>
                <w:sz w:val="17"/>
                <w:szCs w:val="17"/>
                <w:color w:val="auto"/>
              </w:rPr>
              <w:t>Gains and other income, net</w:t>
            </w: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6"/>
              </w:rPr>
              <w:t>(1)</w:t>
            </w:r>
          </w:p>
        </w:tc>
        <w:tc>
          <w:tcPr>
            <w:tcW w:w="2920" w:type="dxa"/>
            <w:vAlign w:val="bottom"/>
          </w:tcPr>
          <w:p>
            <w:pPr>
              <w:spacing w:after="0"/>
              <w:rPr>
                <w:sz w:val="19"/>
                <w:szCs w:val="19"/>
                <w:color w:val="auto"/>
              </w:rPr>
            </w:pPr>
          </w:p>
        </w:tc>
      </w:tr>
      <w:tr>
        <w:trPr>
          <w:trHeight w:val="181"/>
        </w:trPr>
        <w:tc>
          <w:tcPr>
            <w:tcW w:w="454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Expiration/forfeiture of deposits on pre-acquisition preview</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20" w:type="dxa"/>
            <w:vAlign w:val="bottom"/>
          </w:tcPr>
          <w:p>
            <w:pPr>
              <w:spacing w:after="0"/>
              <w:rPr>
                <w:sz w:val="15"/>
                <w:szCs w:val="15"/>
                <w:color w:val="auto"/>
              </w:rPr>
            </w:pPr>
          </w:p>
        </w:tc>
      </w:tr>
      <w:tr>
        <w:trPr>
          <w:trHeight w:val="218"/>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packages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(6)</w:t>
            </w:r>
          </w:p>
        </w:tc>
        <w:tc>
          <w:tcPr>
            <w:tcW w:w="2920" w:type="dxa"/>
            <w:vAlign w:val="bottom"/>
          </w:tcPr>
          <w:p>
            <w:pPr>
              <w:spacing w:after="0"/>
              <w:rPr>
                <w:sz w:val="18"/>
                <w:szCs w:val="18"/>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7"/>
                <w:szCs w:val="17"/>
                <w:color w:val="auto"/>
              </w:rPr>
              <w:t>Change in estimate relating to pre-acquisition contingencies</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jc w:val="center"/>
              <w:spacing w:after="0"/>
              <w:rPr>
                <w:sz w:val="20"/>
                <w:szCs w:val="20"/>
                <w:color w:val="auto"/>
              </w:rPr>
            </w:pPr>
            <w:r>
              <w:rPr>
                <w:rFonts w:ascii="Arial" w:cs="Arial" w:eastAsia="Arial" w:hAnsi="Arial"/>
                <w:sz w:val="17"/>
                <w:szCs w:val="17"/>
                <w:color w:val="auto"/>
                <w:w w:val="96"/>
              </w:rPr>
              <w:t>(2)</w:t>
            </w:r>
          </w:p>
        </w:tc>
        <w:tc>
          <w:tcPr>
            <w:tcW w:w="2920" w:type="dxa"/>
            <w:vAlign w:val="bottom"/>
          </w:tcPr>
          <w:p>
            <w:pPr>
              <w:spacing w:after="0"/>
              <w:rPr>
                <w:sz w:val="21"/>
                <w:szCs w:val="21"/>
                <w:color w:val="auto"/>
              </w:rPr>
            </w:pPr>
          </w:p>
        </w:tc>
      </w:tr>
      <w:tr>
        <w:trPr>
          <w:trHeight w:val="244"/>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2920" w:type="dxa"/>
            <w:vAlign w:val="bottom"/>
          </w:tcPr>
          <w:p>
            <w:pPr>
              <w:spacing w:after="0"/>
              <w:rPr>
                <w:sz w:val="21"/>
                <w:szCs w:val="21"/>
                <w:color w:val="auto"/>
              </w:rPr>
            </w:pPr>
          </w:p>
        </w:tc>
      </w:tr>
      <w:tr>
        <w:trPr>
          <w:trHeight w:val="212"/>
        </w:trPr>
        <w:tc>
          <w:tcPr>
            <w:tcW w:w="4540" w:type="dxa"/>
            <w:vAlign w:val="bottom"/>
          </w:tcPr>
          <w:p>
            <w:pPr>
              <w:ind w:left="20"/>
              <w:spacing w:after="0"/>
              <w:rPr>
                <w:sz w:val="20"/>
                <w:szCs w:val="20"/>
                <w:color w:val="auto"/>
              </w:rPr>
            </w:pPr>
            <w:r>
              <w:rPr>
                <w:rFonts w:ascii="Arial" w:cs="Arial" w:eastAsia="Arial" w:hAnsi="Arial"/>
                <w:sz w:val="17"/>
                <w:szCs w:val="17"/>
                <w:color w:val="auto"/>
              </w:rPr>
              <w:t>Total Certain items</w:t>
            </w:r>
          </w:p>
        </w:tc>
        <w:tc>
          <w:tcPr>
            <w:tcW w:w="11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w:t>
            </w:r>
          </w:p>
        </w:tc>
        <w:tc>
          <w:tcPr>
            <w:tcW w:w="1700" w:type="dxa"/>
            <w:vAlign w:val="bottom"/>
            <w:gridSpan w:val="4"/>
          </w:tcPr>
          <w:p>
            <w:pPr>
              <w:jc w:val="right"/>
              <w:ind w:right="520"/>
              <w:spacing w:after="0"/>
              <w:rPr>
                <w:sz w:val="20"/>
                <w:szCs w:val="20"/>
                <w:color w:val="auto"/>
              </w:rPr>
            </w:pPr>
            <w:r>
              <w:rPr>
                <w:rFonts w:ascii="Arial" w:cs="Arial" w:eastAsia="Arial" w:hAnsi="Arial"/>
                <w:sz w:val="17"/>
                <w:szCs w:val="17"/>
                <w:color w:val="auto"/>
              </w:rPr>
              <w:t>$</w:t>
            </w:r>
          </w:p>
        </w:tc>
        <w:tc>
          <w:tcPr>
            <w:tcW w:w="26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29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42"/>
        </w:trPr>
        <w:tc>
          <w:tcPr>
            <w:tcW w:w="4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ind w:right="255"/>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4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52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7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financial results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(20%)</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w:t>
            </w:r>
          </w:p>
        </w:tc>
        <w:tc>
          <w:tcPr>
            <w:tcW w:w="1000" w:type="dxa"/>
            <w:vAlign w:val="bottom"/>
            <w:gridSpan w:val="2"/>
          </w:tcPr>
          <w:p>
            <w:pPr>
              <w:jc w:val="center"/>
              <w:ind w:left="34"/>
              <w:spacing w:after="0"/>
              <w:rPr>
                <w:sz w:val="20"/>
                <w:szCs w:val="20"/>
                <w:color w:val="auto"/>
              </w:rPr>
            </w:pPr>
            <w:r>
              <w:rPr>
                <w:rFonts w:ascii="Arial" w:cs="Arial" w:eastAsia="Arial" w:hAnsi="Arial"/>
                <w:sz w:val="17"/>
                <w:szCs w:val="17"/>
                <w:color w:val="auto"/>
                <w:w w:val="97"/>
              </w:rPr>
              <w:t>2%</w:t>
            </w:r>
          </w:p>
        </w:tc>
        <w:tc>
          <w:tcPr>
            <w:tcW w:w="0" w:type="dxa"/>
            <w:vAlign w:val="bottom"/>
          </w:tcPr>
          <w:p>
            <w:pPr>
              <w:spacing w:after="0"/>
              <w:rPr>
                <w:sz w:val="1"/>
                <w:szCs w:val="1"/>
                <w:color w:val="auto"/>
              </w:rPr>
            </w:pPr>
          </w:p>
        </w:tc>
      </w:tr>
      <w:tr>
        <w:trPr>
          <w:trHeight w:val="245"/>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24%</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Certain items</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(16%)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 for the nine months ended September 30, 2023 and September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5"/>
                <w:szCs w:val="15"/>
                <w:b w:val="1"/>
                <w:bCs w:val="1"/>
                <w:color w:val="auto"/>
                <w:w w:val="99"/>
              </w:rPr>
              <w:t>Nine Months Ended</w:t>
            </w:r>
          </w:p>
        </w:tc>
        <w:tc>
          <w:tcPr>
            <w:tcW w:w="56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19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2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5"/>
                <w:szCs w:val="15"/>
                <w:b w:val="1"/>
                <w:bCs w:val="1"/>
                <w:color w:val="auto"/>
              </w:rPr>
              <w:t>September 30, 2023</w:t>
            </w:r>
          </w:p>
        </w:tc>
        <w:tc>
          <w:tcPr>
            <w:tcW w:w="14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5"/>
                <w:szCs w:val="15"/>
                <w:b w:val="1"/>
                <w:bCs w:val="1"/>
                <w:color w:val="auto"/>
              </w:rPr>
              <w:t>September 30, 2022</w:t>
            </w:r>
          </w:p>
        </w:tc>
        <w:tc>
          <w:tcPr>
            <w:tcW w:w="2920" w:type="dxa"/>
            <w:vAlign w:val="bottom"/>
          </w:tcPr>
          <w:p>
            <w:pPr>
              <w:spacing w:after="0"/>
              <w:rPr>
                <w:sz w:val="17"/>
                <w:szCs w:val="17"/>
                <w:color w:val="auto"/>
              </w:rPr>
            </w:pPr>
          </w:p>
        </w:tc>
      </w:tr>
      <w:tr>
        <w:trPr>
          <w:trHeight w:val="226"/>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and integration costs</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920" w:type="dxa"/>
            <w:vAlign w:val="bottom"/>
          </w:tcPr>
          <w:p>
            <w:pPr>
              <w:spacing w:after="0"/>
              <w:rPr>
                <w:sz w:val="19"/>
                <w:szCs w:val="19"/>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7"/>
                <w:szCs w:val="17"/>
                <w:color w:val="auto"/>
              </w:rPr>
              <w:t>Purchase accounting adjustments</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w:t>
            </w:r>
          </w:p>
        </w:tc>
        <w:tc>
          <w:tcPr>
            <w:tcW w:w="2920" w:type="dxa"/>
            <w:vAlign w:val="bottom"/>
          </w:tcPr>
          <w:p>
            <w:pPr>
              <w:spacing w:after="0"/>
              <w:rPr>
                <w:sz w:val="21"/>
                <w:szCs w:val="21"/>
                <w:color w:val="auto"/>
              </w:rPr>
            </w:pPr>
          </w:p>
        </w:tc>
      </w:tr>
      <w:tr>
        <w:trPr>
          <w:trHeight w:val="245"/>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Litigation charges</w:t>
            </w: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920" w:type="dxa"/>
            <w:vAlign w:val="bottom"/>
          </w:tcPr>
          <w:p>
            <w:pPr>
              <w:spacing w:after="0"/>
              <w:rPr>
                <w:sz w:val="21"/>
                <w:szCs w:val="2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7"/>
                <w:szCs w:val="17"/>
                <w:color w:val="auto"/>
              </w:rPr>
              <w:t>Impairment</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21"/>
                <w:szCs w:val="21"/>
                <w:color w:val="auto"/>
              </w:rPr>
            </w:pPr>
          </w:p>
        </w:tc>
      </w:tr>
      <w:tr>
        <w:trPr>
          <w:trHeight w:val="245"/>
        </w:trPr>
        <w:tc>
          <w:tcPr>
            <w:tcW w:w="4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disposition of hotel, land and other</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7"/>
                <w:szCs w:val="17"/>
                <w:color w:val="auto"/>
              </w:rPr>
              <w:t>Insurance proceeds</w:t>
            </w: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45"/>
        </w:trPr>
        <w:tc>
          <w:tcPr>
            <w:tcW w:w="45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indemnification asset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43"/>
        </w:trPr>
        <w:tc>
          <w:tcPr>
            <w:tcW w:w="4540" w:type="dxa"/>
            <w:vAlign w:val="bottom"/>
          </w:tcPr>
          <w:p>
            <w:pPr>
              <w:ind w:left="220"/>
              <w:spacing w:after="0"/>
              <w:rPr>
                <w:sz w:val="20"/>
                <w:szCs w:val="20"/>
                <w:color w:val="auto"/>
              </w:rPr>
            </w:pPr>
            <w:r>
              <w:rPr>
                <w:rFonts w:ascii="Arial" w:cs="Arial" w:eastAsia="Arial" w:hAnsi="Arial"/>
                <w:sz w:val="17"/>
                <w:szCs w:val="17"/>
                <w:color w:val="auto"/>
              </w:rPr>
              <w:t>Other</w:t>
            </w:r>
          </w:p>
        </w:tc>
        <w:tc>
          <w:tcPr>
            <w:tcW w:w="82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ind w:left="5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920" w:type="dxa"/>
            <w:vAlign w:val="bottom"/>
          </w:tcPr>
          <w:p>
            <w:pPr>
              <w:spacing w:after="0"/>
              <w:rPr>
                <w:sz w:val="19"/>
                <w:szCs w:val="19"/>
                <w:color w:val="auto"/>
              </w:rPr>
            </w:pPr>
          </w:p>
        </w:tc>
      </w:tr>
      <w:tr>
        <w:trPr>
          <w:trHeight w:val="167"/>
        </w:trPr>
        <w:tc>
          <w:tcPr>
            <w:tcW w:w="4540" w:type="dxa"/>
            <w:vAlign w:val="bottom"/>
          </w:tcPr>
          <w:p>
            <w:pPr>
              <w:ind w:left="20"/>
              <w:spacing w:after="0" w:line="167" w:lineRule="exact"/>
              <w:rPr>
                <w:sz w:val="20"/>
                <w:szCs w:val="20"/>
                <w:color w:val="auto"/>
              </w:rPr>
            </w:pPr>
            <w:r>
              <w:rPr>
                <w:rFonts w:ascii="Arial" w:cs="Arial" w:eastAsia="Arial" w:hAnsi="Arial"/>
                <w:sz w:val="17"/>
                <w:szCs w:val="17"/>
                <w:color w:val="auto"/>
              </w:rPr>
              <w:t>Expiration/forfeiture of deposits on pre-acquisition preview</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tcPr>
          <w:p>
            <w:pPr>
              <w:spacing w:after="0"/>
              <w:rPr>
                <w:sz w:val="14"/>
                <w:szCs w:val="14"/>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7"/>
                <w:szCs w:val="17"/>
                <w:color w:val="auto"/>
              </w:rPr>
              <w:t>packages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w:t>
            </w:r>
          </w:p>
        </w:tc>
        <w:tc>
          <w:tcPr>
            <w:tcW w:w="2920" w:type="dxa"/>
            <w:vAlign w:val="bottom"/>
          </w:tcPr>
          <w:p>
            <w:pPr>
              <w:spacing w:after="0"/>
              <w:rPr>
                <w:sz w:val="19"/>
                <w:szCs w:val="19"/>
                <w:color w:val="auto"/>
              </w:rPr>
            </w:pPr>
          </w:p>
        </w:tc>
      </w:tr>
      <w:tr>
        <w:trPr>
          <w:trHeight w:val="245"/>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estimate relating to pre-acquisition contingencies</w:t>
            </w: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920" w:type="dxa"/>
            <w:vAlign w:val="bottom"/>
          </w:tcPr>
          <w:p>
            <w:pPr>
              <w:spacing w:after="0"/>
              <w:rPr>
                <w:sz w:val="21"/>
                <w:szCs w:val="21"/>
                <w:color w:val="auto"/>
              </w:rPr>
            </w:pPr>
          </w:p>
        </w:tc>
      </w:tr>
      <w:tr>
        <w:trPr>
          <w:trHeight w:val="243"/>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8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920" w:type="dxa"/>
            <w:vAlign w:val="bottom"/>
          </w:tcPr>
          <w:p>
            <w:pPr>
              <w:spacing w:after="0"/>
              <w:rPr>
                <w:sz w:val="21"/>
                <w:szCs w:val="21"/>
                <w:color w:val="auto"/>
              </w:rPr>
            </w:pPr>
          </w:p>
        </w:tc>
      </w:tr>
      <w:tr>
        <w:trPr>
          <w:trHeight w:val="232"/>
        </w:trPr>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Certain items</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920" w:type="dxa"/>
            <w:vAlign w:val="bottom"/>
          </w:tcPr>
          <w:p>
            <w:pPr>
              <w:spacing w:after="0"/>
              <w:rPr>
                <w:sz w:val="20"/>
                <w:szCs w:val="20"/>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2"/>
        </w:trPr>
        <w:tc>
          <w:tcPr>
            <w:tcW w:w="4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4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&amp; Third-Party Management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7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financial results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(22%)</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100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(3%)</w:t>
            </w:r>
          </w:p>
        </w:tc>
        <w:tc>
          <w:tcPr>
            <w:tcW w:w="0" w:type="dxa"/>
            <w:vAlign w:val="bottom"/>
          </w:tcPr>
          <w:p>
            <w:pPr>
              <w:spacing w:after="0"/>
              <w:rPr>
                <w:sz w:val="1"/>
                <w:szCs w:val="1"/>
                <w:color w:val="auto"/>
              </w:rPr>
            </w:pPr>
          </w:p>
        </w:tc>
      </w:tr>
      <w:tr>
        <w:trPr>
          <w:trHeight w:val="245"/>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(30%)</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7"/>
                <w:szCs w:val="17"/>
                <w:color w:val="auto"/>
              </w:rPr>
              <w:t>Certain items</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7"/>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0" w:type="dxa"/>
            <w:vAlign w:val="bottom"/>
            <w:tcBorders>
              <w:top w:val="single" w:sz="8" w:color="CCEEFF"/>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(20%)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 for the three months ended September 30, 2023 and September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5"/>
                <w:szCs w:val="15"/>
                <w:b w:val="1"/>
                <w:bCs w:val="1"/>
                <w:color w:val="auto"/>
                <w:w w:val="97"/>
              </w:rPr>
              <w:t>Three Months Ended</w:t>
            </w:r>
          </w:p>
        </w:tc>
        <w:tc>
          <w:tcPr>
            <w:tcW w:w="280" w:type="dxa"/>
            <w:vAlign w:val="bottom"/>
            <w:tcBorders>
              <w:bottom w:val="single" w:sz="8" w:color="auto"/>
            </w:tcBorders>
          </w:tcPr>
          <w:p>
            <w:pPr>
              <w:spacing w:after="0"/>
              <w:rPr>
                <w:sz w:val="17"/>
                <w:szCs w:val="17"/>
                <w:color w:val="auto"/>
              </w:rPr>
            </w:pPr>
          </w:p>
        </w:tc>
      </w:tr>
      <w:tr>
        <w:trPr>
          <w:trHeight w:val="19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September 30, 2023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7"/>
              </w:rPr>
              <w:t>September 30, 2022</w:t>
            </w:r>
          </w:p>
        </w:tc>
        <w:tc>
          <w:tcPr>
            <w:tcW w:w="280" w:type="dxa"/>
            <w:vAlign w:val="bottom"/>
            <w:tcBorders>
              <w:bottom w:val="single" w:sz="8" w:color="auto"/>
            </w:tcBorders>
          </w:tcPr>
          <w:p>
            <w:pPr>
              <w:spacing w:after="0"/>
              <w:rPr>
                <w:sz w:val="17"/>
                <w:szCs w:val="17"/>
                <w:color w:val="auto"/>
              </w:rPr>
            </w:pPr>
          </w:p>
        </w:tc>
      </w:tr>
      <w:tr>
        <w:trPr>
          <w:trHeight w:val="226"/>
        </w:trPr>
        <w:tc>
          <w:tcPr>
            <w:tcW w:w="4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disposition of hotel, land and other</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7"/>
                <w:szCs w:val="17"/>
                <w:color w:val="auto"/>
                <w:w w:val="96"/>
              </w:rPr>
              <w:t>(1)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80" w:type="dxa"/>
            <w:vAlign w:val="bottom"/>
            <w:gridSpan w:val="3"/>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r>
      <w:tr>
        <w:trPr>
          <w:trHeight w:val="243"/>
        </w:trPr>
        <w:tc>
          <w:tcPr>
            <w:tcW w:w="4460" w:type="dxa"/>
            <w:vAlign w:val="bottom"/>
          </w:tcPr>
          <w:p>
            <w:pPr>
              <w:ind w:left="220"/>
              <w:spacing w:after="0"/>
              <w:rPr>
                <w:sz w:val="20"/>
                <w:szCs w:val="20"/>
                <w:color w:val="auto"/>
              </w:rPr>
            </w:pPr>
            <w:r>
              <w:rPr>
                <w:rFonts w:ascii="Arial" w:cs="Arial" w:eastAsia="Arial" w:hAnsi="Arial"/>
                <w:sz w:val="17"/>
                <w:szCs w:val="17"/>
                <w:color w:val="auto"/>
              </w:rPr>
              <w:t>Gain on disposition of VRI Americas</w:t>
            </w:r>
          </w:p>
        </w:tc>
        <w:tc>
          <w:tcPr>
            <w:tcW w:w="200" w:type="dxa"/>
            <w:vAlign w:val="bottom"/>
          </w:tcPr>
          <w:p>
            <w:pPr>
              <w:spacing w:after="0"/>
              <w:rPr>
                <w:sz w:val="21"/>
                <w:szCs w:val="21"/>
                <w:color w:val="auto"/>
              </w:rPr>
            </w:pPr>
          </w:p>
        </w:tc>
        <w:tc>
          <w:tcPr>
            <w:tcW w:w="960" w:type="dxa"/>
            <w:vAlign w:val="bottom"/>
            <w:gridSpan w:val="3"/>
          </w:tcPr>
          <w:p>
            <w:pPr>
              <w:ind w:left="4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4"/>
        </w:trPr>
        <w:tc>
          <w:tcPr>
            <w:tcW w:w="44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currency translation</w:t>
            </w:r>
          </w:p>
        </w:tc>
        <w:tc>
          <w:tcPr>
            <w:tcW w:w="2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24"/>
        </w:trPr>
        <w:tc>
          <w:tcPr>
            <w:tcW w:w="4460" w:type="dxa"/>
            <w:vAlign w:val="bottom"/>
          </w:tcPr>
          <w:p>
            <w:pPr>
              <w:ind w:left="20"/>
              <w:spacing w:after="0"/>
              <w:rPr>
                <w:sz w:val="20"/>
                <w:szCs w:val="20"/>
                <w:color w:val="auto"/>
              </w:rPr>
            </w:pPr>
            <w:r>
              <w:rPr>
                <w:rFonts w:ascii="Arial" w:cs="Arial" w:eastAsia="Arial" w:hAnsi="Arial"/>
                <w:sz w:val="17"/>
                <w:szCs w:val="17"/>
                <w:color w:val="auto"/>
              </w:rPr>
              <w:t>(Gains) losses and other (income) expense, net</w:t>
            </w: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44"/>
        </w:trPr>
        <w:tc>
          <w:tcPr>
            <w:tcW w:w="4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4460" w:type="dxa"/>
            <w:vAlign w:val="bottom"/>
          </w:tcPr>
          <w:p>
            <w:pPr>
              <w:ind w:left="20"/>
              <w:spacing w:after="0"/>
              <w:rPr>
                <w:sz w:val="20"/>
                <w:szCs w:val="20"/>
                <w:color w:val="auto"/>
              </w:rPr>
            </w:pPr>
            <w:r>
              <w:rPr>
                <w:rFonts w:ascii="Arial" w:cs="Arial" w:eastAsia="Arial" w:hAnsi="Arial"/>
                <w:sz w:val="17"/>
                <w:szCs w:val="17"/>
                <w:color w:val="auto"/>
              </w:rPr>
              <w:t>Total Certain items</w:t>
            </w:r>
          </w:p>
        </w:tc>
        <w:tc>
          <w:tcPr>
            <w:tcW w:w="200" w:type="dxa"/>
            <w:vAlign w:val="bottom"/>
          </w:tcPr>
          <w:p>
            <w:pPr>
              <w:spacing w:after="0"/>
              <w:rPr>
                <w:sz w:val="18"/>
                <w:szCs w:val="18"/>
                <w:color w:val="auto"/>
              </w:rPr>
            </w:pPr>
          </w:p>
        </w:tc>
        <w:tc>
          <w:tcPr>
            <w:tcW w:w="960" w:type="dxa"/>
            <w:vAlign w:val="bottom"/>
            <w:gridSpan w:val="3"/>
          </w:tcPr>
          <w:p>
            <w:pPr>
              <w:ind w:left="8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52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7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Segment financial results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(30%)</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1000" w:type="dxa"/>
            <w:vAlign w:val="bottom"/>
            <w:gridSpan w:val="2"/>
          </w:tcPr>
          <w:p>
            <w:pPr>
              <w:jc w:val="center"/>
              <w:ind w:left="14"/>
              <w:spacing w:after="0"/>
              <w:rPr>
                <w:sz w:val="20"/>
                <w:szCs w:val="20"/>
                <w:color w:val="auto"/>
              </w:rPr>
            </w:pPr>
            <w:r>
              <w:rPr>
                <w:rFonts w:ascii="Arial" w:cs="Arial" w:eastAsia="Arial" w:hAnsi="Arial"/>
                <w:sz w:val="17"/>
                <w:szCs w:val="17"/>
                <w:color w:val="auto"/>
                <w:w w:val="94"/>
              </w:rPr>
              <w:t>(2%)</w:t>
            </w:r>
          </w:p>
        </w:tc>
        <w:tc>
          <w:tcPr>
            <w:tcW w:w="0" w:type="dxa"/>
            <w:vAlign w:val="bottom"/>
          </w:tcPr>
          <w:p>
            <w:pPr>
              <w:spacing w:after="0"/>
              <w:rPr>
                <w:sz w:val="1"/>
                <w:szCs w:val="1"/>
                <w:color w:val="auto"/>
              </w:rPr>
            </w:pPr>
          </w:p>
        </w:tc>
      </w:tr>
      <w:tr>
        <w:trPr>
          <w:trHeight w:val="245"/>
        </w:trPr>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(22%)</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7"/>
                <w:szCs w:val="17"/>
                <w:color w:val="auto"/>
              </w:rPr>
              <w:t>Certain items</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37"/>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0" w:type="dxa"/>
            <w:vAlign w:val="bottom"/>
            <w:tcBorders>
              <w:top w:val="single" w:sz="8" w:color="CCEEFF"/>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(15%)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the components of Certain items for the nine months ended September 30, 2023 and September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5"/>
                <w:szCs w:val="15"/>
                <w:b w:val="1"/>
                <w:bCs w:val="1"/>
                <w:color w:val="auto"/>
                <w:w w:val="98"/>
              </w:rPr>
              <w:t>Nine Months Ended</w:t>
            </w:r>
          </w:p>
        </w:tc>
        <w:tc>
          <w:tcPr>
            <w:tcW w:w="560" w:type="dxa"/>
            <w:vAlign w:val="bottom"/>
            <w:tcBorders>
              <w:bottom w:val="single" w:sz="8" w:color="auto"/>
            </w:tcBorders>
          </w:tcPr>
          <w:p>
            <w:pPr>
              <w:spacing w:after="0"/>
              <w:rPr>
                <w:sz w:val="17"/>
                <w:szCs w:val="17"/>
                <w:color w:val="auto"/>
              </w:rPr>
            </w:pPr>
          </w:p>
        </w:tc>
        <w:tc>
          <w:tcPr>
            <w:tcW w:w="2920" w:type="dxa"/>
            <w:vAlign w:val="bottom"/>
          </w:tcPr>
          <w:p>
            <w:pPr>
              <w:spacing w:after="0"/>
              <w:rPr>
                <w:sz w:val="17"/>
                <w:szCs w:val="17"/>
                <w:color w:val="auto"/>
              </w:rPr>
            </w:pPr>
          </w:p>
        </w:tc>
      </w:tr>
      <w:tr>
        <w:trPr>
          <w:trHeight w:val="199"/>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5"/>
                <w:szCs w:val="15"/>
                <w:b w:val="1"/>
                <w:bCs w:val="1"/>
                <w:color w:val="auto"/>
                <w:w w:val="97"/>
              </w:rPr>
              <w:t>September 30, 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5"/>
                <w:szCs w:val="15"/>
                <w:b w:val="1"/>
                <w:bCs w:val="1"/>
                <w:color w:val="auto"/>
                <w:w w:val="97"/>
              </w:rPr>
              <w:t>September 30, 2022</w:t>
            </w:r>
          </w:p>
        </w:tc>
        <w:tc>
          <w:tcPr>
            <w:tcW w:w="2920" w:type="dxa"/>
            <w:vAlign w:val="bottom"/>
          </w:tcPr>
          <w:p>
            <w:pPr>
              <w:spacing w:after="0"/>
              <w:rPr>
                <w:sz w:val="17"/>
                <w:szCs w:val="17"/>
                <w:color w:val="auto"/>
              </w:rPr>
            </w:pPr>
          </w:p>
        </w:tc>
      </w:tr>
      <w:tr>
        <w:trPr>
          <w:trHeight w:val="226"/>
        </w:trPr>
        <w:tc>
          <w:tcPr>
            <w:tcW w:w="4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disposition of hotel, land and other</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2920" w:type="dxa"/>
            <w:vAlign w:val="bottom"/>
          </w:tcPr>
          <w:p>
            <w:pPr>
              <w:spacing w:after="0"/>
              <w:rPr>
                <w:sz w:val="19"/>
                <w:szCs w:val="19"/>
                <w:color w:val="auto"/>
              </w:rPr>
            </w:pPr>
          </w:p>
        </w:tc>
      </w:tr>
      <w:tr>
        <w:trPr>
          <w:trHeight w:val="243"/>
        </w:trPr>
        <w:tc>
          <w:tcPr>
            <w:tcW w:w="4440" w:type="dxa"/>
            <w:vAlign w:val="bottom"/>
          </w:tcPr>
          <w:p>
            <w:pPr>
              <w:ind w:left="220"/>
              <w:spacing w:after="0"/>
              <w:rPr>
                <w:sz w:val="20"/>
                <w:szCs w:val="20"/>
                <w:color w:val="auto"/>
              </w:rPr>
            </w:pPr>
            <w:r>
              <w:rPr>
                <w:rFonts w:ascii="Arial" w:cs="Arial" w:eastAsia="Arial" w:hAnsi="Arial"/>
                <w:sz w:val="17"/>
                <w:szCs w:val="17"/>
                <w:color w:val="auto"/>
              </w:rPr>
              <w:t>Gain on disposition of VRI Americas</w:t>
            </w:r>
          </w:p>
        </w:tc>
        <w:tc>
          <w:tcPr>
            <w:tcW w:w="200" w:type="dxa"/>
            <w:vAlign w:val="bottom"/>
          </w:tcPr>
          <w:p>
            <w:pPr>
              <w:spacing w:after="0"/>
              <w:rPr>
                <w:sz w:val="21"/>
                <w:szCs w:val="21"/>
                <w:color w:val="auto"/>
              </w:rPr>
            </w:pPr>
          </w:p>
        </w:tc>
        <w:tc>
          <w:tcPr>
            <w:tcW w:w="1000" w:type="dxa"/>
            <w:vAlign w:val="bottom"/>
            <w:gridSpan w:val="3"/>
          </w:tcPr>
          <w:p>
            <w:pPr>
              <w:ind w:left="420"/>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44"/>
        </w:trPr>
        <w:tc>
          <w:tcPr>
            <w:tcW w:w="44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currency translation</w:t>
            </w:r>
          </w:p>
        </w:tc>
        <w:tc>
          <w:tcPr>
            <w:tcW w:w="2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920" w:type="dxa"/>
            <w:vAlign w:val="bottom"/>
          </w:tcPr>
          <w:p>
            <w:pPr>
              <w:spacing w:after="0"/>
              <w:rPr>
                <w:sz w:val="21"/>
                <w:szCs w:val="21"/>
                <w:color w:val="auto"/>
              </w:rPr>
            </w:pPr>
          </w:p>
        </w:tc>
      </w:tr>
      <w:tr>
        <w:trPr>
          <w:trHeight w:val="224"/>
        </w:trPr>
        <w:tc>
          <w:tcPr>
            <w:tcW w:w="4440" w:type="dxa"/>
            <w:vAlign w:val="bottom"/>
          </w:tcPr>
          <w:p>
            <w:pPr>
              <w:ind w:left="20"/>
              <w:spacing w:after="0"/>
              <w:rPr>
                <w:sz w:val="20"/>
                <w:szCs w:val="20"/>
                <w:color w:val="auto"/>
              </w:rPr>
            </w:pPr>
            <w:r>
              <w:rPr>
                <w:rFonts w:ascii="Arial" w:cs="Arial" w:eastAsia="Arial" w:hAnsi="Arial"/>
                <w:sz w:val="17"/>
                <w:szCs w:val="17"/>
                <w:color w:val="auto"/>
              </w:rPr>
              <w:t>Gains and other income, net</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2920" w:type="dxa"/>
            <w:vAlign w:val="bottom"/>
          </w:tcPr>
          <w:p>
            <w:pPr>
              <w:spacing w:after="0"/>
              <w:rPr>
                <w:sz w:val="19"/>
                <w:szCs w:val="19"/>
                <w:color w:val="auto"/>
              </w:rPr>
            </w:pPr>
          </w:p>
        </w:tc>
      </w:tr>
      <w:tr>
        <w:trPr>
          <w:trHeight w:val="245"/>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Early termination of VRI management contract</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920" w:type="dxa"/>
            <w:vAlign w:val="bottom"/>
          </w:tcPr>
          <w:p>
            <w:pPr>
              <w:spacing w:after="0"/>
              <w:rPr>
                <w:sz w:val="21"/>
                <w:szCs w:val="21"/>
                <w:color w:val="auto"/>
              </w:rPr>
            </w:pPr>
          </w:p>
        </w:tc>
      </w:tr>
      <w:tr>
        <w:trPr>
          <w:trHeight w:val="24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920" w:type="dxa"/>
            <w:vAlign w:val="bottom"/>
          </w:tcPr>
          <w:p>
            <w:pPr>
              <w:spacing w:after="0"/>
              <w:rPr>
                <w:sz w:val="21"/>
                <w:szCs w:val="21"/>
                <w:color w:val="auto"/>
              </w:rPr>
            </w:pPr>
          </w:p>
        </w:tc>
      </w:tr>
      <w:tr>
        <w:trPr>
          <w:trHeight w:val="232"/>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Certain items</w:t>
            </w:r>
          </w:p>
        </w:tc>
        <w:tc>
          <w:tcPr>
            <w:tcW w:w="2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920" w:type="dxa"/>
            <w:vAlign w:val="bottom"/>
          </w:tcPr>
          <w:p>
            <w:pPr>
              <w:spacing w:after="0"/>
              <w:rPr>
                <w:sz w:val="20"/>
                <w:szCs w:val="20"/>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522"/>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16"/>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43"/>
        </w:trPr>
        <w:tc>
          <w:tcPr>
            <w:tcW w:w="4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19" w:lineRule="exact"/>
        <w:rPr>
          <w:sz w:val="20"/>
          <w:szCs w:val="20"/>
          <w:color w:val="auto"/>
        </w:rPr>
      </w:pPr>
    </w:p>
    <w:p>
      <w:pPr>
        <w:ind w:right="580"/>
        <w:spacing w:after="0" w:line="277" w:lineRule="auto"/>
        <w:rPr>
          <w:sz w:val="20"/>
          <w:szCs w:val="20"/>
          <w:color w:val="auto"/>
        </w:rPr>
      </w:pPr>
      <w:r>
        <w:rPr>
          <w:rFonts w:ascii="Arial" w:cs="Arial" w:eastAsia="Arial" w:hAnsi="Arial"/>
          <w:sz w:val="17"/>
          <w:szCs w:val="17"/>
          <w:color w:val="auto"/>
        </w:rPr>
        <w:t>Our business is grouped into two reportable business segments: Vacation Ownership and Exchange &amp; Third-Party Management. See Footnote 16 “Business Segments” to our Financial Statements for further information on our segments.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Vacation Ownership</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ind w:left="46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5340" w:type="dxa"/>
            <w:vAlign w:val="bottom"/>
            <w:gridSpan w:val="5"/>
          </w:tcPr>
          <w:p>
            <w:pPr>
              <w:ind w:left="480"/>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50"/>
        </w:trPr>
        <w:tc>
          <w:tcPr>
            <w:tcW w:w="3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5"/>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55"/>
              <w:spacing w:after="0" w:line="150" w:lineRule="exact"/>
              <w:rPr>
                <w:sz w:val="20"/>
                <w:szCs w:val="20"/>
                <w:color w:val="auto"/>
              </w:rPr>
            </w:pPr>
            <w:r>
              <w:rPr>
                <w:rFonts w:ascii="Arial" w:cs="Arial" w:eastAsia="Arial" w:hAnsi="Arial"/>
                <w:sz w:val="15"/>
                <w:szCs w:val="15"/>
                <w:b w:val="1"/>
                <w:bCs w:val="1"/>
                <w:color w:val="auto"/>
                <w:w w:val="89"/>
              </w:rPr>
              <w:t>September 30,</w:t>
            </w: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2022</w:t>
            </w:r>
          </w:p>
        </w:tc>
        <w:tc>
          <w:tcPr>
            <w:tcW w:w="2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Sale of vacation ownership products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319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444</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1,085</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1,179</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6"/>
              </w:rPr>
              <w:t>Resort management and other services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Rental</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405</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1,026</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1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REVENUES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3,335</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3,229</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EXPENSES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vacation ownership products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Marketing and sales</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603</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6"/>
              </w:rPr>
              <w:t>Resort management and other services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Rental</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Financing</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Litigation charges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Royalty fee</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84</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Impairment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1,026</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EXPENSES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2,542</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220"/>
              <w:spacing w:after="0"/>
              <w:rPr>
                <w:sz w:val="20"/>
                <w:szCs w:val="20"/>
                <w:color w:val="auto"/>
              </w:rPr>
            </w:pPr>
            <w:r>
              <w:rPr>
                <w:rFonts w:ascii="Arial" w:cs="Arial" w:eastAsia="Arial" w:hAnsi="Arial"/>
                <w:sz w:val="17"/>
                <w:szCs w:val="17"/>
                <w:color w:val="auto"/>
              </w:rPr>
              <w:t>Gains and other income, net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Transaction and integration costs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22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4000" w:type="dxa"/>
            <w:vAlign w:val="bottom"/>
            <w:gridSpan w:val="2"/>
          </w:tcPr>
          <w:p>
            <w:pPr>
              <w:jc w:val="right"/>
              <w:ind w:right="30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rPr>
              <w:t>SEGMENT FINANCIAL RESULTS</w:t>
            </w: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1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b w:val="1"/>
                <w:bCs w:val="1"/>
                <w:color w:val="auto"/>
              </w:rPr>
              <w:t>BEFORE NONCONTROLLING</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INTERESTS</w:t>
            </w: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line="180" w:lineRule="exact"/>
              <w:rPr>
                <w:sz w:val="20"/>
                <w:szCs w:val="20"/>
                <w:color w:val="auto"/>
              </w:rPr>
            </w:pPr>
            <w:r>
              <w:rPr>
                <w:rFonts w:ascii="Arial" w:cs="Arial" w:eastAsia="Arial" w:hAnsi="Arial"/>
                <w:sz w:val="17"/>
                <w:szCs w:val="17"/>
                <w:color w:val="auto"/>
              </w:rPr>
              <w:t>Net income attributable to noncontrolling</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100" w:type="dxa"/>
            <w:vAlign w:val="bottom"/>
          </w:tcPr>
          <w:p>
            <w:pPr>
              <w:ind w:left="20"/>
              <w:spacing w:after="0"/>
              <w:rPr>
                <w:sz w:val="20"/>
                <w:szCs w:val="20"/>
                <w:color w:val="auto"/>
              </w:rPr>
            </w:pPr>
            <w:r>
              <w:rPr>
                <w:rFonts w:ascii="Arial" w:cs="Arial" w:eastAsia="Arial" w:hAnsi="Arial"/>
                <w:sz w:val="17"/>
                <w:szCs w:val="17"/>
                <w:color w:val="auto"/>
              </w:rPr>
              <w:t>interests</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000" w:type="dxa"/>
            <w:vAlign w:val="bottom"/>
            <w:gridSpan w:val="2"/>
          </w:tcPr>
          <w:p>
            <w:pPr>
              <w:jc w:val="right"/>
              <w:ind w:right="30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rPr>
              <w:t>SEGMENT FINANCIAL RESULTS</w:t>
            </w: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1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b w:val="1"/>
                <w:bCs w:val="1"/>
                <w:color w:val="auto"/>
              </w:rPr>
              <w:t>ATTRIBUTABLE TO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4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4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0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b w:val="1"/>
                <w:bCs w:val="1"/>
                <w:color w:val="auto"/>
              </w:rPr>
              <w:t>SHAREHOLDERS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875"/>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Vacation Ownership Products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0" w:lineRule="exact"/>
              <w:rPr>
                <w:sz w:val="20"/>
                <w:szCs w:val="20"/>
                <w:color w:val="auto"/>
              </w:rPr>
            </w:pPr>
            <w:r>
              <w:rPr>
                <w:rFonts w:ascii="Arial" w:cs="Arial" w:eastAsia="Arial" w:hAnsi="Arial"/>
                <w:sz w:val="15"/>
                <w:szCs w:val="15"/>
                <w:b w:val="1"/>
                <w:bCs w:val="1"/>
                <w:color w:val="auto"/>
              </w:rPr>
              <w:t>% of</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4" w:lineRule="exact"/>
              <w:rPr>
                <w:sz w:val="20"/>
                <w:szCs w:val="20"/>
                <w:color w:val="auto"/>
              </w:rPr>
            </w:pPr>
            <w:r>
              <w:rPr>
                <w:rFonts w:ascii="Arial" w:cs="Arial" w:eastAsia="Arial" w:hAnsi="Arial"/>
                <w:sz w:val="15"/>
                <w:szCs w:val="15"/>
                <w:b w:val="1"/>
                <w:bCs w:val="1"/>
                <w:color w:val="auto"/>
                <w:w w:val="90"/>
              </w:rPr>
              <w:t>Consolidated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line="154" w:lineRule="exact"/>
              <w:rPr>
                <w:sz w:val="20"/>
                <w:szCs w:val="20"/>
                <w:color w:val="auto"/>
              </w:rPr>
            </w:pPr>
            <w:r>
              <w:rPr>
                <w:rFonts w:ascii="Arial" w:cs="Arial" w:eastAsia="Arial" w:hAnsi="Arial"/>
                <w:sz w:val="15"/>
                <w:szCs w:val="15"/>
                <w:b w:val="1"/>
                <w:bCs w:val="1"/>
                <w:color w:val="auto"/>
                <w:w w:val="90"/>
              </w:rPr>
              <w:t>Consolidated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September</w:t>
            </w: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4" w:lineRule="exact"/>
              <w:rPr>
                <w:sz w:val="20"/>
                <w:szCs w:val="20"/>
                <w:color w:val="auto"/>
              </w:rPr>
            </w:pPr>
            <w:r>
              <w:rPr>
                <w:rFonts w:ascii="Arial" w:cs="Arial" w:eastAsia="Arial" w:hAnsi="Arial"/>
                <w:sz w:val="15"/>
                <w:szCs w:val="15"/>
                <w:b w:val="1"/>
                <w:bCs w:val="1"/>
                <w:color w:val="auto"/>
                <w:w w:val="97"/>
              </w:rPr>
              <w:t>Contract</w:t>
            </w:r>
          </w:p>
        </w:tc>
        <w:tc>
          <w:tcPr>
            <w:tcW w:w="900" w:type="dxa"/>
            <w:vAlign w:val="bottom"/>
            <w:gridSpan w:val="2"/>
            <w:vMerge w:val="restart"/>
          </w:tcPr>
          <w:p>
            <w:pPr>
              <w:jc w:val="right"/>
              <w:ind w:right="15"/>
              <w:spacing w:after="0"/>
              <w:rPr>
                <w:sz w:val="20"/>
                <w:szCs w:val="20"/>
                <w:color w:val="auto"/>
              </w:rPr>
            </w:pPr>
            <w:r>
              <w:rPr>
                <w:rFonts w:ascii="Arial" w:cs="Arial" w:eastAsia="Arial" w:hAnsi="Arial"/>
                <w:sz w:val="15"/>
                <w:szCs w:val="15"/>
                <w:b w:val="1"/>
                <w:bCs w:val="1"/>
                <w:color w:val="auto"/>
              </w:rPr>
              <w:t>September</w:t>
            </w:r>
          </w:p>
        </w:tc>
        <w:tc>
          <w:tcPr>
            <w:tcW w:w="120" w:type="dxa"/>
            <w:vAlign w:val="bottom"/>
          </w:tcPr>
          <w:p>
            <w:pPr>
              <w:spacing w:after="0"/>
              <w:rPr>
                <w:sz w:val="13"/>
                <w:szCs w:val="13"/>
                <w:color w:val="auto"/>
              </w:rPr>
            </w:pPr>
          </w:p>
        </w:tc>
        <w:tc>
          <w:tcPr>
            <w:tcW w:w="1120" w:type="dxa"/>
            <w:vAlign w:val="bottom"/>
            <w:gridSpan w:val="2"/>
          </w:tcPr>
          <w:p>
            <w:pPr>
              <w:jc w:val="center"/>
              <w:ind w:right="140"/>
              <w:spacing w:after="0" w:line="154" w:lineRule="exact"/>
              <w:rPr>
                <w:sz w:val="20"/>
                <w:szCs w:val="20"/>
                <w:color w:val="auto"/>
              </w:rPr>
            </w:pPr>
            <w:r>
              <w:rPr>
                <w:rFonts w:ascii="Arial" w:cs="Arial" w:eastAsia="Arial" w:hAnsi="Arial"/>
                <w:sz w:val="15"/>
                <w:szCs w:val="15"/>
                <w:b w:val="1"/>
                <w:bCs w:val="1"/>
                <w:color w:val="auto"/>
                <w:w w:val="93"/>
              </w:rPr>
              <w:t>Contract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4" w:lineRule="exact"/>
              <w:rPr>
                <w:sz w:val="20"/>
                <w:szCs w:val="20"/>
                <w:color w:val="auto"/>
              </w:rPr>
            </w:pPr>
            <w:r>
              <w:rPr>
                <w:rFonts w:ascii="Arial" w:cs="Arial" w:eastAsia="Arial" w:hAnsi="Arial"/>
                <w:sz w:val="15"/>
                <w:szCs w:val="15"/>
                <w:b w:val="1"/>
                <w:bCs w:val="1"/>
                <w:color w:val="auto"/>
                <w:w w:val="88"/>
              </w:rPr>
              <w:t>Sales, Net of</w:t>
            </w: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4" w:lineRule="exact"/>
              <w:rPr>
                <w:sz w:val="20"/>
                <w:szCs w:val="20"/>
                <w:color w:val="auto"/>
              </w:rPr>
            </w:pPr>
            <w:r>
              <w:rPr>
                <w:rFonts w:ascii="Arial" w:cs="Arial" w:eastAsia="Arial" w:hAnsi="Arial"/>
                <w:sz w:val="15"/>
                <w:szCs w:val="15"/>
                <w:b w:val="1"/>
                <w:bCs w:val="1"/>
                <w:color w:val="auto"/>
                <w:w w:val="88"/>
              </w:rPr>
              <w:t>Sales, Net of</w:t>
            </w:r>
          </w:p>
        </w:tc>
        <w:tc>
          <w:tcPr>
            <w:tcW w:w="120" w:type="dxa"/>
            <w:vAlign w:val="bottom"/>
          </w:tcPr>
          <w:p>
            <w:pPr>
              <w:spacing w:after="0"/>
              <w:rPr>
                <w:sz w:val="13"/>
                <w:szCs w:val="13"/>
                <w:color w:val="auto"/>
              </w:rPr>
            </w:pPr>
          </w:p>
        </w:tc>
        <w:tc>
          <w:tcPr>
            <w:tcW w:w="660" w:type="dxa"/>
            <w:vAlign w:val="bottom"/>
            <w:vMerge w:val="restart"/>
          </w:tcPr>
          <w:p>
            <w:pPr>
              <w:jc w:val="right"/>
              <w:ind w:right="55"/>
              <w:spacing w:after="0"/>
              <w:rPr>
                <w:sz w:val="20"/>
                <w:szCs w:val="20"/>
                <w:color w:val="auto"/>
              </w:rPr>
            </w:pPr>
            <w:r>
              <w:rPr>
                <w:rFonts w:ascii="Arial" w:cs="Arial" w:eastAsia="Arial" w:hAnsi="Arial"/>
                <w:sz w:val="15"/>
                <w:szCs w:val="15"/>
                <w:b w:val="1"/>
                <w:bCs w:val="1"/>
                <w:color w:val="auto"/>
                <w:w w:val="90"/>
              </w:rPr>
              <w:t>Change</w:t>
            </w:r>
          </w:p>
        </w:tc>
        <w:tc>
          <w:tcPr>
            <w:tcW w:w="120" w:type="dxa"/>
            <w:vAlign w:val="bottom"/>
          </w:tcPr>
          <w:p>
            <w:pPr>
              <w:spacing w:after="0"/>
              <w:rPr>
                <w:sz w:val="13"/>
                <w:szCs w:val="13"/>
                <w:color w:val="auto"/>
              </w:rPr>
            </w:pPr>
          </w:p>
        </w:tc>
        <w:tc>
          <w:tcPr>
            <w:tcW w:w="740" w:type="dxa"/>
            <w:vAlign w:val="bottom"/>
            <w:vMerge w:val="restart"/>
          </w:tcPr>
          <w:p>
            <w:pPr>
              <w:ind w:left="20"/>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15"/>
                <w:szCs w:val="15"/>
                <w:b w:val="1"/>
                <w:bCs w:val="1"/>
                <w:color w:val="auto"/>
                <w:w w:val="95"/>
              </w:rPr>
              <w:t>30, 2023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Resales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5"/>
                <w:szCs w:val="15"/>
                <w:b w:val="1"/>
                <w:bCs w:val="1"/>
                <w:color w:val="auto"/>
                <w:w w:val="95"/>
              </w:rPr>
              <w:t>30, 2022</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Resales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Total consolidated contract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6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4"/>
              </w:rPr>
              <w:t>(9%)</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Joint venture contract sales</w:t>
            </w: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86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2"/>
              </w:rPr>
              <w:t>(51%)</w:t>
            </w:r>
          </w:p>
        </w:tc>
        <w:tc>
          <w:tcPr>
            <w:tcW w:w="0" w:type="dxa"/>
            <w:vAlign w:val="bottom"/>
          </w:tcPr>
          <w:p>
            <w:pPr>
              <w:spacing w:after="0"/>
              <w:rPr>
                <w:sz w:val="1"/>
                <w:szCs w:val="1"/>
                <w:color w:val="auto"/>
              </w:rPr>
            </w:pPr>
          </w:p>
        </w:tc>
      </w:tr>
      <w:tr>
        <w:trPr>
          <w:trHeight w:val="225"/>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contract sales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86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(10%)</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7"/>
                <w:szCs w:val="17"/>
                <w:color w:val="auto"/>
              </w:rPr>
              <w:t>Less: resales contract sales</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Less: joint venture contract sales</w:t>
            </w: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400" w:type="dxa"/>
            <w:vAlign w:val="bottom"/>
          </w:tcPr>
          <w:p>
            <w:pPr>
              <w:ind w:left="20"/>
              <w:spacing w:after="0" w:line="160" w:lineRule="exact"/>
              <w:rPr>
                <w:sz w:val="20"/>
                <w:szCs w:val="20"/>
                <w:color w:val="auto"/>
              </w:rPr>
            </w:pPr>
            <w:r>
              <w:rPr>
                <w:rFonts w:ascii="Arial" w:cs="Arial" w:eastAsia="Arial" w:hAnsi="Arial"/>
                <w:sz w:val="17"/>
                <w:szCs w:val="17"/>
                <w:color w:val="auto"/>
                <w:w w:val="90"/>
              </w:rPr>
              <w:t>Consolidated contract sales, net of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400" w:type="dxa"/>
            <w:vAlign w:val="bottom"/>
          </w:tcPr>
          <w:p>
            <w:pPr>
              <w:ind w:left="20"/>
              <w:spacing w:after="0"/>
              <w:rPr>
                <w:sz w:val="20"/>
                <w:szCs w:val="20"/>
                <w:color w:val="auto"/>
              </w:rPr>
            </w:pPr>
            <w:r>
              <w:rPr>
                <w:rFonts w:ascii="Arial" w:cs="Arial" w:eastAsia="Arial" w:hAnsi="Arial"/>
                <w:sz w:val="17"/>
                <w:szCs w:val="17"/>
                <w:color w:val="auto"/>
              </w:rPr>
              <w:t>resales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(46)</w:t>
            </w:r>
          </w:p>
        </w:tc>
        <w:tc>
          <w:tcPr>
            <w:tcW w:w="860" w:type="dxa"/>
            <w:vAlign w:val="bottom"/>
            <w:gridSpan w:val="2"/>
          </w:tcPr>
          <w:p>
            <w:pPr>
              <w:jc w:val="center"/>
              <w:ind w:left="34"/>
              <w:spacing w:after="0"/>
              <w:rPr>
                <w:sz w:val="20"/>
                <w:szCs w:val="20"/>
                <w:color w:val="auto"/>
              </w:rPr>
            </w:pPr>
            <w:r>
              <w:rPr>
                <w:rFonts w:ascii="Arial" w:cs="Arial" w:eastAsia="Arial" w:hAnsi="Arial"/>
                <w:sz w:val="17"/>
                <w:szCs w:val="17"/>
                <w:color w:val="auto"/>
                <w:w w:val="92"/>
              </w:rPr>
              <w:t>(10%)</w:t>
            </w:r>
          </w:p>
        </w:tc>
        <w:tc>
          <w:tcPr>
            <w:tcW w:w="0" w:type="dxa"/>
            <w:vAlign w:val="bottom"/>
          </w:tcPr>
          <w:p>
            <w:pPr>
              <w:spacing w:after="0"/>
              <w:rPr>
                <w:sz w:val="1"/>
                <w:szCs w:val="1"/>
                <w:color w:val="auto"/>
              </w:rPr>
            </w:pPr>
          </w:p>
        </w:tc>
      </w:tr>
      <w:tr>
        <w:trPr>
          <w:trHeight w:val="245"/>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Plus:</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20"/>
              <w:spacing w:after="0"/>
              <w:rPr>
                <w:sz w:val="20"/>
                <w:szCs w:val="20"/>
                <w:color w:val="auto"/>
              </w:rPr>
            </w:pPr>
            <w:r>
              <w:rPr>
                <w:rFonts w:ascii="Arial" w:cs="Arial" w:eastAsia="Arial" w:hAnsi="Arial"/>
                <w:sz w:val="17"/>
                <w:szCs w:val="17"/>
                <w:color w:val="auto"/>
              </w:rPr>
              <w:t>Settlement revenue</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w:t>
            </w:r>
          </w:p>
        </w:tc>
        <w:tc>
          <w:tcPr>
            <w:tcW w:w="1120" w:type="dxa"/>
            <w:vAlign w:val="bottom"/>
            <w:gridSpan w:val="2"/>
          </w:tcPr>
          <w:p>
            <w:pPr>
              <w:jc w:val="center"/>
              <w:ind w:left="54"/>
              <w:spacing w:after="0"/>
              <w:rPr>
                <w:sz w:val="20"/>
                <w:szCs w:val="20"/>
                <w:color w:val="auto"/>
              </w:rPr>
            </w:pPr>
            <w:r>
              <w:rPr>
                <w:rFonts w:ascii="Arial" w:cs="Arial" w:eastAsia="Arial" w:hAnsi="Arial"/>
                <w:sz w:val="17"/>
                <w:szCs w:val="17"/>
                <w:color w:val="auto"/>
                <w:w w:val="89"/>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w:t>
            </w:r>
          </w:p>
        </w:tc>
        <w:tc>
          <w:tcPr>
            <w:tcW w:w="1120" w:type="dxa"/>
            <w:vAlign w:val="bottom"/>
            <w:gridSpan w:val="2"/>
          </w:tcPr>
          <w:p>
            <w:pPr>
              <w:jc w:val="center"/>
              <w:ind w:left="14"/>
              <w:spacing w:after="0"/>
              <w:rPr>
                <w:sz w:val="20"/>
                <w:szCs w:val="20"/>
                <w:color w:val="auto"/>
              </w:rPr>
            </w:pPr>
            <w:r>
              <w:rPr>
                <w:rFonts w:ascii="Arial" w:cs="Arial" w:eastAsia="Arial" w:hAnsi="Arial"/>
                <w:sz w:val="17"/>
                <w:szCs w:val="17"/>
                <w:color w:val="auto"/>
                <w:w w:val="89"/>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Resales revenue</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1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89"/>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12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7"/>
                <w:szCs w:val="17"/>
                <w:color w:val="auto"/>
                <w:w w:val="91"/>
              </w:rPr>
              <w:t>Revenue recognition adjustments:</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Reportability</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9"/>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1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3"/>
              </w:rPr>
              <w:t>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20"/>
              <w:spacing w:after="0"/>
              <w:rPr>
                <w:sz w:val="20"/>
                <w:szCs w:val="20"/>
                <w:color w:val="auto"/>
              </w:rPr>
            </w:pPr>
            <w:r>
              <w:rPr>
                <w:rFonts w:ascii="Arial" w:cs="Arial" w:eastAsia="Arial" w:hAnsi="Arial"/>
                <w:sz w:val="17"/>
                <w:szCs w:val="17"/>
                <w:color w:val="auto"/>
              </w:rPr>
              <w:t>Sales reserve</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(102)</w:t>
            </w:r>
          </w:p>
        </w:tc>
        <w:tc>
          <w:tcPr>
            <w:tcW w:w="1120" w:type="dxa"/>
            <w:vAlign w:val="bottom"/>
            <w:gridSpan w:val="2"/>
          </w:tcPr>
          <w:p>
            <w:pPr>
              <w:jc w:val="center"/>
              <w:ind w:left="54"/>
              <w:spacing w:after="0"/>
              <w:rPr>
                <w:sz w:val="20"/>
                <w:szCs w:val="20"/>
                <w:color w:val="auto"/>
              </w:rPr>
            </w:pPr>
            <w:r>
              <w:rPr>
                <w:rFonts w:ascii="Arial" w:cs="Arial" w:eastAsia="Arial" w:hAnsi="Arial"/>
                <w:sz w:val="17"/>
                <w:szCs w:val="17"/>
                <w:color w:val="auto"/>
                <w:w w:val="92"/>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(64)</w:t>
            </w:r>
          </w:p>
        </w:tc>
        <w:tc>
          <w:tcPr>
            <w:tcW w:w="1120" w:type="dxa"/>
            <w:vAlign w:val="bottom"/>
            <w:gridSpan w:val="2"/>
          </w:tcPr>
          <w:p>
            <w:pPr>
              <w:jc w:val="center"/>
              <w:ind w:left="14"/>
              <w:spacing w:after="0"/>
              <w:rPr>
                <w:sz w:val="20"/>
                <w:szCs w:val="20"/>
                <w:color w:val="auto"/>
              </w:rPr>
            </w:pPr>
            <w:r>
              <w:rPr>
                <w:rFonts w:ascii="Arial" w:cs="Arial" w:eastAsia="Arial" w:hAnsi="Arial"/>
                <w:sz w:val="17"/>
                <w:szCs w:val="17"/>
                <w:color w:val="auto"/>
                <w:w w:val="92"/>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400" w:type="dxa"/>
            <w:vAlign w:val="bottom"/>
            <w:shd w:val="clear" w:color="auto" w:fill="CCEEFF"/>
          </w:tcPr>
          <w:p>
            <w:pPr>
              <w:ind w:left="220"/>
              <w:spacing w:after="0" w:line="244"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1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4"/>
              </w:rPr>
              <w:t>(6%)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12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4"/>
              </w:rPr>
              <w:t>(7%)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400" w:type="dxa"/>
            <w:vAlign w:val="bottom"/>
          </w:tcPr>
          <w:p>
            <w:pPr>
              <w:ind w:left="20"/>
              <w:spacing w:after="0" w:line="160" w:lineRule="exact"/>
              <w:rPr>
                <w:sz w:val="20"/>
                <w:szCs w:val="20"/>
                <w:color w:val="auto"/>
              </w:rPr>
            </w:pPr>
            <w:r>
              <w:rPr>
                <w:rFonts w:ascii="Arial" w:cs="Arial" w:eastAsia="Arial" w:hAnsi="Arial"/>
                <w:sz w:val="17"/>
                <w:szCs w:val="17"/>
                <w:color w:val="auto"/>
              </w:rPr>
              <w:t>Sale of vacation ownership</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319</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444</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400" w:type="dxa"/>
            <w:vAlign w:val="bottom"/>
          </w:tcPr>
          <w:p>
            <w:pPr>
              <w:ind w:left="20"/>
              <w:spacing w:after="0" w:line="192" w:lineRule="exact"/>
              <w:rPr>
                <w:sz w:val="20"/>
                <w:szCs w:val="20"/>
                <w:color w:val="auto"/>
              </w:rPr>
            </w:pPr>
            <w:r>
              <w:rPr>
                <w:rFonts w:ascii="Arial" w:cs="Arial" w:eastAsia="Arial" w:hAnsi="Arial"/>
                <w:sz w:val="17"/>
                <w:szCs w:val="17"/>
                <w:color w:val="auto"/>
              </w:rPr>
              <w:t>products</w:t>
            </w:r>
          </w:p>
        </w:tc>
        <w:tc>
          <w:tcPr>
            <w:tcW w:w="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120" w:type="dxa"/>
            <w:vAlign w:val="bottom"/>
            <w:gridSpan w:val="2"/>
          </w:tcPr>
          <w:p>
            <w:pPr>
              <w:jc w:val="center"/>
              <w:ind w:left="34"/>
              <w:spacing w:after="0" w:line="192" w:lineRule="exact"/>
              <w:rPr>
                <w:sz w:val="20"/>
                <w:szCs w:val="20"/>
                <w:color w:val="auto"/>
              </w:rPr>
            </w:pPr>
            <w:r>
              <w:rPr>
                <w:rFonts w:ascii="Arial" w:cs="Arial" w:eastAsia="Arial" w:hAnsi="Arial"/>
                <w:sz w:val="17"/>
                <w:szCs w:val="17"/>
                <w:color w:val="auto"/>
                <w:w w:val="93"/>
              </w:rPr>
              <w:t>74%</w:t>
            </w: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120" w:type="dxa"/>
            <w:vAlign w:val="bottom"/>
            <w:gridSpan w:val="2"/>
          </w:tcPr>
          <w:p>
            <w:pPr>
              <w:jc w:val="center"/>
              <w:ind w:left="34"/>
              <w:spacing w:after="0" w:line="192" w:lineRule="exact"/>
              <w:rPr>
                <w:sz w:val="20"/>
                <w:szCs w:val="20"/>
                <w:color w:val="auto"/>
              </w:rPr>
            </w:pPr>
            <w:r>
              <w:rPr>
                <w:rFonts w:ascii="Arial" w:cs="Arial" w:eastAsia="Arial" w:hAnsi="Arial"/>
                <w:sz w:val="17"/>
                <w:szCs w:val="17"/>
                <w:color w:val="auto"/>
                <w:w w:val="93"/>
              </w:rPr>
              <w:t>94%</w:t>
            </w: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60" w:type="dxa"/>
            <w:vAlign w:val="bottom"/>
            <w:gridSpan w:val="2"/>
          </w:tcPr>
          <w:p>
            <w:pPr>
              <w:jc w:val="center"/>
              <w:ind w:left="34"/>
              <w:spacing w:after="0" w:line="192" w:lineRule="exact"/>
              <w:rPr>
                <w:sz w:val="20"/>
                <w:szCs w:val="20"/>
                <w:color w:val="auto"/>
              </w:rPr>
            </w:pPr>
            <w:r>
              <w:rPr>
                <w:rFonts w:ascii="Arial" w:cs="Arial" w:eastAsia="Arial" w:hAnsi="Arial"/>
                <w:sz w:val="17"/>
                <w:szCs w:val="17"/>
                <w:color w:val="auto"/>
                <w:w w:val="92"/>
              </w:rPr>
              <w:t>(28%)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right="700" w:hanging="317"/>
        <w:spacing w:after="0" w:line="225" w:lineRule="auto"/>
        <w:tabs>
          <w:tab w:leader="none" w:pos="308" w:val="left"/>
        </w:tabs>
        <w:numPr>
          <w:ilvl w:val="0"/>
          <w:numId w:val="31"/>
        </w:numPr>
        <w:rPr>
          <w:rFonts w:ascii="Arial" w:cs="Arial" w:eastAsia="Arial" w:hAnsi="Arial"/>
          <w:sz w:val="22"/>
          <w:szCs w:val="22"/>
          <w:color w:val="auto"/>
          <w:vertAlign w:val="superscript"/>
        </w:rPr>
      </w:pPr>
      <w:r>
        <w:rPr>
          <w:rFonts w:ascii="Arial" w:cs="Arial" w:eastAsia="Arial" w:hAnsi="Arial"/>
          <w:sz w:val="17"/>
          <w:szCs w:val="17"/>
          <w:color w:val="auto"/>
        </w:rPr>
        <w:t>Adjustment for sales incentives that will not be recognized as Sale of vacation ownership products revenue and other adjustments to Sale of vacation ownership products revenue.</w:t>
      </w:r>
    </w:p>
    <w:p>
      <w:pPr>
        <w:spacing w:after="0" w:line="144"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Contract sales in the 2023 third quarter declined due to a 7% decrease in VPG and a 3% decrease in tours. The decline in VPG was attributed to the temporary suspension of activity at our sales centers in Maui, due to the wildfires, lower closing efficiencies due to the continued transition associated with the launch of Abound by Marriott Vacations (which commenced in the third quarter of 2022) and the continued integration of the Hyatt and Legacy-Welk business models and sales processes. Though improving, we expect these factors to continue to impact VPG and contract sales for the remainder of 2023.</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favorable revenue reportability in the 2022 third quarter was primarily due to the Contract Alignment which resulted in the prospective acceleration of revenue for Marriott-branded vacation ownership interests of $46 million.</w:t>
      </w:r>
    </w:p>
    <w:p>
      <w:pPr>
        <w:spacing w:after="0" w:line="62" w:lineRule="exact"/>
        <w:rPr>
          <w:sz w:val="20"/>
          <w:szCs w:val="20"/>
          <w:color w:val="auto"/>
        </w:rPr>
      </w:pPr>
    </w:p>
    <w:p>
      <w:pPr>
        <w:ind w:right="140"/>
        <w:spacing w:after="0" w:line="316" w:lineRule="auto"/>
        <w:rPr>
          <w:sz w:val="20"/>
          <w:szCs w:val="20"/>
          <w:color w:val="auto"/>
        </w:rPr>
      </w:pPr>
      <w:r>
        <w:rPr>
          <w:rFonts w:ascii="Arial" w:cs="Arial" w:eastAsia="Arial" w:hAnsi="Arial"/>
          <w:sz w:val="15"/>
          <w:szCs w:val="15"/>
          <w:color w:val="auto"/>
        </w:rPr>
        <w:t>Financing propensity was 64% in the third quarter of 2023, a 530 basis point increase over the third quarter of 2022. We expect to continue offering financing incentive programs throughout the remainder of 2023. The average FICO score of customers for whom a credit score was available, generally U.S. and Canadian residents, who financed a vacation ownership purchase was 729 and 730 for the three months ended September 30, 2023 and September 30, 2022, respectively.</w:t>
      </w:r>
    </w:p>
    <w:p>
      <w:pPr>
        <w:spacing w:after="0" w:line="37" w:lineRule="exact"/>
        <w:rPr>
          <w:sz w:val="20"/>
          <w:szCs w:val="20"/>
          <w:color w:val="auto"/>
        </w:rPr>
      </w:pPr>
    </w:p>
    <w:p>
      <w:pPr>
        <w:ind w:right="400"/>
        <w:spacing w:after="0" w:line="306" w:lineRule="auto"/>
        <w:rPr>
          <w:sz w:val="20"/>
          <w:szCs w:val="20"/>
          <w:color w:val="auto"/>
        </w:rPr>
      </w:pPr>
      <w:r>
        <w:rPr>
          <w:rFonts w:ascii="Arial" w:cs="Arial" w:eastAsia="Arial" w:hAnsi="Arial"/>
          <w:sz w:val="15"/>
          <w:szCs w:val="15"/>
          <w:color w:val="auto"/>
        </w:rPr>
        <w:t>In the third quarter of 2023, we evaluated our vacation ownership notes receivable reserve in light of trends in delinquencies and default rates. As a result, we increased our originated vacation ownership notes receivable reserve by $59 million. We primarily used a historical period of increased defaults as a basis for estimating the increase in our reserve. This additional reserve adjusts our future default rate estimate to reflect current macroeconomic conditions, including inflation outpacing wage growth, continuing high interest rates, mixed economic indicators and increased global insecurity.</w:t>
      </w:r>
    </w:p>
    <w:p>
      <w:pPr>
        <w:spacing w:after="0" w:line="4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2022 third quarter sales reserve included a $19 million increase attributed to the Reserve Alignment, which was offset by a decrease in the acquired reserve for vacation ownership notes receivable recorded as a reduction of Financing expenses.</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5"/>
                <w:szCs w:val="15"/>
                <w:b w:val="1"/>
                <w:bCs w:val="1"/>
                <w:color w:val="auto"/>
              </w:rPr>
              <w:t>Nine Months Ended</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0" w:lineRule="exact"/>
              <w:rPr>
                <w:sz w:val="20"/>
                <w:szCs w:val="20"/>
                <w:color w:val="auto"/>
              </w:rPr>
            </w:pPr>
            <w:r>
              <w:rPr>
                <w:rFonts w:ascii="Arial" w:cs="Arial" w:eastAsia="Arial" w:hAnsi="Arial"/>
                <w:sz w:val="15"/>
                <w:szCs w:val="15"/>
                <w:b w:val="1"/>
                <w:bCs w:val="1"/>
                <w:color w:val="auto"/>
              </w:rPr>
              <w:t>% of</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4" w:lineRule="exact"/>
              <w:rPr>
                <w:sz w:val="20"/>
                <w:szCs w:val="20"/>
                <w:color w:val="auto"/>
              </w:rPr>
            </w:pPr>
            <w:r>
              <w:rPr>
                <w:rFonts w:ascii="Arial" w:cs="Arial" w:eastAsia="Arial" w:hAnsi="Arial"/>
                <w:sz w:val="15"/>
                <w:szCs w:val="15"/>
                <w:b w:val="1"/>
                <w:bCs w:val="1"/>
                <w:color w:val="auto"/>
                <w:w w:val="90"/>
              </w:rPr>
              <w:t>Consolidated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40"/>
              <w:spacing w:after="0" w:line="154" w:lineRule="exact"/>
              <w:rPr>
                <w:sz w:val="20"/>
                <w:szCs w:val="20"/>
                <w:color w:val="auto"/>
              </w:rPr>
            </w:pPr>
            <w:r>
              <w:rPr>
                <w:rFonts w:ascii="Arial" w:cs="Arial" w:eastAsia="Arial" w:hAnsi="Arial"/>
                <w:sz w:val="15"/>
                <w:szCs w:val="15"/>
                <w:b w:val="1"/>
                <w:bCs w:val="1"/>
                <w:color w:val="auto"/>
                <w:w w:val="90"/>
              </w:rPr>
              <w:t>Consolidated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spacing w:after="0"/>
              <w:rPr>
                <w:sz w:val="13"/>
                <w:szCs w:val="13"/>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September</w:t>
            </w: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4" w:lineRule="exact"/>
              <w:rPr>
                <w:sz w:val="20"/>
                <w:szCs w:val="20"/>
                <w:color w:val="auto"/>
              </w:rPr>
            </w:pPr>
            <w:r>
              <w:rPr>
                <w:rFonts w:ascii="Arial" w:cs="Arial" w:eastAsia="Arial" w:hAnsi="Arial"/>
                <w:sz w:val="15"/>
                <w:szCs w:val="15"/>
                <w:b w:val="1"/>
                <w:bCs w:val="1"/>
                <w:color w:val="auto"/>
                <w:w w:val="97"/>
              </w:rPr>
              <w:t>Contract</w:t>
            </w:r>
          </w:p>
        </w:tc>
        <w:tc>
          <w:tcPr>
            <w:tcW w:w="900" w:type="dxa"/>
            <w:vAlign w:val="bottom"/>
            <w:gridSpan w:val="2"/>
            <w:vMerge w:val="restart"/>
          </w:tcPr>
          <w:p>
            <w:pPr>
              <w:jc w:val="right"/>
              <w:ind w:right="15"/>
              <w:spacing w:after="0"/>
              <w:rPr>
                <w:sz w:val="20"/>
                <w:szCs w:val="20"/>
                <w:color w:val="auto"/>
              </w:rPr>
            </w:pPr>
            <w:r>
              <w:rPr>
                <w:rFonts w:ascii="Arial" w:cs="Arial" w:eastAsia="Arial" w:hAnsi="Arial"/>
                <w:sz w:val="15"/>
                <w:szCs w:val="15"/>
                <w:b w:val="1"/>
                <w:bCs w:val="1"/>
                <w:color w:val="auto"/>
              </w:rPr>
              <w:t>September</w:t>
            </w:r>
          </w:p>
        </w:tc>
        <w:tc>
          <w:tcPr>
            <w:tcW w:w="120" w:type="dxa"/>
            <w:vAlign w:val="bottom"/>
          </w:tcPr>
          <w:p>
            <w:pPr>
              <w:spacing w:after="0"/>
              <w:rPr>
                <w:sz w:val="13"/>
                <w:szCs w:val="13"/>
                <w:color w:val="auto"/>
              </w:rPr>
            </w:pPr>
          </w:p>
        </w:tc>
        <w:tc>
          <w:tcPr>
            <w:tcW w:w="1120" w:type="dxa"/>
            <w:vAlign w:val="bottom"/>
            <w:gridSpan w:val="2"/>
          </w:tcPr>
          <w:p>
            <w:pPr>
              <w:jc w:val="center"/>
              <w:ind w:right="140"/>
              <w:spacing w:after="0" w:line="154" w:lineRule="exact"/>
              <w:rPr>
                <w:sz w:val="20"/>
                <w:szCs w:val="20"/>
                <w:color w:val="auto"/>
              </w:rPr>
            </w:pPr>
            <w:r>
              <w:rPr>
                <w:rFonts w:ascii="Arial" w:cs="Arial" w:eastAsia="Arial" w:hAnsi="Arial"/>
                <w:sz w:val="15"/>
                <w:szCs w:val="15"/>
                <w:b w:val="1"/>
                <w:bCs w:val="1"/>
                <w:color w:val="auto"/>
                <w:w w:val="93"/>
              </w:rPr>
              <w:t>Contract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4" w:lineRule="exact"/>
              <w:rPr>
                <w:sz w:val="20"/>
                <w:szCs w:val="20"/>
                <w:color w:val="auto"/>
              </w:rPr>
            </w:pPr>
            <w:r>
              <w:rPr>
                <w:rFonts w:ascii="Arial" w:cs="Arial" w:eastAsia="Arial" w:hAnsi="Arial"/>
                <w:sz w:val="15"/>
                <w:szCs w:val="15"/>
                <w:b w:val="1"/>
                <w:bCs w:val="1"/>
                <w:color w:val="auto"/>
                <w:w w:val="88"/>
              </w:rPr>
              <w:t>Sales, Net of</w:t>
            </w: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4" w:lineRule="exact"/>
              <w:rPr>
                <w:sz w:val="20"/>
                <w:szCs w:val="20"/>
                <w:color w:val="auto"/>
              </w:rPr>
            </w:pPr>
            <w:r>
              <w:rPr>
                <w:rFonts w:ascii="Arial" w:cs="Arial" w:eastAsia="Arial" w:hAnsi="Arial"/>
                <w:sz w:val="15"/>
                <w:szCs w:val="15"/>
                <w:b w:val="1"/>
                <w:bCs w:val="1"/>
                <w:color w:val="auto"/>
                <w:w w:val="88"/>
              </w:rPr>
              <w:t>Sales, Net of</w:t>
            </w:r>
          </w:p>
        </w:tc>
        <w:tc>
          <w:tcPr>
            <w:tcW w:w="120" w:type="dxa"/>
            <w:vAlign w:val="bottom"/>
          </w:tcPr>
          <w:p>
            <w:pPr>
              <w:spacing w:after="0"/>
              <w:rPr>
                <w:sz w:val="13"/>
                <w:szCs w:val="13"/>
                <w:color w:val="auto"/>
              </w:rPr>
            </w:pPr>
          </w:p>
        </w:tc>
        <w:tc>
          <w:tcPr>
            <w:tcW w:w="660" w:type="dxa"/>
            <w:vAlign w:val="bottom"/>
            <w:vMerge w:val="restart"/>
          </w:tcPr>
          <w:p>
            <w:pPr>
              <w:jc w:val="right"/>
              <w:ind w:right="55"/>
              <w:spacing w:after="0"/>
              <w:rPr>
                <w:sz w:val="20"/>
                <w:szCs w:val="20"/>
                <w:color w:val="auto"/>
              </w:rPr>
            </w:pPr>
            <w:r>
              <w:rPr>
                <w:rFonts w:ascii="Arial" w:cs="Arial" w:eastAsia="Arial" w:hAnsi="Arial"/>
                <w:sz w:val="15"/>
                <w:szCs w:val="15"/>
                <w:b w:val="1"/>
                <w:bCs w:val="1"/>
                <w:color w:val="auto"/>
                <w:w w:val="90"/>
              </w:rPr>
              <w:t>Change</w:t>
            </w:r>
          </w:p>
        </w:tc>
        <w:tc>
          <w:tcPr>
            <w:tcW w:w="120" w:type="dxa"/>
            <w:vAlign w:val="bottom"/>
          </w:tcPr>
          <w:p>
            <w:pPr>
              <w:spacing w:after="0"/>
              <w:rPr>
                <w:sz w:val="13"/>
                <w:szCs w:val="13"/>
                <w:color w:val="auto"/>
              </w:rPr>
            </w:pPr>
          </w:p>
        </w:tc>
        <w:tc>
          <w:tcPr>
            <w:tcW w:w="760" w:type="dxa"/>
            <w:vAlign w:val="bottom"/>
            <w:vMerge w:val="restart"/>
          </w:tcPr>
          <w:p>
            <w:pPr>
              <w:ind w:left="40"/>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15"/>
                <w:szCs w:val="15"/>
                <w:b w:val="1"/>
                <w:bCs w:val="1"/>
                <w:color w:val="auto"/>
                <w:w w:val="95"/>
              </w:rPr>
              <w:t>30, 2023</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Resales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5"/>
              <w:spacing w:after="0"/>
              <w:rPr>
                <w:sz w:val="20"/>
                <w:szCs w:val="20"/>
                <w:color w:val="auto"/>
              </w:rPr>
            </w:pPr>
            <w:r>
              <w:rPr>
                <w:rFonts w:ascii="Arial" w:cs="Arial" w:eastAsia="Arial" w:hAnsi="Arial"/>
                <w:sz w:val="15"/>
                <w:szCs w:val="15"/>
                <w:b w:val="1"/>
                <w:bCs w:val="1"/>
                <w:color w:val="auto"/>
                <w:w w:val="95"/>
              </w:rPr>
              <w:t>30, 2022</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Resales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Total consolidated contract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88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Joint venture contract sales</w:t>
            </w: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88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6"/>
              </w:rPr>
              <w:t>(16%)</w:t>
            </w:r>
          </w:p>
        </w:tc>
        <w:tc>
          <w:tcPr>
            <w:tcW w:w="0" w:type="dxa"/>
            <w:vAlign w:val="bottom"/>
          </w:tcPr>
          <w:p>
            <w:pPr>
              <w:spacing w:after="0"/>
              <w:rPr>
                <w:sz w:val="1"/>
                <w:szCs w:val="1"/>
                <w:color w:val="auto"/>
              </w:rPr>
            </w:pPr>
          </w:p>
        </w:tc>
      </w:tr>
      <w:tr>
        <w:trPr>
          <w:trHeight w:val="225"/>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contract sales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88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7"/>
                <w:szCs w:val="17"/>
                <w:color w:val="auto"/>
              </w:rPr>
              <w:t>Less: resales contract sales</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Less: joint venture contract sales</w:t>
            </w: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400" w:type="dxa"/>
            <w:vAlign w:val="bottom"/>
          </w:tcPr>
          <w:p>
            <w:pPr>
              <w:ind w:left="20"/>
              <w:spacing w:after="0" w:line="160" w:lineRule="exact"/>
              <w:rPr>
                <w:sz w:val="20"/>
                <w:szCs w:val="20"/>
                <w:color w:val="auto"/>
              </w:rPr>
            </w:pPr>
            <w:r>
              <w:rPr>
                <w:rFonts w:ascii="Arial" w:cs="Arial" w:eastAsia="Arial" w:hAnsi="Arial"/>
                <w:sz w:val="17"/>
                <w:szCs w:val="17"/>
                <w:color w:val="auto"/>
                <w:w w:val="90"/>
              </w:rPr>
              <w:t>Consolidated contract sales, net of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400" w:type="dxa"/>
            <w:vAlign w:val="bottom"/>
          </w:tcPr>
          <w:p>
            <w:pPr>
              <w:ind w:left="20"/>
              <w:spacing w:after="0"/>
              <w:rPr>
                <w:sz w:val="20"/>
                <w:szCs w:val="20"/>
                <w:color w:val="auto"/>
              </w:rPr>
            </w:pPr>
            <w:r>
              <w:rPr>
                <w:rFonts w:ascii="Arial" w:cs="Arial" w:eastAsia="Arial" w:hAnsi="Arial"/>
                <w:sz w:val="17"/>
                <w:szCs w:val="17"/>
                <w:color w:val="auto"/>
              </w:rPr>
              <w:t>resales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1,293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1,353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(60)</w:t>
            </w:r>
          </w:p>
        </w:tc>
        <w:tc>
          <w:tcPr>
            <w:tcW w:w="880" w:type="dxa"/>
            <w:vAlign w:val="bottom"/>
            <w:gridSpan w:val="2"/>
          </w:tcPr>
          <w:p>
            <w:pPr>
              <w:jc w:val="center"/>
              <w:ind w:left="34"/>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5"/>
        </w:trPr>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Plus:</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20"/>
              <w:spacing w:after="0"/>
              <w:rPr>
                <w:sz w:val="20"/>
                <w:szCs w:val="20"/>
                <w:color w:val="auto"/>
              </w:rPr>
            </w:pPr>
            <w:r>
              <w:rPr>
                <w:rFonts w:ascii="Arial" w:cs="Arial" w:eastAsia="Arial" w:hAnsi="Arial"/>
                <w:sz w:val="17"/>
                <w:szCs w:val="17"/>
                <w:color w:val="auto"/>
              </w:rPr>
              <w:t>Settlement revenue</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c>
          <w:tcPr>
            <w:tcW w:w="1120" w:type="dxa"/>
            <w:vAlign w:val="bottom"/>
            <w:gridSpan w:val="2"/>
          </w:tcPr>
          <w:p>
            <w:pPr>
              <w:jc w:val="center"/>
              <w:ind w:left="54"/>
              <w:spacing w:after="0"/>
              <w:rPr>
                <w:sz w:val="20"/>
                <w:szCs w:val="20"/>
                <w:color w:val="auto"/>
              </w:rPr>
            </w:pPr>
            <w:r>
              <w:rPr>
                <w:rFonts w:ascii="Arial" w:cs="Arial" w:eastAsia="Arial" w:hAnsi="Arial"/>
                <w:sz w:val="17"/>
                <w:szCs w:val="17"/>
                <w:color w:val="auto"/>
                <w:w w:val="89"/>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w:t>
            </w:r>
          </w:p>
        </w:tc>
        <w:tc>
          <w:tcPr>
            <w:tcW w:w="1120" w:type="dxa"/>
            <w:vAlign w:val="bottom"/>
            <w:gridSpan w:val="2"/>
          </w:tcPr>
          <w:p>
            <w:pPr>
              <w:jc w:val="center"/>
              <w:ind w:left="14"/>
              <w:spacing w:after="0"/>
              <w:rPr>
                <w:sz w:val="20"/>
                <w:szCs w:val="20"/>
                <w:color w:val="auto"/>
              </w:rPr>
            </w:pPr>
            <w:r>
              <w:rPr>
                <w:rFonts w:ascii="Arial" w:cs="Arial" w:eastAsia="Arial" w:hAnsi="Arial"/>
                <w:sz w:val="17"/>
                <w:szCs w:val="17"/>
                <w:color w:val="auto"/>
                <w:w w:val="89"/>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Resales revenue</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1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89"/>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12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7"/>
                <w:szCs w:val="17"/>
                <w:color w:val="auto"/>
                <w:w w:val="91"/>
              </w:rPr>
              <w:t>Revenue recognition adjustments:</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Reportability</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9"/>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12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20"/>
              <w:spacing w:after="0"/>
              <w:rPr>
                <w:sz w:val="20"/>
                <w:szCs w:val="20"/>
                <w:color w:val="auto"/>
              </w:rPr>
            </w:pPr>
            <w:r>
              <w:rPr>
                <w:rFonts w:ascii="Arial" w:cs="Arial" w:eastAsia="Arial" w:hAnsi="Arial"/>
                <w:sz w:val="17"/>
                <w:szCs w:val="17"/>
                <w:color w:val="auto"/>
              </w:rPr>
              <w:t>Sales reserve</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(185)</w:t>
            </w:r>
          </w:p>
        </w:tc>
        <w:tc>
          <w:tcPr>
            <w:tcW w:w="1120" w:type="dxa"/>
            <w:vAlign w:val="bottom"/>
            <w:gridSpan w:val="2"/>
          </w:tcPr>
          <w:p>
            <w:pPr>
              <w:jc w:val="center"/>
              <w:ind w:left="54"/>
              <w:spacing w:after="0"/>
              <w:rPr>
                <w:sz w:val="20"/>
                <w:szCs w:val="20"/>
                <w:color w:val="auto"/>
              </w:rPr>
            </w:pPr>
            <w:r>
              <w:rPr>
                <w:rFonts w:ascii="Arial" w:cs="Arial" w:eastAsia="Arial" w:hAnsi="Arial"/>
                <w:sz w:val="17"/>
                <w:szCs w:val="17"/>
                <w:color w:val="auto"/>
                <w:w w:val="92"/>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(130)</w:t>
            </w:r>
          </w:p>
        </w:tc>
        <w:tc>
          <w:tcPr>
            <w:tcW w:w="1120" w:type="dxa"/>
            <w:vAlign w:val="bottom"/>
            <w:gridSpan w:val="2"/>
          </w:tcPr>
          <w:p>
            <w:pPr>
              <w:jc w:val="center"/>
              <w:ind w:left="14"/>
              <w:spacing w:after="0"/>
              <w:rPr>
                <w:sz w:val="20"/>
                <w:szCs w:val="20"/>
                <w:color w:val="auto"/>
              </w:rPr>
            </w:pPr>
            <w:r>
              <w:rPr>
                <w:rFonts w:ascii="Arial" w:cs="Arial" w:eastAsia="Arial" w:hAnsi="Arial"/>
                <w:sz w:val="17"/>
                <w:szCs w:val="17"/>
                <w:color w:val="auto"/>
                <w:w w:val="92"/>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r>
              <w:rPr>
                <w:rFonts w:ascii="Arial" w:cs="Arial" w:eastAsia="Arial" w:hAnsi="Arial"/>
                <w:sz w:val="8"/>
                <w:szCs w:val="8"/>
                <w:color w:val="auto"/>
              </w:rPr>
              <w:t>(1)</w:t>
            </w: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1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4"/>
              </w:rPr>
              <w:t>(6%)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12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4"/>
              </w:rPr>
              <w:t>(7%)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400" w:type="dxa"/>
            <w:vAlign w:val="bottom"/>
          </w:tcPr>
          <w:p>
            <w:pPr>
              <w:ind w:left="20"/>
              <w:spacing w:after="0" w:line="160" w:lineRule="exact"/>
              <w:rPr>
                <w:sz w:val="20"/>
                <w:szCs w:val="20"/>
                <w:color w:val="auto"/>
              </w:rPr>
            </w:pPr>
            <w:r>
              <w:rPr>
                <w:rFonts w:ascii="Arial" w:cs="Arial" w:eastAsia="Arial" w:hAnsi="Arial"/>
                <w:sz w:val="17"/>
                <w:szCs w:val="17"/>
                <w:color w:val="auto"/>
              </w:rPr>
              <w:t>Sale of vacation ownership</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1,085</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1,179</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400" w:type="dxa"/>
            <w:vAlign w:val="bottom"/>
          </w:tcPr>
          <w:p>
            <w:pPr>
              <w:ind w:left="20"/>
              <w:spacing w:after="0" w:line="192" w:lineRule="exact"/>
              <w:rPr>
                <w:sz w:val="20"/>
                <w:szCs w:val="20"/>
                <w:color w:val="auto"/>
              </w:rPr>
            </w:pPr>
            <w:r>
              <w:rPr>
                <w:rFonts w:ascii="Arial" w:cs="Arial" w:eastAsia="Arial" w:hAnsi="Arial"/>
                <w:sz w:val="17"/>
                <w:szCs w:val="17"/>
                <w:color w:val="auto"/>
              </w:rPr>
              <w:t>products</w:t>
            </w:r>
          </w:p>
        </w:tc>
        <w:tc>
          <w:tcPr>
            <w:tcW w:w="1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120" w:type="dxa"/>
            <w:vAlign w:val="bottom"/>
            <w:gridSpan w:val="2"/>
          </w:tcPr>
          <w:p>
            <w:pPr>
              <w:jc w:val="center"/>
              <w:ind w:left="34"/>
              <w:spacing w:after="0" w:line="192" w:lineRule="exact"/>
              <w:rPr>
                <w:sz w:val="20"/>
                <w:szCs w:val="20"/>
                <w:color w:val="auto"/>
              </w:rPr>
            </w:pPr>
            <w:r>
              <w:rPr>
                <w:rFonts w:ascii="Arial" w:cs="Arial" w:eastAsia="Arial" w:hAnsi="Arial"/>
                <w:sz w:val="17"/>
                <w:szCs w:val="17"/>
                <w:color w:val="auto"/>
                <w:w w:val="93"/>
              </w:rPr>
              <w:t>84%</w:t>
            </w: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120" w:type="dxa"/>
            <w:vAlign w:val="bottom"/>
            <w:gridSpan w:val="2"/>
          </w:tcPr>
          <w:p>
            <w:pPr>
              <w:jc w:val="center"/>
              <w:ind w:left="34"/>
              <w:spacing w:after="0" w:line="192" w:lineRule="exact"/>
              <w:rPr>
                <w:sz w:val="20"/>
                <w:szCs w:val="20"/>
                <w:color w:val="auto"/>
              </w:rPr>
            </w:pPr>
            <w:r>
              <w:rPr>
                <w:rFonts w:ascii="Arial" w:cs="Arial" w:eastAsia="Arial" w:hAnsi="Arial"/>
                <w:sz w:val="17"/>
                <w:szCs w:val="17"/>
                <w:color w:val="auto"/>
                <w:w w:val="93"/>
              </w:rPr>
              <w:t>87%</w:t>
            </w: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80" w:type="dxa"/>
            <w:vAlign w:val="bottom"/>
            <w:gridSpan w:val="2"/>
          </w:tcPr>
          <w:p>
            <w:pPr>
              <w:jc w:val="center"/>
              <w:ind w:left="34"/>
              <w:spacing w:after="0" w:line="192"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320" w:right="740" w:hanging="317"/>
        <w:spacing w:after="0" w:line="225" w:lineRule="auto"/>
        <w:tabs>
          <w:tab w:leader="none" w:pos="308" w:val="left"/>
        </w:tabs>
        <w:numPr>
          <w:ilvl w:val="0"/>
          <w:numId w:val="32"/>
        </w:numPr>
        <w:rPr>
          <w:rFonts w:ascii="Arial" w:cs="Arial" w:eastAsia="Arial" w:hAnsi="Arial"/>
          <w:sz w:val="22"/>
          <w:szCs w:val="22"/>
          <w:color w:val="auto"/>
          <w:vertAlign w:val="superscript"/>
        </w:rPr>
      </w:pPr>
      <w:r>
        <w:rPr>
          <w:rFonts w:ascii="Arial" w:cs="Arial" w:eastAsia="Arial" w:hAnsi="Arial"/>
          <w:sz w:val="17"/>
          <w:szCs w:val="17"/>
          <w:color w:val="auto"/>
        </w:rPr>
        <w:t>Adjustment for sales incentives that will not be recognized as Sale of vacation ownership products revenue and other adjustments to Sale of vacation ownership products revenue.</w:t>
      </w:r>
    </w:p>
    <w:p>
      <w:pPr>
        <w:spacing w:after="0" w:line="196"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Contract sales in the first three quarters of 2023 declined, despite tour growth of 5%, due to a 9% decrease in VPG. The decline in VPG was attributed to the temporary suspension of activity at our sales centers in Maui, due to the wildfires, lower closing efficiencies due to the continued transition associated with the launch of Abound by Marriott Vacations and the continued integration of the Hyatt and Legacy-Welk business models and sales processes.</w:t>
      </w:r>
    </w:p>
    <w:p>
      <w:pPr>
        <w:spacing w:after="0" w:line="5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Financing propensity was 58% in the first three quarters of 2023, a 390 basis point increase over the first three quarters of 2022. The average FICO score of customers for whom a credit score was available, generally U.S. and Canadian residents, who financed a vacation ownership purchase was 734 and 733 for the nine months ended September 30, 2023 and September 30, 2022,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sales reserve in the first three quarters of 2023 increased $78 million in light of trends in delinquencies and default rates in 2023.</w:t>
      </w:r>
    </w:p>
    <w:p>
      <w:pPr>
        <w:spacing w:after="0" w:line="113"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color w:val="auto"/>
        </w:rPr>
        <w:t>The sales reserve in the first three quarters of 2022 included a $19 million increase attributed to the Reserve Alignment, which was offset by a decrease in the acquired reserve for vacation ownership notes receivable recorded as a reduction of Financing expenses.</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Profit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197"/>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37"/>
              <w:spacing w:after="0" w:line="150" w:lineRule="exact"/>
              <w:rPr>
                <w:sz w:val="20"/>
                <w:szCs w:val="20"/>
                <w:color w:val="auto"/>
              </w:rPr>
            </w:pPr>
            <w:r>
              <w:rPr>
                <w:rFonts w:ascii="Arial" w:cs="Arial" w:eastAsia="Arial" w:hAnsi="Arial"/>
                <w:sz w:val="15"/>
                <w:szCs w:val="15"/>
                <w:b w:val="1"/>
                <w:bCs w:val="1"/>
                <w:color w:val="auto"/>
                <w:w w:val="87"/>
              </w:rPr>
              <w:t>September</w:t>
            </w: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0" w:lineRule="exact"/>
              <w:rPr>
                <w:sz w:val="20"/>
                <w:szCs w:val="20"/>
                <w:color w:val="auto"/>
              </w:rPr>
            </w:pPr>
            <w:r>
              <w:rPr>
                <w:rFonts w:ascii="Arial" w:cs="Arial" w:eastAsia="Arial" w:hAnsi="Arial"/>
                <w:sz w:val="15"/>
                <w:szCs w:val="15"/>
                <w:b w:val="1"/>
                <w:bCs w:val="1"/>
                <w:color w:val="auto"/>
              </w:rPr>
              <w:t>% of</w:t>
            </w:r>
          </w:p>
        </w:tc>
        <w:tc>
          <w:tcPr>
            <w:tcW w:w="820" w:type="dxa"/>
            <w:vAlign w:val="bottom"/>
          </w:tcPr>
          <w:p>
            <w:pPr>
              <w:jc w:val="right"/>
              <w:ind w:right="37"/>
              <w:spacing w:after="0" w:line="150" w:lineRule="exact"/>
              <w:rPr>
                <w:sz w:val="20"/>
                <w:szCs w:val="20"/>
                <w:color w:val="auto"/>
              </w:rPr>
            </w:pPr>
            <w:r>
              <w:rPr>
                <w:rFonts w:ascii="Arial" w:cs="Arial" w:eastAsia="Arial" w:hAnsi="Arial"/>
                <w:sz w:val="15"/>
                <w:szCs w:val="15"/>
                <w:b w:val="1"/>
                <w:bCs w:val="1"/>
                <w:color w:val="auto"/>
                <w:w w:val="87"/>
              </w:rPr>
              <w:t>September</w:t>
            </w:r>
          </w:p>
        </w:tc>
        <w:tc>
          <w:tcPr>
            <w:tcW w:w="120" w:type="dxa"/>
            <w:vAlign w:val="bottom"/>
          </w:tcPr>
          <w:p>
            <w:pPr>
              <w:spacing w:after="0"/>
              <w:rPr>
                <w:sz w:val="13"/>
                <w:szCs w:val="13"/>
                <w:color w:val="auto"/>
              </w:rPr>
            </w:pPr>
          </w:p>
        </w:tc>
        <w:tc>
          <w:tcPr>
            <w:tcW w:w="86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 of</w:t>
            </w:r>
          </w:p>
        </w:tc>
        <w:tc>
          <w:tcPr>
            <w:tcW w:w="220" w:type="dxa"/>
            <w:vAlign w:val="bottom"/>
            <w:gridSpan w:val="2"/>
          </w:tcPr>
          <w:p>
            <w:pPr>
              <w:spacing w:after="0"/>
              <w:rPr>
                <w:sz w:val="13"/>
                <w:szCs w:val="13"/>
                <w:color w:val="auto"/>
              </w:rPr>
            </w:pPr>
          </w:p>
        </w:tc>
        <w:tc>
          <w:tcPr>
            <w:tcW w:w="780" w:type="dxa"/>
            <w:vAlign w:val="bottom"/>
            <w:vMerge w:val="restart"/>
          </w:tcPr>
          <w:p>
            <w:pPr>
              <w:jc w:val="right"/>
              <w:ind w:right="116"/>
              <w:spacing w:after="0"/>
              <w:rPr>
                <w:sz w:val="20"/>
                <w:szCs w:val="20"/>
                <w:color w:val="auto"/>
              </w:rPr>
            </w:pPr>
            <w:r>
              <w:rPr>
                <w:rFonts w:ascii="Arial" w:cs="Arial" w:eastAsia="Arial" w:hAnsi="Arial"/>
                <w:sz w:val="15"/>
                <w:szCs w:val="15"/>
                <w:b w:val="1"/>
                <w:bCs w:val="1"/>
                <w:color w:val="auto"/>
              </w:rPr>
              <w:t>Change</w:t>
            </w:r>
          </w:p>
        </w:tc>
        <w:tc>
          <w:tcPr>
            <w:tcW w:w="120" w:type="dxa"/>
            <w:vAlign w:val="bottom"/>
          </w:tcPr>
          <w:p>
            <w:pPr>
              <w:spacing w:after="0"/>
              <w:rPr>
                <w:sz w:val="13"/>
                <w:szCs w:val="13"/>
                <w:color w:val="auto"/>
              </w:rPr>
            </w:pPr>
          </w:p>
        </w:tc>
        <w:tc>
          <w:tcPr>
            <w:tcW w:w="8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820" w:type="dxa"/>
            <w:vAlign w:val="bottom"/>
          </w:tcPr>
          <w:p>
            <w:pPr>
              <w:jc w:val="right"/>
              <w:ind w:right="117"/>
              <w:spacing w:after="0"/>
              <w:rPr>
                <w:sz w:val="20"/>
                <w:szCs w:val="20"/>
                <w:color w:val="auto"/>
              </w:rPr>
            </w:pPr>
            <w:r>
              <w:rPr>
                <w:rFonts w:ascii="Arial" w:cs="Arial" w:eastAsia="Arial" w:hAnsi="Arial"/>
                <w:sz w:val="15"/>
                <w:szCs w:val="15"/>
                <w:b w:val="1"/>
                <w:bCs w:val="1"/>
                <w:color w:val="auto"/>
              </w:rPr>
              <w:t>30, 2023</w:t>
            </w:r>
          </w:p>
        </w:tc>
        <w:tc>
          <w:tcPr>
            <w:tcW w:w="10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9"/>
              </w:rPr>
              <w:t>Revenue</w:t>
            </w:r>
          </w:p>
        </w:tc>
        <w:tc>
          <w:tcPr>
            <w:tcW w:w="820" w:type="dxa"/>
            <w:vAlign w:val="bottom"/>
          </w:tcPr>
          <w:p>
            <w:pPr>
              <w:jc w:val="right"/>
              <w:ind w:right="117"/>
              <w:spacing w:after="0"/>
              <w:rPr>
                <w:sz w:val="20"/>
                <w:szCs w:val="20"/>
                <w:color w:val="auto"/>
              </w:rPr>
            </w:pPr>
            <w:r>
              <w:rPr>
                <w:rFonts w:ascii="Arial" w:cs="Arial" w:eastAsia="Arial" w:hAnsi="Arial"/>
                <w:sz w:val="15"/>
                <w:szCs w:val="15"/>
                <w:b w:val="1"/>
                <w:bCs w:val="1"/>
                <w:color w:val="auto"/>
              </w:rPr>
              <w:t>30, 2022</w:t>
            </w:r>
          </w:p>
        </w:tc>
        <w:tc>
          <w:tcPr>
            <w:tcW w:w="12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9"/>
              </w:rPr>
              <w:t>Revenue</w:t>
            </w: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2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7"/>
                <w:szCs w:val="17"/>
                <w:color w:val="auto"/>
              </w:rPr>
              <w:t>Sale of vacation ownership</w:t>
            </w: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2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9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(28%)</w:t>
            </w:r>
          </w:p>
        </w:tc>
        <w:tc>
          <w:tcPr>
            <w:tcW w:w="0" w:type="dxa"/>
            <w:vAlign w:val="bottom"/>
          </w:tcPr>
          <w:p>
            <w:pPr>
              <w:spacing w:after="0"/>
              <w:rPr>
                <w:sz w:val="1"/>
                <w:szCs w:val="1"/>
                <w:color w:val="auto"/>
              </w:rPr>
            </w:pPr>
          </w:p>
        </w:tc>
      </w:tr>
      <w:tr>
        <w:trPr>
          <w:trHeight w:val="180"/>
        </w:trPr>
        <w:tc>
          <w:tcPr>
            <w:tcW w:w="2420" w:type="dxa"/>
            <w:vAlign w:val="bottom"/>
          </w:tcPr>
          <w:p>
            <w:pPr>
              <w:ind w:left="20"/>
              <w:spacing w:after="0" w:line="180" w:lineRule="exact"/>
              <w:rPr>
                <w:sz w:val="20"/>
                <w:szCs w:val="20"/>
                <w:color w:val="auto"/>
              </w:rPr>
            </w:pPr>
            <w:r>
              <w:rPr>
                <w:rFonts w:ascii="Arial" w:cs="Arial" w:eastAsia="Arial" w:hAnsi="Arial"/>
                <w:sz w:val="17"/>
                <w:szCs w:val="17"/>
                <w:color w:val="auto"/>
              </w:rPr>
              <w:t>Cost of vacation ownership</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420" w:type="dxa"/>
            <w:vAlign w:val="bottom"/>
          </w:tcPr>
          <w:p>
            <w:pPr>
              <w:ind w:left="20"/>
              <w:spacing w:after="0"/>
              <w:rPr>
                <w:sz w:val="20"/>
                <w:szCs w:val="20"/>
                <w:color w:val="auto"/>
              </w:rPr>
            </w:pPr>
            <w:r>
              <w:rPr>
                <w:rFonts w:ascii="Arial" w:cs="Arial" w:eastAsia="Arial" w:hAnsi="Arial"/>
                <w:sz w:val="17"/>
                <w:szCs w:val="17"/>
                <w:color w:val="auto"/>
              </w:rPr>
              <w:t>products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w:t>
            </w:r>
          </w:p>
        </w:tc>
        <w:tc>
          <w:tcPr>
            <w:tcW w:w="960" w:type="dxa"/>
            <w:vAlign w:val="bottom"/>
            <w:gridSpan w:val="2"/>
          </w:tcPr>
          <w:p>
            <w:pPr>
              <w:jc w:val="center"/>
              <w:ind w:left="34"/>
              <w:spacing w:after="0"/>
              <w:rPr>
                <w:sz w:val="20"/>
                <w:szCs w:val="20"/>
                <w:color w:val="auto"/>
              </w:rPr>
            </w:pPr>
            <w:r>
              <w:rPr>
                <w:rFonts w:ascii="Arial" w:cs="Arial" w:eastAsia="Arial" w:hAnsi="Arial"/>
                <w:sz w:val="17"/>
                <w:szCs w:val="17"/>
                <w:color w:val="auto"/>
                <w:w w:val="96"/>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(76)</w:t>
            </w:r>
          </w:p>
        </w:tc>
        <w:tc>
          <w:tcPr>
            <w:tcW w:w="980" w:type="dxa"/>
            <w:vAlign w:val="bottom"/>
            <w:gridSpan w:val="2"/>
          </w:tcPr>
          <w:p>
            <w:pPr>
              <w:jc w:val="center"/>
              <w:ind w:left="34"/>
              <w:spacing w:after="0"/>
              <w:rPr>
                <w:sz w:val="20"/>
                <w:szCs w:val="20"/>
                <w:color w:val="auto"/>
              </w:rPr>
            </w:pPr>
            <w:r>
              <w:rPr>
                <w:rFonts w:ascii="Arial" w:cs="Arial" w:eastAsia="Arial" w:hAnsi="Arial"/>
                <w:sz w:val="17"/>
                <w:szCs w:val="17"/>
                <w:color w:val="auto"/>
                <w:w w:val="92"/>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w:t>
            </w:r>
          </w:p>
        </w:tc>
        <w:tc>
          <w:tcPr>
            <w:tcW w:w="960" w:type="dxa"/>
            <w:vAlign w:val="bottom"/>
            <w:gridSpan w:val="2"/>
          </w:tcPr>
          <w:p>
            <w:pPr>
              <w:jc w:val="center"/>
              <w:ind w:left="34"/>
              <w:spacing w:after="0"/>
              <w:rPr>
                <w:sz w:val="20"/>
                <w:szCs w:val="20"/>
                <w:color w:val="auto"/>
              </w:rPr>
            </w:pPr>
            <w:r>
              <w:rPr>
                <w:rFonts w:ascii="Arial" w:cs="Arial" w:eastAsia="Arial" w:hAnsi="Arial"/>
                <w:sz w:val="17"/>
                <w:szCs w:val="17"/>
                <w:color w:val="auto"/>
                <w:w w:val="93"/>
              </w:rPr>
              <w:t>35%</w:t>
            </w:r>
          </w:p>
        </w:tc>
        <w:tc>
          <w:tcPr>
            <w:tcW w:w="0" w:type="dxa"/>
            <w:vAlign w:val="bottom"/>
          </w:tcPr>
          <w:p>
            <w:pPr>
              <w:spacing w:after="0"/>
              <w:rPr>
                <w:sz w:val="1"/>
                <w:szCs w:val="1"/>
                <w:color w:val="auto"/>
              </w:rPr>
            </w:pPr>
          </w:p>
        </w:tc>
      </w:tr>
      <w:tr>
        <w:trPr>
          <w:trHeight w:val="245"/>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Marketing and sales</w:t>
            </w: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96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(64%)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98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2"/>
              </w:rPr>
              <w:t>(47%)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9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89"/>
              </w:rPr>
              <w:t>2%</w:t>
            </w:r>
          </w:p>
        </w:tc>
        <w:tc>
          <w:tcPr>
            <w:tcW w:w="0" w:type="dxa"/>
            <w:vAlign w:val="bottom"/>
          </w:tcPr>
          <w:p>
            <w:pPr>
              <w:spacing w:after="0"/>
              <w:rPr>
                <w:sz w:val="1"/>
                <w:szCs w:val="1"/>
                <w:color w:val="auto"/>
              </w:rPr>
            </w:pPr>
          </w:p>
        </w:tc>
      </w:tr>
      <w:tr>
        <w:trPr>
          <w:trHeight w:val="211"/>
        </w:trPr>
        <w:tc>
          <w:tcPr>
            <w:tcW w:w="2420" w:type="dxa"/>
            <w:vAlign w:val="bottom"/>
          </w:tcPr>
          <w:p>
            <w:pPr>
              <w:ind w:left="20"/>
              <w:spacing w:after="0"/>
              <w:rPr>
                <w:sz w:val="20"/>
                <w:szCs w:val="20"/>
                <w:color w:val="auto"/>
              </w:rPr>
            </w:pPr>
            <w:r>
              <w:rPr>
                <w:rFonts w:ascii="Arial" w:cs="Arial" w:eastAsia="Arial" w:hAnsi="Arial"/>
                <w:sz w:val="17"/>
                <w:szCs w:val="17"/>
                <w:color w:val="auto"/>
              </w:rPr>
              <w:t>Development profit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67</w:t>
            </w:r>
          </w:p>
        </w:tc>
        <w:tc>
          <w:tcPr>
            <w:tcW w:w="120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161</w:t>
            </w:r>
          </w:p>
        </w:tc>
        <w:tc>
          <w:tcPr>
            <w:tcW w:w="12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(94)</w:t>
            </w:r>
          </w:p>
        </w:tc>
        <w:tc>
          <w:tcPr>
            <w:tcW w:w="960" w:type="dxa"/>
            <w:vAlign w:val="bottom"/>
            <w:gridSpan w:val="2"/>
          </w:tcPr>
          <w:p>
            <w:pPr>
              <w:jc w:val="center"/>
              <w:ind w:left="14"/>
              <w:spacing w:after="0"/>
              <w:rPr>
                <w:sz w:val="20"/>
                <w:szCs w:val="20"/>
                <w:color w:val="auto"/>
              </w:rPr>
            </w:pPr>
            <w:r>
              <w:rPr>
                <w:rFonts w:ascii="Arial" w:cs="Arial" w:eastAsia="Arial" w:hAnsi="Arial"/>
                <w:sz w:val="17"/>
                <w:szCs w:val="17"/>
                <w:color w:val="auto"/>
                <w:w w:val="92"/>
              </w:rPr>
              <w:t>(59%)</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 profit margin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36.1%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9"/>
              </w:rPr>
              <w:t>(15.4 pts)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decrease in Development profit reflects $43 million from unfavorable revenue reportability primarily attributed to the Contract Alignment, which resulted in the prospective acceleration of $39 million of revenue recognition for Marriott-branded VOI sales in the 2022 third quarter, $24 million from lower contract sales volumes and $35 million related to higher sales reserves, partially offset by $8 million of favorable product cost due mainly to the sale of lower cost inventory. The $35 million of higher sales reserves included $49 million in the third quarter of 2023 ($59 million gross increase in reserve offset by a decrease of $10 million to product cost), partially offset by $14 million from the Reserve alignment in the third quarter of 2022. Development profit margin, excluding the impact of the sales reserve increase of $49 million, was 30.5% in the third quarter of 2023. We expect Development profit margin for the full year to be in line with year-to-date 2023 results.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5"/>
                <w:szCs w:val="15"/>
                <w:b w:val="1"/>
                <w:bCs w:val="1"/>
                <w:color w:val="auto"/>
              </w:rPr>
              <w:t>Nine Months Ended</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7"/>
              <w:spacing w:after="0" w:line="150" w:lineRule="exact"/>
              <w:rPr>
                <w:sz w:val="20"/>
                <w:szCs w:val="20"/>
                <w:color w:val="auto"/>
              </w:rPr>
            </w:pPr>
            <w:r>
              <w:rPr>
                <w:rFonts w:ascii="Arial" w:cs="Arial" w:eastAsia="Arial" w:hAnsi="Arial"/>
                <w:sz w:val="15"/>
                <w:szCs w:val="15"/>
                <w:b w:val="1"/>
                <w:bCs w:val="1"/>
                <w:color w:val="auto"/>
                <w:w w:val="90"/>
              </w:rPr>
              <w:t>September</w:t>
            </w:r>
          </w:p>
        </w:tc>
        <w:tc>
          <w:tcPr>
            <w:tcW w:w="120" w:type="dxa"/>
            <w:vAlign w:val="bottom"/>
          </w:tcPr>
          <w:p>
            <w:pPr>
              <w:spacing w:after="0"/>
              <w:rPr>
                <w:sz w:val="13"/>
                <w:szCs w:val="13"/>
                <w:color w:val="auto"/>
              </w:rPr>
            </w:pPr>
          </w:p>
        </w:tc>
        <w:tc>
          <w:tcPr>
            <w:tcW w:w="1080" w:type="dxa"/>
            <w:vAlign w:val="bottom"/>
            <w:gridSpan w:val="3"/>
          </w:tcPr>
          <w:p>
            <w:pPr>
              <w:jc w:val="center"/>
              <w:ind w:right="240"/>
              <w:spacing w:after="0" w:line="150" w:lineRule="exact"/>
              <w:rPr>
                <w:sz w:val="20"/>
                <w:szCs w:val="20"/>
                <w:color w:val="auto"/>
              </w:rPr>
            </w:pPr>
            <w:r>
              <w:rPr>
                <w:rFonts w:ascii="Arial" w:cs="Arial" w:eastAsia="Arial" w:hAnsi="Arial"/>
                <w:sz w:val="15"/>
                <w:szCs w:val="15"/>
                <w:b w:val="1"/>
                <w:bCs w:val="1"/>
                <w:color w:val="auto"/>
              </w:rPr>
              <w:t>% of</w:t>
            </w:r>
          </w:p>
        </w:tc>
        <w:tc>
          <w:tcPr>
            <w:tcW w:w="840" w:type="dxa"/>
            <w:vAlign w:val="bottom"/>
          </w:tcPr>
          <w:p>
            <w:pPr>
              <w:jc w:val="right"/>
              <w:ind w:right="37"/>
              <w:spacing w:after="0" w:line="150" w:lineRule="exact"/>
              <w:rPr>
                <w:sz w:val="20"/>
                <w:szCs w:val="20"/>
                <w:color w:val="auto"/>
              </w:rPr>
            </w:pPr>
            <w:r>
              <w:rPr>
                <w:rFonts w:ascii="Arial" w:cs="Arial" w:eastAsia="Arial" w:hAnsi="Arial"/>
                <w:sz w:val="15"/>
                <w:szCs w:val="15"/>
                <w:b w:val="1"/>
                <w:bCs w:val="1"/>
                <w:color w:val="auto"/>
                <w:w w:val="90"/>
              </w:rPr>
              <w:t>September</w:t>
            </w:r>
          </w:p>
        </w:tc>
        <w:tc>
          <w:tcPr>
            <w:tcW w:w="100" w:type="dxa"/>
            <w:vAlign w:val="bottom"/>
          </w:tcPr>
          <w:p>
            <w:pPr>
              <w:spacing w:after="0"/>
              <w:rPr>
                <w:sz w:val="13"/>
                <w:szCs w:val="13"/>
                <w:color w:val="auto"/>
              </w:rPr>
            </w:pPr>
          </w:p>
        </w:tc>
        <w:tc>
          <w:tcPr>
            <w:tcW w:w="86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rPr>
              <w:t>% of</w:t>
            </w:r>
          </w:p>
        </w:tc>
        <w:tc>
          <w:tcPr>
            <w:tcW w:w="260" w:type="dxa"/>
            <w:vAlign w:val="bottom"/>
            <w:gridSpan w:val="2"/>
          </w:tcPr>
          <w:p>
            <w:pPr>
              <w:spacing w:after="0"/>
              <w:rPr>
                <w:sz w:val="13"/>
                <w:szCs w:val="13"/>
                <w:color w:val="auto"/>
              </w:rPr>
            </w:pPr>
          </w:p>
        </w:tc>
        <w:tc>
          <w:tcPr>
            <w:tcW w:w="760" w:type="dxa"/>
            <w:vAlign w:val="bottom"/>
            <w:vMerge w:val="restart"/>
          </w:tcPr>
          <w:p>
            <w:pPr>
              <w:jc w:val="center"/>
              <w:ind w:right="36"/>
              <w:spacing w:after="0"/>
              <w:rPr>
                <w:sz w:val="20"/>
                <w:szCs w:val="20"/>
                <w:color w:val="auto"/>
              </w:rPr>
            </w:pPr>
            <w:r>
              <w:rPr>
                <w:rFonts w:ascii="Arial" w:cs="Arial" w:eastAsia="Arial" w:hAnsi="Arial"/>
                <w:sz w:val="15"/>
                <w:szCs w:val="15"/>
                <w:b w:val="1"/>
                <w:bCs w:val="1"/>
                <w:color w:val="auto"/>
                <w:w w:val="94"/>
              </w:rPr>
              <w:t>Change</w:t>
            </w:r>
          </w:p>
        </w:tc>
        <w:tc>
          <w:tcPr>
            <w:tcW w:w="140" w:type="dxa"/>
            <w:vAlign w:val="bottom"/>
          </w:tcPr>
          <w:p>
            <w:pPr>
              <w:spacing w:after="0"/>
              <w:rPr>
                <w:sz w:val="13"/>
                <w:szCs w:val="13"/>
                <w:color w:val="auto"/>
              </w:rPr>
            </w:pPr>
          </w:p>
        </w:tc>
        <w:tc>
          <w:tcPr>
            <w:tcW w:w="80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24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7"/>
                <w:szCs w:val="17"/>
                <w:color w:val="auto"/>
              </w:rPr>
            </w:pPr>
          </w:p>
        </w:tc>
        <w:tc>
          <w:tcPr>
            <w:tcW w:w="820" w:type="dxa"/>
            <w:vAlign w:val="bottom"/>
          </w:tcPr>
          <w:p>
            <w:pPr>
              <w:jc w:val="right"/>
              <w:ind w:right="97"/>
              <w:spacing w:after="0"/>
              <w:rPr>
                <w:sz w:val="20"/>
                <w:szCs w:val="20"/>
                <w:color w:val="auto"/>
              </w:rPr>
            </w:pPr>
            <w:r>
              <w:rPr>
                <w:rFonts w:ascii="Arial" w:cs="Arial" w:eastAsia="Arial" w:hAnsi="Arial"/>
                <w:sz w:val="15"/>
                <w:szCs w:val="15"/>
                <w:b w:val="1"/>
                <w:bCs w:val="1"/>
                <w:color w:val="auto"/>
              </w:rPr>
              <w:t>30, 2023</w:t>
            </w:r>
          </w:p>
        </w:tc>
        <w:tc>
          <w:tcPr>
            <w:tcW w:w="120" w:type="dxa"/>
            <w:vAlign w:val="bottom"/>
          </w:tcPr>
          <w:p>
            <w:pPr>
              <w:spacing w:after="0"/>
              <w:rPr>
                <w:sz w:val="17"/>
                <w:szCs w:val="17"/>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9"/>
              </w:rPr>
              <w:t>Revenue</w:t>
            </w:r>
          </w:p>
        </w:tc>
        <w:tc>
          <w:tcPr>
            <w:tcW w:w="840" w:type="dxa"/>
            <w:vAlign w:val="bottom"/>
          </w:tcPr>
          <w:p>
            <w:pPr>
              <w:jc w:val="right"/>
              <w:ind w:right="117"/>
              <w:spacing w:after="0"/>
              <w:rPr>
                <w:sz w:val="20"/>
                <w:szCs w:val="20"/>
                <w:color w:val="auto"/>
              </w:rPr>
            </w:pPr>
            <w:r>
              <w:rPr>
                <w:rFonts w:ascii="Arial" w:cs="Arial" w:eastAsia="Arial" w:hAnsi="Arial"/>
                <w:sz w:val="15"/>
                <w:szCs w:val="15"/>
                <w:b w:val="1"/>
                <w:bCs w:val="1"/>
                <w:color w:val="auto"/>
              </w:rPr>
              <w:t>30, 2022</w:t>
            </w:r>
          </w:p>
        </w:tc>
        <w:tc>
          <w:tcPr>
            <w:tcW w:w="10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9"/>
              </w:rPr>
              <w:t>Revenue</w:t>
            </w: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44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7"/>
                <w:szCs w:val="17"/>
                <w:color w:val="auto"/>
              </w:rPr>
              <w:t>Sale of vacation ownership</w:t>
            </w: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1,085</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w:t>
            </w: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center"/>
              <w:ind w:left="316"/>
              <w:spacing w:after="0"/>
              <w:rPr>
                <w:sz w:val="20"/>
                <w:szCs w:val="20"/>
                <w:color w:val="auto"/>
              </w:rPr>
            </w:pPr>
            <w:r>
              <w:rPr>
                <w:rFonts w:ascii="Arial" w:cs="Arial" w:eastAsia="Arial" w:hAnsi="Arial"/>
                <w:sz w:val="17"/>
                <w:szCs w:val="17"/>
                <w:color w:val="auto"/>
                <w:w w:val="92"/>
              </w:rPr>
              <w:t>(94)</w:t>
            </w:r>
          </w:p>
        </w:tc>
        <w:tc>
          <w:tcPr>
            <w:tcW w:w="9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4"/>
              </w:rPr>
              <w:t>(8%)</w:t>
            </w:r>
          </w:p>
        </w:tc>
        <w:tc>
          <w:tcPr>
            <w:tcW w:w="0" w:type="dxa"/>
            <w:vAlign w:val="bottom"/>
          </w:tcPr>
          <w:p>
            <w:pPr>
              <w:spacing w:after="0"/>
              <w:rPr>
                <w:sz w:val="1"/>
                <w:szCs w:val="1"/>
                <w:color w:val="auto"/>
              </w:rPr>
            </w:pPr>
          </w:p>
        </w:tc>
      </w:tr>
      <w:tr>
        <w:trPr>
          <w:trHeight w:val="167"/>
        </w:trPr>
        <w:tc>
          <w:tcPr>
            <w:tcW w:w="2440" w:type="dxa"/>
            <w:vAlign w:val="bottom"/>
          </w:tcPr>
          <w:p>
            <w:pPr>
              <w:ind w:left="20"/>
              <w:spacing w:after="0" w:line="167" w:lineRule="exact"/>
              <w:rPr>
                <w:sz w:val="20"/>
                <w:szCs w:val="20"/>
                <w:color w:val="auto"/>
              </w:rPr>
            </w:pPr>
            <w:r>
              <w:rPr>
                <w:rFonts w:ascii="Arial" w:cs="Arial" w:eastAsia="Arial" w:hAnsi="Arial"/>
                <w:sz w:val="17"/>
                <w:szCs w:val="17"/>
                <w:color w:val="auto"/>
              </w:rPr>
              <w:t>Cost of vacation ownership</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Arial" w:cs="Arial" w:eastAsia="Arial" w:hAnsi="Arial"/>
                <w:sz w:val="17"/>
                <w:szCs w:val="17"/>
                <w:color w:val="auto"/>
              </w:rPr>
              <w:t>products</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(174)</w:t>
            </w:r>
          </w:p>
        </w:tc>
        <w:tc>
          <w:tcPr>
            <w:tcW w:w="960" w:type="dxa"/>
            <w:vAlign w:val="bottom"/>
            <w:gridSpan w:val="2"/>
          </w:tcPr>
          <w:p>
            <w:pPr>
              <w:jc w:val="center"/>
              <w:ind w:left="54"/>
              <w:spacing w:after="0"/>
              <w:rPr>
                <w:sz w:val="20"/>
                <w:szCs w:val="20"/>
                <w:color w:val="auto"/>
              </w:rPr>
            </w:pPr>
            <w:r>
              <w:rPr>
                <w:rFonts w:ascii="Arial" w:cs="Arial" w:eastAsia="Arial" w:hAnsi="Arial"/>
                <w:sz w:val="17"/>
                <w:szCs w:val="17"/>
                <w:color w:val="auto"/>
                <w:w w:val="92"/>
              </w:rPr>
              <w:t>(16%)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(216)</w:t>
            </w:r>
          </w:p>
        </w:tc>
        <w:tc>
          <w:tcPr>
            <w:tcW w:w="960" w:type="dxa"/>
            <w:vAlign w:val="bottom"/>
            <w:gridSpan w:val="2"/>
          </w:tcPr>
          <w:p>
            <w:pPr>
              <w:jc w:val="center"/>
              <w:ind w:left="34"/>
              <w:spacing w:after="0"/>
              <w:rPr>
                <w:sz w:val="20"/>
                <w:szCs w:val="20"/>
                <w:color w:val="auto"/>
              </w:rPr>
            </w:pPr>
            <w:r>
              <w:rPr>
                <w:rFonts w:ascii="Arial" w:cs="Arial" w:eastAsia="Arial" w:hAnsi="Arial"/>
                <w:sz w:val="17"/>
                <w:szCs w:val="17"/>
                <w:color w:val="auto"/>
                <w:w w:val="96"/>
              </w:rPr>
              <w:t>(18%)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center"/>
              <w:ind w:left="356"/>
              <w:spacing w:after="0"/>
              <w:rPr>
                <w:sz w:val="20"/>
                <w:szCs w:val="20"/>
                <w:color w:val="auto"/>
              </w:rPr>
            </w:pPr>
            <w:r>
              <w:rPr>
                <w:rFonts w:ascii="Arial" w:cs="Arial" w:eastAsia="Arial" w:hAnsi="Arial"/>
                <w:sz w:val="17"/>
                <w:szCs w:val="17"/>
                <w:color w:val="auto"/>
                <w:w w:val="84"/>
              </w:rPr>
              <w:t>42</w:t>
            </w:r>
          </w:p>
        </w:tc>
        <w:tc>
          <w:tcPr>
            <w:tcW w:w="940" w:type="dxa"/>
            <w:vAlign w:val="bottom"/>
            <w:gridSpan w:val="2"/>
          </w:tcPr>
          <w:p>
            <w:pPr>
              <w:jc w:val="center"/>
              <w:ind w:left="54"/>
              <w:spacing w:after="0"/>
              <w:rPr>
                <w:sz w:val="20"/>
                <w:szCs w:val="20"/>
                <w:color w:val="auto"/>
              </w:rPr>
            </w:pPr>
            <w:r>
              <w:rPr>
                <w:rFonts w:ascii="Arial" w:cs="Arial" w:eastAsia="Arial" w:hAnsi="Arial"/>
                <w:sz w:val="17"/>
                <w:szCs w:val="17"/>
                <w:color w:val="auto"/>
                <w:w w:val="93"/>
              </w:rPr>
              <w:t>20%</w:t>
            </w:r>
          </w:p>
        </w:tc>
        <w:tc>
          <w:tcPr>
            <w:tcW w:w="0" w:type="dxa"/>
            <w:vAlign w:val="bottom"/>
          </w:tcPr>
          <w:p>
            <w:pPr>
              <w:spacing w:after="0"/>
              <w:rPr>
                <w:sz w:val="1"/>
                <w:szCs w:val="1"/>
                <w:color w:val="auto"/>
              </w:rPr>
            </w:pPr>
          </w:p>
        </w:tc>
      </w:tr>
      <w:tr>
        <w:trPr>
          <w:trHeight w:val="245"/>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Marketing and sales</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w:t>
            </w:r>
          </w:p>
        </w:tc>
        <w:tc>
          <w:tcPr>
            <w:tcW w:w="96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2"/>
              </w:rPr>
              <w:t>(57%)</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96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(51%)</w:t>
            </w: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center"/>
              <w:ind w:left="316"/>
              <w:spacing w:after="0"/>
              <w:rPr>
                <w:sz w:val="20"/>
                <w:szCs w:val="20"/>
                <w:color w:val="auto"/>
              </w:rPr>
            </w:pPr>
            <w:r>
              <w:rPr>
                <w:rFonts w:ascii="Arial" w:cs="Arial" w:eastAsia="Arial" w:hAnsi="Arial"/>
                <w:sz w:val="17"/>
                <w:szCs w:val="17"/>
                <w:color w:val="auto"/>
                <w:w w:val="92"/>
              </w:rPr>
              <w:t>(15)</w:t>
            </w:r>
          </w:p>
        </w:tc>
        <w:tc>
          <w:tcPr>
            <w:tcW w:w="94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4"/>
              </w:rPr>
              <w:t>(2%)</w:t>
            </w:r>
          </w:p>
        </w:tc>
        <w:tc>
          <w:tcPr>
            <w:tcW w:w="0" w:type="dxa"/>
            <w:vAlign w:val="bottom"/>
          </w:tcPr>
          <w:p>
            <w:pPr>
              <w:spacing w:after="0"/>
              <w:rPr>
                <w:sz w:val="1"/>
                <w:szCs w:val="1"/>
                <w:color w:val="auto"/>
              </w:rPr>
            </w:pPr>
          </w:p>
        </w:tc>
      </w:tr>
      <w:tr>
        <w:trPr>
          <w:trHeight w:val="211"/>
        </w:trPr>
        <w:tc>
          <w:tcPr>
            <w:tcW w:w="2440" w:type="dxa"/>
            <w:vAlign w:val="bottom"/>
          </w:tcPr>
          <w:p>
            <w:pPr>
              <w:ind w:left="20"/>
              <w:spacing w:after="0"/>
              <w:rPr>
                <w:sz w:val="20"/>
                <w:szCs w:val="20"/>
                <w:color w:val="auto"/>
              </w:rPr>
            </w:pPr>
            <w:r>
              <w:rPr>
                <w:rFonts w:ascii="Arial" w:cs="Arial" w:eastAsia="Arial" w:hAnsi="Arial"/>
                <w:sz w:val="17"/>
                <w:szCs w:val="17"/>
                <w:color w:val="auto"/>
              </w:rPr>
              <w:t>Development profit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293</w:t>
            </w:r>
          </w:p>
        </w:tc>
        <w:tc>
          <w:tcPr>
            <w:tcW w:w="120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360</w:t>
            </w:r>
          </w:p>
        </w:tc>
        <w:tc>
          <w:tcPr>
            <w:tcW w:w="122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center"/>
              <w:ind w:left="316"/>
              <w:spacing w:after="0"/>
              <w:rPr>
                <w:sz w:val="20"/>
                <w:szCs w:val="20"/>
                <w:color w:val="auto"/>
              </w:rPr>
            </w:pPr>
            <w:r>
              <w:rPr>
                <w:rFonts w:ascii="Arial" w:cs="Arial" w:eastAsia="Arial" w:hAnsi="Arial"/>
                <w:sz w:val="17"/>
                <w:szCs w:val="17"/>
                <w:color w:val="auto"/>
                <w:w w:val="92"/>
              </w:rPr>
              <w:t>(67)</w:t>
            </w:r>
          </w:p>
        </w:tc>
        <w:tc>
          <w:tcPr>
            <w:tcW w:w="940" w:type="dxa"/>
            <w:vAlign w:val="bottom"/>
            <w:gridSpan w:val="2"/>
          </w:tcPr>
          <w:p>
            <w:pPr>
              <w:jc w:val="center"/>
              <w:ind w:left="34"/>
              <w:spacing w:after="0"/>
              <w:rPr>
                <w:sz w:val="20"/>
                <w:szCs w:val="20"/>
                <w:color w:val="auto"/>
              </w:rPr>
            </w:pPr>
            <w:r>
              <w:rPr>
                <w:rFonts w:ascii="Arial" w:cs="Arial" w:eastAsia="Arial" w:hAnsi="Arial"/>
                <w:sz w:val="17"/>
                <w:szCs w:val="17"/>
                <w:color w:val="auto"/>
                <w:w w:val="92"/>
              </w:rPr>
              <w:t>(18%)</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 profit margin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27.0%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36"/>
              <w:spacing w:after="0"/>
              <w:rPr>
                <w:sz w:val="20"/>
                <w:szCs w:val="20"/>
                <w:color w:val="auto"/>
              </w:rPr>
            </w:pPr>
            <w:r>
              <w:rPr>
                <w:rFonts w:ascii="Arial" w:cs="Arial" w:eastAsia="Arial" w:hAnsi="Arial"/>
                <w:sz w:val="17"/>
                <w:szCs w:val="17"/>
                <w:color w:val="auto"/>
                <w:w w:val="89"/>
              </w:rPr>
              <w:t>(3.5 pts)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decrease in Development profit reflects $47 million of lower contract sales volumes, $49 million related to higher sales reserves, and $5 million from unfavorable revenue reportability, partially offset by $28 million of favorable product cost due mainly to the sale of lower cost inventory, and $6 million of favorable product cost true-up activity. Development profit margin, excluding the impact of the $49 million sales reserve increase in the third quarter of 2023, was 29.9% in the first three quarters of 2023.</w:t>
      </w:r>
    </w:p>
    <w:p>
      <w:pPr>
        <w:spacing w:after="0" w:line="23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Resort Management and Other Services Revenues, Expenses and Profit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46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6"/>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center"/>
              <w:ind w:right="75"/>
              <w:spacing w:after="0"/>
              <w:rPr>
                <w:sz w:val="20"/>
                <w:szCs w:val="20"/>
                <w:color w:val="auto"/>
              </w:rPr>
            </w:pPr>
            <w:r>
              <w:rPr>
                <w:rFonts w:ascii="Arial" w:cs="Arial" w:eastAsia="Arial" w:hAnsi="Arial"/>
                <w:sz w:val="15"/>
                <w:szCs w:val="15"/>
                <w:b w:val="1"/>
                <w:bCs w:val="1"/>
                <w:color w:val="auto"/>
                <w:w w:val="90"/>
              </w:rPr>
              <w:t>Change</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5"/>
                <w:szCs w:val="15"/>
                <w:b w:val="1"/>
                <w:bCs w:val="1"/>
                <w:color w:val="auto"/>
                <w:w w:val="95"/>
              </w:rPr>
              <w:t>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89"/>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fee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center"/>
              <w:ind w:left="455"/>
              <w:spacing w:after="0"/>
              <w:rPr>
                <w:sz w:val="20"/>
                <w:szCs w:val="20"/>
                <w:color w:val="auto"/>
              </w:rPr>
            </w:pPr>
            <w:r>
              <w:rPr>
                <w:rFonts w:ascii="Arial" w:cs="Arial" w:eastAsia="Arial" w:hAnsi="Arial"/>
                <w:sz w:val="17"/>
                <w:szCs w:val="17"/>
                <w:color w:val="auto"/>
                <w:w w:val="84"/>
              </w:rPr>
              <w:t>3</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7"/>
              </w:rPr>
              <w:t>9%</w:t>
            </w:r>
          </w:p>
        </w:tc>
        <w:tc>
          <w:tcPr>
            <w:tcW w:w="0" w:type="dxa"/>
            <w:vAlign w:val="bottom"/>
          </w:tcPr>
          <w:p>
            <w:pPr>
              <w:spacing w:after="0"/>
              <w:rPr>
                <w:sz w:val="1"/>
                <w:szCs w:val="1"/>
                <w:color w:val="auto"/>
              </w:rPr>
            </w:pPr>
          </w:p>
        </w:tc>
      </w:tr>
      <w:tr>
        <w:trPr>
          <w:trHeight w:val="256"/>
        </w:trPr>
        <w:tc>
          <w:tcPr>
            <w:tcW w:w="3640" w:type="dxa"/>
            <w:vAlign w:val="bottom"/>
          </w:tcPr>
          <w:p>
            <w:pPr>
              <w:ind w:left="20"/>
              <w:spacing w:after="0"/>
              <w:rPr>
                <w:sz w:val="20"/>
                <w:szCs w:val="20"/>
                <w:color w:val="auto"/>
              </w:rPr>
            </w:pPr>
            <w:r>
              <w:rPr>
                <w:rFonts w:ascii="Arial" w:cs="Arial" w:eastAsia="Arial" w:hAnsi="Arial"/>
                <w:sz w:val="17"/>
                <w:szCs w:val="17"/>
                <w:color w:val="auto"/>
              </w:rPr>
              <w:t>Ancillary revenues</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center"/>
              <w:ind w:left="415"/>
              <w:spacing w:after="0"/>
              <w:rPr>
                <w:sz w:val="20"/>
                <w:szCs w:val="20"/>
                <w:color w:val="auto"/>
              </w:rPr>
            </w:pPr>
            <w:r>
              <w:rPr>
                <w:rFonts w:ascii="Arial" w:cs="Arial" w:eastAsia="Arial" w:hAnsi="Arial"/>
                <w:sz w:val="17"/>
                <w:szCs w:val="17"/>
                <w:color w:val="auto"/>
                <w:w w:val="96"/>
              </w:rPr>
              <w:t>(1)</w:t>
            </w:r>
          </w:p>
        </w:tc>
        <w:tc>
          <w:tcPr>
            <w:tcW w:w="1020" w:type="dxa"/>
            <w:vAlign w:val="bottom"/>
            <w:gridSpan w:val="2"/>
          </w:tcPr>
          <w:p>
            <w:pPr>
              <w:jc w:val="center"/>
              <w:ind w:left="34"/>
              <w:spacing w:after="0"/>
              <w:rPr>
                <w:sz w:val="20"/>
                <w:szCs w:val="20"/>
                <w:color w:val="auto"/>
              </w:rPr>
            </w:pPr>
            <w:r>
              <w:rPr>
                <w:rFonts w:ascii="Arial" w:cs="Arial" w:eastAsia="Arial" w:hAnsi="Arial"/>
                <w:sz w:val="17"/>
                <w:szCs w:val="17"/>
                <w:color w:val="auto"/>
                <w:w w:val="94"/>
              </w:rPr>
              <w:t>(1%)</w:t>
            </w: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management and exchange revenues</w:t>
            </w: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center"/>
              <w:ind w:left="455"/>
              <w:spacing w:after="0"/>
              <w:rPr>
                <w:sz w:val="20"/>
                <w:szCs w:val="20"/>
                <w:color w:val="auto"/>
              </w:rPr>
            </w:pPr>
            <w:r>
              <w:rPr>
                <w:rFonts w:ascii="Arial" w:cs="Arial" w:eastAsia="Arial" w:hAnsi="Arial"/>
                <w:sz w:val="17"/>
                <w:szCs w:val="17"/>
                <w:color w:val="auto"/>
                <w:w w:val="84"/>
              </w:rPr>
              <w:t>5</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3"/>
              </w:rPr>
              <w:t>16%</w:t>
            </w:r>
          </w:p>
        </w:tc>
        <w:tc>
          <w:tcPr>
            <w:tcW w:w="0" w:type="dxa"/>
            <w:vAlign w:val="bottom"/>
          </w:tcPr>
          <w:p>
            <w:pPr>
              <w:spacing w:after="0"/>
              <w:rPr>
                <w:sz w:val="1"/>
                <w:szCs w:val="1"/>
                <w:color w:val="auto"/>
              </w:rPr>
            </w:pPr>
          </w:p>
        </w:tc>
      </w:tr>
      <w:tr>
        <w:trPr>
          <w:trHeight w:val="236"/>
        </w:trPr>
        <w:tc>
          <w:tcPr>
            <w:tcW w:w="3640" w:type="dxa"/>
            <w:vAlign w:val="bottom"/>
          </w:tcPr>
          <w:p>
            <w:pPr>
              <w:ind w:left="20"/>
              <w:spacing w:after="0"/>
              <w:rPr>
                <w:sz w:val="20"/>
                <w:szCs w:val="20"/>
                <w:color w:val="auto"/>
              </w:rPr>
            </w:pPr>
            <w:r>
              <w:rPr>
                <w:rFonts w:ascii="Arial" w:cs="Arial" w:eastAsia="Arial" w:hAnsi="Arial"/>
                <w:sz w:val="17"/>
                <w:szCs w:val="17"/>
                <w:color w:val="auto"/>
                <w:w w:val="96"/>
              </w:rPr>
              <w:t>Resort management and other services revenues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center"/>
              <w:ind w:left="455"/>
              <w:spacing w:after="0"/>
              <w:rPr>
                <w:sz w:val="20"/>
                <w:szCs w:val="20"/>
                <w:color w:val="auto"/>
              </w:rPr>
            </w:pPr>
            <w:r>
              <w:rPr>
                <w:rFonts w:ascii="Arial" w:cs="Arial" w:eastAsia="Arial" w:hAnsi="Arial"/>
                <w:sz w:val="17"/>
                <w:szCs w:val="17"/>
                <w:color w:val="auto"/>
                <w:w w:val="84"/>
              </w:rPr>
              <w:t>7</w:t>
            </w:r>
          </w:p>
        </w:tc>
        <w:tc>
          <w:tcPr>
            <w:tcW w:w="1020" w:type="dxa"/>
            <w:vAlign w:val="bottom"/>
            <w:gridSpan w:val="2"/>
          </w:tcPr>
          <w:p>
            <w:pPr>
              <w:jc w:val="center"/>
              <w:ind w:left="54"/>
              <w:spacing w:after="0"/>
              <w:rPr>
                <w:sz w:val="20"/>
                <w:szCs w:val="20"/>
                <w:color w:val="auto"/>
              </w:rPr>
            </w:pPr>
            <w:r>
              <w:rPr>
                <w:rFonts w:ascii="Arial" w:cs="Arial" w:eastAsia="Arial" w:hAnsi="Arial"/>
                <w:sz w:val="17"/>
                <w:szCs w:val="17"/>
                <w:color w:val="auto"/>
                <w:w w:val="97"/>
              </w:rPr>
              <w:t>6%</w:t>
            </w: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Resort management and other services expenses</w:t>
            </w: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center"/>
              <w:ind w:left="415"/>
              <w:spacing w:after="0"/>
              <w:rPr>
                <w:sz w:val="20"/>
                <w:szCs w:val="20"/>
                <w:color w:val="auto"/>
              </w:rPr>
            </w:pPr>
            <w:r>
              <w:rPr>
                <w:rFonts w:ascii="Arial" w:cs="Arial" w:eastAsia="Arial" w:hAnsi="Arial"/>
                <w:sz w:val="17"/>
                <w:szCs w:val="17"/>
                <w:color w:val="auto"/>
                <w:w w:val="96"/>
              </w:rPr>
              <w:t>(5)</w:t>
            </w:r>
          </w:p>
        </w:tc>
        <w:tc>
          <w:tcPr>
            <w:tcW w:w="1020" w:type="dxa"/>
            <w:vAlign w:val="bottom"/>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4"/>
              </w:rPr>
              <w:t>(8%)</w:t>
            </w:r>
          </w:p>
        </w:tc>
        <w:tc>
          <w:tcPr>
            <w:tcW w:w="0" w:type="dxa"/>
            <w:vAlign w:val="bottom"/>
          </w:tcPr>
          <w:p>
            <w:pPr>
              <w:spacing w:after="0"/>
              <w:rPr>
                <w:sz w:val="1"/>
                <w:szCs w:val="1"/>
                <w:color w:val="auto"/>
              </w:rPr>
            </w:pPr>
          </w:p>
        </w:tc>
      </w:tr>
      <w:tr>
        <w:trPr>
          <w:trHeight w:val="211"/>
        </w:trPr>
        <w:tc>
          <w:tcPr>
            <w:tcW w:w="3640" w:type="dxa"/>
            <w:vAlign w:val="bottom"/>
          </w:tcPr>
          <w:p>
            <w:pPr>
              <w:ind w:left="20"/>
              <w:spacing w:after="0"/>
              <w:rPr>
                <w:sz w:val="20"/>
                <w:szCs w:val="20"/>
                <w:color w:val="auto"/>
              </w:rPr>
            </w:pPr>
            <w:r>
              <w:rPr>
                <w:rFonts w:ascii="Arial" w:cs="Arial" w:eastAsia="Arial" w:hAnsi="Arial"/>
                <w:sz w:val="17"/>
                <w:szCs w:val="17"/>
                <w:color w:val="auto"/>
              </w:rPr>
              <w:t>Resort management and other services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center"/>
              <w:ind w:left="455"/>
              <w:spacing w:after="0"/>
              <w:rPr>
                <w:sz w:val="20"/>
                <w:szCs w:val="20"/>
                <w:color w:val="auto"/>
              </w:rPr>
            </w:pPr>
            <w:r>
              <w:rPr>
                <w:rFonts w:ascii="Arial" w:cs="Arial" w:eastAsia="Arial" w:hAnsi="Arial"/>
                <w:sz w:val="17"/>
                <w:szCs w:val="17"/>
                <w:color w:val="auto"/>
                <w:w w:val="84"/>
              </w:rPr>
              <w:t>2</w:t>
            </w:r>
          </w:p>
        </w:tc>
        <w:tc>
          <w:tcPr>
            <w:tcW w:w="1020" w:type="dxa"/>
            <w:vAlign w:val="bottom"/>
            <w:gridSpan w:val="2"/>
          </w:tcPr>
          <w:p>
            <w:pPr>
              <w:jc w:val="center"/>
              <w:ind w:left="54"/>
              <w:spacing w:after="0"/>
              <w:rPr>
                <w:sz w:val="20"/>
                <w:szCs w:val="20"/>
                <w:color w:val="auto"/>
              </w:rPr>
            </w:pPr>
            <w:r>
              <w:rPr>
                <w:rFonts w:ascii="Arial" w:cs="Arial" w:eastAsia="Arial" w:hAnsi="Arial"/>
                <w:sz w:val="17"/>
                <w:szCs w:val="17"/>
                <w:color w:val="auto"/>
                <w:w w:val="97"/>
              </w:rPr>
              <w:t>3%</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Resort management and other services profit margin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57"/>
              <w:spacing w:after="0"/>
              <w:rPr>
                <w:sz w:val="20"/>
                <w:szCs w:val="20"/>
                <w:color w:val="auto"/>
              </w:rPr>
            </w:pPr>
            <w:r>
              <w:rPr>
                <w:rFonts w:ascii="Arial" w:cs="Arial" w:eastAsia="Arial" w:hAnsi="Arial"/>
                <w:sz w:val="17"/>
                <w:szCs w:val="17"/>
                <w:color w:val="auto"/>
                <w:w w:val="91"/>
              </w:rPr>
              <w:t>52.0%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56"/>
              <w:spacing w:after="0"/>
              <w:rPr>
                <w:sz w:val="20"/>
                <w:szCs w:val="20"/>
                <w:color w:val="auto"/>
              </w:rPr>
            </w:pPr>
            <w:r>
              <w:rPr>
                <w:rFonts w:ascii="Arial" w:cs="Arial" w:eastAsia="Arial" w:hAnsi="Arial"/>
                <w:sz w:val="17"/>
                <w:szCs w:val="17"/>
                <w:color w:val="auto"/>
                <w:w w:val="91"/>
              </w:rPr>
              <w:t>53.2%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w w:val="89"/>
              </w:rPr>
              <w:t>(1.2 pts)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3640" w:type="dxa"/>
            <w:vAlign w:val="bottom"/>
          </w:tcPr>
          <w:p>
            <w:pPr>
              <w:ind w:left="20"/>
              <w:spacing w:after="0"/>
              <w:rPr>
                <w:sz w:val="20"/>
                <w:szCs w:val="20"/>
                <w:color w:val="auto"/>
              </w:rPr>
            </w:pPr>
            <w:r>
              <w:rPr>
                <w:rFonts w:ascii="Arial" w:cs="Arial" w:eastAsia="Arial" w:hAnsi="Arial"/>
                <w:sz w:val="17"/>
                <w:szCs w:val="17"/>
                <w:color w:val="auto"/>
              </w:rPr>
              <w:t xml:space="preserve">Resort occupancy </w:t>
            </w:r>
            <w:r>
              <w:rPr>
                <w:rFonts w:ascii="Arial" w:cs="Arial" w:eastAsia="Arial" w:hAnsi="Arial"/>
                <w:sz w:val="22"/>
                <w:szCs w:val="22"/>
                <w:color w:val="auto"/>
                <w:vertAlign w:val="superscript"/>
              </w:rPr>
              <w:t>(1)</w:t>
            </w:r>
          </w:p>
        </w:tc>
        <w:tc>
          <w:tcPr>
            <w:tcW w:w="140" w:type="dxa"/>
            <w:vAlign w:val="bottom"/>
          </w:tcPr>
          <w:p>
            <w:pPr>
              <w:spacing w:after="0"/>
              <w:rPr>
                <w:sz w:val="24"/>
                <w:szCs w:val="24"/>
                <w:color w:val="auto"/>
              </w:rPr>
            </w:pPr>
          </w:p>
        </w:tc>
        <w:tc>
          <w:tcPr>
            <w:tcW w:w="1100" w:type="dxa"/>
            <w:vAlign w:val="bottom"/>
          </w:tcPr>
          <w:p>
            <w:pPr>
              <w:jc w:val="center"/>
              <w:ind w:right="57"/>
              <w:spacing w:after="0"/>
              <w:rPr>
                <w:sz w:val="20"/>
                <w:szCs w:val="20"/>
                <w:color w:val="auto"/>
              </w:rPr>
            </w:pPr>
            <w:r>
              <w:rPr>
                <w:rFonts w:ascii="Arial" w:cs="Arial" w:eastAsia="Arial" w:hAnsi="Arial"/>
                <w:sz w:val="17"/>
                <w:szCs w:val="17"/>
                <w:color w:val="auto"/>
                <w:w w:val="91"/>
              </w:rPr>
              <w:t>86.1%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56"/>
              <w:spacing w:after="0"/>
              <w:rPr>
                <w:sz w:val="20"/>
                <w:szCs w:val="20"/>
                <w:color w:val="auto"/>
              </w:rPr>
            </w:pPr>
            <w:r>
              <w:rPr>
                <w:rFonts w:ascii="Arial" w:cs="Arial" w:eastAsia="Arial" w:hAnsi="Arial"/>
                <w:sz w:val="17"/>
                <w:szCs w:val="17"/>
                <w:color w:val="auto"/>
                <w:w w:val="91"/>
              </w:rPr>
              <w:t>88.9%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ind w:right="55"/>
              <w:spacing w:after="0"/>
              <w:rPr>
                <w:sz w:val="20"/>
                <w:szCs w:val="20"/>
                <w:color w:val="auto"/>
              </w:rPr>
            </w:pPr>
            <w:r>
              <w:rPr>
                <w:rFonts w:ascii="Arial" w:cs="Arial" w:eastAsia="Arial" w:hAnsi="Arial"/>
                <w:sz w:val="17"/>
                <w:szCs w:val="17"/>
                <w:color w:val="auto"/>
                <w:w w:val="89"/>
              </w:rPr>
              <w:t>(2.8 pts)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980" w:hanging="300"/>
        <w:spacing w:after="0" w:line="211" w:lineRule="auto"/>
        <w:tabs>
          <w:tab w:leader="none" w:pos="308"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Resort occupancy represents all transient, previews, and owner keys divided by total keys available, net of keys out of service.</w:t>
      </w:r>
    </w:p>
    <w:p>
      <w:pPr>
        <w:spacing w:after="0" w:line="183" w:lineRule="exact"/>
        <w:rPr>
          <w:sz w:val="20"/>
          <w:szCs w:val="20"/>
          <w:color w:val="auto"/>
        </w:rPr>
      </w:pPr>
    </w:p>
    <w:p>
      <w:pPr>
        <w:ind w:right="700"/>
        <w:spacing w:after="0" w:line="277" w:lineRule="auto"/>
        <w:rPr>
          <w:sz w:val="20"/>
          <w:szCs w:val="20"/>
          <w:color w:val="auto"/>
        </w:rPr>
      </w:pPr>
      <w:r>
        <w:rPr>
          <w:rFonts w:ascii="Arial" w:cs="Arial" w:eastAsia="Arial" w:hAnsi="Arial"/>
          <w:sz w:val="17"/>
          <w:szCs w:val="17"/>
          <w:color w:val="auto"/>
        </w:rPr>
        <w:t>The increase in Resort management and other services revenues reflects higher club dues of $4 million, higher management fees and $1 million of higher refurbishment project revenues, partially offset by lower ancillary revenues.</w:t>
      </w:r>
    </w:p>
    <w:p>
      <w:pPr>
        <w:spacing w:after="0" w:line="62" w:lineRule="exact"/>
        <w:rPr>
          <w:sz w:val="20"/>
          <w:szCs w:val="20"/>
          <w:color w:val="auto"/>
        </w:rPr>
      </w:pPr>
    </w:p>
    <w:p>
      <w:pPr>
        <w:jc w:val="both"/>
        <w:ind w:right="340"/>
        <w:spacing w:after="0" w:line="264" w:lineRule="auto"/>
        <w:rPr>
          <w:sz w:val="20"/>
          <w:szCs w:val="20"/>
          <w:color w:val="auto"/>
        </w:rPr>
      </w:pPr>
      <w:r>
        <w:rPr>
          <w:rFonts w:ascii="Arial" w:cs="Arial" w:eastAsia="Arial" w:hAnsi="Arial"/>
          <w:sz w:val="17"/>
          <w:szCs w:val="17"/>
          <w:color w:val="auto"/>
        </w:rPr>
        <w:t>The $5 million increase in Resort management and other services expenses reflects an increase in ancillary expenses of $2 million due to inflation and foreign currency exchange rate changes in Mexico, and an increase in customer services and exchange company expenses of $3 million due to incremental headcount, wages, benefits, and other operating cost increases.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50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6"/>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ind w:right="135"/>
              <w:spacing w:after="0"/>
              <w:rPr>
                <w:sz w:val="20"/>
                <w:szCs w:val="20"/>
                <w:color w:val="auto"/>
              </w:rPr>
            </w:pPr>
            <w:r>
              <w:rPr>
                <w:rFonts w:ascii="Arial" w:cs="Arial" w:eastAsia="Arial" w:hAnsi="Arial"/>
                <w:sz w:val="15"/>
                <w:szCs w:val="15"/>
                <w:b w:val="1"/>
                <w:bCs w:val="1"/>
                <w:color w:val="auto"/>
                <w:w w:val="98"/>
              </w:rPr>
              <w:t>Change</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5"/>
                <w:szCs w:val="15"/>
                <w:b w:val="1"/>
                <w:bCs w:val="1"/>
                <w:color w:val="auto"/>
                <w:w w:val="95"/>
              </w:rPr>
              <w:t>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89"/>
              </w:rPr>
              <w:t>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fee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7"/>
              </w:rPr>
              <w:t>8%</w:t>
            </w:r>
          </w:p>
        </w:tc>
        <w:tc>
          <w:tcPr>
            <w:tcW w:w="0" w:type="dxa"/>
            <w:vAlign w:val="bottom"/>
          </w:tcPr>
          <w:p>
            <w:pPr>
              <w:spacing w:after="0"/>
              <w:rPr>
                <w:sz w:val="1"/>
                <w:szCs w:val="1"/>
                <w:color w:val="auto"/>
              </w:rPr>
            </w:pPr>
          </w:p>
        </w:tc>
      </w:tr>
      <w:tr>
        <w:trPr>
          <w:trHeight w:val="256"/>
        </w:trPr>
        <w:tc>
          <w:tcPr>
            <w:tcW w:w="3640" w:type="dxa"/>
            <w:vAlign w:val="bottom"/>
          </w:tcPr>
          <w:p>
            <w:pPr>
              <w:ind w:left="20"/>
              <w:spacing w:after="0"/>
              <w:rPr>
                <w:sz w:val="20"/>
                <w:szCs w:val="20"/>
                <w:color w:val="auto"/>
              </w:rPr>
            </w:pPr>
            <w:r>
              <w:rPr>
                <w:rFonts w:ascii="Arial" w:cs="Arial" w:eastAsia="Arial" w:hAnsi="Arial"/>
                <w:sz w:val="17"/>
                <w:szCs w:val="17"/>
                <w:color w:val="auto"/>
              </w:rPr>
              <w:t>Ancillary revenues</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w:t>
            </w:r>
          </w:p>
        </w:tc>
        <w:tc>
          <w:tcPr>
            <w:tcW w:w="1020" w:type="dxa"/>
            <w:vAlign w:val="bottom"/>
            <w:gridSpan w:val="2"/>
          </w:tcPr>
          <w:p>
            <w:pPr>
              <w:jc w:val="center"/>
              <w:ind w:left="54"/>
              <w:spacing w:after="0"/>
              <w:rPr>
                <w:sz w:val="20"/>
                <w:szCs w:val="20"/>
                <w:color w:val="auto"/>
              </w:rPr>
            </w:pPr>
            <w:r>
              <w:rPr>
                <w:rFonts w:ascii="Arial" w:cs="Arial" w:eastAsia="Arial" w:hAnsi="Arial"/>
                <w:sz w:val="17"/>
                <w:szCs w:val="17"/>
                <w:color w:val="auto"/>
                <w:w w:val="97"/>
              </w:rPr>
              <w:t>5%</w:t>
            </w: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management and exchange revenues</w:t>
            </w: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7"/>
              </w:rPr>
              <w:t>4%</w:t>
            </w:r>
          </w:p>
        </w:tc>
        <w:tc>
          <w:tcPr>
            <w:tcW w:w="0" w:type="dxa"/>
            <w:vAlign w:val="bottom"/>
          </w:tcPr>
          <w:p>
            <w:pPr>
              <w:spacing w:after="0"/>
              <w:rPr>
                <w:sz w:val="1"/>
                <w:szCs w:val="1"/>
                <w:color w:val="auto"/>
              </w:rPr>
            </w:pPr>
          </w:p>
        </w:tc>
      </w:tr>
      <w:tr>
        <w:trPr>
          <w:trHeight w:val="236"/>
        </w:trPr>
        <w:tc>
          <w:tcPr>
            <w:tcW w:w="3640" w:type="dxa"/>
            <w:vAlign w:val="bottom"/>
          </w:tcPr>
          <w:p>
            <w:pPr>
              <w:ind w:left="20"/>
              <w:spacing w:after="0"/>
              <w:rPr>
                <w:sz w:val="20"/>
                <w:szCs w:val="20"/>
                <w:color w:val="auto"/>
              </w:rPr>
            </w:pPr>
            <w:r>
              <w:rPr>
                <w:rFonts w:ascii="Arial" w:cs="Arial" w:eastAsia="Arial" w:hAnsi="Arial"/>
                <w:sz w:val="17"/>
                <w:szCs w:val="17"/>
                <w:color w:val="auto"/>
                <w:w w:val="96"/>
              </w:rPr>
              <w:t>Resort management and other services revenues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w:t>
            </w:r>
          </w:p>
        </w:tc>
        <w:tc>
          <w:tcPr>
            <w:tcW w:w="1020" w:type="dxa"/>
            <w:vAlign w:val="bottom"/>
            <w:gridSpan w:val="2"/>
          </w:tcPr>
          <w:p>
            <w:pPr>
              <w:jc w:val="center"/>
              <w:ind w:left="54"/>
              <w:spacing w:after="0"/>
              <w:rPr>
                <w:sz w:val="20"/>
                <w:szCs w:val="20"/>
                <w:color w:val="auto"/>
              </w:rPr>
            </w:pPr>
            <w:r>
              <w:rPr>
                <w:rFonts w:ascii="Arial" w:cs="Arial" w:eastAsia="Arial" w:hAnsi="Arial"/>
                <w:sz w:val="17"/>
                <w:szCs w:val="17"/>
                <w:color w:val="auto"/>
                <w:w w:val="97"/>
              </w:rPr>
              <w:t>6%</w:t>
            </w:r>
          </w:p>
        </w:tc>
        <w:tc>
          <w:tcPr>
            <w:tcW w:w="0" w:type="dxa"/>
            <w:vAlign w:val="bottom"/>
          </w:tcPr>
          <w:p>
            <w:pPr>
              <w:spacing w:after="0"/>
              <w:rPr>
                <w:sz w:val="1"/>
                <w:szCs w:val="1"/>
                <w:color w:val="auto"/>
              </w:rPr>
            </w:pPr>
          </w:p>
        </w:tc>
      </w:tr>
      <w:tr>
        <w:trPr>
          <w:trHeight w:val="257"/>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Resort management and other services expenses</w:t>
            </w: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6"/>
              </w:rPr>
              <w:t>(14%)</w:t>
            </w:r>
          </w:p>
        </w:tc>
        <w:tc>
          <w:tcPr>
            <w:tcW w:w="0" w:type="dxa"/>
            <w:vAlign w:val="bottom"/>
          </w:tcPr>
          <w:p>
            <w:pPr>
              <w:spacing w:after="0"/>
              <w:rPr>
                <w:sz w:val="1"/>
                <w:szCs w:val="1"/>
                <w:color w:val="auto"/>
              </w:rPr>
            </w:pPr>
          </w:p>
        </w:tc>
      </w:tr>
      <w:tr>
        <w:trPr>
          <w:trHeight w:val="211"/>
        </w:trPr>
        <w:tc>
          <w:tcPr>
            <w:tcW w:w="3640" w:type="dxa"/>
            <w:vAlign w:val="bottom"/>
          </w:tcPr>
          <w:p>
            <w:pPr>
              <w:ind w:left="20"/>
              <w:spacing w:after="0"/>
              <w:rPr>
                <w:sz w:val="20"/>
                <w:szCs w:val="20"/>
                <w:color w:val="auto"/>
              </w:rPr>
            </w:pPr>
            <w:r>
              <w:rPr>
                <w:rFonts w:ascii="Arial" w:cs="Arial" w:eastAsia="Arial" w:hAnsi="Arial"/>
                <w:sz w:val="17"/>
                <w:szCs w:val="17"/>
                <w:color w:val="auto"/>
              </w:rPr>
              <w:t>Resort management and other services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9"/>
              </w:rPr>
              <w:t>—%</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Resort management and other services profit margin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57"/>
              <w:spacing w:after="0"/>
              <w:rPr>
                <w:sz w:val="20"/>
                <w:szCs w:val="20"/>
                <w:color w:val="auto"/>
              </w:rPr>
            </w:pPr>
            <w:r>
              <w:rPr>
                <w:rFonts w:ascii="Arial" w:cs="Arial" w:eastAsia="Arial" w:hAnsi="Arial"/>
                <w:sz w:val="17"/>
                <w:szCs w:val="17"/>
                <w:color w:val="auto"/>
                <w:w w:val="91"/>
              </w:rPr>
              <w:t>52.5%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56"/>
              <w:spacing w:after="0"/>
              <w:rPr>
                <w:sz w:val="20"/>
                <w:szCs w:val="20"/>
                <w:color w:val="auto"/>
              </w:rPr>
            </w:pPr>
            <w:r>
              <w:rPr>
                <w:rFonts w:ascii="Arial" w:cs="Arial" w:eastAsia="Arial" w:hAnsi="Arial"/>
                <w:sz w:val="17"/>
                <w:szCs w:val="17"/>
                <w:color w:val="auto"/>
                <w:w w:val="91"/>
              </w:rPr>
              <w:t>55.8%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92"/>
              </w:rPr>
              <w:t>(3.3 pts)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640" w:type="dxa"/>
            <w:vAlign w:val="bottom"/>
          </w:tcPr>
          <w:p>
            <w:pPr>
              <w:ind w:left="20"/>
              <w:spacing w:after="0"/>
              <w:rPr>
                <w:sz w:val="20"/>
                <w:szCs w:val="20"/>
                <w:color w:val="auto"/>
              </w:rPr>
            </w:pPr>
            <w:r>
              <w:rPr>
                <w:rFonts w:ascii="Arial" w:cs="Arial" w:eastAsia="Arial" w:hAnsi="Arial"/>
                <w:sz w:val="17"/>
                <w:szCs w:val="17"/>
                <w:color w:val="auto"/>
              </w:rPr>
              <w:t xml:space="preserve">Resort occupancy </w:t>
            </w:r>
            <w:r>
              <w:rPr>
                <w:rFonts w:ascii="Arial" w:cs="Arial" w:eastAsia="Arial" w:hAnsi="Arial"/>
                <w:sz w:val="22"/>
                <w:szCs w:val="22"/>
                <w:color w:val="auto"/>
                <w:vertAlign w:val="superscript"/>
              </w:rPr>
              <w:t>(1)</w:t>
            </w:r>
          </w:p>
        </w:tc>
        <w:tc>
          <w:tcPr>
            <w:tcW w:w="140" w:type="dxa"/>
            <w:vAlign w:val="bottom"/>
          </w:tcPr>
          <w:p>
            <w:pPr>
              <w:spacing w:after="0"/>
              <w:rPr>
                <w:sz w:val="24"/>
                <w:szCs w:val="24"/>
                <w:color w:val="auto"/>
              </w:rPr>
            </w:pPr>
          </w:p>
        </w:tc>
        <w:tc>
          <w:tcPr>
            <w:tcW w:w="1100" w:type="dxa"/>
            <w:vAlign w:val="bottom"/>
          </w:tcPr>
          <w:p>
            <w:pPr>
              <w:jc w:val="center"/>
              <w:ind w:right="57"/>
              <w:spacing w:after="0"/>
              <w:rPr>
                <w:sz w:val="20"/>
                <w:szCs w:val="20"/>
                <w:color w:val="auto"/>
              </w:rPr>
            </w:pPr>
            <w:r>
              <w:rPr>
                <w:rFonts w:ascii="Arial" w:cs="Arial" w:eastAsia="Arial" w:hAnsi="Arial"/>
                <w:sz w:val="17"/>
                <w:szCs w:val="17"/>
                <w:color w:val="auto"/>
                <w:w w:val="91"/>
              </w:rPr>
              <w:t>87.9%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56"/>
              <w:spacing w:after="0"/>
              <w:rPr>
                <w:sz w:val="20"/>
                <w:szCs w:val="20"/>
                <w:color w:val="auto"/>
              </w:rPr>
            </w:pPr>
            <w:r>
              <w:rPr>
                <w:rFonts w:ascii="Arial" w:cs="Arial" w:eastAsia="Arial" w:hAnsi="Arial"/>
                <w:sz w:val="17"/>
                <w:szCs w:val="17"/>
                <w:color w:val="auto"/>
                <w:w w:val="91"/>
              </w:rPr>
              <w:t>89.0%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95"/>
              <w:spacing w:after="0"/>
              <w:rPr>
                <w:sz w:val="20"/>
                <w:szCs w:val="20"/>
                <w:color w:val="auto"/>
              </w:rPr>
            </w:pPr>
            <w:r>
              <w:rPr>
                <w:rFonts w:ascii="Arial" w:cs="Arial" w:eastAsia="Arial" w:hAnsi="Arial"/>
                <w:sz w:val="17"/>
                <w:szCs w:val="17"/>
                <w:color w:val="auto"/>
                <w:w w:val="92"/>
              </w:rPr>
              <w:t>(1.1 pts)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20" w:right="2980" w:hanging="300"/>
        <w:spacing w:after="0" w:line="205" w:lineRule="auto"/>
        <w:tabs>
          <w:tab w:leader="none" w:pos="308"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Resort occupancy represents all transient, previews, and owner keys divided by total keys available, net of keys out of service.</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increase in Resort management and other services revenues reflects higher ancillary revenues, including revenues from food and beverage and golf offerings (as a result of an 8% increase in revenue per occupied key, partially offset by a 2% decrease in occupied keys at resorts with ancillary businesses) and higher management fees and commissions from third-party vacation and other offerings. The decline in occupied keys at resorts with ancillary businesses was primarily in Maui due to the wildfires.</w:t>
      </w:r>
    </w:p>
    <w:p>
      <w:pPr>
        <w:spacing w:after="0" w:line="77"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The increase in Resort management and other services expenses reflects an increase in ancillary expenses of $15 million due to increased volumes sold, inflation and foreign currency exchange rate changes in Mexico, and an increase in customer services and exchange company expenses of $9 million due to incremental headcount, wages, benefits, and other operating cost increases.</w:t>
      </w:r>
    </w:p>
    <w:p>
      <w:pPr>
        <w:spacing w:after="0" w:line="22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Revenues, Expenses and Profit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7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6"/>
              </w:rPr>
              <w:t>(17%)</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Rental expenses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20" w:type="dxa"/>
            <w:vAlign w:val="bottom"/>
            <w:tcBorders>
              <w:bottom w:val="single" w:sz="8" w:color="CCEEFF"/>
            </w:tcBorders>
            <w:gridSpan w:val="2"/>
          </w:tcPr>
          <w:p>
            <w:pPr>
              <w:jc w:val="center"/>
              <w:ind w:left="54"/>
              <w:spacing w:after="0"/>
              <w:rPr>
                <w:sz w:val="20"/>
                <w:szCs w:val="20"/>
                <w:color w:val="auto"/>
              </w:rPr>
            </w:pPr>
            <w:r>
              <w:rPr>
                <w:rFonts w:ascii="Arial" w:cs="Arial" w:eastAsia="Arial" w:hAnsi="Arial"/>
                <w:sz w:val="17"/>
                <w:szCs w:val="17"/>
                <w:color w:val="auto"/>
                <w:w w:val="97"/>
              </w:rPr>
              <w:t>6%</w:t>
            </w: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Rental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20" w:type="dxa"/>
            <w:vAlign w:val="bottom"/>
            <w:tcBorders>
              <w:bottom w:val="single" w:sz="8" w:color="CCEEFF"/>
            </w:tcBorders>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6"/>
              </w:rPr>
              <w:t>(73%)</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Rental profit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58"/>
              <w:spacing w:after="0" w:line="189" w:lineRule="exact"/>
              <w:rPr>
                <w:sz w:val="20"/>
                <w:szCs w:val="20"/>
                <w:color w:val="auto"/>
              </w:rPr>
            </w:pPr>
            <w:r>
              <w:rPr>
                <w:rFonts w:ascii="Arial" w:cs="Arial" w:eastAsia="Arial" w:hAnsi="Arial"/>
                <w:sz w:val="17"/>
                <w:szCs w:val="17"/>
                <w:color w:val="auto"/>
              </w:rPr>
              <w:t>5.1%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17"/>
              <w:spacing w:after="0" w:line="189" w:lineRule="exact"/>
              <w:rPr>
                <w:sz w:val="20"/>
                <w:szCs w:val="20"/>
                <w:color w:val="auto"/>
              </w:rPr>
            </w:pPr>
            <w:r>
              <w:rPr>
                <w:rFonts w:ascii="Arial" w:cs="Arial" w:eastAsia="Arial" w:hAnsi="Arial"/>
                <w:sz w:val="17"/>
                <w:szCs w:val="17"/>
                <w:color w:val="auto"/>
              </w:rPr>
              <w:t>15.9%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56"/>
              <w:spacing w:after="0" w:line="189" w:lineRule="exact"/>
              <w:rPr>
                <w:sz w:val="20"/>
                <w:szCs w:val="20"/>
                <w:color w:val="auto"/>
              </w:rPr>
            </w:pPr>
            <w:r>
              <w:rPr>
                <w:rFonts w:ascii="Arial" w:cs="Arial" w:eastAsia="Arial" w:hAnsi="Arial"/>
                <w:sz w:val="17"/>
                <w:szCs w:val="17"/>
                <w:color w:val="auto"/>
                <w:w w:val="89"/>
              </w:rPr>
              <w:t>(10.8 pts)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Transient keys rented</w:t>
      </w:r>
      <w:r>
        <w:rPr>
          <w:rFonts w:ascii="Arial" w:cs="Arial" w:eastAsia="Arial" w:hAnsi="Arial"/>
          <w:sz w:val="9"/>
          <w:szCs w:val="9"/>
          <w:color w:val="auto"/>
        </w:rPr>
        <w:t>(1)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transient rate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Rental occupancy</w:t>
      </w: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40" w:type="dxa"/>
            <w:vAlign w:val="bottom"/>
          </w:tcPr>
          <w:p>
            <w:pPr>
              <w:spacing w:after="0"/>
              <w:rPr>
                <w:sz w:val="17"/>
                <w:szCs w:val="17"/>
                <w:color w:val="auto"/>
              </w:rPr>
            </w:pPr>
          </w:p>
        </w:tc>
        <w:tc>
          <w:tcPr>
            <w:tcW w:w="2580" w:type="dxa"/>
            <w:vAlign w:val="bottom"/>
            <w:gridSpan w:val="5"/>
          </w:tcPr>
          <w:p>
            <w:pPr>
              <w:ind w:left="46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8"/>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90"/>
              </w:rPr>
              <w:t>Change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1100" w:type="dxa"/>
            <w:vAlign w:val="bottom"/>
          </w:tcPr>
          <w:p>
            <w:pPr>
              <w:jc w:val="right"/>
              <w:ind w:right="379"/>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78"/>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509,057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509,621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(564)</w:t>
            </w:r>
          </w:p>
        </w:tc>
        <w:tc>
          <w:tcPr>
            <w:tcW w:w="140" w:type="dxa"/>
            <w:vAlign w:val="bottom"/>
          </w:tcPr>
          <w:p>
            <w:pPr>
              <w:spacing w:after="0"/>
              <w:rPr>
                <w:sz w:val="19"/>
                <w:szCs w:val="19"/>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w:t>
            </w:r>
          </w:p>
        </w:tc>
        <w:tc>
          <w:tcPr>
            <w:tcW w:w="0" w:type="dxa"/>
            <w:vAlign w:val="bottom"/>
          </w:tcPr>
          <w:p>
            <w:pPr>
              <w:spacing w:after="0"/>
              <w:rPr>
                <w:sz w:val="1"/>
                <w:szCs w:val="1"/>
                <w:color w:val="auto"/>
              </w:rPr>
            </w:pPr>
          </w:p>
        </w:tc>
      </w:tr>
      <w:tr>
        <w:trPr>
          <w:trHeight w:val="244"/>
        </w:trPr>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21"/>
                <w:szCs w:val="21"/>
                <w:color w:val="auto"/>
              </w:rPr>
            </w:pPr>
          </w:p>
        </w:tc>
        <w:tc>
          <w:tcPr>
            <w:tcW w:w="880" w:type="dxa"/>
            <w:vAlign w:val="bottom"/>
          </w:tcPr>
          <w:p>
            <w:pPr>
              <w:jc w:val="right"/>
              <w:ind w:right="197"/>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1"/>
        </w:trPr>
        <w:tc>
          <w:tcPr>
            <w:tcW w:w="140" w:type="dxa"/>
            <w:vAlign w:val="bottom"/>
          </w:tcPr>
          <w:p>
            <w:pPr>
              <w:spacing w:after="0"/>
              <w:rPr>
                <w:sz w:val="20"/>
                <w:szCs w:val="20"/>
                <w:color w:val="auto"/>
              </w:rPr>
            </w:pPr>
          </w:p>
        </w:tc>
        <w:tc>
          <w:tcPr>
            <w:tcW w:w="1100" w:type="dxa"/>
            <w:vAlign w:val="bottom"/>
          </w:tcPr>
          <w:p>
            <w:pPr>
              <w:jc w:val="right"/>
              <w:ind w:right="319"/>
              <w:spacing w:after="0"/>
              <w:rPr>
                <w:sz w:val="20"/>
                <w:szCs w:val="20"/>
                <w:color w:val="auto"/>
              </w:rPr>
            </w:pPr>
            <w:r>
              <w:rPr>
                <w:rFonts w:ascii="Arial" w:cs="Arial" w:eastAsia="Arial" w:hAnsi="Arial"/>
                <w:sz w:val="17"/>
                <w:szCs w:val="17"/>
                <w:color w:val="auto"/>
              </w:rPr>
              <w:t>64.3%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18"/>
              <w:spacing w:after="0"/>
              <w:rPr>
                <w:sz w:val="20"/>
                <w:szCs w:val="20"/>
                <w:color w:val="auto"/>
              </w:rPr>
            </w:pPr>
            <w:r>
              <w:rPr>
                <w:rFonts w:ascii="Arial" w:cs="Arial" w:eastAsia="Arial" w:hAnsi="Arial"/>
                <w:sz w:val="17"/>
                <w:szCs w:val="17"/>
                <w:color w:val="auto"/>
              </w:rPr>
              <w:t>69.2%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7"/>
                <w:szCs w:val="17"/>
                <w:color w:val="auto"/>
                <w:w w:val="89"/>
              </w:rPr>
              <w:t>(4.9 pts)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-454660</wp:posOffset>
            </wp:positionV>
            <wp:extent cx="5280660" cy="154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80660" cy="15494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-145415</wp:posOffset>
            </wp:positionV>
            <wp:extent cx="5280660" cy="154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80660" cy="15494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2920" w:space="720"/>
            <w:col w:w="7600"/>
          </w:cols>
          <w:pgMar w:left="320" w:top="230" w:right="339" w:bottom="1440" w:gutter="0" w:footer="0" w:header="0"/>
          <w:type w:val="continuous"/>
        </w:sectPr>
      </w:pPr>
    </w:p>
    <w:p>
      <w:pPr>
        <w:ind w:left="300" w:hanging="297"/>
        <w:spacing w:after="0"/>
        <w:tabs>
          <w:tab w:leader="none" w:pos="300" w:val="left"/>
        </w:tabs>
        <w:numPr>
          <w:ilvl w:val="0"/>
          <w:numId w:val="35"/>
        </w:numPr>
        <w:rPr>
          <w:rFonts w:ascii="Arial" w:cs="Arial" w:eastAsia="Arial" w:hAnsi="Arial"/>
          <w:sz w:val="22"/>
          <w:szCs w:val="22"/>
          <w:color w:val="auto"/>
          <w:vertAlign w:val="superscript"/>
        </w:rPr>
      </w:pPr>
      <w:r>
        <w:rPr>
          <w:rFonts w:ascii="Arial" w:cs="Arial" w:eastAsia="Arial" w:hAnsi="Arial"/>
          <w:sz w:val="17"/>
          <w:szCs w:val="17"/>
          <w:color w:val="auto"/>
        </w:rPr>
        <w:t>Transient keys rented exclude those occupied through the use of plus points and preview stays.</w:t>
      </w:r>
    </w:p>
    <w:p>
      <w:pPr>
        <w:spacing w:after="0" w:line="2"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35"/>
        </w:numPr>
        <w:rPr>
          <w:rFonts w:ascii="Arial" w:cs="Arial" w:eastAsia="Arial" w:hAnsi="Arial"/>
          <w:sz w:val="10"/>
          <w:szCs w:val="10"/>
          <w:color w:val="auto"/>
        </w:rPr>
      </w:pPr>
      <w:r>
        <w:rPr>
          <w:rFonts w:ascii="Arial" w:cs="Arial" w:eastAsia="Arial" w:hAnsi="Arial"/>
          <w:sz w:val="16"/>
          <w:szCs w:val="16"/>
          <w:color w:val="auto"/>
        </w:rPr>
        <w:t>Rental occupancy represents transient and preview keys divided by keys available to rent, which is total available keys excluding owner usage.</w:t>
      </w:r>
    </w:p>
    <w:p>
      <w:pPr>
        <w:spacing w:after="0" w:line="110"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Rental profit for transient keys, including plus points and excluding keys from owned hotels, declined due to an $11 million increase in unsold maintenance fees associated with developer owned inventory, $9 million of decreased profit due largely to the Maui wildfires and declining average daily rates, offset by the continued rebound of the Asia Pacific region and $5 million of higher operating costs. These decreases were partially offset by $8 million of higher plus points revenue. In addition to these variances, there was a $25 million higher net down of rental revenues and expense in the 2023 third quarter associated with unsold VOIs that are registered and held for sale.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Rental profit for our owned hotels in the third quarter of 2023 decreased $1 million compared to the third quarter of 2022.</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520"/>
              <w:spacing w:after="0"/>
              <w:rPr>
                <w:sz w:val="20"/>
                <w:szCs w:val="20"/>
                <w:color w:val="auto"/>
              </w:rPr>
            </w:pPr>
            <w:r>
              <w:rPr>
                <w:rFonts w:ascii="Arial" w:cs="Arial" w:eastAsia="Arial" w:hAnsi="Arial"/>
                <w:sz w:val="15"/>
                <w:szCs w:val="15"/>
                <w:b w:val="1"/>
                <w:bCs w:val="1"/>
                <w:color w:val="auto"/>
              </w:rPr>
              <w:t>Nine Months Ended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7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Rental expenses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20" w:type="dxa"/>
            <w:vAlign w:val="bottom"/>
            <w:tcBorders>
              <w:bottom w:val="single" w:sz="8" w:color="CCEEFF"/>
            </w:tcBorders>
            <w:gridSpan w:val="2"/>
          </w:tcPr>
          <w:p>
            <w:pPr>
              <w:jc w:val="center"/>
              <w:ind w:left="54"/>
              <w:spacing w:after="0"/>
              <w:rPr>
                <w:sz w:val="20"/>
                <w:szCs w:val="20"/>
                <w:color w:val="auto"/>
              </w:rPr>
            </w:pPr>
            <w:r>
              <w:rPr>
                <w:rFonts w:ascii="Arial" w:cs="Arial" w:eastAsia="Arial" w:hAnsi="Arial"/>
                <w:sz w:val="17"/>
                <w:szCs w:val="17"/>
                <w:color w:val="auto"/>
                <w:w w:val="96"/>
              </w:rPr>
              <w:t>(14%)</w:t>
            </w: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Rental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20" w:type="dxa"/>
            <w:vAlign w:val="bottom"/>
            <w:tcBorders>
              <w:bottom w:val="single" w:sz="8" w:color="CCEEFF"/>
            </w:tcBorders>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6"/>
              </w:rPr>
              <w:t>(47%)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Rental profit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298"/>
              <w:spacing w:after="0" w:line="189" w:lineRule="exact"/>
              <w:rPr>
                <w:sz w:val="20"/>
                <w:szCs w:val="20"/>
                <w:color w:val="auto"/>
              </w:rPr>
            </w:pPr>
            <w:r>
              <w:rPr>
                <w:rFonts w:ascii="Arial" w:cs="Arial" w:eastAsia="Arial" w:hAnsi="Arial"/>
                <w:sz w:val="17"/>
                <w:szCs w:val="17"/>
                <w:color w:val="auto"/>
              </w:rPr>
              <w:t>12.3%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17"/>
              <w:spacing w:after="0" w:line="189" w:lineRule="exact"/>
              <w:rPr>
                <w:sz w:val="20"/>
                <w:szCs w:val="20"/>
                <w:color w:val="auto"/>
              </w:rPr>
            </w:pPr>
            <w:r>
              <w:rPr>
                <w:rFonts w:ascii="Arial" w:cs="Arial" w:eastAsia="Arial" w:hAnsi="Arial"/>
                <w:sz w:val="17"/>
                <w:szCs w:val="17"/>
                <w:color w:val="auto"/>
              </w:rPr>
              <w:t>23.2%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56"/>
              <w:spacing w:after="0" w:line="189" w:lineRule="exact"/>
              <w:rPr>
                <w:sz w:val="20"/>
                <w:szCs w:val="20"/>
                <w:color w:val="auto"/>
              </w:rPr>
            </w:pPr>
            <w:r>
              <w:rPr>
                <w:rFonts w:ascii="Arial" w:cs="Arial" w:eastAsia="Arial" w:hAnsi="Arial"/>
                <w:sz w:val="17"/>
                <w:szCs w:val="17"/>
                <w:color w:val="auto"/>
                <w:w w:val="89"/>
              </w:rPr>
              <w:t>(10.9 pts)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Transient keys rented</w:t>
      </w:r>
      <w:r>
        <w:rPr>
          <w:rFonts w:ascii="Arial" w:cs="Arial" w:eastAsia="Arial" w:hAnsi="Arial"/>
          <w:sz w:val="10"/>
          <w:szCs w:val="10"/>
          <w:color w:val="auto"/>
        </w:rPr>
        <w:t>(1)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Average transient key rate</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Rental occupancy</w:t>
      </w: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2620" w:type="dxa"/>
            <w:vAlign w:val="bottom"/>
            <w:gridSpan w:val="5"/>
          </w:tcPr>
          <w:p>
            <w:pPr>
              <w:ind w:left="520"/>
              <w:spacing w:after="0"/>
              <w:rPr>
                <w:sz w:val="20"/>
                <w:szCs w:val="20"/>
                <w:color w:val="auto"/>
              </w:rPr>
            </w:pPr>
            <w:r>
              <w:rPr>
                <w:rFonts w:ascii="Arial" w:cs="Arial" w:eastAsia="Arial" w:hAnsi="Arial"/>
                <w:sz w:val="15"/>
                <w:szCs w:val="15"/>
                <w:b w:val="1"/>
                <w:bCs w:val="1"/>
                <w:color w:val="auto"/>
              </w:rPr>
              <w:t>Nine Months Ended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8"/>
              <w:spacing w:after="0" w:line="150" w:lineRule="exact"/>
              <w:rPr>
                <w:sz w:val="20"/>
                <w:szCs w:val="20"/>
                <w:color w:val="auto"/>
              </w:rPr>
            </w:pPr>
            <w:r>
              <w:rPr>
                <w:rFonts w:ascii="Arial" w:cs="Arial" w:eastAsia="Arial" w:hAnsi="Arial"/>
                <w:sz w:val="15"/>
                <w:szCs w:val="15"/>
                <w:b w:val="1"/>
                <w:bCs w:val="1"/>
                <w:color w:val="auto"/>
                <w:w w:val="93"/>
              </w:rPr>
              <w:t>September 30,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0"/>
              </w:rPr>
              <w:t>Change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120" w:type="dxa"/>
            <w:vAlign w:val="bottom"/>
          </w:tcPr>
          <w:p>
            <w:pPr>
              <w:jc w:val="right"/>
              <w:ind w:right="379"/>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78"/>
              <w:spacing w:after="0"/>
              <w:rPr>
                <w:sz w:val="20"/>
                <w:szCs w:val="20"/>
                <w:color w:val="auto"/>
              </w:rPr>
            </w:pPr>
            <w:r>
              <w:rPr>
                <w:rFonts w:ascii="Arial" w:cs="Arial" w:eastAsia="Arial" w:hAnsi="Arial"/>
                <w:sz w:val="15"/>
                <w:szCs w:val="15"/>
                <w:b w:val="1"/>
                <w:bCs w:val="1"/>
                <w:color w:val="auto"/>
              </w:rPr>
              <w:t>2022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1,605,926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1,626,294</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(20,368)</w:t>
            </w:r>
          </w:p>
        </w:tc>
        <w:tc>
          <w:tcPr>
            <w:tcW w:w="140" w:type="dxa"/>
            <w:vAlign w:val="bottom"/>
          </w:tcPr>
          <w:p>
            <w:pPr>
              <w:spacing w:after="0"/>
              <w:rPr>
                <w:sz w:val="19"/>
                <w:szCs w:val="19"/>
                <w:color w:val="auto"/>
              </w:rPr>
            </w:pPr>
          </w:p>
        </w:tc>
        <w:tc>
          <w:tcPr>
            <w:tcW w:w="8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4"/>
        </w:trPr>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268</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9"/>
              </w:rPr>
              <w:t>—%</w:t>
            </w: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1120" w:type="dxa"/>
            <w:vAlign w:val="bottom"/>
          </w:tcPr>
          <w:p>
            <w:pPr>
              <w:jc w:val="right"/>
              <w:ind w:right="319"/>
              <w:spacing w:after="0"/>
              <w:rPr>
                <w:sz w:val="20"/>
                <w:szCs w:val="20"/>
                <w:color w:val="auto"/>
              </w:rPr>
            </w:pPr>
            <w:r>
              <w:rPr>
                <w:rFonts w:ascii="Arial" w:cs="Arial" w:eastAsia="Arial" w:hAnsi="Arial"/>
                <w:sz w:val="17"/>
                <w:szCs w:val="17"/>
                <w:color w:val="auto"/>
              </w:rPr>
              <w:t>68.5%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18"/>
              <w:spacing w:after="0"/>
              <w:rPr>
                <w:sz w:val="20"/>
                <w:szCs w:val="20"/>
                <w:color w:val="auto"/>
              </w:rPr>
            </w:pPr>
            <w:r>
              <w:rPr>
                <w:rFonts w:ascii="Arial" w:cs="Arial" w:eastAsia="Arial" w:hAnsi="Arial"/>
                <w:sz w:val="17"/>
                <w:szCs w:val="17"/>
                <w:color w:val="auto"/>
              </w:rPr>
              <w:t>70.3%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7"/>
                <w:szCs w:val="17"/>
                <w:color w:val="auto"/>
                <w:w w:val="92"/>
              </w:rPr>
              <w:t>(1.8 pts)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-2296160</wp:posOffset>
            </wp:positionH>
            <wp:positionV relativeFrom="paragraph">
              <wp:posOffset>-454660</wp:posOffset>
            </wp:positionV>
            <wp:extent cx="5280660" cy="154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80660" cy="154940"/>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-145415</wp:posOffset>
            </wp:positionV>
            <wp:extent cx="5280660" cy="154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80660" cy="154940"/>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2900" w:space="720"/>
            <w:col w:w="7620"/>
          </w:cols>
          <w:pgMar w:left="320" w:top="230" w:right="339" w:bottom="1440" w:gutter="0" w:footer="0" w:header="0"/>
          <w:type w:val="continuous"/>
        </w:sectPr>
      </w:pPr>
    </w:p>
    <w:p>
      <w:pPr>
        <w:ind w:left="300" w:hanging="297"/>
        <w:spacing w:after="0"/>
        <w:tabs>
          <w:tab w:leader="none" w:pos="300"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Transient keys rented exclude those occupied through the use of plus points and preview stays.</w:t>
      </w:r>
    </w:p>
    <w:p>
      <w:pPr>
        <w:spacing w:after="0" w:line="2"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36"/>
        </w:numPr>
        <w:rPr>
          <w:rFonts w:ascii="Arial" w:cs="Arial" w:eastAsia="Arial" w:hAnsi="Arial"/>
          <w:sz w:val="10"/>
          <w:szCs w:val="10"/>
          <w:color w:val="auto"/>
        </w:rPr>
      </w:pPr>
      <w:r>
        <w:rPr>
          <w:rFonts w:ascii="Arial" w:cs="Arial" w:eastAsia="Arial" w:hAnsi="Arial"/>
          <w:sz w:val="17"/>
          <w:szCs w:val="17"/>
          <w:color w:val="auto"/>
        </w:rPr>
        <w:t>Rental occupancy represents transient and preview keys divided by keys available to rent, which is total available keys excluding owner usage.</w:t>
      </w:r>
    </w:p>
    <w:p>
      <w:pPr>
        <w:spacing w:after="0" w:line="9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Rental profit for transient keys, including plus points and excluding keys from owned hotels, declined by $40 million due to a $34 million increase in unsold maintenance fees associated with developer owned inventory, $10 million of increased costs associated with higher owner utilization of third-party vacation and other offerings, $12 million of decreased profit due to lower demand, the Maui wildfires and an unfavorable change in the mix of keys available to rent, and $3 million of higher other costs. These decreases were partially offset by $16 million of higher plus points revenue and a $3 million reduction of rental costs associated with occupancy used for marketing and sales activities. In addition</w:t>
      </w:r>
    </w:p>
    <w:p>
      <w:pPr>
        <w:spacing w:after="0" w:line="23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to these variances, there was a $2 million lower net down of rental revenues and expense in the first three quarters of 2023 associated with unsold VOIs that are registered and held for sale.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Rental profit for our owned hotels decreased by $4 million, or 30%, attributed to the disposition of our Puerto Vallarta hotel in 2022 and Branson hotel in 2023.</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Revenues, Expenses and Profit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46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3"/>
                <w:szCs w:val="13"/>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5"/>
                <w:szCs w:val="15"/>
                <w:b w:val="1"/>
                <w:bCs w:val="1"/>
                <w:color w:val="auto"/>
                <w:w w:val="95"/>
              </w:rPr>
              <w:t>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89"/>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center"/>
              <w:ind w:left="677"/>
              <w:spacing w:after="0"/>
              <w:rPr>
                <w:sz w:val="20"/>
                <w:szCs w:val="20"/>
                <w:color w:val="auto"/>
              </w:rPr>
            </w:pPr>
            <w:r>
              <w:rPr>
                <w:rFonts w:ascii="Arial" w:cs="Arial" w:eastAsia="Arial" w:hAnsi="Arial"/>
                <w:sz w:val="17"/>
                <w:szCs w:val="17"/>
                <w:color w:val="auto"/>
                <w:w w:val="94"/>
              </w:rPr>
              <w:t>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20" w:type="dxa"/>
            <w:vAlign w:val="bottom"/>
            <w:gridSpan w:val="2"/>
            <w:shd w:val="clear" w:color="auto" w:fill="CCEEFF"/>
          </w:tcPr>
          <w:p>
            <w:pPr>
              <w:jc w:val="right"/>
              <w:ind w:right="199"/>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7"/>
                <w:szCs w:val="17"/>
                <w:color w:val="auto"/>
              </w:rPr>
              <w:t>Financing expenses</w:t>
            </w:r>
          </w:p>
        </w:tc>
        <w:tc>
          <w:tcPr>
            <w:tcW w:w="140" w:type="dxa"/>
            <w:vAlign w:val="bottom"/>
          </w:tcPr>
          <w:p>
            <w:pPr>
              <w:spacing w:after="0"/>
              <w:rPr>
                <w:sz w:val="21"/>
                <w:szCs w:val="21"/>
                <w:color w:val="auto"/>
              </w:rPr>
            </w:pPr>
          </w:p>
        </w:tc>
        <w:tc>
          <w:tcPr>
            <w:tcW w:w="1100" w:type="dxa"/>
            <w:vAlign w:val="bottom"/>
          </w:tcPr>
          <w:p>
            <w:pPr>
              <w:jc w:val="center"/>
              <w:ind w:left="657"/>
              <w:spacing w:after="0"/>
              <w:rPr>
                <w:sz w:val="20"/>
                <w:szCs w:val="20"/>
                <w:color w:val="auto"/>
              </w:rPr>
            </w:pPr>
            <w:r>
              <w:rPr>
                <w:rFonts w:ascii="Arial" w:cs="Arial" w:eastAsia="Arial" w:hAnsi="Arial"/>
                <w:sz w:val="17"/>
                <w:szCs w:val="17"/>
                <w:color w:val="auto"/>
                <w:w w:val="92"/>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21"/>
                <w:szCs w:val="21"/>
                <w:color w:val="auto"/>
              </w:rPr>
            </w:pPr>
          </w:p>
        </w:tc>
        <w:tc>
          <w:tcPr>
            <w:tcW w:w="880" w:type="dxa"/>
            <w:vAlign w:val="bottom"/>
          </w:tcPr>
          <w:p>
            <w:pPr>
              <w:jc w:val="right"/>
              <w:ind w:right="219"/>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45"/>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 financing interest expense</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left="657"/>
              <w:spacing w:after="0"/>
              <w:rPr>
                <w:sz w:val="20"/>
                <w:szCs w:val="20"/>
                <w:color w:val="auto"/>
              </w:rPr>
            </w:pPr>
            <w:r>
              <w:rPr>
                <w:rFonts w:ascii="Arial" w:cs="Arial" w:eastAsia="Arial" w:hAnsi="Arial"/>
                <w:sz w:val="17"/>
                <w:szCs w:val="17"/>
                <w:color w:val="auto"/>
                <w:w w:val="92"/>
              </w:rPr>
              <w:t>(19)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2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1"/>
        </w:trPr>
        <w:tc>
          <w:tcPr>
            <w:tcW w:w="3640" w:type="dxa"/>
            <w:vAlign w:val="bottom"/>
          </w:tcPr>
          <w:p>
            <w:pPr>
              <w:ind w:left="20"/>
              <w:spacing w:after="0"/>
              <w:rPr>
                <w:sz w:val="20"/>
                <w:szCs w:val="20"/>
                <w:color w:val="auto"/>
              </w:rPr>
            </w:pPr>
            <w:r>
              <w:rPr>
                <w:rFonts w:ascii="Arial" w:cs="Arial" w:eastAsia="Arial" w:hAnsi="Arial"/>
                <w:sz w:val="17"/>
                <w:szCs w:val="17"/>
                <w:color w:val="auto"/>
              </w:rPr>
              <w:t>Financing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center"/>
              <w:ind w:left="677"/>
              <w:spacing w:after="0"/>
              <w:rPr>
                <w:sz w:val="20"/>
                <w:szCs w:val="20"/>
                <w:color w:val="auto"/>
              </w:rPr>
            </w:pPr>
            <w:r>
              <w:rPr>
                <w:rFonts w:ascii="Arial" w:cs="Arial" w:eastAsia="Arial" w:hAnsi="Arial"/>
                <w:sz w:val="17"/>
                <w:szCs w:val="17"/>
                <w:color w:val="auto"/>
                <w:w w:val="94"/>
              </w:rPr>
              <w:t>51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20" w:type="dxa"/>
            <w:vAlign w:val="bottom"/>
            <w:gridSpan w:val="2"/>
          </w:tcPr>
          <w:p>
            <w:pPr>
              <w:jc w:val="right"/>
              <w:ind w:right="139"/>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profit margin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57"/>
              <w:spacing w:after="0"/>
              <w:rPr>
                <w:sz w:val="20"/>
                <w:szCs w:val="20"/>
                <w:color w:val="auto"/>
              </w:rPr>
            </w:pPr>
            <w:r>
              <w:rPr>
                <w:rFonts w:ascii="Arial" w:cs="Arial" w:eastAsia="Arial" w:hAnsi="Arial"/>
                <w:sz w:val="17"/>
                <w:szCs w:val="17"/>
                <w:color w:val="auto"/>
                <w:w w:val="91"/>
              </w:rPr>
              <w:t>63.7%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57"/>
              <w:spacing w:after="0"/>
              <w:rPr>
                <w:sz w:val="20"/>
                <w:szCs w:val="20"/>
                <w:color w:val="auto"/>
              </w:rPr>
            </w:pPr>
            <w:r>
              <w:rPr>
                <w:rFonts w:ascii="Arial" w:cs="Arial" w:eastAsia="Arial" w:hAnsi="Arial"/>
                <w:sz w:val="17"/>
                <w:szCs w:val="17"/>
                <w:color w:val="auto"/>
                <w:w w:val="91"/>
              </w:rPr>
              <w:t>94.5%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9"/>
              </w:rPr>
              <w:t>(30.8 pts)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7"/>
                <w:szCs w:val="17"/>
                <w:color w:val="auto"/>
              </w:rPr>
              <w:t>Financing propensity</w:t>
            </w:r>
          </w:p>
        </w:tc>
        <w:tc>
          <w:tcPr>
            <w:tcW w:w="140" w:type="dxa"/>
            <w:vAlign w:val="bottom"/>
          </w:tcPr>
          <w:p>
            <w:pPr>
              <w:spacing w:after="0"/>
              <w:rPr>
                <w:sz w:val="21"/>
                <w:szCs w:val="21"/>
                <w:color w:val="auto"/>
              </w:rPr>
            </w:pPr>
          </w:p>
        </w:tc>
        <w:tc>
          <w:tcPr>
            <w:tcW w:w="1100" w:type="dxa"/>
            <w:vAlign w:val="bottom"/>
          </w:tcPr>
          <w:p>
            <w:pPr>
              <w:jc w:val="center"/>
              <w:ind w:right="57"/>
              <w:spacing w:after="0"/>
              <w:rPr>
                <w:sz w:val="20"/>
                <w:szCs w:val="20"/>
                <w:color w:val="auto"/>
              </w:rPr>
            </w:pPr>
            <w:r>
              <w:rPr>
                <w:rFonts w:ascii="Arial" w:cs="Arial" w:eastAsia="Arial" w:hAnsi="Arial"/>
                <w:sz w:val="17"/>
                <w:szCs w:val="17"/>
                <w:color w:val="auto"/>
                <w:w w:val="91"/>
              </w:rPr>
              <w:t>64.0%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center"/>
              <w:ind w:right="57"/>
              <w:spacing w:after="0"/>
              <w:rPr>
                <w:sz w:val="20"/>
                <w:szCs w:val="20"/>
                <w:color w:val="auto"/>
              </w:rPr>
            </w:pPr>
            <w:r>
              <w:rPr>
                <w:rFonts w:ascii="Arial" w:cs="Arial" w:eastAsia="Arial" w:hAnsi="Arial"/>
                <w:sz w:val="17"/>
                <w:szCs w:val="17"/>
                <w:color w:val="auto"/>
                <w:w w:val="91"/>
              </w:rPr>
              <w:t>58.7%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Financing revenues reflect $8 million of higher interest income as a result of a higher average notes receivable balance partially offset by $1 million of higher plus point financing incentive costs. The higher average notes receivable balance was the result of new loan originations in excess of the repayment of existing vacation ownership notes receivable, which we expect to continue. As part of our Reserve Alignment for Marriott-, Westin- and Sheraton-branded vacation ownership notes receivable, in the third quarter of 2022, we recorded a $19 million reduction in our estimated reserve for acquired vacation ownership notes receivable as a decrease in Financing expenses. Excluding this difference, Financing expenses increased $1 million due to higher operating costs.</w:t>
      </w:r>
    </w:p>
    <w:p>
      <w:pPr>
        <w:spacing w:after="0" w:line="48" w:lineRule="exact"/>
        <w:rPr>
          <w:sz w:val="20"/>
          <w:szCs w:val="20"/>
          <w:color w:val="auto"/>
        </w:rPr>
      </w:pPr>
    </w:p>
    <w:p>
      <w:pPr>
        <w:ind w:right="160"/>
        <w:spacing w:after="0" w:line="301" w:lineRule="auto"/>
        <w:rPr>
          <w:sz w:val="20"/>
          <w:szCs w:val="20"/>
          <w:color w:val="auto"/>
        </w:rPr>
      </w:pPr>
      <w:r>
        <w:rPr>
          <w:rFonts w:ascii="Arial" w:cs="Arial" w:eastAsia="Arial" w:hAnsi="Arial"/>
          <w:sz w:val="15"/>
          <w:szCs w:val="15"/>
          <w:color w:val="auto"/>
        </w:rPr>
        <w:t>The increase in consumer financing interest expense is attributable to the higher average securitized debt at a higher average interest rate for the more recent term securitization transactions. We expect consumer financing interest expense to continue to remain elevated over our average outstanding interest rates on existing securitization transactions as a result of rising interest rates for the remainder of 2023. We do not adjust interest rates on consumer financing offerings at the same pace as, or in lock-step with, broader market interest rates; thus we expect our financing profit margin to continue to decrease in 2023, as we repay existing securitization transactions with lower interest rates and enter into new securitization transactions with higher interest rates.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500"/>
              <w:spacing w:after="0"/>
              <w:rPr>
                <w:sz w:val="20"/>
                <w:szCs w:val="20"/>
                <w:color w:val="auto"/>
              </w:rPr>
            </w:pPr>
            <w:r>
              <w:rPr>
                <w:rFonts w:ascii="Arial" w:cs="Arial" w:eastAsia="Arial" w:hAnsi="Arial"/>
                <w:sz w:val="15"/>
                <w:szCs w:val="15"/>
                <w:b w:val="1"/>
                <w:bCs w:val="1"/>
                <w:color w:val="auto"/>
              </w:rPr>
              <w:t>Nine Months Ended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center"/>
              <w:ind w:right="56"/>
              <w:spacing w:after="0"/>
              <w:rPr>
                <w:sz w:val="20"/>
                <w:szCs w:val="20"/>
                <w:color w:val="auto"/>
              </w:rPr>
            </w:pPr>
            <w:r>
              <w:rPr>
                <w:rFonts w:ascii="Arial" w:cs="Arial" w:eastAsia="Arial" w:hAnsi="Arial"/>
                <w:sz w:val="15"/>
                <w:szCs w:val="15"/>
                <w:b w:val="1"/>
                <w:bCs w:val="1"/>
                <w:color w:val="auto"/>
                <w:w w:val="90"/>
              </w:rPr>
              <w:t>Change</w:t>
            </w:r>
          </w:p>
        </w:tc>
        <w:tc>
          <w:tcPr>
            <w:tcW w:w="14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5"/>
                <w:szCs w:val="15"/>
                <w:b w:val="1"/>
                <w:bCs w:val="1"/>
                <w:color w:val="auto"/>
                <w:w w:val="95"/>
              </w:rPr>
              <w:t>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7"/>
              <w:spacing w:after="0"/>
              <w:rPr>
                <w:sz w:val="20"/>
                <w:szCs w:val="20"/>
                <w:color w:val="auto"/>
              </w:rPr>
            </w:pPr>
            <w:r>
              <w:rPr>
                <w:rFonts w:ascii="Arial" w:cs="Arial" w:eastAsia="Arial" w:hAnsi="Arial"/>
                <w:sz w:val="15"/>
                <w:szCs w:val="15"/>
                <w:b w:val="1"/>
                <w:bCs w:val="1"/>
                <w:color w:val="auto"/>
                <w:w w:val="89"/>
              </w:rPr>
              <w:t>2022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revenues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239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217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96"/>
              <w:spacing w:after="0"/>
              <w:rPr>
                <w:sz w:val="20"/>
                <w:szCs w:val="20"/>
                <w:color w:val="auto"/>
              </w:rPr>
            </w:pPr>
            <w:r>
              <w:rPr>
                <w:rFonts w:ascii="Arial" w:cs="Arial" w:eastAsia="Arial" w:hAnsi="Arial"/>
                <w:sz w:val="17"/>
                <w:szCs w:val="17"/>
                <w:color w:val="auto"/>
                <w:w w:val="84"/>
              </w:rPr>
              <w:t>22</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3"/>
              </w:rPr>
              <w:t>10%</w:t>
            </w: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7"/>
                <w:szCs w:val="17"/>
                <w:color w:val="auto"/>
              </w:rPr>
              <w:t>Financing expenses</w:t>
            </w:r>
          </w:p>
        </w:tc>
        <w:tc>
          <w:tcPr>
            <w:tcW w:w="140" w:type="dxa"/>
            <w:vAlign w:val="bottom"/>
          </w:tcPr>
          <w:p>
            <w:pPr>
              <w:spacing w:after="0"/>
              <w:rPr>
                <w:sz w:val="21"/>
                <w:szCs w:val="21"/>
                <w:color w:val="auto"/>
              </w:rPr>
            </w:pPr>
          </w:p>
        </w:tc>
        <w:tc>
          <w:tcPr>
            <w:tcW w:w="1100" w:type="dxa"/>
            <w:vAlign w:val="bottom"/>
          </w:tcPr>
          <w:p>
            <w:pPr>
              <w:ind w:left="780"/>
              <w:spacing w:after="0"/>
              <w:rPr>
                <w:sz w:val="20"/>
                <w:szCs w:val="20"/>
                <w:color w:val="auto"/>
              </w:rPr>
            </w:pPr>
            <w:r>
              <w:rPr>
                <w:rFonts w:ascii="Arial" w:cs="Arial" w:eastAsia="Arial" w:hAnsi="Arial"/>
                <w:sz w:val="17"/>
                <w:szCs w:val="17"/>
                <w:color w:val="auto"/>
                <w:w w:val="99"/>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ind w:left="780"/>
              <w:spacing w:after="0"/>
              <w:rPr>
                <w:sz w:val="20"/>
                <w:szCs w:val="20"/>
                <w:color w:val="auto"/>
              </w:rPr>
            </w:pPr>
            <w:r>
              <w:rPr>
                <w:rFonts w:ascii="Arial" w:cs="Arial" w:eastAsia="Arial" w:hAnsi="Arial"/>
                <w:sz w:val="17"/>
                <w:szCs w:val="17"/>
                <w:color w:val="auto"/>
                <w:w w:val="99"/>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center"/>
              <w:ind w:left="356"/>
              <w:spacing w:after="0"/>
              <w:rPr>
                <w:sz w:val="20"/>
                <w:szCs w:val="20"/>
                <w:color w:val="auto"/>
              </w:rPr>
            </w:pPr>
            <w:r>
              <w:rPr>
                <w:rFonts w:ascii="Arial" w:cs="Arial" w:eastAsia="Arial" w:hAnsi="Arial"/>
                <w:sz w:val="17"/>
                <w:szCs w:val="17"/>
                <w:color w:val="auto"/>
                <w:w w:val="92"/>
              </w:rPr>
              <w:t>(16)</w:t>
            </w:r>
          </w:p>
        </w:tc>
        <w:tc>
          <w:tcPr>
            <w:tcW w:w="14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45"/>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 financing interest expense</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w w:val="99"/>
              </w:rPr>
              <w:t>(55)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w w:val="99"/>
              </w:rPr>
              <w:t>(39)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center"/>
              <w:ind w:left="356"/>
              <w:spacing w:after="0"/>
              <w:rPr>
                <w:sz w:val="20"/>
                <w:szCs w:val="20"/>
                <w:color w:val="auto"/>
              </w:rPr>
            </w:pPr>
            <w:r>
              <w:rPr>
                <w:rFonts w:ascii="Arial" w:cs="Arial" w:eastAsia="Arial" w:hAnsi="Arial"/>
                <w:sz w:val="17"/>
                <w:szCs w:val="17"/>
                <w:color w:val="auto"/>
                <w:w w:val="92"/>
              </w:rPr>
              <w:t>(16)</w:t>
            </w:r>
          </w:p>
        </w:tc>
        <w:tc>
          <w:tcPr>
            <w:tcW w:w="102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6"/>
              </w:rPr>
              <w:t>(41%)</w:t>
            </w:r>
          </w:p>
        </w:tc>
        <w:tc>
          <w:tcPr>
            <w:tcW w:w="0" w:type="dxa"/>
            <w:vAlign w:val="bottom"/>
          </w:tcPr>
          <w:p>
            <w:pPr>
              <w:spacing w:after="0"/>
              <w:rPr>
                <w:sz w:val="1"/>
                <w:szCs w:val="1"/>
                <w:color w:val="auto"/>
              </w:rPr>
            </w:pPr>
          </w:p>
        </w:tc>
      </w:tr>
      <w:tr>
        <w:trPr>
          <w:trHeight w:val="211"/>
        </w:trPr>
        <w:tc>
          <w:tcPr>
            <w:tcW w:w="3640" w:type="dxa"/>
            <w:vAlign w:val="bottom"/>
          </w:tcPr>
          <w:p>
            <w:pPr>
              <w:ind w:left="20"/>
              <w:spacing w:after="0"/>
              <w:rPr>
                <w:sz w:val="20"/>
                <w:szCs w:val="20"/>
                <w:color w:val="auto"/>
              </w:rPr>
            </w:pPr>
            <w:r>
              <w:rPr>
                <w:rFonts w:ascii="Arial" w:cs="Arial" w:eastAsia="Arial" w:hAnsi="Arial"/>
                <w:sz w:val="17"/>
                <w:szCs w:val="17"/>
                <w:color w:val="auto"/>
              </w:rPr>
              <w:t>Financing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ind w:left="760"/>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center"/>
              <w:ind w:left="356"/>
              <w:spacing w:after="0"/>
              <w:rPr>
                <w:sz w:val="20"/>
                <w:szCs w:val="20"/>
                <w:color w:val="auto"/>
              </w:rPr>
            </w:pPr>
            <w:r>
              <w:rPr>
                <w:rFonts w:ascii="Arial" w:cs="Arial" w:eastAsia="Arial" w:hAnsi="Arial"/>
                <w:sz w:val="17"/>
                <w:szCs w:val="17"/>
                <w:color w:val="auto"/>
                <w:w w:val="92"/>
              </w:rPr>
              <w:t>(10)</w:t>
            </w:r>
          </w:p>
        </w:tc>
        <w:tc>
          <w:tcPr>
            <w:tcW w:w="1020" w:type="dxa"/>
            <w:vAlign w:val="bottom"/>
            <w:gridSpan w:val="2"/>
          </w:tcPr>
          <w:p>
            <w:pPr>
              <w:jc w:val="center"/>
              <w:ind w:left="34"/>
              <w:spacing w:after="0"/>
              <w:rPr>
                <w:sz w:val="20"/>
                <w:szCs w:val="20"/>
                <w:color w:val="auto"/>
              </w:rPr>
            </w:pPr>
            <w:r>
              <w:rPr>
                <w:rFonts w:ascii="Arial" w:cs="Arial" w:eastAsia="Arial" w:hAnsi="Arial"/>
                <w:sz w:val="17"/>
                <w:szCs w:val="17"/>
                <w:color w:val="auto"/>
                <w:w w:val="94"/>
              </w:rPr>
              <w:t>(6%)</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profit margin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57"/>
              <w:spacing w:after="0"/>
              <w:rPr>
                <w:sz w:val="20"/>
                <w:szCs w:val="20"/>
                <w:color w:val="auto"/>
              </w:rPr>
            </w:pPr>
            <w:r>
              <w:rPr>
                <w:rFonts w:ascii="Arial" w:cs="Arial" w:eastAsia="Arial" w:hAnsi="Arial"/>
                <w:sz w:val="17"/>
                <w:szCs w:val="17"/>
                <w:color w:val="auto"/>
                <w:w w:val="91"/>
              </w:rPr>
              <w:t>66.2%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57"/>
              <w:spacing w:after="0"/>
              <w:rPr>
                <w:sz w:val="20"/>
                <w:szCs w:val="20"/>
                <w:color w:val="auto"/>
              </w:rPr>
            </w:pPr>
            <w:r>
              <w:rPr>
                <w:rFonts w:ascii="Arial" w:cs="Arial" w:eastAsia="Arial" w:hAnsi="Arial"/>
                <w:sz w:val="17"/>
                <w:szCs w:val="17"/>
                <w:color w:val="auto"/>
                <w:w w:val="91"/>
              </w:rPr>
              <w:t>77.7%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36"/>
              <w:spacing w:after="0"/>
              <w:rPr>
                <w:sz w:val="20"/>
                <w:szCs w:val="20"/>
                <w:color w:val="auto"/>
              </w:rPr>
            </w:pPr>
            <w:r>
              <w:rPr>
                <w:rFonts w:ascii="Arial" w:cs="Arial" w:eastAsia="Arial" w:hAnsi="Arial"/>
                <w:sz w:val="17"/>
                <w:szCs w:val="17"/>
                <w:color w:val="auto"/>
                <w:w w:val="89"/>
              </w:rPr>
              <w:t>(11.5 pts)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0"/>
              <w:spacing w:after="0"/>
              <w:rPr>
                <w:sz w:val="20"/>
                <w:szCs w:val="20"/>
                <w:color w:val="auto"/>
              </w:rPr>
            </w:pPr>
            <w:r>
              <w:rPr>
                <w:rFonts w:ascii="Arial" w:cs="Arial" w:eastAsia="Arial" w:hAnsi="Arial"/>
                <w:sz w:val="17"/>
                <w:szCs w:val="17"/>
                <w:color w:val="auto"/>
              </w:rPr>
              <w:t>Financing propensity</w:t>
            </w:r>
          </w:p>
        </w:tc>
        <w:tc>
          <w:tcPr>
            <w:tcW w:w="140" w:type="dxa"/>
            <w:vAlign w:val="bottom"/>
          </w:tcPr>
          <w:p>
            <w:pPr>
              <w:spacing w:after="0"/>
              <w:rPr>
                <w:sz w:val="21"/>
                <w:szCs w:val="21"/>
                <w:color w:val="auto"/>
              </w:rPr>
            </w:pPr>
          </w:p>
        </w:tc>
        <w:tc>
          <w:tcPr>
            <w:tcW w:w="1100" w:type="dxa"/>
            <w:vAlign w:val="bottom"/>
          </w:tcPr>
          <w:p>
            <w:pPr>
              <w:jc w:val="center"/>
              <w:ind w:right="57"/>
              <w:spacing w:after="0"/>
              <w:rPr>
                <w:sz w:val="20"/>
                <w:szCs w:val="20"/>
                <w:color w:val="auto"/>
              </w:rPr>
            </w:pPr>
            <w:r>
              <w:rPr>
                <w:rFonts w:ascii="Arial" w:cs="Arial" w:eastAsia="Arial" w:hAnsi="Arial"/>
                <w:sz w:val="17"/>
                <w:szCs w:val="17"/>
                <w:color w:val="auto"/>
                <w:w w:val="91"/>
              </w:rPr>
              <w:t>58.2%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center"/>
              <w:ind w:right="57"/>
              <w:spacing w:after="0"/>
              <w:rPr>
                <w:sz w:val="20"/>
                <w:szCs w:val="20"/>
                <w:color w:val="auto"/>
              </w:rPr>
            </w:pPr>
            <w:r>
              <w:rPr>
                <w:rFonts w:ascii="Arial" w:cs="Arial" w:eastAsia="Arial" w:hAnsi="Arial"/>
                <w:sz w:val="17"/>
                <w:szCs w:val="17"/>
                <w:color w:val="auto"/>
                <w:w w:val="91"/>
              </w:rPr>
              <w:t>54.3%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Financing revenues reflect $24 million of higher interest income as a result of a higher average notes receivable balance partially offset by $2 million of higher plus point financing incentive costs. The higher average notes receivable balance was the result of new loan originations in excess of the repayment of existing vacation ownership notes receivable, which we expect will continue. Excluding the change in our estimated reserve for acquired vacation ownership notes receivable, Financing expenses were in line with prior year. In 2023, we recorded a $3 million reduction to our reserve for acquired vacation ownership notes receivable compared to a $19 million reduction in the comparable reserve in 2022.</w:t>
      </w:r>
    </w:p>
    <w:p>
      <w:pPr>
        <w:spacing w:after="0" w:line="233"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Royalty Fee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ind w:left="50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Change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8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Royalty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Royalty fee expense increased in the third quarter of 2023 due to an increase of $2 million in the volume of closings on Marriott-branded products.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ind w:left="54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Change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8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Royalty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88</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580"/>
        <w:spacing w:after="0" w:line="277" w:lineRule="auto"/>
        <w:rPr>
          <w:sz w:val="20"/>
          <w:szCs w:val="20"/>
          <w:color w:val="auto"/>
        </w:rPr>
      </w:pPr>
      <w:r>
        <w:rPr>
          <w:rFonts w:ascii="Arial" w:cs="Arial" w:eastAsia="Arial" w:hAnsi="Arial"/>
          <w:sz w:val="17"/>
          <w:szCs w:val="17"/>
          <w:color w:val="auto"/>
        </w:rPr>
        <w:t>Royalty fee expense increased in the first three quarters of 2023 due to an increase in the volume of closings on Marriott-branded products ($2 million) and increased variable royalty fees paid to Hyatt, which commenced in the fourth quarter of 2022 ($2 million).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Gains and Other Income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ind w:left="500"/>
              <w:spacing w:after="0"/>
              <w:rPr>
                <w:sz w:val="20"/>
                <w:szCs w:val="20"/>
                <w:color w:val="auto"/>
              </w:rPr>
            </w:pPr>
            <w:r>
              <w:rPr>
                <w:rFonts w:ascii="Arial" w:cs="Arial" w:eastAsia="Arial" w:hAnsi="Arial"/>
                <w:sz w:val="15"/>
                <w:szCs w:val="15"/>
                <w:b w:val="1"/>
                <w:bCs w:val="1"/>
                <w:color w:val="auto"/>
              </w:rPr>
              <w:t>Three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Change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8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7</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During the third quarter of 2023, we recorded a $6 million reduction in certain pre-acquisition contingencies associated with the ILG Acquisition and $1 million related to the receipt of insurance proceeds related to property damage from the 2017 hurricanes.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During the third quarter of 2022, we recorded a $1 million gain from foreign currency translation.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gridSpan w:val="5"/>
          </w:tcPr>
          <w:p>
            <w:pPr>
              <w:ind w:left="540"/>
              <w:spacing w:after="0"/>
              <w:rPr>
                <w:sz w:val="20"/>
                <w:szCs w:val="20"/>
                <w:color w:val="auto"/>
              </w:rPr>
            </w:pPr>
            <w:r>
              <w:rPr>
                <w:rFonts w:ascii="Arial" w:cs="Arial" w:eastAsia="Arial" w:hAnsi="Arial"/>
                <w:sz w:val="15"/>
                <w:szCs w:val="15"/>
                <w:b w:val="1"/>
                <w:bCs w:val="1"/>
                <w:color w:val="auto"/>
              </w:rPr>
              <w:t>Nine Months Ended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6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Change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8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23</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During the first three quarters of 2023, we recorded $7 million of gains on the disposition of excess real estate, a $4 million gain associated with the earn out of additional proceeds from the 2019 disposition of a land parcel in Cancun, Mexico, a $9 million reduction in certain pre-acquisition contingencies associated with the ILG Acquisition, $2 million related to the receipt of business interruption insurance proceeds, and $1 million related to the receipt of insurance proceeds related to property damage from the 2017 hurricanes.</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During the first three quarters of 2022, we recorded gains and other income of $33 million related to the strategic decision to dispose of our hotel in Puerto Vallarta, Mexico and $3 million related to the receipt of business interruption insurance proceeds.</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Exchange &amp; Third-Party Management</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REVENUES</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Management and exchange</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Rental</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Cost reimbursements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TOTAL REVENUES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EXPENSES</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Management and exchange</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Depreciation and amortization</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Cost reimbursements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TOTAL EXPENSES</w:t>
      </w:r>
    </w:p>
    <w:p>
      <w:pPr>
        <w:spacing w:after="0" w:line="29" w:lineRule="exact"/>
        <w:rPr>
          <w:sz w:val="20"/>
          <w:szCs w:val="20"/>
          <w:color w:val="auto"/>
        </w:rPr>
      </w:pPr>
    </w:p>
    <w:p>
      <w:pPr>
        <w:ind w:left="220" w:right="440"/>
        <w:spacing w:after="0" w:line="243" w:lineRule="auto"/>
        <w:rPr>
          <w:sz w:val="20"/>
          <w:szCs w:val="20"/>
          <w:color w:val="auto"/>
        </w:rPr>
      </w:pPr>
      <w:r>
        <w:rPr>
          <w:rFonts w:ascii="Arial" w:cs="Arial" w:eastAsia="Arial" w:hAnsi="Arial"/>
          <w:sz w:val="17"/>
          <w:szCs w:val="17"/>
          <w:color w:val="auto"/>
        </w:rPr>
        <w:t>Gains (losses) and other income (expense), net</w:t>
      </w:r>
    </w:p>
    <w:p>
      <w:pPr>
        <w:ind w:left="20"/>
        <w:spacing w:after="0"/>
        <w:rPr>
          <w:sz w:val="20"/>
          <w:szCs w:val="20"/>
          <w:color w:val="auto"/>
        </w:rPr>
      </w:pPr>
      <w:r>
        <w:rPr>
          <w:rFonts w:ascii="Arial" w:cs="Arial" w:eastAsia="Arial" w:hAnsi="Arial"/>
          <w:sz w:val="17"/>
          <w:szCs w:val="17"/>
          <w:b w:val="1"/>
          <w:bCs w:val="1"/>
          <w:color w:val="auto"/>
        </w:rPr>
        <w:t>SEGMENT FINANCIAL RESULTS</w:t>
      </w:r>
    </w:p>
    <w:p>
      <w:pPr>
        <w:ind w:left="20" w:right="320"/>
        <w:spacing w:after="0" w:line="226" w:lineRule="auto"/>
        <w:rPr>
          <w:sz w:val="20"/>
          <w:szCs w:val="20"/>
          <w:color w:val="auto"/>
        </w:rPr>
      </w:pPr>
      <w:r>
        <w:rPr>
          <w:rFonts w:ascii="Arial" w:cs="Arial" w:eastAsia="Arial" w:hAnsi="Arial"/>
          <w:sz w:val="17"/>
          <w:szCs w:val="17"/>
          <w:b w:val="1"/>
          <w:bCs w:val="1"/>
          <w:color w:val="auto"/>
        </w:rPr>
        <w:t>ATTRIBUTABLE TO COMMON SHAREHOLDERS</w:t>
      </w:r>
    </w:p>
    <w:p>
      <w:pPr>
        <w:spacing w:after="0" w:line="202" w:lineRule="exact"/>
        <w:rPr>
          <w:sz w:val="20"/>
          <w:szCs w:val="20"/>
          <w:color w:val="auto"/>
        </w:rPr>
      </w:pPr>
    </w:p>
    <w:p>
      <w:pPr>
        <w:ind w:right="340"/>
        <w:spacing w:after="0" w:line="348" w:lineRule="auto"/>
        <w:rPr>
          <w:sz w:val="20"/>
          <w:szCs w:val="20"/>
          <w:color w:val="auto"/>
        </w:rPr>
      </w:pPr>
      <w:r>
        <w:rPr>
          <w:rFonts w:ascii="Arial" w:cs="Arial" w:eastAsia="Arial" w:hAnsi="Arial"/>
          <w:sz w:val="17"/>
          <w:szCs w:val="17"/>
          <w:b w:val="1"/>
          <w:bCs w:val="1"/>
          <w:color w:val="auto"/>
        </w:rPr>
        <w:t xml:space="preserve">Management and Exchange Profit </w:t>
      </w:r>
      <w:r>
        <w:rPr>
          <w:rFonts w:ascii="Arial" w:cs="Arial" w:eastAsia="Arial" w:hAnsi="Arial"/>
          <w:sz w:val="17"/>
          <w:szCs w:val="17"/>
          <w:i w:val="1"/>
          <w:iCs w:val="1"/>
          <w:color w:val="auto"/>
        </w:rPr>
        <w:t>2023 Third Quarter</w:t>
      </w: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in millions)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Management and exchange revenue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Management and exchange expense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Management and exchange profit</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5"/>
          <w:szCs w:val="15"/>
          <w:color w:val="auto"/>
        </w:rPr>
        <w:t>Management and exchange profit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jc w:val="right"/>
              <w:ind w:right="201"/>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536"/>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spacing w:after="0" w:line="150" w:lineRule="exact"/>
              <w:rPr>
                <w:sz w:val="20"/>
                <w:szCs w:val="20"/>
                <w:color w:val="auto"/>
              </w:rPr>
            </w:pPr>
            <w:r>
              <w:rPr>
                <w:rFonts w:ascii="Arial" w:cs="Arial" w:eastAsia="Arial" w:hAnsi="Arial"/>
                <w:sz w:val="15"/>
                <w:szCs w:val="15"/>
                <w:b w:val="1"/>
                <w:bCs w:val="1"/>
                <w:color w:val="auto"/>
              </w:rPr>
              <w:t>September 30,</w:t>
            </w:r>
          </w:p>
        </w:tc>
        <w:tc>
          <w:tcPr>
            <w:tcW w:w="40" w:type="dxa"/>
            <w:vAlign w:val="bottom"/>
          </w:tcPr>
          <w:p>
            <w:pPr>
              <w:spacing w:after="0"/>
              <w:rPr>
                <w:sz w:val="13"/>
                <w:szCs w:val="13"/>
                <w:color w:val="auto"/>
              </w:rPr>
            </w:pPr>
          </w:p>
        </w:tc>
        <w:tc>
          <w:tcPr>
            <w:tcW w:w="1160" w:type="dxa"/>
            <w:vAlign w:val="bottom"/>
            <w:gridSpan w:val="2"/>
          </w:tcPr>
          <w:p>
            <w:pPr>
              <w:jc w:val="right"/>
              <w:ind w:right="34"/>
              <w:spacing w:after="0" w:line="150" w:lineRule="exact"/>
              <w:rPr>
                <w:sz w:val="20"/>
                <w:szCs w:val="20"/>
                <w:color w:val="auto"/>
              </w:rPr>
            </w:pPr>
            <w:r>
              <w:rPr>
                <w:rFonts w:ascii="Arial" w:cs="Arial" w:eastAsia="Arial" w:hAnsi="Arial"/>
                <w:sz w:val="15"/>
                <w:szCs w:val="15"/>
                <w:b w:val="1"/>
                <w:bCs w:val="1"/>
                <w:color w:val="auto"/>
                <w:w w:val="99"/>
              </w:rPr>
              <w:t>September 30,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September 30,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56"/>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gridSpan w:val="2"/>
          </w:tcPr>
          <w:p>
            <w:pPr>
              <w:ind w:left="440"/>
              <w:spacing w:after="0"/>
              <w:rPr>
                <w:sz w:val="20"/>
                <w:szCs w:val="20"/>
                <w:color w:val="auto"/>
              </w:rPr>
            </w:pPr>
            <w:r>
              <w:rPr>
                <w:rFonts w:ascii="Arial" w:cs="Arial" w:eastAsia="Arial" w:hAnsi="Arial"/>
                <w:sz w:val="15"/>
                <w:szCs w:val="15"/>
                <w:b w:val="1"/>
                <w:bCs w:val="1"/>
                <w:color w:val="auto"/>
              </w:rPr>
              <w:t>2022</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468"/>
        </w:trPr>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741"/>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94"/>
              </w:rPr>
              <w:t>55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99"/>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94"/>
              </w:rPr>
              <w:t>11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4"/>
        </w:trPr>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w w:val="94"/>
              </w:rPr>
              <w:t>28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4"/>
        </w:trPr>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41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519"/>
        </w:trPr>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gridSpan w:val="2"/>
          </w:tcPr>
          <w:p>
            <w:pPr>
              <w:jc w:val="right"/>
              <w:ind w:right="741"/>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5"/>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161"/>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ind w:left="40"/>
              <w:spacing w:after="0" w:line="150" w:lineRule="exact"/>
              <w:rPr>
                <w:sz w:val="20"/>
                <w:szCs w:val="20"/>
                <w:color w:val="auto"/>
              </w:rPr>
            </w:pPr>
            <w:r>
              <w:rPr>
                <w:rFonts w:ascii="Arial" w:cs="Arial" w:eastAsia="Arial" w:hAnsi="Arial"/>
                <w:sz w:val="15"/>
                <w:szCs w:val="15"/>
                <w:b w:val="1"/>
                <w:bCs w:val="1"/>
                <w:color w:val="auto"/>
              </w:rPr>
              <w:t>September 30,</w:t>
            </w:r>
          </w:p>
        </w:tc>
        <w:tc>
          <w:tcPr>
            <w:tcW w:w="40" w:type="dxa"/>
            <w:vAlign w:val="bottom"/>
          </w:tcPr>
          <w:p>
            <w:pPr>
              <w:spacing w:after="0"/>
              <w:rPr>
                <w:sz w:val="13"/>
                <w:szCs w:val="13"/>
                <w:color w:val="auto"/>
              </w:rPr>
            </w:pPr>
          </w:p>
        </w:tc>
        <w:tc>
          <w:tcPr>
            <w:tcW w:w="1240" w:type="dxa"/>
            <w:vAlign w:val="bottom"/>
            <w:gridSpan w:val="3"/>
          </w:tcPr>
          <w:p>
            <w:pPr>
              <w:ind w:left="160"/>
              <w:spacing w:after="0" w:line="150" w:lineRule="exact"/>
              <w:rPr>
                <w:sz w:val="20"/>
                <w:szCs w:val="20"/>
                <w:color w:val="auto"/>
              </w:rPr>
            </w:pPr>
            <w:r>
              <w:rPr>
                <w:rFonts w:ascii="Arial" w:cs="Arial" w:eastAsia="Arial" w:hAnsi="Arial"/>
                <w:sz w:val="15"/>
                <w:szCs w:val="15"/>
                <w:b w:val="1"/>
                <w:bCs w:val="1"/>
                <w:color w:val="auto"/>
              </w:rPr>
              <w:t>September 30,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5"/>
                <w:szCs w:val="15"/>
                <w:b w:val="1"/>
                <w:bCs w:val="1"/>
                <w:color w:val="auto"/>
                <w:w w:val="90"/>
              </w:rPr>
              <w:t>Change</w:t>
            </w:r>
          </w:p>
        </w:tc>
        <w:tc>
          <w:tcPr>
            <w:tcW w:w="6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5"/>
                <w:szCs w:val="15"/>
                <w:b w:val="1"/>
                <w:bCs w:val="1"/>
                <w:color w:val="auto"/>
              </w:rPr>
              <w:t>2023</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rPr>
              <w:t>2022</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center"/>
              <w:ind w:left="757"/>
              <w:spacing w:after="0"/>
              <w:rPr>
                <w:sz w:val="20"/>
                <w:szCs w:val="20"/>
                <w:color w:val="auto"/>
              </w:rPr>
            </w:pPr>
            <w:r>
              <w:rPr>
                <w:rFonts w:ascii="Arial" w:cs="Arial" w:eastAsia="Arial" w:hAnsi="Arial"/>
                <w:sz w:val="17"/>
                <w:szCs w:val="17"/>
                <w:color w:val="auto"/>
                <w:w w:val="94"/>
              </w:rPr>
              <w:t>50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81"/>
              <w:spacing w:after="0"/>
              <w:rPr>
                <w:sz w:val="20"/>
                <w:szCs w:val="20"/>
                <w:color w:val="auto"/>
              </w:rPr>
            </w:pPr>
            <w:r>
              <w:rPr>
                <w:rFonts w:ascii="Arial" w:cs="Arial" w:eastAsia="Arial" w:hAnsi="Arial"/>
                <w:sz w:val="17"/>
                <w:szCs w:val="17"/>
                <w:color w:val="auto"/>
              </w:rPr>
              <w:t>$</w:t>
            </w:r>
          </w:p>
        </w:tc>
        <w:tc>
          <w:tcPr>
            <w:tcW w:w="280" w:type="dxa"/>
            <w:vAlign w:val="bottom"/>
          </w:tcPr>
          <w:p>
            <w:pPr>
              <w:jc w:val="center"/>
              <w:ind w:left="14"/>
              <w:spacing w:after="0"/>
              <w:rPr>
                <w:sz w:val="20"/>
                <w:szCs w:val="20"/>
                <w:color w:val="auto"/>
              </w:rPr>
            </w:pPr>
            <w:r>
              <w:rPr>
                <w:rFonts w:ascii="Arial" w:cs="Arial" w:eastAsia="Arial" w:hAnsi="Arial"/>
                <w:sz w:val="17"/>
                <w:szCs w:val="17"/>
                <w:color w:val="auto"/>
                <w:w w:val="94"/>
              </w:rPr>
              <w:t>55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4"/>
              </w:rPr>
              <w:t>(7%)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left="677"/>
              <w:spacing w:after="0"/>
              <w:rPr>
                <w:sz w:val="20"/>
                <w:szCs w:val="20"/>
                <w:color w:val="auto"/>
              </w:rPr>
            </w:pPr>
            <w:r>
              <w:rPr>
                <w:rFonts w:ascii="Arial" w:cs="Arial" w:eastAsia="Arial" w:hAnsi="Arial"/>
                <w:sz w:val="17"/>
                <w:szCs w:val="17"/>
                <w:color w:val="auto"/>
                <w:w w:val="92"/>
              </w:rPr>
              <w:t>(31)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2"/>
              </w:rPr>
              <w:t>(28)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4"/>
              </w:rPr>
              <w:t>(9%)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center"/>
              <w:ind w:left="757"/>
              <w:spacing w:after="0"/>
              <w:rPr>
                <w:sz w:val="20"/>
                <w:szCs w:val="20"/>
                <w:color w:val="auto"/>
              </w:rPr>
            </w:pPr>
            <w:r>
              <w:rPr>
                <w:rFonts w:ascii="Arial" w:cs="Arial" w:eastAsia="Arial" w:hAnsi="Arial"/>
                <w:sz w:val="17"/>
                <w:szCs w:val="17"/>
                <w:color w:val="auto"/>
                <w:w w:val="94"/>
              </w:rPr>
              <w:t>19</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bottom w:val="single" w:sz="8" w:color="auto"/>
            </w:tcBorders>
          </w:tcPr>
          <w:p>
            <w:pPr>
              <w:jc w:val="right"/>
              <w:ind w:right="681"/>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center"/>
              <w:ind w:left="14"/>
              <w:spacing w:after="0"/>
              <w:rPr>
                <w:sz w:val="20"/>
                <w:szCs w:val="20"/>
                <w:color w:val="auto"/>
              </w:rPr>
            </w:pPr>
            <w:r>
              <w:rPr>
                <w:rFonts w:ascii="Arial" w:cs="Arial" w:eastAsia="Arial" w:hAnsi="Arial"/>
                <w:sz w:val="17"/>
                <w:szCs w:val="17"/>
                <w:color w:val="auto"/>
                <w:w w:val="94"/>
              </w:rPr>
              <w:t>27</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6"/>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57"/>
              <w:spacing w:after="0"/>
              <w:rPr>
                <w:sz w:val="20"/>
                <w:szCs w:val="20"/>
                <w:color w:val="auto"/>
              </w:rPr>
            </w:pPr>
            <w:r>
              <w:rPr>
                <w:rFonts w:ascii="Arial" w:cs="Arial" w:eastAsia="Arial" w:hAnsi="Arial"/>
                <w:sz w:val="17"/>
                <w:szCs w:val="17"/>
                <w:color w:val="auto"/>
              </w:rPr>
              <w:t>38.9%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7"/>
                <w:szCs w:val="17"/>
                <w:color w:val="auto"/>
                <w:w w:val="95"/>
              </w:rPr>
              <w:t>48.1%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7"/>
                <w:szCs w:val="17"/>
                <w:color w:val="auto"/>
                <w:w w:val="92"/>
              </w:rPr>
              <w:t>(9.2 pts)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-3600450</wp:posOffset>
            </wp:positionV>
            <wp:extent cx="5280660" cy="154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80660" cy="15494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-3291205</wp:posOffset>
            </wp:positionV>
            <wp:extent cx="5280660" cy="154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80660" cy="15494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-2981325</wp:posOffset>
            </wp:positionV>
            <wp:extent cx="5280660" cy="154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80660" cy="15494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-2671445</wp:posOffset>
            </wp:positionV>
            <wp:extent cx="5280660" cy="154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80660" cy="15494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-2362200</wp:posOffset>
            </wp:positionV>
            <wp:extent cx="5280660" cy="154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80660" cy="15494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-2052320</wp:posOffset>
            </wp:positionV>
            <wp:extent cx="5280660" cy="2527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80660" cy="25273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-626110</wp:posOffset>
            </wp:positionV>
            <wp:extent cx="5280660" cy="154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80660" cy="15494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-316230</wp:posOffset>
            </wp:positionV>
            <wp:extent cx="528066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8066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840" w:space="240"/>
            <w:col w:w="8000"/>
          </w:cols>
          <w:pgMar w:left="320" w:top="230" w:right="499" w:bottom="1440" w:gutter="0" w:footer="0" w:header="0"/>
        </w:sectPr>
      </w:pPr>
    </w:p>
    <w:p>
      <w:pPr>
        <w:spacing w:after="0" w:line="264" w:lineRule="auto"/>
        <w:rPr>
          <w:sz w:val="20"/>
          <w:szCs w:val="20"/>
          <w:color w:val="auto"/>
        </w:rPr>
      </w:pPr>
      <w:r>
        <w:rPr>
          <w:rFonts w:ascii="Arial" w:cs="Arial" w:eastAsia="Arial" w:hAnsi="Arial"/>
          <w:sz w:val="17"/>
          <w:szCs w:val="17"/>
          <w:color w:val="auto"/>
        </w:rPr>
        <w:t>The decrease in management and exchange revenue reflects a $3 million decline in Aqua-Aston management revenues resulting from lower revenue per available room in the Hawaii market and the wildfires in Maui. Interval International management and exchange revenues declined $2 million primarily attributed to 5% lower transaction volume, partially offset by a 1% increase in average revenue per member.</w:t>
      </w:r>
    </w:p>
    <w:p>
      <w:pPr>
        <w:spacing w:after="0" w:line="74"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The decrease in management and exchange profit was primarily attributed to higher marketing and sales expense, higher information technology costs and higher wages and benefits and lower revenues.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500"/>
              <w:spacing w:after="0"/>
              <w:rPr>
                <w:sz w:val="20"/>
                <w:szCs w:val="20"/>
                <w:color w:val="auto"/>
              </w:rPr>
            </w:pPr>
            <w:r>
              <w:rPr>
                <w:rFonts w:ascii="Arial" w:cs="Arial" w:eastAsia="Arial" w:hAnsi="Arial"/>
                <w:sz w:val="15"/>
                <w:szCs w:val="15"/>
                <w:b w:val="1"/>
                <w:bCs w:val="1"/>
                <w:color w:val="auto"/>
              </w:rPr>
              <w:t>Nine Months Ended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7"/>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276"/>
              <w:spacing w:after="0"/>
              <w:rPr>
                <w:sz w:val="20"/>
                <w:szCs w:val="20"/>
                <w:color w:val="auto"/>
              </w:rPr>
            </w:pPr>
            <w:r>
              <w:rPr>
                <w:rFonts w:ascii="Arial" w:cs="Arial" w:eastAsia="Arial" w:hAnsi="Arial"/>
                <w:sz w:val="15"/>
                <w:szCs w:val="15"/>
                <w:b w:val="1"/>
                <w:bCs w:val="1"/>
                <w:color w:val="auto"/>
              </w:rPr>
              <w:t>Change</w:t>
            </w:r>
          </w:p>
        </w:tc>
        <w:tc>
          <w:tcPr>
            <w:tcW w:w="120" w:type="dxa"/>
            <w:vAlign w:val="bottom"/>
          </w:tcPr>
          <w:p>
            <w:pPr>
              <w:spacing w:after="0"/>
              <w:rPr>
                <w:sz w:val="13"/>
                <w:szCs w:val="13"/>
                <w:color w:val="auto"/>
              </w:rPr>
            </w:pPr>
          </w:p>
        </w:tc>
        <w:tc>
          <w:tcPr>
            <w:tcW w:w="116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Management and exchange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80" w:type="dxa"/>
            <w:vAlign w:val="bottom"/>
            <w:gridSpan w:val="2"/>
            <w:shd w:val="clear" w:color="auto" w:fill="CCEEFF"/>
          </w:tcPr>
          <w:p>
            <w:pPr>
              <w:jc w:val="center"/>
              <w:ind w:left="54"/>
              <w:spacing w:after="0"/>
              <w:rPr>
                <w:sz w:val="20"/>
                <w:szCs w:val="20"/>
                <w:color w:val="auto"/>
              </w:rPr>
            </w:pPr>
            <w:r>
              <w:rPr>
                <w:rFonts w:ascii="Arial" w:cs="Arial" w:eastAsia="Arial" w:hAnsi="Arial"/>
                <w:sz w:val="17"/>
                <w:szCs w:val="17"/>
                <w:color w:val="auto"/>
                <w:w w:val="92"/>
              </w:rPr>
              <w:t>(11%)</w:t>
            </w: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Management and exchange expense</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80" w:type="dxa"/>
            <w:vAlign w:val="bottom"/>
            <w:tcBorders>
              <w:bottom w:val="single" w:sz="8" w:color="CCEEFF"/>
            </w:tcBorders>
            <w:gridSpan w:val="2"/>
          </w:tcPr>
          <w:p>
            <w:pPr>
              <w:jc w:val="center"/>
              <w:ind w:left="34"/>
              <w:spacing w:after="0"/>
              <w:rPr>
                <w:sz w:val="20"/>
                <w:szCs w:val="20"/>
                <w:color w:val="auto"/>
              </w:rPr>
            </w:pPr>
            <w:r>
              <w:rPr>
                <w:rFonts w:ascii="Arial" w:cs="Arial" w:eastAsia="Arial" w:hAnsi="Arial"/>
                <w:sz w:val="17"/>
                <w:szCs w:val="17"/>
                <w:color w:val="auto"/>
                <w:w w:val="97"/>
              </w:rPr>
              <w:t>3%</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Management and exchange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8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7"/>
                <w:szCs w:val="17"/>
                <w:color w:val="auto"/>
                <w:w w:val="96"/>
              </w:rPr>
              <w:t>(20%)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w w:val="98"/>
              </w:rPr>
              <w:t>Management and exchange profit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18"/>
              <w:spacing w:after="0" w:line="189" w:lineRule="exact"/>
              <w:rPr>
                <w:sz w:val="20"/>
                <w:szCs w:val="20"/>
                <w:color w:val="auto"/>
              </w:rPr>
            </w:pPr>
            <w:r>
              <w:rPr>
                <w:rFonts w:ascii="Arial" w:cs="Arial" w:eastAsia="Arial" w:hAnsi="Arial"/>
                <w:sz w:val="17"/>
                <w:szCs w:val="17"/>
                <w:color w:val="auto"/>
              </w:rPr>
              <w:t>42.3%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17"/>
              <w:spacing w:after="0" w:line="189" w:lineRule="exact"/>
              <w:rPr>
                <w:sz w:val="20"/>
                <w:szCs w:val="20"/>
                <w:color w:val="auto"/>
              </w:rPr>
            </w:pPr>
            <w:r>
              <w:rPr>
                <w:rFonts w:ascii="Arial" w:cs="Arial" w:eastAsia="Arial" w:hAnsi="Arial"/>
                <w:sz w:val="17"/>
                <w:szCs w:val="17"/>
                <w:color w:val="auto"/>
              </w:rPr>
              <w:t>47.3%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236"/>
              <w:spacing w:after="0" w:line="189" w:lineRule="exact"/>
              <w:rPr>
                <w:sz w:val="20"/>
                <w:szCs w:val="20"/>
                <w:color w:val="auto"/>
              </w:rPr>
            </w:pPr>
            <w:r>
              <w:rPr>
                <w:rFonts w:ascii="Arial" w:cs="Arial" w:eastAsia="Arial" w:hAnsi="Arial"/>
                <w:sz w:val="17"/>
                <w:szCs w:val="17"/>
                <w:color w:val="auto"/>
              </w:rPr>
              <w:t>(5.0 pts)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Excluding the $12 million decrease attributed to the disposition of our VRI Americas business during the second quarter of 2022, management and exchange revenue decreased $8 million or 4%. Aqua-Aston management revenue declined $3 million as a result of the wildfires in Maui and higher property level expenses adversely impacting management fees. Interval International management and exchange revenues declined $5 million, primarily attributed to lower membership fees and transaction revenues. Interval International transaction volume declined 6% and average revenue per member decreased 1% compared to the prior year comparable period.</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Excluding the impact of the disposition of VRI Americas, management and exchange profit decreased by $14 million or 15% in the first three quarters of 2023, primarily attributed to higher information technology costs and higher wages and benefits and lower revenues.</w:t>
      </w:r>
    </w:p>
    <w:p>
      <w:pPr>
        <w:spacing w:after="0" w:line="22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080"/>
          </w:cols>
          <w:pgMar w:left="320" w:top="230" w:right="49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Rental Revenues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Change</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10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0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Rental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Results reflect higher rental inventory procurement costs, which are recorded net within Rental revenues.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520"/>
              <w:spacing w:after="0"/>
              <w:rPr>
                <w:sz w:val="20"/>
                <w:szCs w:val="20"/>
                <w:color w:val="auto"/>
              </w:rPr>
            </w:pPr>
            <w:r>
              <w:rPr>
                <w:rFonts w:ascii="Arial" w:cs="Arial" w:eastAsia="Arial" w:hAnsi="Arial"/>
                <w:sz w:val="15"/>
                <w:szCs w:val="15"/>
                <w:b w:val="1"/>
                <w:bCs w:val="1"/>
                <w:color w:val="auto"/>
              </w:rPr>
              <w:t>Nine Months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Change</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10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0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Rental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Results reflect higher rental inventory procurement costs, which are recorded net within Rental revenues.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Gains (Losses) and Other Income (Expense)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6"/>
          </w:tcPr>
          <w:p>
            <w:pPr>
              <w:jc w:val="center"/>
              <w:ind w:right="240"/>
              <w:spacing w:after="0"/>
              <w:rPr>
                <w:sz w:val="20"/>
                <w:szCs w:val="20"/>
                <w:color w:val="auto"/>
              </w:rPr>
            </w:pPr>
            <w:r>
              <w:rPr>
                <w:rFonts w:ascii="Arial" w:cs="Arial" w:eastAsia="Arial" w:hAnsi="Arial"/>
                <w:sz w:val="15"/>
                <w:szCs w:val="15"/>
                <w:b w:val="1"/>
                <w:bCs w:val="1"/>
                <w:color w:val="auto"/>
                <w:w w:val="94"/>
              </w:rPr>
              <w:t>Three Months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Change</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7"/>
                <w:szCs w:val="17"/>
                <w:color w:val="auto"/>
              </w:rPr>
            </w:pPr>
          </w:p>
        </w:tc>
        <w:tc>
          <w:tcPr>
            <w:tcW w:w="1100" w:type="dxa"/>
            <w:vAlign w:val="bottom"/>
          </w:tcPr>
          <w:p>
            <w:pPr>
              <w:jc w:val="center"/>
              <w:ind w:right="21"/>
              <w:spacing w:after="0"/>
              <w:rPr>
                <w:sz w:val="20"/>
                <w:szCs w:val="20"/>
                <w:color w:val="auto"/>
              </w:rPr>
            </w:pPr>
            <w:r>
              <w:rPr>
                <w:rFonts w:ascii="Arial" w:cs="Arial" w:eastAsia="Arial" w:hAnsi="Arial"/>
                <w:sz w:val="15"/>
                <w:szCs w:val="15"/>
                <w:b w:val="1"/>
                <w:bCs w:val="1"/>
                <w:color w:val="auto"/>
                <w:w w:val="95"/>
              </w:rPr>
              <w:t>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40"/>
              <w:spacing w:after="0"/>
              <w:rPr>
                <w:sz w:val="20"/>
                <w:szCs w:val="20"/>
                <w:color w:val="auto"/>
              </w:rPr>
            </w:pPr>
            <w:r>
              <w:rPr>
                <w:rFonts w:ascii="Arial" w:cs="Arial" w:eastAsia="Arial" w:hAnsi="Arial"/>
                <w:sz w:val="15"/>
                <w:szCs w:val="15"/>
                <w:b w:val="1"/>
                <w:bCs w:val="1"/>
                <w:color w:val="auto"/>
                <w:w w:val="95"/>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00" w:type="dxa"/>
            <w:vAlign w:val="bottom"/>
            <w:tcBorders>
              <w:top w:val="single" w:sz="8" w:color="CCEEFF"/>
            </w:tcBorders>
            <w:gridSpan w:val="2"/>
            <w:shd w:val="clear" w:color="auto" w:fill="CCEEFF"/>
          </w:tcPr>
          <w:p>
            <w:pPr>
              <w:ind w:left="20"/>
              <w:spacing w:after="0" w:line="150" w:lineRule="exact"/>
              <w:rPr>
                <w:sz w:val="20"/>
                <w:szCs w:val="20"/>
                <w:color w:val="auto"/>
              </w:rPr>
            </w:pPr>
            <w:r>
              <w:rPr>
                <w:rFonts w:ascii="Arial" w:cs="Arial" w:eastAsia="Arial" w:hAnsi="Arial"/>
                <w:sz w:val="17"/>
                <w:szCs w:val="17"/>
                <w:color w:val="auto"/>
                <w:w w:val="92"/>
              </w:rPr>
              <w:t>Gains (losses) and other income (expense),</w:t>
            </w: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486"/>
        </w:trPr>
        <w:tc>
          <w:tcPr>
            <w:tcW w:w="3100" w:type="dxa"/>
            <w:vAlign w:val="bottom"/>
            <w:gridSpan w:val="2"/>
          </w:tcPr>
          <w:p>
            <w:pPr>
              <w:spacing w:after="0"/>
              <w:rPr>
                <w:sz w:val="20"/>
                <w:szCs w:val="20"/>
                <w:color w:val="auto"/>
              </w:rPr>
            </w:pPr>
            <w:r>
              <w:rPr>
                <w:rFonts w:ascii="Arial" w:cs="Arial" w:eastAsia="Arial" w:hAnsi="Arial"/>
                <w:sz w:val="17"/>
                <w:szCs w:val="17"/>
                <w:i w:val="1"/>
                <w:iCs w:val="1"/>
                <w:color w:val="auto"/>
              </w:rPr>
              <w:t>2023 First Three Quarters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6"/>
          </w:tcPr>
          <w:p>
            <w:pPr>
              <w:jc w:val="center"/>
              <w:ind w:right="240"/>
              <w:spacing w:after="0"/>
              <w:rPr>
                <w:sz w:val="20"/>
                <w:szCs w:val="20"/>
                <w:color w:val="auto"/>
              </w:rPr>
            </w:pPr>
            <w:r>
              <w:rPr>
                <w:rFonts w:ascii="Arial" w:cs="Arial" w:eastAsia="Arial" w:hAnsi="Arial"/>
                <w:sz w:val="15"/>
                <w:szCs w:val="15"/>
                <w:b w:val="1"/>
                <w:bCs w:val="1"/>
                <w:color w:val="auto"/>
                <w:w w:val="94"/>
              </w:rPr>
              <w:t>Nine Months Ended</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Change</w:t>
            </w:r>
          </w:p>
        </w:tc>
        <w:tc>
          <w:tcPr>
            <w:tcW w:w="140" w:type="dxa"/>
            <w:vAlign w:val="bottom"/>
            <w:vMerge w:val="restart"/>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89"/>
              </w:rPr>
              <w:t>2023</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5"/>
                <w:szCs w:val="15"/>
                <w:b w:val="1"/>
                <w:bCs w:val="1"/>
                <w:color w:val="auto"/>
                <w:w w:val="89"/>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Gains and other income,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During the first three quarters of 2022, we recorded a $17 million gain related to the sale of our VRI Americas business, partially offset by $2 million of foreign currency translation losses. See Footnote 3 “Acquisitions and Dispositions” for more information on the disposition of VRI Americas.</w:t>
      </w:r>
    </w:p>
    <w:p>
      <w:pPr>
        <w:spacing w:after="0" w:line="192"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960"/>
          </w:cols>
          <w:pgMar w:left="320" w:top="230" w:right="61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w:t>
      </w:r>
    </w:p>
    <w:p>
      <w:pPr>
        <w:spacing w:after="0" w:line="6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Consolidated Property Owners’ Associations.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5"/>
          </w:tcPr>
          <w:p>
            <w:pPr>
              <w:ind w:left="42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2380" w:type="dxa"/>
            <w:vAlign w:val="bottom"/>
            <w:gridSpan w:val="4"/>
          </w:tcPr>
          <w:p>
            <w:pPr>
              <w:jc w:val="right"/>
              <w:ind w:right="495"/>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50"/>
        </w:trPr>
        <w:tc>
          <w:tcPr>
            <w:tcW w:w="3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5"/>
                <w:szCs w:val="15"/>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5"/>
              <w:spacing w:after="0" w:line="150" w:lineRule="exact"/>
              <w:rPr>
                <w:sz w:val="20"/>
                <w:szCs w:val="20"/>
                <w:color w:val="auto"/>
              </w:rPr>
            </w:pPr>
            <w:r>
              <w:rPr>
                <w:rFonts w:ascii="Arial" w:cs="Arial" w:eastAsia="Arial" w:hAnsi="Arial"/>
                <w:sz w:val="15"/>
                <w:szCs w:val="15"/>
                <w:b w:val="1"/>
                <w:bCs w:val="1"/>
                <w:color w:val="auto"/>
                <w:w w:val="89"/>
              </w:rPr>
              <w:t>September 30,</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5"/>
                <w:szCs w:val="15"/>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5"/>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5"/>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0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40" w:type="dxa"/>
            <w:vAlign w:val="bottom"/>
          </w:tcPr>
          <w:p>
            <w:pPr>
              <w:ind w:left="220"/>
              <w:spacing w:after="0"/>
              <w:rPr>
                <w:sz w:val="20"/>
                <w:szCs w:val="20"/>
                <w:color w:val="auto"/>
              </w:rPr>
            </w:pPr>
            <w:r>
              <w:rPr>
                <w:rFonts w:ascii="Arial" w:cs="Arial" w:eastAsia="Arial" w:hAnsi="Arial"/>
                <w:sz w:val="17"/>
                <w:szCs w:val="17"/>
                <w:color w:val="auto"/>
              </w:rPr>
              <w:t>Resort management and other services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REVENUES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9"/>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EXPENSES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40" w:type="dxa"/>
            <w:vAlign w:val="bottom"/>
          </w:tcPr>
          <w:p>
            <w:pPr>
              <w:ind w:left="220"/>
              <w:spacing w:after="0"/>
              <w:rPr>
                <w:sz w:val="20"/>
                <w:szCs w:val="20"/>
                <w:color w:val="auto"/>
              </w:rPr>
            </w:pPr>
            <w:r>
              <w:rPr>
                <w:rFonts w:ascii="Arial" w:cs="Arial" w:eastAsia="Arial" w:hAnsi="Arial"/>
                <w:sz w:val="17"/>
                <w:szCs w:val="17"/>
                <w:color w:val="auto"/>
              </w:rPr>
              <w:t>Resort management and other services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Rental</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8"/>
        </w:trPr>
        <w:tc>
          <w:tcPr>
            <w:tcW w:w="324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3240" w:type="dxa"/>
            <w:vAlign w:val="bottom"/>
          </w:tcPr>
          <w:p>
            <w:pPr>
              <w:ind w:left="220"/>
              <w:spacing w:after="0"/>
              <w:rPr>
                <w:sz w:val="20"/>
                <w:szCs w:val="20"/>
                <w:color w:val="auto"/>
              </w:rPr>
            </w:pPr>
            <w:r>
              <w:rPr>
                <w:rFonts w:ascii="Arial" w:cs="Arial" w:eastAsia="Arial" w:hAnsi="Arial"/>
                <w:sz w:val="17"/>
                <w:szCs w:val="17"/>
                <w:color w:val="auto"/>
              </w:rPr>
              <w:t>Litigation charges</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reimbursements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EXPENSES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161"/>
        </w:trPr>
        <w:tc>
          <w:tcPr>
            <w:tcW w:w="3240" w:type="dxa"/>
            <w:vAlign w:val="bottom"/>
            <w:shd w:val="clear" w:color="auto" w:fill="CCEEFF"/>
          </w:tcPr>
          <w:p>
            <w:pPr>
              <w:ind w:left="220"/>
              <w:spacing w:after="0" w:line="161" w:lineRule="exact"/>
              <w:rPr>
                <w:sz w:val="20"/>
                <w:szCs w:val="20"/>
                <w:color w:val="auto"/>
              </w:rPr>
            </w:pPr>
            <w:r>
              <w:rPr>
                <w:rFonts w:ascii="Arial" w:cs="Arial" w:eastAsia="Arial" w:hAnsi="Arial"/>
                <w:sz w:val="17"/>
                <w:szCs w:val="17"/>
                <w:color w:val="auto"/>
                <w:w w:val="90"/>
              </w:rPr>
              <w:t>(Losses) gains and other (expense) income,</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8"/>
        </w:trPr>
        <w:tc>
          <w:tcPr>
            <w:tcW w:w="324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Transaction and integration costs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154"/>
        </w:trPr>
        <w:tc>
          <w:tcPr>
            <w:tcW w:w="3240" w:type="dxa"/>
            <w:vAlign w:val="bottom"/>
          </w:tcPr>
          <w:p>
            <w:pPr>
              <w:ind w:left="20"/>
              <w:spacing w:after="0" w:line="154" w:lineRule="exact"/>
              <w:rPr>
                <w:sz w:val="20"/>
                <w:szCs w:val="20"/>
                <w:color w:val="auto"/>
              </w:rPr>
            </w:pPr>
            <w:r>
              <w:rPr>
                <w:rFonts w:ascii="Arial" w:cs="Arial" w:eastAsia="Arial" w:hAnsi="Arial"/>
                <w:sz w:val="17"/>
                <w:szCs w:val="17"/>
                <w:b w:val="1"/>
                <w:bCs w:val="1"/>
                <w:color w:val="auto"/>
              </w:rPr>
              <w:t>FINANCIAL RESULTS BEFORE</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20"/>
              <w:spacing w:after="0" w:line="172" w:lineRule="exact"/>
              <w:rPr>
                <w:sz w:val="20"/>
                <w:szCs w:val="20"/>
                <w:color w:val="auto"/>
              </w:rPr>
            </w:pPr>
            <w:r>
              <w:rPr>
                <w:rFonts w:ascii="Arial" w:cs="Arial" w:eastAsia="Arial" w:hAnsi="Arial"/>
                <w:sz w:val="17"/>
                <w:szCs w:val="17"/>
                <w:b w:val="1"/>
                <w:bCs w:val="1"/>
                <w:color w:val="auto"/>
              </w:rPr>
              <w:t>INCOME TAXES AND</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(319)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218"/>
        </w:trPr>
        <w:tc>
          <w:tcPr>
            <w:tcW w:w="3240" w:type="dxa"/>
            <w:vAlign w:val="bottom"/>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180"/>
        </w:trPr>
        <w:tc>
          <w:tcPr>
            <w:tcW w:w="3240" w:type="dxa"/>
            <w:vAlign w:val="bottom"/>
          </w:tcPr>
          <w:p>
            <w:pPr>
              <w:ind w:left="20"/>
              <w:spacing w:after="0" w:line="180" w:lineRule="exact"/>
              <w:rPr>
                <w:sz w:val="20"/>
                <w:szCs w:val="20"/>
                <w:color w:val="auto"/>
              </w:rPr>
            </w:pPr>
            <w:r>
              <w:rPr>
                <w:rFonts w:ascii="Arial" w:cs="Arial" w:eastAsia="Arial" w:hAnsi="Arial"/>
                <w:sz w:val="17"/>
                <w:szCs w:val="17"/>
                <w:color w:val="auto"/>
              </w:rPr>
              <w:t>Net income attributable to noncontrolling</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20"/>
              <w:spacing w:after="0"/>
              <w:rPr>
                <w:sz w:val="20"/>
                <w:szCs w:val="20"/>
                <w:color w:val="auto"/>
              </w:rPr>
            </w:pPr>
            <w:r>
              <w:rPr>
                <w:rFonts w:ascii="Arial" w:cs="Arial" w:eastAsia="Arial" w:hAnsi="Arial"/>
                <w:sz w:val="17"/>
                <w:szCs w:val="17"/>
                <w:color w:val="auto"/>
              </w:rPr>
              <w:t>interests</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5"/>
        </w:trPr>
        <w:tc>
          <w:tcPr>
            <w:tcW w:w="32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7"/>
                <w:szCs w:val="17"/>
                <w:b w:val="1"/>
                <w:bCs w:val="1"/>
                <w:color w:val="auto"/>
              </w:rPr>
              <w:t>FINANCIAL RESULTS ATTRIBUTABLE</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21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 COMMON SHAREHOLDERS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Property Owners’ Associations</w:t>
      </w:r>
    </w:p>
    <w:p>
      <w:pPr>
        <w:spacing w:after="0" w:line="6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following table illustrates the impact of certain Consolidated Property Owners’ Associations under the relevant accounting guidance and the changes attributed to the deconsolidation of individual Consolidated Property Owners’ Associations.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5"/>
          </w:tcPr>
          <w:p>
            <w:pPr>
              <w:ind w:left="42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2380" w:type="dxa"/>
            <w:vAlign w:val="bottom"/>
            <w:gridSpan w:val="4"/>
          </w:tcPr>
          <w:p>
            <w:pPr>
              <w:jc w:val="right"/>
              <w:ind w:right="496"/>
              <w:spacing w:after="0"/>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50"/>
        </w:trPr>
        <w:tc>
          <w:tcPr>
            <w:tcW w:w="3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20"/>
              <w:spacing w:after="0" w:line="150" w:lineRule="exact"/>
              <w:rPr>
                <w:sz w:val="20"/>
                <w:szCs w:val="20"/>
                <w:color w:val="auto"/>
              </w:rPr>
            </w:pPr>
            <w:r>
              <w:rPr>
                <w:rFonts w:ascii="Arial" w:cs="Arial" w:eastAsia="Arial" w:hAnsi="Arial"/>
                <w:sz w:val="15"/>
                <w:szCs w:val="15"/>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36"/>
              <w:spacing w:after="0" w:line="150" w:lineRule="exact"/>
              <w:rPr>
                <w:sz w:val="20"/>
                <w:szCs w:val="20"/>
                <w:color w:val="auto"/>
              </w:rPr>
            </w:pPr>
            <w:r>
              <w:rPr>
                <w:rFonts w:ascii="Arial" w:cs="Arial" w:eastAsia="Arial" w:hAnsi="Arial"/>
                <w:sz w:val="15"/>
                <w:szCs w:val="15"/>
                <w:b w:val="1"/>
                <w:bCs w:val="1"/>
                <w:color w:val="auto"/>
                <w:w w:val="89"/>
              </w:rPr>
              <w:t>September 30,</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5"/>
                <w:szCs w:val="15"/>
                <w:b w:val="1"/>
                <w:bCs w:val="1"/>
                <w:color w:val="auto"/>
              </w:rPr>
              <w:t>September 30,</w:t>
            </w: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6"/>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6"/>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200"/>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40" w:type="dxa"/>
            <w:vAlign w:val="bottom"/>
          </w:tcPr>
          <w:p>
            <w:pPr>
              <w:ind w:left="220"/>
              <w:spacing w:after="0"/>
              <w:rPr>
                <w:sz w:val="20"/>
                <w:szCs w:val="20"/>
                <w:color w:val="auto"/>
              </w:rPr>
            </w:pPr>
            <w:r>
              <w:rPr>
                <w:rFonts w:ascii="Arial" w:cs="Arial" w:eastAsia="Arial" w:hAnsi="Arial"/>
                <w:sz w:val="17"/>
                <w:szCs w:val="17"/>
                <w:color w:val="auto"/>
              </w:rPr>
              <w:t>Resort management and other services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440"/>
              <w:spacing w:after="0"/>
              <w:rPr>
                <w:sz w:val="20"/>
                <w:szCs w:val="20"/>
                <w:color w:val="auto"/>
              </w:rPr>
            </w:pPr>
            <w:r>
              <w:rPr>
                <w:rFonts w:ascii="Arial" w:cs="Arial" w:eastAsia="Arial" w:hAnsi="Arial"/>
                <w:sz w:val="17"/>
                <w:szCs w:val="17"/>
                <w:b w:val="1"/>
                <w:bCs w:val="1"/>
                <w:color w:val="auto"/>
              </w:rPr>
              <w:t>TOTAL REVENUES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99"/>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EXPENSES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40" w:type="dxa"/>
            <w:vAlign w:val="bottom"/>
          </w:tcPr>
          <w:p>
            <w:pPr>
              <w:ind w:left="220"/>
              <w:spacing w:after="0"/>
              <w:rPr>
                <w:sz w:val="20"/>
                <w:szCs w:val="20"/>
                <w:color w:val="auto"/>
              </w:rPr>
            </w:pPr>
            <w:r>
              <w:rPr>
                <w:rFonts w:ascii="Arial" w:cs="Arial" w:eastAsia="Arial" w:hAnsi="Arial"/>
                <w:sz w:val="17"/>
                <w:szCs w:val="17"/>
                <w:color w:val="auto"/>
              </w:rPr>
              <w:t>Resort management and other services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Rental</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8"/>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Cost reimbursements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440"/>
              <w:spacing w:after="0"/>
              <w:rPr>
                <w:sz w:val="20"/>
                <w:szCs w:val="20"/>
                <w:color w:val="auto"/>
              </w:rPr>
            </w:pPr>
            <w:r>
              <w:rPr>
                <w:rFonts w:ascii="Arial" w:cs="Arial" w:eastAsia="Arial" w:hAnsi="Arial"/>
                <w:sz w:val="17"/>
                <w:szCs w:val="17"/>
                <w:b w:val="1"/>
                <w:bCs w:val="1"/>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0"/>
        </w:trPr>
        <w:tc>
          <w:tcPr>
            <w:tcW w:w="3240" w:type="dxa"/>
            <w:vAlign w:val="bottom"/>
          </w:tcPr>
          <w:p>
            <w:pPr>
              <w:ind w:left="220"/>
              <w:spacing w:after="0"/>
              <w:rPr>
                <w:sz w:val="20"/>
                <w:szCs w:val="20"/>
                <w:color w:val="auto"/>
              </w:rPr>
            </w:pPr>
            <w:r>
              <w:rPr>
                <w:rFonts w:ascii="Arial" w:cs="Arial" w:eastAsia="Arial" w:hAnsi="Arial"/>
                <w:sz w:val="17"/>
                <w:szCs w:val="17"/>
                <w:color w:val="auto"/>
              </w:rPr>
              <w:t>Losses and other expense, net</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7"/>
        </w:trPr>
        <w:tc>
          <w:tcPr>
            <w:tcW w:w="3240" w:type="dxa"/>
            <w:vAlign w:val="bottom"/>
          </w:tcPr>
          <w:p>
            <w:pPr>
              <w:ind w:left="20"/>
              <w:spacing w:after="0" w:line="147" w:lineRule="exact"/>
              <w:rPr>
                <w:sz w:val="20"/>
                <w:szCs w:val="20"/>
                <w:color w:val="auto"/>
              </w:rPr>
            </w:pPr>
            <w:r>
              <w:rPr>
                <w:rFonts w:ascii="Arial" w:cs="Arial" w:eastAsia="Arial" w:hAnsi="Arial"/>
                <w:sz w:val="17"/>
                <w:szCs w:val="17"/>
                <w:b w:val="1"/>
                <w:bCs w:val="1"/>
                <w:color w:val="auto"/>
              </w:rPr>
              <w:t>FINANCIAL RESULTS BEFORE</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40" w:type="dxa"/>
            <w:vAlign w:val="bottom"/>
          </w:tcPr>
          <w:p>
            <w:pPr>
              <w:ind w:left="20"/>
              <w:spacing w:after="0" w:line="174" w:lineRule="exact"/>
              <w:rPr>
                <w:sz w:val="20"/>
                <w:szCs w:val="20"/>
                <w:color w:val="auto"/>
              </w:rPr>
            </w:pPr>
            <w:r>
              <w:rPr>
                <w:rFonts w:ascii="Arial" w:cs="Arial" w:eastAsia="Arial" w:hAnsi="Arial"/>
                <w:sz w:val="17"/>
                <w:szCs w:val="17"/>
                <w:b w:val="1"/>
                <w:bCs w:val="1"/>
                <w:color w:val="auto"/>
              </w:rPr>
              <w:t>INCOME TAXES AND</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7"/>
                <w:szCs w:val="17"/>
                <w:b w:val="1"/>
                <w:bCs w:val="1"/>
                <w:color w:val="auto"/>
              </w:rPr>
              <w:t>NONCONTROLLING INTERESTS</w:t>
            </w: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7"/>
        </w:trPr>
        <w:tc>
          <w:tcPr>
            <w:tcW w:w="3240" w:type="dxa"/>
            <w:vAlign w:val="bottom"/>
          </w:tcPr>
          <w:p>
            <w:pPr>
              <w:ind w:left="20"/>
              <w:spacing w:after="0" w:line="167" w:lineRule="exact"/>
              <w:rPr>
                <w:sz w:val="20"/>
                <w:szCs w:val="20"/>
                <w:color w:val="auto"/>
              </w:rPr>
            </w:pPr>
            <w:r>
              <w:rPr>
                <w:rFonts w:ascii="Arial" w:cs="Arial" w:eastAsia="Arial" w:hAnsi="Arial"/>
                <w:sz w:val="17"/>
                <w:szCs w:val="17"/>
                <w:color w:val="auto"/>
              </w:rPr>
              <w:t>Net income attributable to noncontrolling</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FINANCIAL RESULTS ATTRIBUTABLE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5"/>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 COMMON SHAREHOLDERS</w:t>
            </w:r>
          </w:p>
        </w:tc>
        <w:tc>
          <w:tcPr>
            <w:tcW w:w="1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30" w:right="359" w:bottom="1440" w:gutter="0" w:footer="0" w:header="0"/>
        </w:sectPr>
      </w:pPr>
    </w:p>
    <w:p>
      <w:pPr>
        <w:spacing w:after="0" w:line="134"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285750</wp:posOffset>
            </wp:positionV>
            <wp:extent cx="716470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46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 in millions)</w:t>
            </w: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Change</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5"/>
        </w:trPr>
        <w:tc>
          <w:tcPr>
            <w:tcW w:w="3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8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The change in General and administrative expenses is due to $17 million of lower variable compensation expense and $4 million of higher allocations of expenses to operations, offset by $9 million of incremental costs primarily related to compliance activities and new product development initiatives, $5 million of higher costs related to the implementation of technology, and a $2 million increase in wages and benefits.</w:t>
      </w:r>
    </w:p>
    <w:p>
      <w:pPr>
        <w:spacing w:after="0" w:line="74" w:lineRule="exact"/>
        <w:rPr>
          <w:sz w:val="20"/>
          <w:szCs w:val="20"/>
          <w:color w:val="auto"/>
        </w:rPr>
      </w:pPr>
    </w:p>
    <w:p>
      <w:pPr>
        <w:jc w:val="both"/>
        <w:ind w:right="200"/>
        <w:spacing w:after="0" w:line="264" w:lineRule="auto"/>
        <w:rPr>
          <w:sz w:val="20"/>
          <w:szCs w:val="20"/>
          <w:color w:val="auto"/>
        </w:rPr>
      </w:pPr>
      <w:r>
        <w:rPr>
          <w:rFonts w:ascii="Arial" w:cs="Arial" w:eastAsia="Arial" w:hAnsi="Arial"/>
          <w:sz w:val="17"/>
          <w:szCs w:val="17"/>
          <w:color w:val="auto"/>
        </w:rPr>
        <w:t>We expect General and administrative expenses for the remainder of 2023 to increase due the continued impact of increased wages and additional investment in upgrading, maintaining, and implementing technology, including the continued transition to software as a service, which are recorded as a component of General and administrative expense as opposed to Depreciation expense.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tcPr>
          <w:p>
            <w:pPr>
              <w:ind w:left="500"/>
              <w:spacing w:after="0"/>
              <w:rPr>
                <w:sz w:val="20"/>
                <w:szCs w:val="20"/>
                <w:color w:val="auto"/>
              </w:rPr>
            </w:pPr>
            <w:r>
              <w:rPr>
                <w:rFonts w:ascii="Arial" w:cs="Arial" w:eastAsia="Arial" w:hAnsi="Arial"/>
                <w:sz w:val="15"/>
                <w:szCs w:val="15"/>
                <w:b w:val="1"/>
                <w:bCs w:val="1"/>
                <w:color w:val="auto"/>
              </w:rPr>
              <w:t>Nine Months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 in millions)</w:t>
            </w: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4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Change</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5"/>
        </w:trPr>
        <w:tc>
          <w:tcPr>
            <w:tcW w:w="3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8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General and administrative expenses increased due to $20 million of costs related to the implementation of technology associated with the integration of Legacy-ILG, $15 million of incremental costs primarily related to compliance activities and new product development initiatives, $8 million of increased wages and benefits, a $3 million increase in insurance expense, and $2 million of other miscellaneous expenses, partially offset by a $40 million decrease in variable compensation expense and $6 million of higher allocations of general and administrative expenses to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Gains (Losses) and Other Income (Expense)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Change</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10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0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Losses and other expense,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 the third quarter of 2023, we recorded $5 million of foreign currency translation losses.</w:t>
      </w:r>
    </w:p>
    <w:p>
      <w:pPr>
        <w:spacing w:after="0" w:line="113" w:lineRule="exact"/>
        <w:rPr>
          <w:sz w:val="20"/>
          <w:szCs w:val="20"/>
          <w:color w:val="auto"/>
        </w:rPr>
      </w:pPr>
    </w:p>
    <w:p>
      <w:pPr>
        <w:jc w:val="both"/>
        <w:ind w:right="60"/>
        <w:spacing w:after="0" w:line="264" w:lineRule="auto"/>
        <w:rPr>
          <w:sz w:val="20"/>
          <w:szCs w:val="20"/>
          <w:color w:val="auto"/>
        </w:rPr>
      </w:pPr>
      <w:r>
        <w:rPr>
          <w:rFonts w:ascii="Arial" w:cs="Arial" w:eastAsia="Arial" w:hAnsi="Arial"/>
          <w:sz w:val="17"/>
          <w:szCs w:val="17"/>
          <w:color w:val="auto"/>
        </w:rPr>
        <w:t>In the third quarter of 2022, we recorded $2 million of foreign currency translation losses and $1 million of miscellaneous losses and other expense, partially offset by $1 million of non-income tax related adjustments to the receivable for the indemnification we expect to receive from Marriott International for indemnified tax matters.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520"/>
              <w:spacing w:after="0"/>
              <w:rPr>
                <w:sz w:val="20"/>
                <w:szCs w:val="20"/>
                <w:color w:val="auto"/>
              </w:rPr>
            </w:pPr>
            <w:r>
              <w:rPr>
                <w:rFonts w:ascii="Arial" w:cs="Arial" w:eastAsia="Arial" w:hAnsi="Arial"/>
                <w:sz w:val="15"/>
                <w:szCs w:val="15"/>
                <w:b w:val="1"/>
                <w:bCs w:val="1"/>
                <w:color w:val="auto"/>
              </w:rPr>
              <w:t>Nine Months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Change</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8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8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7"/>
                <w:szCs w:val="17"/>
                <w:color w:val="auto"/>
                <w:w w:val="92"/>
              </w:rPr>
              <w:t>Gains (losses) and other income (expense),</w:t>
            </w: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first three quarters of 2023, we recorded a $21 million increase in our receivable from Marriott International for indemnified income tax matters (the offsetting accrual is included in the Provision for income taxes line), partially offset by a $10 million expense attributed to the redemption premium and write-off of unamortized debt issuance costs in connection with the early redemption of our senior secured notes, and $1 million of foreign currency translation losses.</w:t>
      </w:r>
    </w:p>
    <w:p>
      <w:pPr>
        <w:spacing w:after="0" w:line="5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the first three quarters of 2022, we recorded $8 million of foreign currency translation losses, $3 million of non-cash losses pursuant to a change in control of certain Consolidated Property Owners’ Associations, $2 million of non-income tax related adjustments to the receivable for the indemnification we expect to receive from Marriott International for indemnified tax matters, and $1 million of miscellaneous losses and other expense, partially offset by $2 million of proceeds from corporate owned life insurance.</w:t>
      </w:r>
    </w:p>
    <w:p>
      <w:pPr>
        <w:spacing w:after="0" w:line="23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Change</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10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0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increase in Interest expense, net is attributed to $5 million associated with higher borrowings and higher variable interest rates on both the Warehouse Credit Facility and the Revolving Corporate Credit Facility, $2 million of higher variable interest expense on the Term Loan, and $2 million of interest expense related to leased assets. This was partially offset by $4 million of lower interest expense associated with the early redemption of our senior secured notes, $1 million of lower interest expense associated with our convertible notes, $1 million of lower other interest expense and $1 million of interest income.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5"/>
                <w:szCs w:val="15"/>
                <w:b w:val="1"/>
                <w:bCs w:val="1"/>
                <w:color w:val="auto"/>
              </w:rPr>
              <w:t>Nine Months Ended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September 30,</w:t>
            </w:r>
          </w:p>
        </w:tc>
        <w:tc>
          <w:tcPr>
            <w:tcW w:w="240" w:type="dxa"/>
            <w:vAlign w:val="bottom"/>
          </w:tcPr>
          <w:p>
            <w:pPr>
              <w:spacing w:after="0"/>
              <w:rPr>
                <w:sz w:val="15"/>
                <w:szCs w:val="15"/>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Change</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10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0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increase in Interest expense, net is attributed to $14 million associated with higher borrowings and higher variable interest rates on both the Warehouse Credit Facility and the Revolving Corporate Credit Facility, $7 million of higher interest expense associated with our 2027 Convertible Notes issued in December 2022, $8 million of higher variable interest expense on the Term Loan, and $5 million of interest expense related to leased assets. This was partially offset by $12 million of lower interest expense associated with the early redemption of our senior secured notes, $3 million of lower interest on non-income tax related items, $3 million of higher interest income, and $1 million of lower other interest expense.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Third Quarter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48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Change</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8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effective tax rate was 36.1% and 34.7% for the three months ended September 30, 2023 and September 30, 2022, respectively. The increase in the effective tax rate is predominately attributable to a decrease in Income before income taxes and noncontrolling interests from 2022 to 2023 without a proportional decrease to non-deductible tax expenses, in addition to a net decrease in the tax expense for foreign uncertain tax benefits in 2023.</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First Three Quarters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ind w:left="520"/>
              <w:spacing w:after="0"/>
              <w:rPr>
                <w:sz w:val="20"/>
                <w:szCs w:val="20"/>
                <w:color w:val="auto"/>
              </w:rPr>
            </w:pPr>
            <w:r>
              <w:rPr>
                <w:rFonts w:ascii="Arial" w:cs="Arial" w:eastAsia="Arial" w:hAnsi="Arial"/>
                <w:sz w:val="15"/>
                <w:szCs w:val="15"/>
                <w:b w:val="1"/>
                <w:bCs w:val="1"/>
                <w:color w:val="auto"/>
              </w:rPr>
              <w:t>Nine Months Ended</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60"/>
              <w:spacing w:after="0" w:line="150" w:lineRule="exact"/>
              <w:rPr>
                <w:sz w:val="20"/>
                <w:szCs w:val="20"/>
                <w:color w:val="auto"/>
              </w:rPr>
            </w:pPr>
            <w:r>
              <w:rPr>
                <w:rFonts w:ascii="Arial" w:cs="Arial" w:eastAsia="Arial" w:hAnsi="Arial"/>
                <w:sz w:val="15"/>
                <w:szCs w:val="15"/>
                <w:b w:val="1"/>
                <w:bCs w:val="1"/>
                <w:color w:val="auto"/>
                <w:w w:val="91"/>
              </w:rPr>
              <w:t>September 30,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5"/>
                <w:szCs w:val="15"/>
                <w:b w:val="1"/>
                <w:bCs w:val="1"/>
                <w:color w:val="auto"/>
              </w:rPr>
              <w:t>Change</w:t>
            </w: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 Change</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120" w:type="dxa"/>
            <w:vAlign w:val="bottom"/>
          </w:tcPr>
          <w:p>
            <w:pPr>
              <w:jc w:val="right"/>
              <w:ind w:right="381"/>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80"/>
              <w:spacing w:after="0"/>
              <w:rPr>
                <w:sz w:val="20"/>
                <w:szCs w:val="20"/>
                <w:color w:val="auto"/>
              </w:rPr>
            </w:pPr>
            <w:r>
              <w:rPr>
                <w:rFonts w:ascii="Arial" w:cs="Arial" w:eastAsia="Arial" w:hAnsi="Arial"/>
                <w:sz w:val="15"/>
                <w:szCs w:val="15"/>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Our interim effective tax rate was 34.3% and 30.6% for the nine months ended September 30, 2023 and September 30, 2022, respectively. The increase in the effective tax rate is predominately attributable to a decrease in Income before income taxes and noncontrolling interests from 2022 to 2023 without a proportional decrease to non-deductible tax expenses, partially offset by a net increase in the tax expense for foreign uncertain tax benefits in 2023.</w:t>
      </w:r>
    </w:p>
    <w:p>
      <w:pPr>
        <w:spacing w:after="0" w:line="20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shareholders. We continuously monitor the capital markets to evaluate the effect that changes in market conditions may have on our ability to fund our liquidity needs.</w:t>
      </w:r>
    </w:p>
    <w:p>
      <w:pPr>
        <w:spacing w:after="0" w:line="64"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Our corporate debt, net of cash and equivalents, to Adjusted EBITDA ratio was 3.5 at September 30, 2023. We have no material maturities of corporate debt until 2025.</w:t>
      </w:r>
    </w:p>
    <w:p>
      <w:pPr>
        <w:spacing w:after="0" w:line="62" w:lineRule="exact"/>
        <w:rPr>
          <w:sz w:val="20"/>
          <w:szCs w:val="20"/>
          <w:color w:val="auto"/>
        </w:rPr>
      </w:pPr>
    </w:p>
    <w:p>
      <w:pPr>
        <w:jc w:val="both"/>
        <w:ind w:right="360"/>
        <w:spacing w:after="0" w:line="264" w:lineRule="auto"/>
        <w:rPr>
          <w:sz w:val="20"/>
          <w:szCs w:val="20"/>
          <w:color w:val="auto"/>
        </w:rPr>
      </w:pPr>
      <w:r>
        <w:rPr>
          <w:rFonts w:ascii="Arial" w:cs="Arial" w:eastAsia="Arial" w:hAnsi="Arial"/>
          <w:sz w:val="17"/>
          <w:szCs w:val="17"/>
          <w:color w:val="auto"/>
        </w:rPr>
        <w:t>At the end of the third quarter of 2023, the interest rate applicable to approximately 80% of our total corporate debt, excluding finance leases and including the impact of interest rate hedges, was effectively fixed. The weighted average interest rate of our total corporate debt, excluding finance leases and including the impact of interest rate hedges, was 3.9% as of September 30, 2023.</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Liquidity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from Operations</w:t>
      </w:r>
    </w:p>
    <w:p>
      <w:pPr>
        <w:spacing w:after="0" w:line="11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net cash generated from our rental and resort management and other services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Vacation Ownership Notes Receivable Securitizations</w:t>
      </w:r>
    </w:p>
    <w:p>
      <w:pPr>
        <w:spacing w:after="0" w:line="11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generally collateralized by a single tranche of transferred assets, which consist of vacation ownership notes receivable. In connection with each vacation ownership notes receivable securitization, we may retain all or a portion of the securities that are issued. 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w:t>
      </w:r>
    </w:p>
    <w:p>
      <w:pPr>
        <w:spacing w:after="0" w:line="71"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third quarter of 2023, and as of September 30, 2023, we had 14 term securitization transactions outstanding, all of which were in compliance with their respective required parameters. Since 2000, we have issued almost $8.5 billion of debt securities in securitization transactions in the term ABS market, excluding amounts securitized through warehouse credit facilities or private bank transactions.</w:t>
      </w:r>
    </w:p>
    <w:p>
      <w:pPr>
        <w:spacing w:after="0" w:line="7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During the second quarter of 2023, we amended certain agreements associated with our Warehouse Credit Facility, which increased the borrowing capacity of the existing facility from $425 million to $500 million and extended the revolving period from July 28, 2024 to May 31, 2025. At September 30, 2023, we had $345 million of borrowings outstanding on our Warehouse Credit Facility.</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 $70 million of gross vacation ownership notes receivable were eligible for securitization.</w:t>
      </w:r>
    </w:p>
    <w:p>
      <w:pPr>
        <w:spacing w:after="0" w:line="27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Revolving Corporate Credit Facility</w:t>
      </w:r>
    </w:p>
    <w:p>
      <w:pPr>
        <w:spacing w:after="0" w:line="113"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Our Revolving Corporate Credit Facility, which expires on March 31, 2027, provides for up to $750 million of aggregate borrowings for general corporate needs, including working capital, capital expenditures, letters of credit, and acquisitions. At September 30, 2023, $90 million of borrowings were outstanding on our Revolving Corporate Credit Facility, and $1 million of letters of credit were outstanding.</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Redemption of Senior Secured Notes</w:t>
      </w:r>
    </w:p>
    <w:p>
      <w:pPr>
        <w:spacing w:after="0" w:line="11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During the first quarter of 2023, we redeemed, prior to maturity, the remaining $250 million of the 2025 Notes outstanding pursuant to a redemption notice issued in the fourth quarter of 2022 and the terms of the indenture governing the 2025 Notes. In connection with this redemption, we incurred charges of $10 million, including a redemption premium and the write-off of unamortized debt issuance costs, which were recorded in Gains (losses) and other income (expense), net on our Income Statement for the nine months ended September 30, 2023.</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Uses of Cash</w:t>
      </w:r>
    </w:p>
    <w:p>
      <w:pPr>
        <w:spacing w:after="0" w:line="119"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the closing or recording of sales contracts for vacation ownership products, financing propensity, and cash outlays for inventory acquisitions and development.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Seasonality</w:t>
      </w:r>
    </w:p>
    <w:p>
      <w:pPr>
        <w:spacing w:after="0" w:line="11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generally have significant variable compensation-related cash outflows associated with payment of annual bonuses.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net income or loss and adjustments for non-cash items, the following are key drivers of our cash flow from operating activities: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Inventory Spending Less Than Cost of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5"/>
                <w:szCs w:val="15"/>
                <w:b w:val="1"/>
                <w:bCs w:val="1"/>
                <w:color w:val="auto"/>
              </w:rPr>
              <w:t>Nine Months Ended</w:t>
            </w:r>
          </w:p>
        </w:tc>
      </w:tr>
      <w:tr>
        <w:trPr>
          <w:trHeight w:val="199"/>
        </w:trPr>
        <w:tc>
          <w:tcPr>
            <w:tcW w:w="51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5"/>
                <w:szCs w:val="15"/>
                <w:b w:val="1"/>
                <w:bCs w:val="1"/>
                <w:color w:val="auto"/>
              </w:rPr>
              <w:t>September 30, 2023</w:t>
            </w:r>
          </w:p>
        </w:tc>
        <w:tc>
          <w:tcPr>
            <w:tcW w:w="100" w:type="dxa"/>
            <w:vAlign w:val="bottom"/>
          </w:tcPr>
          <w:p>
            <w:pPr>
              <w:spacing w:after="0"/>
              <w:rPr>
                <w:sz w:val="17"/>
                <w:szCs w:val="17"/>
                <w:color w:val="auto"/>
              </w:rPr>
            </w:pPr>
          </w:p>
        </w:tc>
        <w:tc>
          <w:tcPr>
            <w:tcW w:w="1420" w:type="dxa"/>
            <w:vAlign w:val="bottom"/>
          </w:tcPr>
          <w:p>
            <w:pPr>
              <w:jc w:val="right"/>
              <w:ind w:right="36"/>
              <w:spacing w:after="0"/>
              <w:rPr>
                <w:sz w:val="20"/>
                <w:szCs w:val="20"/>
                <w:color w:val="auto"/>
              </w:rPr>
            </w:pPr>
            <w:r>
              <w:rPr>
                <w:rFonts w:ascii="Arial" w:cs="Arial" w:eastAsia="Arial" w:hAnsi="Arial"/>
                <w:sz w:val="15"/>
                <w:szCs w:val="15"/>
                <w:b w:val="1"/>
                <w:bCs w:val="1"/>
                <w:color w:val="auto"/>
                <w:w w:val="91"/>
              </w:rPr>
              <w:t>September 30, 2022</w:t>
            </w:r>
          </w:p>
        </w:tc>
      </w:tr>
      <w:tr>
        <w:trPr>
          <w:trHeight w:val="226"/>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Inventory spending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43"/>
        </w:trPr>
        <w:tc>
          <w:tcPr>
            <w:tcW w:w="5140" w:type="dxa"/>
            <w:vAlign w:val="bottom"/>
          </w:tcPr>
          <w:p>
            <w:pPr>
              <w:ind w:left="20"/>
              <w:spacing w:after="0"/>
              <w:rPr>
                <w:sz w:val="20"/>
                <w:szCs w:val="20"/>
                <w:color w:val="auto"/>
              </w:rPr>
            </w:pPr>
            <w:r>
              <w:rPr>
                <w:rFonts w:ascii="Arial" w:cs="Arial" w:eastAsia="Arial" w:hAnsi="Arial"/>
                <w:sz w:val="17"/>
                <w:szCs w:val="17"/>
                <w:color w:val="auto"/>
              </w:rPr>
              <w:t>Purchase of property for future transfer to inventory</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45"/>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 costs</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r>
      <w:tr>
        <w:trPr>
          <w:trHeight w:val="210"/>
        </w:trPr>
        <w:tc>
          <w:tcPr>
            <w:tcW w:w="5140" w:type="dxa"/>
            <w:vAlign w:val="bottom"/>
          </w:tcPr>
          <w:p>
            <w:pPr>
              <w:ind w:left="220"/>
              <w:spacing w:after="0"/>
              <w:rPr>
                <w:sz w:val="20"/>
                <w:szCs w:val="20"/>
                <w:color w:val="auto"/>
              </w:rPr>
            </w:pPr>
            <w:r>
              <w:rPr>
                <w:rFonts w:ascii="Arial" w:cs="Arial" w:eastAsia="Arial" w:hAnsi="Arial"/>
                <w:sz w:val="17"/>
                <w:szCs w:val="17"/>
                <w:color w:val="auto"/>
              </w:rPr>
              <w:t>Inventory spending less than cost of sales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Although we have significant excess inventory on hand, we intend to continue selectively pursuing growth opportunities by targeting high-quality inventory that allows us to add desirable new destinations to our systems with new on-site sales locations. Where possible, we will structure transactions that limit our up-front capital investment and allow us to purchase finished inventory closer to the time it is needed for sale. These capital efficient vacation ownership transaction structures may consist of the development of new inventory, or the conversion of previously built units, by third parties. In addition, we may develop inventory in key markets where opportunities generate acceptable risk adjusted returns.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Through our existing VOI repurchase program, we proactively acquire previously sold VOIs from owners’ associations and individual owners at lower costs than would be required to develop new inventory. Among other reasons, by repurchasing inventory, we expect to be able to help stabilize the future cost of our vacation ownership products.</w:t>
      </w:r>
    </w:p>
    <w:p>
      <w:pPr>
        <w:spacing w:after="0" w:line="74" w:lineRule="exact"/>
        <w:rPr>
          <w:sz w:val="20"/>
          <w:szCs w:val="20"/>
          <w:color w:val="auto"/>
        </w:rPr>
      </w:pPr>
    </w:p>
    <w:p>
      <w:pPr>
        <w:jc w:val="both"/>
        <w:ind w:right="500"/>
        <w:spacing w:after="0" w:line="316" w:lineRule="auto"/>
        <w:rPr>
          <w:sz w:val="20"/>
          <w:szCs w:val="20"/>
          <w:color w:val="auto"/>
        </w:rPr>
      </w:pPr>
      <w:r>
        <w:rPr>
          <w:rFonts w:ascii="Arial" w:cs="Arial" w:eastAsia="Arial" w:hAnsi="Arial"/>
          <w:sz w:val="15"/>
          <w:szCs w:val="15"/>
          <w:color w:val="auto"/>
        </w:rPr>
        <w:t>Our spending for real estate inventory in the first three quarters of 2023 was lower than cost of sales and was primarily related to purchases under our VOI repurchase programs. Purchase of property for future transfer to inventory included the acquisition of property in Savannah, Georgia and Charleston, South Carolina in 2023 (see Footnote 3 “Acquisitions and Dispositions”). We expect inventory spending to be less than cost of sales for 2023.</w:t>
      </w:r>
    </w:p>
    <w:p>
      <w:pPr>
        <w:spacing w:after="0" w:line="19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Vacation Ownership Notes Receivable Collections Less Than Originations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5"/>
                <w:szCs w:val="15"/>
                <w:b w:val="1"/>
                <w:bCs w:val="1"/>
                <w:color w:val="auto"/>
              </w:rPr>
              <w:t>Nine Months Ended</w:t>
            </w:r>
          </w:p>
        </w:tc>
      </w:tr>
      <w:tr>
        <w:trPr>
          <w:trHeight w:val="199"/>
        </w:trPr>
        <w:tc>
          <w:tcPr>
            <w:tcW w:w="5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Arial" w:cs="Arial" w:eastAsia="Arial" w:hAnsi="Arial"/>
                <w:sz w:val="15"/>
                <w:szCs w:val="15"/>
                <w:b w:val="1"/>
                <w:bCs w:val="1"/>
                <w:color w:val="auto"/>
              </w:rPr>
              <w:t>September 30, 2023</w:t>
            </w:r>
          </w:p>
        </w:tc>
        <w:tc>
          <w:tcPr>
            <w:tcW w:w="120" w:type="dxa"/>
            <w:vAlign w:val="bottom"/>
          </w:tcPr>
          <w:p>
            <w:pPr>
              <w:spacing w:after="0"/>
              <w:rPr>
                <w:sz w:val="17"/>
                <w:szCs w:val="17"/>
                <w:color w:val="auto"/>
              </w:rPr>
            </w:pPr>
          </w:p>
        </w:tc>
        <w:tc>
          <w:tcPr>
            <w:tcW w:w="1400" w:type="dxa"/>
            <w:vAlign w:val="bottom"/>
          </w:tcPr>
          <w:p>
            <w:pPr>
              <w:jc w:val="right"/>
              <w:ind w:right="36"/>
              <w:spacing w:after="0"/>
              <w:rPr>
                <w:sz w:val="20"/>
                <w:szCs w:val="20"/>
                <w:color w:val="auto"/>
              </w:rPr>
            </w:pPr>
            <w:r>
              <w:rPr>
                <w:rFonts w:ascii="Arial" w:cs="Arial" w:eastAsia="Arial" w:hAnsi="Arial"/>
                <w:sz w:val="15"/>
                <w:szCs w:val="15"/>
                <w:b w:val="1"/>
                <w:bCs w:val="1"/>
                <w:color w:val="auto"/>
                <w:w w:val="89"/>
              </w:rPr>
              <w:t>September 30, 2022</w:t>
            </w:r>
          </w:p>
        </w:tc>
      </w:tr>
      <w:tr>
        <w:trPr>
          <w:trHeight w:val="226"/>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collections — non-securitized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center"/>
              <w:ind w:left="897"/>
              <w:spacing w:after="0"/>
              <w:rPr>
                <w:sz w:val="20"/>
                <w:szCs w:val="20"/>
                <w:color w:val="auto"/>
              </w:rPr>
            </w:pPr>
            <w:r>
              <w:rPr>
                <w:rFonts w:ascii="Arial" w:cs="Arial" w:eastAsia="Arial" w:hAnsi="Arial"/>
                <w:sz w:val="17"/>
                <w:szCs w:val="17"/>
                <w:color w:val="auto"/>
                <w:w w:val="91"/>
              </w:rPr>
              <w:t>119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r>
      <w:tr>
        <w:trPr>
          <w:trHeight w:val="243"/>
        </w:trPr>
        <w:tc>
          <w:tcPr>
            <w:tcW w:w="5160" w:type="dxa"/>
            <w:vAlign w:val="bottom"/>
          </w:tcPr>
          <w:p>
            <w:pPr>
              <w:ind w:left="20"/>
              <w:spacing w:after="0"/>
              <w:rPr>
                <w:sz w:val="20"/>
                <w:szCs w:val="20"/>
                <w:color w:val="auto"/>
              </w:rPr>
            </w:pPr>
            <w:r>
              <w:rPr>
                <w:rFonts w:ascii="Arial" w:cs="Arial" w:eastAsia="Arial" w:hAnsi="Arial"/>
                <w:sz w:val="17"/>
                <w:szCs w:val="17"/>
                <w:color w:val="auto"/>
              </w:rPr>
              <w:t>Vacation ownership notes receivable collections — securitized</w:t>
            </w:r>
          </w:p>
        </w:tc>
        <w:tc>
          <w:tcPr>
            <w:tcW w:w="120" w:type="dxa"/>
            <w:vAlign w:val="bottom"/>
          </w:tcPr>
          <w:p>
            <w:pPr>
              <w:spacing w:after="0"/>
              <w:rPr>
                <w:sz w:val="21"/>
                <w:szCs w:val="21"/>
                <w:color w:val="auto"/>
              </w:rPr>
            </w:pPr>
          </w:p>
        </w:tc>
        <w:tc>
          <w:tcPr>
            <w:tcW w:w="1400" w:type="dxa"/>
            <w:vAlign w:val="bottom"/>
          </w:tcPr>
          <w:p>
            <w:pPr>
              <w:jc w:val="center"/>
              <w:ind w:left="897"/>
              <w:spacing w:after="0"/>
              <w:rPr>
                <w:sz w:val="20"/>
                <w:szCs w:val="20"/>
                <w:color w:val="auto"/>
              </w:rPr>
            </w:pPr>
            <w:r>
              <w:rPr>
                <w:rFonts w:ascii="Arial" w:cs="Arial" w:eastAsia="Arial" w:hAnsi="Arial"/>
                <w:sz w:val="17"/>
                <w:szCs w:val="17"/>
                <w:color w:val="auto"/>
                <w:w w:val="91"/>
              </w:rPr>
              <w:t>342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378</w:t>
            </w:r>
          </w:p>
        </w:tc>
      </w:tr>
      <w:tr>
        <w:trPr>
          <w:trHeight w:val="245"/>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Vacation ownership notes receivable originations</w:t>
            </w: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center"/>
              <w:ind w:left="857"/>
              <w:spacing w:after="0"/>
              <w:rPr>
                <w:sz w:val="20"/>
                <w:szCs w:val="20"/>
                <w:color w:val="auto"/>
              </w:rPr>
            </w:pPr>
            <w:r>
              <w:rPr>
                <w:rFonts w:ascii="Arial" w:cs="Arial" w:eastAsia="Arial" w:hAnsi="Arial"/>
                <w:sz w:val="17"/>
                <w:szCs w:val="17"/>
                <w:color w:val="auto"/>
                <w:w w:val="95"/>
              </w:rPr>
              <w:t>(749)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w:t>
            </w:r>
          </w:p>
        </w:tc>
      </w:tr>
      <w:tr>
        <w:trPr>
          <w:trHeight w:val="210"/>
        </w:trPr>
        <w:tc>
          <w:tcPr>
            <w:tcW w:w="5160" w:type="dxa"/>
            <w:vAlign w:val="bottom"/>
          </w:tcPr>
          <w:p>
            <w:pPr>
              <w:ind w:left="220"/>
              <w:spacing w:after="0"/>
              <w:rPr>
                <w:sz w:val="20"/>
                <w:szCs w:val="20"/>
                <w:color w:val="auto"/>
              </w:rPr>
            </w:pPr>
            <w:r>
              <w:rPr>
                <w:rFonts w:ascii="Arial" w:cs="Arial" w:eastAsia="Arial" w:hAnsi="Arial"/>
                <w:sz w:val="17"/>
                <w:szCs w:val="17"/>
                <w:color w:val="auto"/>
                <w:w w:val="93"/>
              </w:rPr>
              <w:t>Vacation ownership notes receivable collections less than originations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center"/>
              <w:ind w:left="857"/>
              <w:spacing w:after="0"/>
              <w:rPr>
                <w:sz w:val="20"/>
                <w:szCs w:val="20"/>
                <w:color w:val="auto"/>
              </w:rPr>
            </w:pPr>
            <w:r>
              <w:rPr>
                <w:rFonts w:ascii="Arial" w:cs="Arial" w:eastAsia="Arial" w:hAnsi="Arial"/>
                <w:sz w:val="17"/>
                <w:szCs w:val="17"/>
                <w:color w:val="auto"/>
                <w:w w:val="95"/>
              </w:rPr>
              <w:t>(288)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Vacation ownership notes receivable collections were less than originations in each of the first three quarters of 2023 and 2022 due to the growth of the average vacation ownership notes receivable pool attributed to sales of VOIs.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Repurchase of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share repurchase activity under our current share repurchase program:</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Number of Shares</w:t>
            </w:r>
          </w:p>
        </w:tc>
        <w:tc>
          <w:tcPr>
            <w:tcW w:w="16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7"/>
              </w:rPr>
              <w:t>Cost Basis of Shares</w:t>
            </w:r>
          </w:p>
        </w:tc>
        <w:tc>
          <w:tcPr>
            <w:tcW w:w="180" w:type="dxa"/>
            <w:vAlign w:val="bottom"/>
          </w:tcPr>
          <w:p>
            <w:pPr>
              <w:spacing w:after="0"/>
              <w:rPr>
                <w:sz w:val="14"/>
                <w:szCs w:val="14"/>
                <w:color w:val="auto"/>
              </w:rPr>
            </w:pPr>
          </w:p>
        </w:tc>
        <w:tc>
          <w:tcPr>
            <w:tcW w:w="1300" w:type="dxa"/>
            <w:vAlign w:val="bottom"/>
          </w:tcPr>
          <w:p>
            <w:pPr>
              <w:jc w:val="right"/>
              <w:ind w:right="198"/>
              <w:spacing w:after="0"/>
              <w:rPr>
                <w:sz w:val="20"/>
                <w:szCs w:val="20"/>
                <w:color w:val="auto"/>
              </w:rPr>
            </w:pPr>
            <w:r>
              <w:rPr>
                <w:rFonts w:ascii="Arial" w:cs="Arial" w:eastAsia="Arial" w:hAnsi="Arial"/>
                <w:sz w:val="15"/>
                <w:szCs w:val="15"/>
                <w:b w:val="1"/>
                <w:bCs w:val="1"/>
                <w:color w:val="auto"/>
                <w:w w:val="99"/>
              </w:rPr>
              <w:t>Average Price</w:t>
            </w:r>
          </w:p>
        </w:tc>
      </w:tr>
      <w:tr>
        <w:trPr>
          <w:trHeight w:val="203"/>
        </w:trPr>
        <w:tc>
          <w:tcPr>
            <w:tcW w:w="3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5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Repurchased</w:t>
            </w:r>
          </w:p>
        </w:tc>
        <w:tc>
          <w:tcPr>
            <w:tcW w:w="22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Repurchased</w:t>
            </w:r>
          </w:p>
        </w:tc>
        <w:tc>
          <w:tcPr>
            <w:tcW w:w="180" w:type="dxa"/>
            <w:vAlign w:val="bottom"/>
          </w:tcPr>
          <w:p>
            <w:pPr>
              <w:spacing w:after="0"/>
              <w:rPr>
                <w:sz w:val="17"/>
                <w:szCs w:val="17"/>
                <w:color w:val="auto"/>
              </w:rPr>
            </w:pPr>
          </w:p>
        </w:tc>
        <w:tc>
          <w:tcPr>
            <w:tcW w:w="1300" w:type="dxa"/>
            <w:vAlign w:val="bottom"/>
          </w:tcPr>
          <w:p>
            <w:pPr>
              <w:jc w:val="right"/>
              <w:ind w:right="158"/>
              <w:spacing w:after="0"/>
              <w:rPr>
                <w:sz w:val="20"/>
                <w:szCs w:val="20"/>
                <w:color w:val="auto"/>
              </w:rPr>
            </w:pPr>
            <w:r>
              <w:rPr>
                <w:rFonts w:ascii="Arial" w:cs="Arial" w:eastAsia="Arial" w:hAnsi="Arial"/>
                <w:sz w:val="15"/>
                <w:szCs w:val="15"/>
                <w:b w:val="1"/>
                <w:bCs w:val="1"/>
                <w:color w:val="auto"/>
                <w:w w:val="98"/>
              </w:rPr>
              <w:t>Paid per Share</w:t>
            </w:r>
          </w:p>
        </w:tc>
      </w:tr>
      <w:tr>
        <w:trPr>
          <w:trHeight w:val="22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22,773,218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93.06</w:t>
            </w:r>
          </w:p>
        </w:tc>
      </w:tr>
      <w:tr>
        <w:trPr>
          <w:trHeight w:val="243"/>
        </w:trPr>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For the first three quarters of 2023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1,936,855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128.03</w:t>
            </w:r>
          </w:p>
        </w:tc>
      </w:tr>
      <w:tr>
        <w:trPr>
          <w:trHeight w:val="236"/>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September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24,710,073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95.80</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See Footnote 13 “Shareholders' Equity” to our Financial Statements for further information related to our current share repurchase program.</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Payment of Dividends to Common Shareholders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We distributed cash dividends to holders of common stock during the first three quarters of 2023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Declaration Date</w:t>
            </w:r>
          </w:p>
        </w:tc>
        <w:tc>
          <w:tcPr>
            <w:tcW w:w="1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Shareholder Record Date</w:t>
            </w:r>
          </w:p>
        </w:tc>
        <w:tc>
          <w:tcPr>
            <w:tcW w:w="1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Distribution Date</w:t>
            </w:r>
          </w:p>
        </w:tc>
        <w:tc>
          <w:tcPr>
            <w:tcW w:w="16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Dividend per Share</w:t>
            </w:r>
          </w:p>
        </w:tc>
      </w:tr>
      <w:tr>
        <w:trPr>
          <w:trHeight w:val="227"/>
        </w:trPr>
        <w:tc>
          <w:tcPr>
            <w:tcW w:w="210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0"/>
              </w:rPr>
              <w:t>December 1, 2022</w:t>
            </w:r>
          </w:p>
        </w:tc>
        <w:tc>
          <w:tcPr>
            <w:tcW w:w="21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89"/>
              </w:rPr>
              <w:t>December 22, 2022</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0"/>
              </w:rPr>
              <w:t>January 5, 2023</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$0.72</w:t>
            </w:r>
          </w:p>
        </w:tc>
      </w:tr>
      <w:tr>
        <w:trPr>
          <w:trHeight w:val="237"/>
        </w:trPr>
        <w:tc>
          <w:tcPr>
            <w:tcW w:w="210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February 16, 2023</w:t>
            </w:r>
          </w:p>
        </w:tc>
        <w:tc>
          <w:tcPr>
            <w:tcW w:w="21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March 2, 2023</w:t>
            </w:r>
          </w:p>
        </w:tc>
        <w:tc>
          <w:tcPr>
            <w:tcW w:w="214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March 16, 2023</w:t>
            </w:r>
          </w:p>
        </w:tc>
        <w:tc>
          <w:tcPr>
            <w:tcW w:w="1960" w:type="dxa"/>
            <w:vAlign w:val="bottom"/>
          </w:tcPr>
          <w:p>
            <w:pPr>
              <w:jc w:val="center"/>
              <w:spacing w:after="0"/>
              <w:rPr>
                <w:sz w:val="20"/>
                <w:szCs w:val="20"/>
                <w:color w:val="auto"/>
              </w:rPr>
            </w:pPr>
            <w:r>
              <w:rPr>
                <w:rFonts w:ascii="Arial" w:cs="Arial" w:eastAsia="Arial" w:hAnsi="Arial"/>
                <w:sz w:val="17"/>
                <w:szCs w:val="17"/>
                <w:color w:val="auto"/>
                <w:w w:val="89"/>
              </w:rPr>
              <w:t>$0.72</w:t>
            </w:r>
          </w:p>
        </w:tc>
      </w:tr>
      <w:tr>
        <w:trPr>
          <w:trHeight w:val="251"/>
        </w:trPr>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93"/>
              </w:rPr>
              <w:t>May 11, 2023</w:t>
            </w:r>
          </w:p>
        </w:tc>
        <w:tc>
          <w:tcPr>
            <w:tcW w:w="212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May 25, 2023</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87"/>
              </w:rPr>
              <w:t>June 8, 2023</w:t>
            </w:r>
          </w:p>
        </w:tc>
        <w:tc>
          <w:tcPr>
            <w:tcW w:w="19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$0.72</w:t>
            </w:r>
          </w:p>
        </w:tc>
      </w:tr>
    </w:tbl>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We declared cash dividends to holders of our common stock during the third quarter of 2023, and distributed such cash dividends subsequent to the end of the third quarter of 2023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Declaration Date</w:t>
            </w:r>
          </w:p>
        </w:tc>
        <w:tc>
          <w:tcPr>
            <w:tcW w:w="1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Shareholder Record Date</w:t>
            </w:r>
          </w:p>
        </w:tc>
        <w:tc>
          <w:tcPr>
            <w:tcW w:w="1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Distribution Date</w:t>
            </w:r>
          </w:p>
        </w:tc>
        <w:tc>
          <w:tcPr>
            <w:tcW w:w="160" w:type="dxa"/>
            <w:vAlign w:val="bottom"/>
            <w:tcBorders>
              <w:bottom w:val="single" w:sz="8" w:color="CCEEFF"/>
            </w:tcBorders>
          </w:tcPr>
          <w:p>
            <w:pPr>
              <w:spacing w:after="0"/>
              <w:rPr>
                <w:sz w:val="17"/>
                <w:szCs w:val="17"/>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Dividend per Share</w:t>
            </w:r>
          </w:p>
        </w:tc>
      </w:tr>
      <w:tr>
        <w:trPr>
          <w:trHeight w:val="227"/>
        </w:trPr>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88"/>
              </w:rPr>
              <w:t>September 7, 2023</w:t>
            </w:r>
          </w:p>
        </w:tc>
        <w:tc>
          <w:tcPr>
            <w:tcW w:w="212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w w:val="89"/>
              </w:rPr>
              <w:t>September 21, 2023</w:t>
            </w:r>
          </w:p>
        </w:tc>
        <w:tc>
          <w:tcPr>
            <w:tcW w:w="214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90"/>
              </w:rPr>
              <w:t>October 5, 2023</w:t>
            </w:r>
          </w:p>
        </w:tc>
        <w:tc>
          <w:tcPr>
            <w:tcW w:w="1960" w:type="dxa"/>
            <w:vAlign w:val="bottom"/>
            <w:shd w:val="clear" w:color="auto" w:fill="CCEEFF"/>
          </w:tcPr>
          <w:p>
            <w:pPr>
              <w:jc w:val="right"/>
              <w:ind w:right="719"/>
              <w:spacing w:after="0"/>
              <w:rPr>
                <w:sz w:val="20"/>
                <w:szCs w:val="20"/>
                <w:color w:val="auto"/>
              </w:rPr>
            </w:pPr>
            <w:r>
              <w:rPr>
                <w:rFonts w:ascii="Arial" w:cs="Arial" w:eastAsia="Arial" w:hAnsi="Arial"/>
                <w:sz w:val="17"/>
                <w:szCs w:val="17"/>
                <w:color w:val="auto"/>
              </w:rPr>
              <w:t>$0.72</w:t>
            </w:r>
          </w:p>
        </w:tc>
      </w:tr>
    </w:tbl>
    <w:p>
      <w:pPr>
        <w:spacing w:after="0" w:line="18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currently expect to pay quarterly dividends in the future, but any future dividend payments will be subject to Board of Directors approval, which will depend on our financial condition, results of operations and capital requirements,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Material Cash Requirements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future material cash requirements from known contractual or other obligations as of September 30,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6"/>
          </w:tcPr>
          <w:p>
            <w:pPr>
              <w:ind w:left="60"/>
              <w:spacing w:after="0"/>
              <w:rPr>
                <w:sz w:val="20"/>
                <w:szCs w:val="20"/>
                <w:color w:val="auto"/>
              </w:rPr>
            </w:pPr>
            <w:r>
              <w:rPr>
                <w:rFonts w:ascii="Arial" w:cs="Arial" w:eastAsia="Arial" w:hAnsi="Arial"/>
                <w:sz w:val="15"/>
                <w:szCs w:val="15"/>
                <w:b w:val="1"/>
                <w:bCs w:val="1"/>
                <w:color w:val="auto"/>
              </w:rPr>
              <w:t>Payments Due by Period</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Total</w:t>
            </w:r>
          </w:p>
        </w:tc>
        <w:tc>
          <w:tcPr>
            <w:tcW w:w="10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5"/>
              </w:rPr>
              <w:t>Remainder</w:t>
            </w:r>
          </w:p>
        </w:tc>
        <w:tc>
          <w:tcPr>
            <w:tcW w:w="160" w:type="dxa"/>
            <w:vAlign w:val="bottom"/>
          </w:tcPr>
          <w:p>
            <w:pPr>
              <w:spacing w:after="0"/>
              <w:rPr>
                <w:sz w:val="15"/>
                <w:szCs w:val="15"/>
                <w:color w:val="auto"/>
              </w:rPr>
            </w:pPr>
          </w:p>
        </w:tc>
        <w:tc>
          <w:tcPr>
            <w:tcW w:w="600" w:type="dxa"/>
            <w:vAlign w:val="bottom"/>
            <w:vMerge w:val="restart"/>
          </w:tcPr>
          <w:p>
            <w:pPr>
              <w:jc w:val="right"/>
              <w:ind w:right="136"/>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5"/>
                <w:szCs w:val="15"/>
                <w:b w:val="1"/>
                <w:bCs w:val="1"/>
                <w:color w:val="auto"/>
              </w:rPr>
              <w:t>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5"/>
                <w:szCs w:val="15"/>
                <w:b w:val="1"/>
                <w:bCs w:val="1"/>
                <w:color w:val="auto"/>
              </w:rPr>
              <w:t>2026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5"/>
                <w:szCs w:val="15"/>
                <w:b w:val="1"/>
                <w:bCs w:val="1"/>
                <w:color w:val="auto"/>
              </w:rPr>
              <w:t>2027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ind w:right="16"/>
              <w:spacing w:after="0"/>
              <w:rPr>
                <w:sz w:val="20"/>
                <w:szCs w:val="20"/>
                <w:color w:val="auto"/>
              </w:rPr>
            </w:pPr>
            <w:r>
              <w:rPr>
                <w:rFonts w:ascii="Arial" w:cs="Arial" w:eastAsia="Arial" w:hAnsi="Arial"/>
                <w:sz w:val="15"/>
                <w:szCs w:val="15"/>
                <w:b w:val="1"/>
                <w:bCs w:val="1"/>
                <w:color w:val="auto"/>
                <w:w w:val="92"/>
              </w:rPr>
              <w:t>Thereafter</w:t>
            </w:r>
          </w:p>
        </w:tc>
        <w:tc>
          <w:tcPr>
            <w:tcW w:w="0" w:type="dxa"/>
            <w:vAlign w:val="bottom"/>
          </w:tcPr>
          <w:p>
            <w:pPr>
              <w:spacing w:after="0"/>
              <w:rPr>
                <w:sz w:val="1"/>
                <w:szCs w:val="1"/>
                <w:color w:val="auto"/>
              </w:rPr>
            </w:pPr>
          </w:p>
        </w:tc>
      </w:tr>
      <w:tr>
        <w:trPr>
          <w:trHeight w:val="203"/>
        </w:trPr>
        <w:tc>
          <w:tcPr>
            <w:tcW w:w="18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of 2023</w:t>
            </w: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Contractual Obligations</w:t>
            </w:r>
          </w:p>
        </w:tc>
        <w:tc>
          <w:tcPr>
            <w:tcW w:w="1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880" w:type="dxa"/>
            <w:vAlign w:val="bottom"/>
          </w:tcPr>
          <w:p>
            <w:pPr>
              <w:ind w:left="100"/>
              <w:spacing w:after="0" w:line="244" w:lineRule="exact"/>
              <w:rPr>
                <w:sz w:val="20"/>
                <w:szCs w:val="20"/>
                <w:color w:val="auto"/>
              </w:rPr>
            </w:pPr>
            <w:r>
              <w:rPr>
                <w:rFonts w:ascii="Arial" w:cs="Arial" w:eastAsia="Arial" w:hAnsi="Arial"/>
                <w:sz w:val="17"/>
                <w:szCs w:val="17"/>
                <w:color w:val="auto"/>
              </w:rPr>
              <w:t>Debt</w:t>
            </w:r>
            <w:r>
              <w:rPr>
                <w:rFonts w:ascii="Arial" w:cs="Arial" w:eastAsia="Arial" w:hAnsi="Arial"/>
                <w:sz w:val="22"/>
                <w:szCs w:val="22"/>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3,275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884</w:t>
            </w:r>
          </w:p>
        </w:tc>
        <w:tc>
          <w:tcPr>
            <w:tcW w:w="0" w:type="dxa"/>
            <w:vAlign w:val="bottom"/>
          </w:tcPr>
          <w:p>
            <w:pPr>
              <w:spacing w:after="0"/>
              <w:rPr>
                <w:sz w:val="1"/>
                <w:szCs w:val="1"/>
                <w:color w:val="auto"/>
              </w:rPr>
            </w:pPr>
          </w:p>
        </w:tc>
      </w:tr>
      <w:tr>
        <w:trPr>
          <w:trHeight w:val="244"/>
        </w:trPr>
        <w:tc>
          <w:tcPr>
            <w:tcW w:w="1880" w:type="dxa"/>
            <w:vAlign w:val="bottom"/>
            <w:shd w:val="clear" w:color="auto" w:fill="CCEEFF"/>
          </w:tcPr>
          <w:p>
            <w:pPr>
              <w:ind w:left="100"/>
              <w:spacing w:after="0" w:line="244" w:lineRule="exact"/>
              <w:rPr>
                <w:sz w:val="20"/>
                <w:szCs w:val="20"/>
                <w:color w:val="auto"/>
              </w:rPr>
            </w:pPr>
            <w:r>
              <w:rPr>
                <w:rFonts w:ascii="Arial" w:cs="Arial" w:eastAsia="Arial" w:hAnsi="Arial"/>
                <w:sz w:val="17"/>
                <w:szCs w:val="17"/>
                <w:color w:val="auto"/>
              </w:rPr>
              <w:t>Securitized debt</w:t>
            </w:r>
            <w:r>
              <w:rPr>
                <w:rFonts w:ascii="Arial" w:cs="Arial" w:eastAsia="Arial" w:hAnsi="Arial"/>
                <w:sz w:val="22"/>
                <w:szCs w:val="22"/>
                <w:color w:val="auto"/>
                <w:vertAlign w:val="superscript"/>
              </w:rPr>
              <w:t>(1)(2)</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w:t>
            </w:r>
          </w:p>
        </w:tc>
        <w:tc>
          <w:tcPr>
            <w:tcW w:w="0" w:type="dxa"/>
            <w:vAlign w:val="bottom"/>
          </w:tcPr>
          <w:p>
            <w:pPr>
              <w:spacing w:after="0"/>
              <w:rPr>
                <w:sz w:val="1"/>
                <w:szCs w:val="1"/>
                <w:color w:val="auto"/>
              </w:rPr>
            </w:pPr>
          </w:p>
        </w:tc>
      </w:tr>
      <w:tr>
        <w:trPr>
          <w:trHeight w:val="244"/>
        </w:trPr>
        <w:tc>
          <w:tcPr>
            <w:tcW w:w="1880" w:type="dxa"/>
            <w:vAlign w:val="bottom"/>
          </w:tcPr>
          <w:p>
            <w:pPr>
              <w:ind w:left="100"/>
              <w:spacing w:after="0" w:line="244"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2"/>
                <w:szCs w:val="22"/>
                <w:color w:val="auto"/>
                <w:vertAlign w:val="superscript"/>
              </w:rPr>
              <w:t>(3)</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73"/>
        </w:trPr>
        <w:tc>
          <w:tcPr>
            <w:tcW w:w="1880" w:type="dxa"/>
            <w:vAlign w:val="bottom"/>
            <w:shd w:val="clear" w:color="auto" w:fill="CCEEFF"/>
          </w:tcPr>
          <w:p>
            <w:pPr>
              <w:ind w:left="100"/>
              <w:spacing w:after="0" w:line="173" w:lineRule="exact"/>
              <w:rPr>
                <w:sz w:val="20"/>
                <w:szCs w:val="20"/>
                <w:color w:val="auto"/>
              </w:rPr>
            </w:pPr>
            <w:r>
              <w:rPr>
                <w:rFonts w:ascii="Arial" w:cs="Arial" w:eastAsia="Arial" w:hAnsi="Arial"/>
                <w:sz w:val="17"/>
                <w:szCs w:val="17"/>
                <w:color w:val="auto"/>
              </w:rPr>
              <w:t>Operating lease</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80" w:type="dxa"/>
            <w:vAlign w:val="bottom"/>
            <w:shd w:val="clear" w:color="auto" w:fill="CCEEFF"/>
          </w:tcPr>
          <w:p>
            <w:pPr>
              <w:ind w:left="100"/>
              <w:spacing w:after="0" w:line="225" w:lineRule="exact"/>
              <w:rPr>
                <w:sz w:val="20"/>
                <w:szCs w:val="20"/>
                <w:color w:val="auto"/>
              </w:rPr>
            </w:pPr>
            <w:r>
              <w:rPr>
                <w:rFonts w:ascii="Arial" w:cs="Arial" w:eastAsia="Arial" w:hAnsi="Arial"/>
                <w:sz w:val="17"/>
                <w:szCs w:val="17"/>
                <w:color w:val="auto"/>
              </w:rPr>
              <w:t>obligations</w:t>
            </w:r>
            <w:r>
              <w:rPr>
                <w:rFonts w:ascii="Arial" w:cs="Arial" w:eastAsia="Arial" w:hAnsi="Arial"/>
                <w:sz w:val="22"/>
                <w:szCs w:val="22"/>
                <w:color w:val="auto"/>
                <w:vertAlign w:val="superscript"/>
              </w:rPr>
              <w:t>(4)</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73"/>
        </w:trPr>
        <w:tc>
          <w:tcPr>
            <w:tcW w:w="1880" w:type="dxa"/>
            <w:vAlign w:val="bottom"/>
          </w:tcPr>
          <w:p>
            <w:pPr>
              <w:ind w:left="100"/>
              <w:spacing w:after="0" w:line="173" w:lineRule="exact"/>
              <w:rPr>
                <w:sz w:val="20"/>
                <w:szCs w:val="20"/>
                <w:color w:val="auto"/>
              </w:rPr>
            </w:pPr>
            <w:r>
              <w:rPr>
                <w:rFonts w:ascii="Arial" w:cs="Arial" w:eastAsia="Arial" w:hAnsi="Arial"/>
                <w:sz w:val="17"/>
                <w:szCs w:val="17"/>
                <w:color w:val="auto"/>
              </w:rPr>
              <w:t>Finance lease</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880" w:type="dxa"/>
            <w:vAlign w:val="bottom"/>
          </w:tcPr>
          <w:p>
            <w:pPr>
              <w:ind w:left="100"/>
              <w:spacing w:after="0" w:line="225" w:lineRule="exact"/>
              <w:rPr>
                <w:sz w:val="20"/>
                <w:szCs w:val="20"/>
                <w:color w:val="auto"/>
              </w:rPr>
            </w:pPr>
            <w:r>
              <w:rPr>
                <w:rFonts w:ascii="Arial" w:cs="Arial" w:eastAsia="Arial" w:hAnsi="Arial"/>
                <w:sz w:val="17"/>
                <w:szCs w:val="17"/>
                <w:color w:val="auto"/>
              </w:rPr>
              <w:t>obligations</w:t>
            </w:r>
            <w:r>
              <w:rPr>
                <w:rFonts w:ascii="Arial" w:cs="Arial" w:eastAsia="Arial" w:hAnsi="Arial"/>
                <w:sz w:val="22"/>
                <w:szCs w:val="22"/>
                <w:color w:val="auto"/>
                <w:vertAlign w:val="superscript"/>
              </w:rPr>
              <w:t>(4)(5)</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100"/>
              <w:spacing w:after="0" w:line="180" w:lineRule="exact"/>
              <w:rPr>
                <w:sz w:val="20"/>
                <w:szCs w:val="20"/>
                <w:color w:val="auto"/>
              </w:rPr>
            </w:pPr>
            <w:r>
              <w:rPr>
                <w:rFonts w:ascii="Arial" w:cs="Arial" w:eastAsia="Arial" w:hAnsi="Arial"/>
                <w:sz w:val="17"/>
                <w:szCs w:val="17"/>
                <w:color w:val="auto"/>
              </w:rPr>
              <w:t>Other long-term</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obligations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18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6,881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2,532</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0" w:hanging="597"/>
        <w:spacing w:after="0"/>
        <w:tabs>
          <w:tab w:leader="none" w:pos="600" w:val="left"/>
        </w:tabs>
        <w:numPr>
          <w:ilvl w:val="0"/>
          <w:numId w:val="37"/>
        </w:numPr>
        <w:rPr>
          <w:rFonts w:ascii="Arial" w:cs="Arial" w:eastAsia="Arial" w:hAnsi="Arial"/>
          <w:sz w:val="22"/>
          <w:szCs w:val="22"/>
          <w:color w:val="auto"/>
          <w:vertAlign w:val="superscript"/>
        </w:rPr>
      </w:pPr>
      <w:r>
        <w:rPr>
          <w:rFonts w:ascii="Arial" w:cs="Arial" w:eastAsia="Arial" w:hAnsi="Arial"/>
          <w:sz w:val="17"/>
          <w:szCs w:val="17"/>
          <w:color w:val="auto"/>
        </w:rPr>
        <w:t>Includes principal as well as interest payments and excludes unamortized debt discount and issuance costs.</w:t>
      </w:r>
    </w:p>
    <w:p>
      <w:pPr>
        <w:spacing w:after="0" w:line="54" w:lineRule="exact"/>
        <w:rPr>
          <w:rFonts w:ascii="Arial" w:cs="Arial" w:eastAsia="Arial" w:hAnsi="Arial"/>
          <w:sz w:val="22"/>
          <w:szCs w:val="22"/>
          <w:color w:val="auto"/>
          <w:vertAlign w:val="superscript"/>
        </w:rPr>
      </w:pPr>
    </w:p>
    <w:p>
      <w:pPr>
        <w:ind w:left="600" w:hanging="597"/>
        <w:spacing w:after="0" w:line="192" w:lineRule="auto"/>
        <w:tabs>
          <w:tab w:leader="none" w:pos="600" w:val="left"/>
        </w:tabs>
        <w:numPr>
          <w:ilvl w:val="0"/>
          <w:numId w:val="37"/>
        </w:numPr>
        <w:rPr>
          <w:rFonts w:ascii="Arial" w:cs="Arial" w:eastAsia="Arial" w:hAnsi="Arial"/>
          <w:sz w:val="22"/>
          <w:szCs w:val="22"/>
          <w:color w:val="auto"/>
          <w:vertAlign w:val="superscript"/>
        </w:rPr>
      </w:pPr>
      <w:r>
        <w:rPr>
          <w:rFonts w:ascii="Arial" w:cs="Arial" w:eastAsia="Arial" w:hAnsi="Arial"/>
          <w:sz w:val="17"/>
          <w:szCs w:val="17"/>
          <w:color w:val="auto"/>
        </w:rPr>
        <w:t>Payments based on estimated timing of cash flow associated with securitized notes receivable.</w:t>
      </w:r>
    </w:p>
    <w:p>
      <w:pPr>
        <w:spacing w:after="0" w:line="54" w:lineRule="exact"/>
        <w:rPr>
          <w:rFonts w:ascii="Arial" w:cs="Arial" w:eastAsia="Arial" w:hAnsi="Arial"/>
          <w:sz w:val="22"/>
          <w:szCs w:val="22"/>
          <w:color w:val="auto"/>
          <w:vertAlign w:val="superscript"/>
        </w:rPr>
      </w:pPr>
    </w:p>
    <w:p>
      <w:pPr>
        <w:ind w:left="620" w:right="20" w:hanging="617"/>
        <w:spacing w:after="0" w:line="242" w:lineRule="auto"/>
        <w:tabs>
          <w:tab w:leader="none" w:pos="608" w:val="left"/>
        </w:tabs>
        <w:numPr>
          <w:ilvl w:val="0"/>
          <w:numId w:val="37"/>
        </w:numPr>
        <w:rPr>
          <w:rFonts w:ascii="Arial" w:cs="Arial" w:eastAsia="Arial" w:hAnsi="Arial"/>
          <w:sz w:val="21"/>
          <w:szCs w:val="21"/>
          <w:color w:val="auto"/>
          <w:vertAlign w:val="superscript"/>
        </w:rPr>
      </w:pPr>
      <w:r>
        <w:rPr>
          <w:rFonts w:ascii="Arial" w:cs="Arial" w:eastAsia="Arial" w:hAnsi="Arial"/>
          <w:sz w:val="16"/>
          <w:szCs w:val="16"/>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spacing w:after="0" w:line="2" w:lineRule="exact"/>
        <w:rPr>
          <w:rFonts w:ascii="Arial" w:cs="Arial" w:eastAsia="Arial" w:hAnsi="Arial"/>
          <w:sz w:val="21"/>
          <w:szCs w:val="21"/>
          <w:color w:val="auto"/>
          <w:vertAlign w:val="superscript"/>
        </w:rPr>
      </w:pPr>
    </w:p>
    <w:p>
      <w:pPr>
        <w:ind w:left="600" w:hanging="597"/>
        <w:spacing w:after="0"/>
        <w:tabs>
          <w:tab w:leader="none" w:pos="600" w:val="left"/>
        </w:tabs>
        <w:numPr>
          <w:ilvl w:val="0"/>
          <w:numId w:val="37"/>
        </w:numPr>
        <w:rPr>
          <w:rFonts w:ascii="Arial" w:cs="Arial" w:eastAsia="Arial" w:hAnsi="Arial"/>
          <w:sz w:val="22"/>
          <w:szCs w:val="22"/>
          <w:color w:val="auto"/>
          <w:vertAlign w:val="superscript"/>
        </w:rPr>
      </w:pPr>
      <w:r>
        <w:rPr>
          <w:rFonts w:ascii="Arial" w:cs="Arial" w:eastAsia="Arial" w:hAnsi="Arial"/>
          <w:sz w:val="17"/>
          <w:szCs w:val="17"/>
          <w:color w:val="auto"/>
        </w:rPr>
        <w:t>Includes interest.</w:t>
      </w:r>
    </w:p>
    <w:p>
      <w:pPr>
        <w:spacing w:after="0" w:line="54" w:lineRule="exact"/>
        <w:rPr>
          <w:rFonts w:ascii="Arial" w:cs="Arial" w:eastAsia="Arial" w:hAnsi="Arial"/>
          <w:sz w:val="22"/>
          <w:szCs w:val="22"/>
          <w:color w:val="auto"/>
          <w:vertAlign w:val="superscript"/>
        </w:rPr>
      </w:pPr>
    </w:p>
    <w:p>
      <w:pPr>
        <w:ind w:left="620" w:right="160" w:hanging="617"/>
        <w:spacing w:after="0" w:line="228" w:lineRule="auto"/>
        <w:tabs>
          <w:tab w:leader="none" w:pos="608" w:val="left"/>
        </w:tabs>
        <w:numPr>
          <w:ilvl w:val="0"/>
          <w:numId w:val="37"/>
        </w:numPr>
        <w:rPr>
          <w:rFonts w:ascii="Arial" w:cs="Arial" w:eastAsia="Arial" w:hAnsi="Arial"/>
          <w:sz w:val="22"/>
          <w:szCs w:val="22"/>
          <w:color w:val="auto"/>
          <w:vertAlign w:val="superscript"/>
        </w:rPr>
      </w:pPr>
      <w:r>
        <w:rPr>
          <w:rFonts w:ascii="Arial" w:cs="Arial" w:eastAsia="Arial" w:hAnsi="Arial"/>
          <w:sz w:val="17"/>
          <w:szCs w:val="17"/>
          <w:color w:val="auto"/>
        </w:rPr>
        <w:t>The lease term of the finance lease arrangement for our new global headquarters office building located in Orlando, Florida commenced for accounting purposes during the first quarter of 2023, upon substantial completion of construction. See Footnote 12 “Debt” to our Financial Statements for additional information on this lease.</w:t>
      </w:r>
    </w:p>
    <w:p>
      <w:pPr>
        <w:spacing w:after="0" w:line="4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have minimal impact on our net income and cash flow. These purchase commitments are excluded from the table above.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Supplemental Guarantor Information</w:t>
      </w:r>
    </w:p>
    <w:p>
      <w:pPr>
        <w:spacing w:after="0" w:line="113" w:lineRule="exact"/>
        <w:rPr>
          <w:sz w:val="20"/>
          <w:szCs w:val="20"/>
          <w:color w:val="auto"/>
        </w:rPr>
      </w:pPr>
    </w:p>
    <w:p>
      <w:pPr>
        <w:jc w:val="both"/>
        <w:ind w:right="180"/>
        <w:spacing w:after="0" w:line="316" w:lineRule="auto"/>
        <w:rPr>
          <w:sz w:val="20"/>
          <w:szCs w:val="20"/>
          <w:color w:val="auto"/>
        </w:rPr>
      </w:pPr>
      <w:r>
        <w:rPr>
          <w:rFonts w:ascii="Arial" w:cs="Arial" w:eastAsia="Arial" w:hAnsi="Arial"/>
          <w:sz w:val="15"/>
          <w:szCs w:val="15"/>
          <w:color w:val="auto"/>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spacing w:after="0" w:line="37" w:lineRule="exact"/>
        <w:rPr>
          <w:sz w:val="20"/>
          <w:szCs w:val="20"/>
          <w:color w:val="auto"/>
        </w:rPr>
      </w:pPr>
    </w:p>
    <w:p>
      <w:pPr>
        <w:jc w:val="both"/>
        <w:ind w:right="100"/>
        <w:spacing w:after="0" w:line="264" w:lineRule="auto"/>
        <w:rPr>
          <w:sz w:val="20"/>
          <w:szCs w:val="20"/>
          <w:color w:val="auto"/>
        </w:rPr>
      </w:pPr>
      <w:r>
        <w:rPr>
          <w:rFonts w:ascii="Arial" w:cs="Arial" w:eastAsia="Arial" w:hAnsi="Arial"/>
          <w:sz w:val="17"/>
          <w:szCs w:val="17"/>
          <w:color w:val="auto"/>
        </w:rPr>
        <w:t>The following tables present consolidating financial information as of September 30, 2023 and December 31, 2022, and for the nine months ended September 30, 2023 for MVWC and MORI on a stand-alone basis (collectively, the “Issuers”), the Senior Notes Guarantors, the combined non-guarantor subsidiaries of MVWC, and MVW on a consolidated basis.</w:t>
      </w:r>
    </w:p>
    <w:p>
      <w:pPr>
        <w:spacing w:after="0" w:line="22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Condensed Consolidating Statement of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15"/>
          </w:tcPr>
          <w:p>
            <w:pPr>
              <w:ind w:left="20"/>
              <w:spacing w:after="0"/>
              <w:rPr>
                <w:sz w:val="20"/>
                <w:szCs w:val="20"/>
                <w:color w:val="auto"/>
              </w:rPr>
            </w:pPr>
            <w:r>
              <w:rPr>
                <w:rFonts w:ascii="Arial" w:cs="Arial" w:eastAsia="Arial" w:hAnsi="Arial"/>
                <w:sz w:val="15"/>
                <w:szCs w:val="15"/>
                <w:b w:val="1"/>
                <w:bCs w:val="1"/>
                <w:color w:val="auto"/>
              </w:rPr>
              <w:t>Nine Months Ended September 30, 2023</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8"/>
            <w:vMerge w:val="restart"/>
          </w:tcPr>
          <w:p>
            <w:pPr>
              <w:jc w:val="right"/>
              <w:ind w:right="700"/>
              <w:spacing w:after="0"/>
              <w:rPr>
                <w:sz w:val="20"/>
                <w:szCs w:val="20"/>
                <w:color w:val="auto"/>
              </w:rPr>
            </w:pPr>
            <w:r>
              <w:rPr>
                <w:rFonts w:ascii="Arial" w:cs="Arial" w:eastAsia="Arial" w:hAnsi="Arial"/>
                <w:sz w:val="15"/>
                <w:szCs w:val="15"/>
                <w:b w:val="1"/>
                <w:bCs w:val="1"/>
                <w:color w:val="auto"/>
              </w:rPr>
              <w:t>Issuers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220"/>
              <w:spacing w:after="0" w:line="150" w:lineRule="exact"/>
              <w:rPr>
                <w:sz w:val="20"/>
                <w:szCs w:val="20"/>
                <w:color w:val="auto"/>
              </w:rPr>
            </w:pPr>
            <w:r>
              <w:rPr>
                <w:rFonts w:ascii="Arial" w:cs="Arial" w:eastAsia="Arial" w:hAnsi="Arial"/>
                <w:sz w:val="15"/>
                <w:szCs w:val="15"/>
                <w:b w:val="1"/>
                <w:bCs w:val="1"/>
                <w:color w:val="auto"/>
                <w:w w:val="93"/>
              </w:rPr>
              <w:t>Non-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8"/>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ind w:left="60"/>
              <w:spacing w:after="0" w:line="134" w:lineRule="exact"/>
              <w:rPr>
                <w:sz w:val="20"/>
                <w:szCs w:val="20"/>
                <w:color w:val="auto"/>
              </w:rPr>
            </w:pPr>
            <w:r>
              <w:rPr>
                <w:rFonts w:ascii="Arial" w:cs="Arial" w:eastAsia="Arial" w:hAnsi="Arial"/>
                <w:sz w:val="15"/>
                <w:szCs w:val="15"/>
                <w:b w:val="1"/>
                <w:bCs w:val="1"/>
                <w:color w:val="auto"/>
              </w:rPr>
              <w:t>Senior Notes</w:t>
            </w: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34" w:lineRule="exact"/>
              <w:rPr>
                <w:sz w:val="20"/>
                <w:szCs w:val="20"/>
                <w:color w:val="auto"/>
              </w:rPr>
            </w:pPr>
            <w:r>
              <w:rPr>
                <w:rFonts w:ascii="Arial" w:cs="Arial" w:eastAsia="Arial" w:hAnsi="Arial"/>
                <w:sz w:val="15"/>
                <w:szCs w:val="15"/>
                <w:b w:val="1"/>
                <w:bCs w:val="1"/>
                <w:color w:val="auto"/>
                <w:w w:val="99"/>
              </w:rPr>
              <w:t>Guarantor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ind w:left="220"/>
              <w:spacing w:after="0" w:line="134" w:lineRule="exact"/>
              <w:rPr>
                <w:sz w:val="20"/>
                <w:szCs w:val="20"/>
                <w:color w:val="auto"/>
              </w:rPr>
            </w:pPr>
            <w:r>
              <w:rPr>
                <w:rFonts w:ascii="Arial" w:cs="Arial" w:eastAsia="Arial" w:hAnsi="Arial"/>
                <w:sz w:val="15"/>
                <w:szCs w:val="15"/>
                <w:b w:val="1"/>
                <w:bCs w:val="1"/>
                <w:color w:val="auto"/>
              </w:rPr>
              <w:t>Total</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15"/>
              <w:spacing w:after="0" w:line="134" w:lineRule="exact"/>
              <w:rPr>
                <w:sz w:val="20"/>
                <w:szCs w:val="20"/>
                <w:color w:val="auto"/>
              </w:rPr>
            </w:pPr>
            <w:r>
              <w:rPr>
                <w:rFonts w:ascii="Arial" w:cs="Arial" w:eastAsia="Arial" w:hAnsi="Arial"/>
                <w:sz w:val="15"/>
                <w:szCs w:val="15"/>
                <w:b w:val="1"/>
                <w:bCs w:val="1"/>
                <w:color w:val="auto"/>
              </w:rPr>
              <w:t>MVW</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b w:val="1"/>
                <w:bCs w:val="1"/>
                <w:color w:val="auto"/>
              </w:rPr>
              <w:t>MVWC</w:t>
            </w:r>
          </w:p>
        </w:tc>
        <w:tc>
          <w:tcPr>
            <w:tcW w:w="4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rPr>
              <w:t>MORI</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Guarantors</w:t>
            </w: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Subsidiaries</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Eliminations</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Consolidated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4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808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Arial" w:cs="Arial" w:eastAsia="Arial" w:hAnsi="Arial"/>
                <w:sz w:val="17"/>
                <w:szCs w:val="17"/>
                <w:color w:val="auto"/>
              </w:rPr>
              <w:t>Expenses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(809)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(1,834)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176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Benefit from (provision</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 income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760" w:type="dxa"/>
            <w:vAlign w:val="bottom"/>
          </w:tcPr>
          <w:p>
            <w:pPr>
              <w:ind w:left="20"/>
              <w:spacing w:after="0" w:line="180" w:lineRule="exact"/>
              <w:rPr>
                <w:sz w:val="20"/>
                <w:szCs w:val="20"/>
                <w:color w:val="auto"/>
              </w:rPr>
            </w:pPr>
            <w:r>
              <w:rPr>
                <w:rFonts w:ascii="Arial" w:cs="Arial" w:eastAsia="Arial" w:hAnsi="Arial"/>
                <w:sz w:val="17"/>
                <w:szCs w:val="17"/>
                <w:color w:val="auto"/>
              </w:rPr>
              <w:t>Equity in net income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60" w:type="dxa"/>
            <w:vAlign w:val="bottom"/>
          </w:tcPr>
          <w:p>
            <w:pPr>
              <w:ind w:left="20"/>
              <w:spacing w:after="0"/>
              <w:rPr>
                <w:sz w:val="20"/>
                <w:szCs w:val="20"/>
                <w:color w:val="auto"/>
              </w:rPr>
            </w:pPr>
            <w:r>
              <w:rPr>
                <w:rFonts w:ascii="Arial" w:cs="Arial" w:eastAsia="Arial" w:hAnsi="Arial"/>
                <w:sz w:val="17"/>
                <w:szCs w:val="17"/>
                <w:color w:val="auto"/>
              </w:rPr>
              <w:t>(loss) of subsidiaries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219</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166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80" w:type="dxa"/>
            <w:vAlign w:val="bottom"/>
            <w:gridSpan w:val="2"/>
          </w:tcPr>
          <w:p>
            <w:pPr>
              <w:ind w:left="20"/>
              <w:spacing w:after="0" w:line="180" w:lineRule="exact"/>
              <w:rPr>
                <w:sz w:val="20"/>
                <w:szCs w:val="20"/>
                <w:color w:val="auto"/>
              </w:rPr>
            </w:pPr>
            <w:r>
              <w:rPr>
                <w:rFonts w:ascii="Arial" w:cs="Arial" w:eastAsia="Arial" w:hAnsi="Arial"/>
                <w:sz w:val="17"/>
                <w:szCs w:val="17"/>
                <w:color w:val="auto"/>
                <w:w w:val="94"/>
              </w:rPr>
              <w:t>Net income attributable to</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760" w:type="dxa"/>
            <w:vAlign w:val="bottom"/>
          </w:tcPr>
          <w:p>
            <w:pPr>
              <w:ind w:left="20"/>
              <w:spacing w:after="0"/>
              <w:rPr>
                <w:sz w:val="20"/>
                <w:szCs w:val="20"/>
                <w:color w:val="auto"/>
              </w:rPr>
            </w:pPr>
            <w:r>
              <w:rPr>
                <w:rFonts w:ascii="Arial" w:cs="Arial" w:eastAsia="Arial" w:hAnsi="Arial"/>
                <w:sz w:val="17"/>
                <w:szCs w:val="17"/>
                <w:color w:val="auto"/>
                <w:w w:val="98"/>
              </w:rPr>
              <w:t>noncontrolling interests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76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7"/>
                <w:szCs w:val="17"/>
                <w:color w:val="auto"/>
              </w:rPr>
              <w:t>Net income (loss)</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w w:val="99"/>
              </w:rPr>
              <w:t>attributable to common</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219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40" w:type="dxa"/>
            <w:vAlign w:val="bottom"/>
            <w:shd w:val="clear" w:color="auto" w:fill="CCEEFF"/>
          </w:tcPr>
          <w:p>
            <w:pPr>
              <w:spacing w:after="0"/>
              <w:rPr>
                <w:sz w:val="14"/>
                <w:szCs w:val="14"/>
                <w:color w:val="auto"/>
              </w:rPr>
            </w:pPr>
          </w:p>
        </w:tc>
        <w:tc>
          <w:tcPr>
            <w:tcW w:w="20" w:type="dxa"/>
            <w:vAlign w:val="bottom"/>
            <w:vMerge w:val="restart"/>
            <w:shd w:val="clear" w:color="auto" w:fill="CCEEFF"/>
          </w:tcPr>
          <w:p>
            <w:pPr>
              <w:spacing w:after="0"/>
              <w:rPr>
                <w:sz w:val="14"/>
                <w:szCs w:val="14"/>
                <w:color w:val="auto"/>
              </w:rPr>
            </w:pPr>
          </w:p>
        </w:tc>
        <w:tc>
          <w:tcPr>
            <w:tcW w:w="120" w:type="dxa"/>
            <w:vAlign w:val="bottom"/>
            <w:gridSpan w:val="2"/>
            <w:vMerge w:val="restart"/>
            <w:shd w:val="clear" w:color="auto" w:fill="CCEEFF"/>
          </w:tcPr>
          <w:p>
            <w:pPr>
              <w:spacing w:after="0"/>
              <w:rPr>
                <w:sz w:val="14"/>
                <w:szCs w:val="14"/>
                <w:color w:val="auto"/>
              </w:rPr>
            </w:pPr>
          </w:p>
        </w:tc>
        <w:tc>
          <w:tcPr>
            <w:tcW w:w="220" w:type="dxa"/>
            <w:vAlign w:val="bottom"/>
            <w:vMerge w:val="restart"/>
            <w:shd w:val="clear" w:color="auto" w:fill="CCEEFF"/>
          </w:tcPr>
          <w:p>
            <w:pPr>
              <w:jc w:val="right"/>
              <w:ind w:right="41"/>
              <w:spacing w:after="0"/>
              <w:rPr>
                <w:sz w:val="20"/>
                <w:szCs w:val="20"/>
                <w:color w:val="auto"/>
              </w:rPr>
            </w:pPr>
            <w:r>
              <w:rPr>
                <w:rFonts w:ascii="Arial" w:cs="Arial" w:eastAsia="Arial" w:hAnsi="Arial"/>
                <w:sz w:val="17"/>
                <w:szCs w:val="17"/>
                <w:color w:val="auto"/>
                <w:w w:val="84"/>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1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166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gridSpan w:val="2"/>
            <w:vMerge w:val="restart"/>
            <w:shd w:val="clear" w:color="auto" w:fill="CCEEFF"/>
          </w:tcPr>
          <w:p>
            <w:pPr>
              <w:jc w:val="right"/>
              <w:ind w:right="43"/>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76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shareholders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800" w:type="dxa"/>
            <w:vAlign w:val="bottom"/>
            <w:gridSpan w:val="7"/>
          </w:tcPr>
          <w:p>
            <w:pPr>
              <w:spacing w:after="0"/>
              <w:rPr>
                <w:sz w:val="20"/>
                <w:szCs w:val="20"/>
                <w:color w:val="auto"/>
              </w:rPr>
            </w:pPr>
            <w:r>
              <w:rPr>
                <w:rFonts w:ascii="Arial" w:cs="Arial" w:eastAsia="Arial" w:hAnsi="Arial"/>
                <w:sz w:val="17"/>
                <w:szCs w:val="17"/>
                <w:i w:val="1"/>
                <w:iCs w:val="1"/>
                <w:color w:val="auto"/>
                <w:w w:val="89"/>
              </w:rPr>
              <w:t>Condensed Consolidating Balance Sheet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ind w:left="100"/>
              <w:spacing w:after="0"/>
              <w:rPr>
                <w:sz w:val="20"/>
                <w:szCs w:val="20"/>
                <w:color w:val="auto"/>
              </w:rPr>
            </w:pPr>
            <w:r>
              <w:rPr>
                <w:rFonts w:ascii="Arial" w:cs="Arial" w:eastAsia="Arial" w:hAnsi="Arial"/>
                <w:sz w:val="15"/>
                <w:szCs w:val="15"/>
                <w:b w:val="1"/>
                <w:bCs w:val="1"/>
                <w:color w:val="auto"/>
              </w:rPr>
              <w:t>As of September 30, 2023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6"/>
            <w:vMerge w:val="restart"/>
          </w:tcPr>
          <w:p>
            <w:pPr>
              <w:jc w:val="right"/>
              <w:spacing w:after="0"/>
              <w:rPr>
                <w:sz w:val="20"/>
                <w:szCs w:val="20"/>
                <w:color w:val="auto"/>
              </w:rPr>
            </w:pPr>
            <w:r>
              <w:rPr>
                <w:rFonts w:ascii="Arial" w:cs="Arial" w:eastAsia="Arial" w:hAnsi="Arial"/>
                <w:sz w:val="15"/>
                <w:szCs w:val="15"/>
                <w:b w:val="1"/>
                <w:bCs w:val="1"/>
                <w:color w:val="auto"/>
              </w:rPr>
              <w:t>Issuers</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220"/>
              <w:spacing w:after="0" w:line="150" w:lineRule="exact"/>
              <w:rPr>
                <w:sz w:val="20"/>
                <w:szCs w:val="20"/>
                <w:color w:val="auto"/>
              </w:rPr>
            </w:pPr>
            <w:r>
              <w:rPr>
                <w:rFonts w:ascii="Arial" w:cs="Arial" w:eastAsia="Arial" w:hAnsi="Arial"/>
                <w:sz w:val="15"/>
                <w:szCs w:val="15"/>
                <w:b w:val="1"/>
                <w:bCs w:val="1"/>
                <w:color w:val="auto"/>
                <w:w w:val="93"/>
              </w:rPr>
              <w:t>Non-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6"/>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right"/>
              <w:ind w:right="220"/>
              <w:spacing w:after="0" w:line="134" w:lineRule="exact"/>
              <w:rPr>
                <w:sz w:val="20"/>
                <w:szCs w:val="20"/>
                <w:color w:val="auto"/>
              </w:rPr>
            </w:pPr>
            <w:r>
              <w:rPr>
                <w:rFonts w:ascii="Arial" w:cs="Arial" w:eastAsia="Arial" w:hAnsi="Arial"/>
                <w:sz w:val="15"/>
                <w:szCs w:val="15"/>
                <w:b w:val="1"/>
                <w:bCs w:val="1"/>
                <w:color w:val="auto"/>
                <w:w w:val="90"/>
              </w:rPr>
              <w:t>Senior Notes</w:t>
            </w: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34" w:lineRule="exact"/>
              <w:rPr>
                <w:sz w:val="20"/>
                <w:szCs w:val="20"/>
                <w:color w:val="auto"/>
              </w:rPr>
            </w:pPr>
            <w:r>
              <w:rPr>
                <w:rFonts w:ascii="Arial" w:cs="Arial" w:eastAsia="Arial" w:hAnsi="Arial"/>
                <w:sz w:val="15"/>
                <w:szCs w:val="15"/>
                <w:b w:val="1"/>
                <w:bCs w:val="1"/>
                <w:color w:val="auto"/>
                <w:w w:val="99"/>
              </w:rPr>
              <w:t>Guarantor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80"/>
              <w:spacing w:after="0" w:line="134" w:lineRule="exact"/>
              <w:rPr>
                <w:sz w:val="20"/>
                <w:szCs w:val="20"/>
                <w:color w:val="auto"/>
              </w:rPr>
            </w:pPr>
            <w:r>
              <w:rPr>
                <w:rFonts w:ascii="Arial" w:cs="Arial" w:eastAsia="Arial" w:hAnsi="Arial"/>
                <w:sz w:val="15"/>
                <w:szCs w:val="15"/>
                <w:b w:val="1"/>
                <w:bCs w:val="1"/>
                <w:color w:val="auto"/>
                <w:w w:val="89"/>
              </w:rPr>
              <w:t>Total</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175"/>
              <w:spacing w:after="0" w:line="134" w:lineRule="exact"/>
              <w:rPr>
                <w:sz w:val="20"/>
                <w:szCs w:val="20"/>
                <w:color w:val="auto"/>
              </w:rPr>
            </w:pPr>
            <w:r>
              <w:rPr>
                <w:rFonts w:ascii="Arial" w:cs="Arial" w:eastAsia="Arial" w:hAnsi="Arial"/>
                <w:sz w:val="15"/>
                <w:szCs w:val="15"/>
                <w:b w:val="1"/>
                <w:bCs w:val="1"/>
                <w:color w:val="auto"/>
              </w:rPr>
              <w:t>MVW</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7"/>
                <w:szCs w:val="17"/>
                <w:color w:val="auto"/>
              </w:rPr>
            </w:pPr>
          </w:p>
        </w:tc>
        <w:tc>
          <w:tcPr>
            <w:tcW w:w="920" w:type="dxa"/>
            <w:vAlign w:val="bottom"/>
            <w:gridSpan w:val="5"/>
          </w:tcPr>
          <w:p>
            <w:pPr>
              <w:ind w:left="60"/>
              <w:spacing w:after="0"/>
              <w:rPr>
                <w:sz w:val="20"/>
                <w:szCs w:val="20"/>
                <w:color w:val="auto"/>
              </w:rPr>
            </w:pPr>
            <w:r>
              <w:rPr>
                <w:rFonts w:ascii="Arial" w:cs="Arial" w:eastAsia="Arial" w:hAnsi="Arial"/>
                <w:sz w:val="15"/>
                <w:szCs w:val="15"/>
                <w:b w:val="1"/>
                <w:bCs w:val="1"/>
                <w:color w:val="auto"/>
              </w:rPr>
              <w:t>MVWC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MORI</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ind w:left="60"/>
              <w:spacing w:after="0"/>
              <w:rPr>
                <w:sz w:val="20"/>
                <w:szCs w:val="20"/>
                <w:color w:val="auto"/>
              </w:rPr>
            </w:pPr>
            <w:r>
              <w:rPr>
                <w:rFonts w:ascii="Arial" w:cs="Arial" w:eastAsia="Arial" w:hAnsi="Arial"/>
                <w:sz w:val="15"/>
                <w:szCs w:val="15"/>
                <w:b w:val="1"/>
                <w:bCs w:val="1"/>
                <w:color w:val="auto"/>
              </w:rPr>
              <w:t>Guarantors</w:t>
            </w:r>
          </w:p>
        </w:tc>
        <w:tc>
          <w:tcPr>
            <w:tcW w:w="100" w:type="dxa"/>
            <w:vAlign w:val="bottom"/>
          </w:tcPr>
          <w:p>
            <w:pPr>
              <w:spacing w:after="0"/>
              <w:rPr>
                <w:sz w:val="17"/>
                <w:szCs w:val="17"/>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89"/>
              </w:rPr>
              <w:t>Subsidiaries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4"/>
              </w:rPr>
              <w:t>Eliminations</w:t>
            </w:r>
          </w:p>
        </w:tc>
        <w:tc>
          <w:tcPr>
            <w:tcW w:w="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Consolidated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6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7"/>
                <w:szCs w:val="17"/>
                <w:color w:val="auto"/>
              </w:rPr>
              <w:t>Cash and cash</w:t>
            </w: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40" w:type="dxa"/>
            <w:vAlign w:val="bottom"/>
            <w:shd w:val="clear" w:color="auto" w:fill="CCEEFF"/>
          </w:tcPr>
          <w:p>
            <w:pPr>
              <w:spacing w:after="0"/>
              <w:rPr>
                <w:sz w:val="20"/>
                <w:szCs w:val="20"/>
                <w:color w:val="auto"/>
              </w:rPr>
            </w:pPr>
          </w:p>
        </w:tc>
        <w:tc>
          <w:tcPr>
            <w:tcW w:w="360" w:type="dxa"/>
            <w:vAlign w:val="bottom"/>
            <w:gridSpan w:val="4"/>
            <w:shd w:val="clear" w:color="auto" w:fill="CCEEFF"/>
          </w:tcPr>
          <w:p>
            <w:pPr>
              <w:jc w:val="right"/>
              <w:ind w:right="101"/>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7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7"/>
              </w:rPr>
              <w:t>Accounts and contracts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 net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20"/>
              <w:spacing w:after="0" w:line="167" w:lineRule="exact"/>
              <w:rPr>
                <w:sz w:val="20"/>
                <w:szCs w:val="20"/>
                <w:color w:val="auto"/>
              </w:rPr>
            </w:pPr>
            <w:r>
              <w:rPr>
                <w:rFonts w:ascii="Arial" w:cs="Arial" w:eastAsia="Arial" w:hAnsi="Arial"/>
                <w:sz w:val="17"/>
                <w:szCs w:val="17"/>
                <w:color w:val="auto"/>
              </w:rPr>
              <w:t>Vacation ownership</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Arial" w:cs="Arial" w:eastAsia="Arial" w:hAnsi="Arial"/>
                <w:sz w:val="17"/>
                <w:szCs w:val="17"/>
                <w:color w:val="auto"/>
              </w:rPr>
              <w:t>notes receivable, net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20"/>
              <w:spacing w:after="0" w:line="167" w:lineRule="exact"/>
              <w:rPr>
                <w:sz w:val="20"/>
                <w:szCs w:val="20"/>
                <w:color w:val="auto"/>
              </w:rPr>
            </w:pPr>
            <w:r>
              <w:rPr>
                <w:rFonts w:ascii="Arial" w:cs="Arial" w:eastAsia="Arial" w:hAnsi="Arial"/>
                <w:sz w:val="17"/>
                <w:szCs w:val="17"/>
                <w:color w:val="auto"/>
                <w:w w:val="92"/>
              </w:rPr>
              <w:t>Property and equipment,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7"/>
                <w:szCs w:val="17"/>
                <w:color w:val="auto"/>
              </w:rPr>
              <w:t>net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837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868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7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Investments in</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subsidiaries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3,985</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4,857</w:t>
            </w:r>
          </w:p>
        </w:tc>
        <w:tc>
          <w:tcPr>
            <w:tcW w:w="40" w:type="dxa"/>
            <w:vAlign w:val="bottom"/>
            <w:shd w:val="clear" w:color="auto" w:fill="CCEEFF"/>
          </w:tcPr>
          <w:p>
            <w:pPr>
              <w:spacing w:after="0"/>
              <w:rPr>
                <w:sz w:val="20"/>
                <w:szCs w:val="20"/>
                <w:color w:val="auto"/>
              </w:rPr>
            </w:pPr>
          </w:p>
        </w:tc>
        <w:tc>
          <w:tcPr>
            <w:tcW w:w="360" w:type="dxa"/>
            <w:vAlign w:val="bottom"/>
            <w:gridSpan w:val="4"/>
            <w:shd w:val="clear" w:color="auto" w:fill="CCEEFF"/>
          </w:tcPr>
          <w:p>
            <w:pPr>
              <w:jc w:val="right"/>
              <w:ind w:right="101"/>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40" w:type="dxa"/>
            <w:vAlign w:val="bottom"/>
            <w:shd w:val="clear" w:color="auto" w:fill="CCEEFF"/>
          </w:tcPr>
          <w:p>
            <w:pPr>
              <w:spacing w:after="0"/>
              <w:rPr>
                <w:sz w:val="22"/>
                <w:szCs w:val="22"/>
                <w:color w:val="auto"/>
              </w:rPr>
            </w:pPr>
          </w:p>
        </w:tc>
        <w:tc>
          <w:tcPr>
            <w:tcW w:w="360" w:type="dxa"/>
            <w:vAlign w:val="bottom"/>
            <w:gridSpan w:val="4"/>
            <w:shd w:val="clear" w:color="auto" w:fill="CCEEFF"/>
          </w:tcPr>
          <w:p>
            <w:pPr>
              <w:jc w:val="right"/>
              <w:ind w:right="101"/>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7"/>
                <w:szCs w:val="17"/>
                <w:color w:val="auto"/>
              </w:rPr>
              <w:t>Advance deposits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liabilities</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7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Payroll and benefits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760" w:type="dxa"/>
            <w:vAlign w:val="bottom"/>
          </w:tcPr>
          <w:p>
            <w:pPr>
              <w:ind w:left="20"/>
              <w:spacing w:after="0" w:line="167" w:lineRule="exact"/>
              <w:rPr>
                <w:sz w:val="20"/>
                <w:szCs w:val="20"/>
                <w:color w:val="auto"/>
              </w:rPr>
            </w:pPr>
            <w:r>
              <w:rPr>
                <w:rFonts w:ascii="Arial" w:cs="Arial" w:eastAsia="Arial" w:hAnsi="Arial"/>
                <w:sz w:val="17"/>
                <w:szCs w:val="17"/>
                <w:color w:val="auto"/>
                <w:w w:val="97"/>
              </w:rPr>
              <w:t>Deferred compensation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7"/>
                <w:szCs w:val="17"/>
                <w:color w:val="auto"/>
              </w:rPr>
              <w:t>liability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 debt, net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7"/>
                <w:szCs w:val="17"/>
                <w:color w:val="auto"/>
              </w:rPr>
              <w:t>Debt, net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1,130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1,720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7"/>
                <w:szCs w:val="17"/>
                <w:color w:val="auto"/>
              </w:rPr>
              <w:t>Deferred taxes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4"/>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281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7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MVW shareholders'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2,599</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6"/>
              </w:rPr>
              <w:t>Noncontrolling interests</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rPr>
              <w:t>Total liabilities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3,601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4,857</w:t>
            </w:r>
          </w:p>
        </w:tc>
        <w:tc>
          <w:tcPr>
            <w:tcW w:w="40" w:type="dxa"/>
            <w:vAlign w:val="bottom"/>
            <w:shd w:val="clear" w:color="auto" w:fill="CCEEFF"/>
          </w:tcPr>
          <w:p>
            <w:pPr>
              <w:spacing w:after="0"/>
              <w:rPr>
                <w:sz w:val="12"/>
                <w:szCs w:val="12"/>
                <w:color w:val="auto"/>
              </w:rPr>
            </w:pPr>
          </w:p>
        </w:tc>
        <w:tc>
          <w:tcPr>
            <w:tcW w:w="360" w:type="dxa"/>
            <w:vAlign w:val="bottom"/>
            <w:gridSpan w:val="4"/>
            <w:vMerge w:val="restart"/>
            <w:shd w:val="clear" w:color="auto" w:fill="CCEEFF"/>
          </w:tcPr>
          <w:p>
            <w:pPr>
              <w:jc w:val="right"/>
              <w:ind w:right="101"/>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5,663</w:t>
            </w: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2,883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(7,551)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1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4"/>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230" w:right="1440" w:bottom="1440" w:gutter="0" w:footer="0" w:header="0"/>
        </w:sectPr>
      </w:pPr>
    </w:p>
    <w:p>
      <w:pPr>
        <w:spacing w:after="0" w:line="134"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285750</wp:posOffset>
            </wp:positionV>
            <wp:extent cx="716470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5"/>
          </w:tcPr>
          <w:p>
            <w:pPr>
              <w:ind w:left="280"/>
              <w:spacing w:after="0"/>
              <w:rPr>
                <w:sz w:val="20"/>
                <w:szCs w:val="20"/>
                <w:color w:val="auto"/>
              </w:rPr>
            </w:pPr>
            <w:r>
              <w:rPr>
                <w:rFonts w:ascii="Arial" w:cs="Arial" w:eastAsia="Arial" w:hAnsi="Arial"/>
                <w:sz w:val="15"/>
                <w:szCs w:val="15"/>
                <w:b w:val="1"/>
                <w:bCs w:val="1"/>
                <w:color w:val="auto"/>
              </w:rPr>
              <w:t>As of December 31, 2022</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5"/>
                <w:szCs w:val="15"/>
                <w:b w:val="1"/>
                <w:bCs w:val="1"/>
                <w:color w:val="auto"/>
              </w:rPr>
              <w:t>Issuers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line="150" w:lineRule="exact"/>
              <w:rPr>
                <w:sz w:val="20"/>
                <w:szCs w:val="20"/>
                <w:color w:val="auto"/>
              </w:rPr>
            </w:pPr>
            <w:r>
              <w:rPr>
                <w:rFonts w:ascii="Arial" w:cs="Arial" w:eastAsia="Arial" w:hAnsi="Arial"/>
                <w:sz w:val="15"/>
                <w:szCs w:val="15"/>
                <w:b w:val="1"/>
                <w:bCs w:val="1"/>
                <w:color w:val="auto"/>
                <w:w w:val="93"/>
              </w:rPr>
              <w:t>Non-</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120"/>
              <w:spacing w:after="0" w:line="134" w:lineRule="exact"/>
              <w:rPr>
                <w:sz w:val="20"/>
                <w:szCs w:val="20"/>
                <w:color w:val="auto"/>
              </w:rPr>
            </w:pPr>
            <w:r>
              <w:rPr>
                <w:rFonts w:ascii="Arial" w:cs="Arial" w:eastAsia="Arial" w:hAnsi="Arial"/>
                <w:sz w:val="15"/>
                <w:szCs w:val="15"/>
                <w:b w:val="1"/>
                <w:bCs w:val="1"/>
                <w:color w:val="auto"/>
                <w:w w:val="88"/>
              </w:rPr>
              <w:t>Senior Notes</w:t>
            </w: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34" w:lineRule="exact"/>
              <w:rPr>
                <w:sz w:val="20"/>
                <w:szCs w:val="20"/>
                <w:color w:val="auto"/>
              </w:rPr>
            </w:pPr>
            <w:r>
              <w:rPr>
                <w:rFonts w:ascii="Arial" w:cs="Arial" w:eastAsia="Arial" w:hAnsi="Arial"/>
                <w:sz w:val="15"/>
                <w:szCs w:val="15"/>
                <w:b w:val="1"/>
                <w:bCs w:val="1"/>
                <w:color w:val="auto"/>
                <w:w w:val="99"/>
              </w:rPr>
              <w:t>Guarantor</w:t>
            </w:r>
          </w:p>
        </w:tc>
        <w:tc>
          <w:tcPr>
            <w:tcW w:w="100" w:type="dxa"/>
            <w:vAlign w:val="bottom"/>
          </w:tcPr>
          <w:p>
            <w:pPr>
              <w:spacing w:after="0"/>
              <w:rPr>
                <w:sz w:val="12"/>
                <w:szCs w:val="12"/>
                <w:color w:val="auto"/>
              </w:rPr>
            </w:pPr>
          </w:p>
        </w:tc>
        <w:tc>
          <w:tcPr>
            <w:tcW w:w="1060" w:type="dxa"/>
            <w:vAlign w:val="bottom"/>
            <w:gridSpan w:val="2"/>
          </w:tcPr>
          <w:p>
            <w:pPr>
              <w:ind w:left="260"/>
              <w:spacing w:after="0" w:line="134" w:lineRule="exact"/>
              <w:rPr>
                <w:sz w:val="20"/>
                <w:szCs w:val="20"/>
                <w:color w:val="auto"/>
              </w:rPr>
            </w:pPr>
            <w:r>
              <w:rPr>
                <w:rFonts w:ascii="Arial" w:cs="Arial" w:eastAsia="Arial" w:hAnsi="Arial"/>
                <w:sz w:val="15"/>
                <w:szCs w:val="15"/>
                <w:b w:val="1"/>
                <w:bCs w:val="1"/>
                <w:color w:val="auto"/>
              </w:rPr>
              <w:t>Total</w:t>
            </w:r>
          </w:p>
        </w:tc>
        <w:tc>
          <w:tcPr>
            <w:tcW w:w="220" w:type="dxa"/>
            <w:vAlign w:val="bottom"/>
          </w:tcPr>
          <w:p>
            <w:pPr>
              <w:spacing w:after="0"/>
              <w:rPr>
                <w:sz w:val="12"/>
                <w:szCs w:val="12"/>
                <w:color w:val="auto"/>
              </w:rPr>
            </w:pPr>
          </w:p>
        </w:tc>
        <w:tc>
          <w:tcPr>
            <w:tcW w:w="840" w:type="dxa"/>
            <w:vAlign w:val="bottom"/>
          </w:tcPr>
          <w:p>
            <w:pPr>
              <w:jc w:val="right"/>
              <w:ind w:right="235"/>
              <w:spacing w:after="0" w:line="134" w:lineRule="exact"/>
              <w:rPr>
                <w:sz w:val="20"/>
                <w:szCs w:val="20"/>
                <w:color w:val="auto"/>
              </w:rPr>
            </w:pPr>
            <w:r>
              <w:rPr>
                <w:rFonts w:ascii="Arial" w:cs="Arial" w:eastAsia="Arial" w:hAnsi="Arial"/>
                <w:sz w:val="15"/>
                <w:szCs w:val="15"/>
                <w:b w:val="1"/>
                <w:bCs w:val="1"/>
                <w:color w:val="auto"/>
              </w:rPr>
              <w:t>MVW</w:t>
            </w:r>
          </w:p>
        </w:tc>
        <w:tc>
          <w:tcPr>
            <w:tcW w:w="0" w:type="dxa"/>
            <w:vAlign w:val="bottom"/>
          </w:tcPr>
          <w:p>
            <w:pPr>
              <w:spacing w:after="0"/>
              <w:rPr>
                <w:sz w:val="1"/>
                <w:szCs w:val="1"/>
                <w:color w:val="auto"/>
              </w:rPr>
            </w:pPr>
          </w:p>
        </w:tc>
      </w:tr>
      <w:tr>
        <w:trPr>
          <w:trHeight w:val="196"/>
        </w:trPr>
        <w:tc>
          <w:tcPr>
            <w:tcW w:w="1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b w:val="1"/>
                <w:bCs w:val="1"/>
                <w:color w:val="auto"/>
              </w:rPr>
              <w:t>MVWC</w:t>
            </w:r>
          </w:p>
        </w:tc>
        <w:tc>
          <w:tcPr>
            <w:tcW w:w="2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5"/>
                <w:szCs w:val="15"/>
                <w:b w:val="1"/>
                <w:bCs w:val="1"/>
                <w:color w:val="auto"/>
              </w:rPr>
              <w:t>MORI</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Guarantors</w:t>
            </w: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Subsidiaries</w:t>
            </w: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w w:val="91"/>
              </w:rPr>
              <w:t>Eliminations</w:t>
            </w:r>
          </w:p>
        </w:tc>
        <w:tc>
          <w:tcPr>
            <w:tcW w:w="1060" w:type="dxa"/>
            <w:vAlign w:val="bottom"/>
            <w:gridSpan w:val="2"/>
          </w:tcPr>
          <w:p>
            <w:pPr>
              <w:jc w:val="right"/>
              <w:ind w:right="15"/>
              <w:spacing w:after="0"/>
              <w:rPr>
                <w:sz w:val="20"/>
                <w:szCs w:val="20"/>
                <w:color w:val="auto"/>
              </w:rPr>
            </w:pPr>
            <w:r>
              <w:rPr>
                <w:rFonts w:ascii="Arial" w:cs="Arial" w:eastAsia="Arial" w:hAnsi="Arial"/>
                <w:sz w:val="15"/>
                <w:szCs w:val="15"/>
                <w:b w:val="1"/>
                <w:bCs w:val="1"/>
                <w:color w:val="auto"/>
                <w:w w:val="98"/>
              </w:rPr>
              <w:t>Consolidated</w:t>
            </w:r>
          </w:p>
        </w:tc>
        <w:tc>
          <w:tcPr>
            <w:tcW w:w="0" w:type="dxa"/>
            <w:vAlign w:val="bottom"/>
          </w:tcPr>
          <w:p>
            <w:pPr>
              <w:spacing w:after="0"/>
              <w:rPr>
                <w:sz w:val="1"/>
                <w:szCs w:val="1"/>
                <w:color w:val="auto"/>
              </w:rPr>
            </w:pPr>
          </w:p>
        </w:tc>
      </w:tr>
      <w:tr>
        <w:trPr>
          <w:trHeight w:val="149"/>
        </w:trPr>
        <w:tc>
          <w:tcPr>
            <w:tcW w:w="1760" w:type="dxa"/>
            <w:vAlign w:val="bottom"/>
            <w:tcBorders>
              <w:top w:val="single" w:sz="8" w:color="CCEEFF"/>
            </w:tcBorders>
            <w:shd w:val="clear" w:color="auto" w:fill="CCEEFF"/>
          </w:tcPr>
          <w:p>
            <w:pPr>
              <w:ind w:left="20"/>
              <w:spacing w:after="0" w:line="150" w:lineRule="exact"/>
              <w:rPr>
                <w:sz w:val="20"/>
                <w:szCs w:val="20"/>
                <w:color w:val="auto"/>
              </w:rPr>
            </w:pPr>
            <w:r>
              <w:rPr>
                <w:rFonts w:ascii="Arial" w:cs="Arial" w:eastAsia="Arial" w:hAnsi="Arial"/>
                <w:sz w:val="17"/>
                <w:szCs w:val="17"/>
                <w:color w:val="auto"/>
              </w:rPr>
              <w:t>Cash and cash</w:t>
            </w: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168"/>
        </w:trPr>
        <w:tc>
          <w:tcPr>
            <w:tcW w:w="17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7"/>
              </w:rPr>
              <w:t>Accounts and contracts</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 net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292</w:t>
            </w:r>
          </w:p>
        </w:tc>
        <w:tc>
          <w:tcPr>
            <w:tcW w:w="0" w:type="dxa"/>
            <w:vAlign w:val="bottom"/>
          </w:tcPr>
          <w:p>
            <w:pPr>
              <w:spacing w:after="0"/>
              <w:rPr>
                <w:sz w:val="1"/>
                <w:szCs w:val="1"/>
                <w:color w:val="auto"/>
              </w:rPr>
            </w:pPr>
          </w:p>
        </w:tc>
      </w:tr>
      <w:tr>
        <w:trPr>
          <w:trHeight w:val="167"/>
        </w:trPr>
        <w:tc>
          <w:tcPr>
            <w:tcW w:w="1760" w:type="dxa"/>
            <w:vAlign w:val="bottom"/>
          </w:tcPr>
          <w:p>
            <w:pPr>
              <w:ind w:left="20"/>
              <w:spacing w:after="0" w:line="167" w:lineRule="exact"/>
              <w:rPr>
                <w:sz w:val="20"/>
                <w:szCs w:val="20"/>
                <w:color w:val="auto"/>
              </w:rPr>
            </w:pPr>
            <w:r>
              <w:rPr>
                <w:rFonts w:ascii="Arial" w:cs="Arial" w:eastAsia="Arial" w:hAnsi="Arial"/>
                <w:sz w:val="17"/>
                <w:szCs w:val="17"/>
                <w:color w:val="auto"/>
              </w:rPr>
              <w:t>Vacation ownership</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Arial" w:cs="Arial" w:eastAsia="Arial" w:hAnsi="Arial"/>
                <w:sz w:val="17"/>
                <w:szCs w:val="17"/>
                <w:color w:val="auto"/>
              </w:rPr>
              <w:t>notes receivable, net</w:t>
            </w: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1,871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2,198</w:t>
            </w:r>
          </w:p>
        </w:tc>
        <w:tc>
          <w:tcPr>
            <w:tcW w:w="0" w:type="dxa"/>
            <w:vAlign w:val="bottom"/>
          </w:tcPr>
          <w:p>
            <w:pPr>
              <w:spacing w:after="0"/>
              <w:rPr>
                <w:sz w:val="1"/>
                <w:szCs w:val="1"/>
                <w:color w:val="auto"/>
              </w:rPr>
            </w:pPr>
          </w:p>
        </w:tc>
      </w:tr>
      <w:tr>
        <w:trPr>
          <w:trHeight w:val="257"/>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167"/>
        </w:trPr>
        <w:tc>
          <w:tcPr>
            <w:tcW w:w="1760" w:type="dxa"/>
            <w:vAlign w:val="bottom"/>
          </w:tcPr>
          <w:p>
            <w:pPr>
              <w:ind w:left="20"/>
              <w:spacing w:after="0" w:line="167" w:lineRule="exact"/>
              <w:rPr>
                <w:sz w:val="20"/>
                <w:szCs w:val="20"/>
                <w:color w:val="auto"/>
              </w:rPr>
            </w:pPr>
            <w:r>
              <w:rPr>
                <w:rFonts w:ascii="Arial" w:cs="Arial" w:eastAsia="Arial" w:hAnsi="Arial"/>
                <w:sz w:val="17"/>
                <w:szCs w:val="17"/>
                <w:color w:val="auto"/>
                <w:w w:val="92"/>
              </w:rPr>
              <w:t>Property and equipment,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7"/>
                <w:szCs w:val="17"/>
                <w:color w:val="auto"/>
              </w:rPr>
              <w:t>net</w:t>
            </w: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1,139</w:t>
            </w:r>
          </w:p>
        </w:tc>
        <w:tc>
          <w:tcPr>
            <w:tcW w:w="0" w:type="dxa"/>
            <w:vAlign w:val="bottom"/>
          </w:tcPr>
          <w:p>
            <w:pPr>
              <w:spacing w:after="0"/>
              <w:rPr>
                <w:sz w:val="1"/>
                <w:szCs w:val="1"/>
                <w:color w:val="auto"/>
              </w:rPr>
            </w:pPr>
          </w:p>
        </w:tc>
      </w:tr>
      <w:tr>
        <w:trPr>
          <w:trHeight w:val="257"/>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3,117</w:t>
            </w: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168"/>
        </w:trPr>
        <w:tc>
          <w:tcPr>
            <w:tcW w:w="17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Investments in</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subsidiaries</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5,804</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2,738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9,639</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7"/>
                <w:szCs w:val="17"/>
                <w:color w:val="auto"/>
              </w:rPr>
              <w:t>Advance deposits</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57"/>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liabilities</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168"/>
        </w:trPr>
        <w:tc>
          <w:tcPr>
            <w:tcW w:w="17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Payroll and benefits</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167"/>
        </w:trPr>
        <w:tc>
          <w:tcPr>
            <w:tcW w:w="1760" w:type="dxa"/>
            <w:vAlign w:val="bottom"/>
          </w:tcPr>
          <w:p>
            <w:pPr>
              <w:ind w:left="20"/>
              <w:spacing w:after="0" w:line="167" w:lineRule="exact"/>
              <w:rPr>
                <w:sz w:val="20"/>
                <w:szCs w:val="20"/>
                <w:color w:val="auto"/>
              </w:rPr>
            </w:pPr>
            <w:r>
              <w:rPr>
                <w:rFonts w:ascii="Arial" w:cs="Arial" w:eastAsia="Arial" w:hAnsi="Arial"/>
                <w:sz w:val="17"/>
                <w:szCs w:val="17"/>
                <w:color w:val="auto"/>
                <w:w w:val="97"/>
              </w:rPr>
              <w:t>Deferred compensation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7"/>
                <w:szCs w:val="17"/>
                <w:color w:val="auto"/>
              </w:rPr>
              <w:t>liability</w:t>
            </w: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57"/>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 debt, net</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1,938</w:t>
            </w: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7"/>
                <w:szCs w:val="17"/>
                <w:color w:val="auto"/>
              </w:rPr>
              <w:t>Debt, net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1,125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3,088</w:t>
            </w:r>
          </w:p>
        </w:tc>
        <w:tc>
          <w:tcPr>
            <w:tcW w:w="0" w:type="dxa"/>
            <w:vAlign w:val="bottom"/>
          </w:tcPr>
          <w:p>
            <w:pPr>
              <w:spacing w:after="0"/>
              <w:rPr>
                <w:sz w:val="1"/>
                <w:szCs w:val="1"/>
                <w:color w:val="auto"/>
              </w:rPr>
            </w:pPr>
          </w:p>
        </w:tc>
      </w:tr>
      <w:tr>
        <w:trPr>
          <w:trHeight w:val="257"/>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7"/>
                <w:szCs w:val="17"/>
                <w:color w:val="auto"/>
              </w:rPr>
              <w:t>Deferred taxes</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168"/>
        </w:trPr>
        <w:tc>
          <w:tcPr>
            <w:tcW w:w="17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MVW shareholders'</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2,496</w:t>
            </w:r>
          </w:p>
        </w:tc>
        <w:tc>
          <w:tcPr>
            <w:tcW w:w="0" w:type="dxa"/>
            <w:vAlign w:val="bottom"/>
          </w:tcPr>
          <w:p>
            <w:pPr>
              <w:spacing w:after="0"/>
              <w:rPr>
                <w:sz w:val="1"/>
                <w:szCs w:val="1"/>
                <w:color w:val="auto"/>
              </w:rPr>
            </w:pPr>
          </w:p>
        </w:tc>
      </w:tr>
      <w:tr>
        <w:trPr>
          <w:trHeight w:val="256"/>
        </w:trPr>
        <w:tc>
          <w:tcPr>
            <w:tcW w:w="1760" w:type="dxa"/>
            <w:vAlign w:val="bottom"/>
          </w:tcPr>
          <w:p>
            <w:pPr>
              <w:ind w:left="20"/>
              <w:spacing w:after="0"/>
              <w:rPr>
                <w:sz w:val="20"/>
                <w:szCs w:val="20"/>
                <w:color w:val="auto"/>
              </w:rPr>
            </w:pPr>
            <w:r>
              <w:rPr>
                <w:rFonts w:ascii="Arial" w:cs="Arial" w:eastAsia="Arial" w:hAnsi="Arial"/>
                <w:sz w:val="17"/>
                <w:szCs w:val="17"/>
                <w:color w:val="auto"/>
                <w:w w:val="96"/>
              </w:rPr>
              <w:t>Noncontrolling interests</w:t>
            </w:r>
          </w:p>
        </w:tc>
        <w:tc>
          <w:tcPr>
            <w:tcW w:w="1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48"/>
        </w:trPr>
        <w:tc>
          <w:tcPr>
            <w:tcW w:w="17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7"/>
                <w:szCs w:val="17"/>
                <w:color w:val="auto"/>
              </w:rPr>
              <w:t>Total liabilities and</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3,683</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5,007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5,804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2,738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(7,593)</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9,639</w:t>
            </w:r>
          </w:p>
        </w:tc>
        <w:tc>
          <w:tcPr>
            <w:tcW w:w="0" w:type="dxa"/>
            <w:vAlign w:val="bottom"/>
          </w:tcPr>
          <w:p>
            <w:pPr>
              <w:spacing w:after="0"/>
              <w:rPr>
                <w:sz w:val="1"/>
                <w:szCs w:val="1"/>
                <w:color w:val="auto"/>
              </w:rPr>
            </w:pPr>
          </w:p>
        </w:tc>
      </w:tr>
      <w:tr>
        <w:trPr>
          <w:trHeight w:val="225"/>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9" w:lineRule="exact"/>
        <w:rPr>
          <w:sz w:val="20"/>
          <w:szCs w:val="20"/>
          <w:color w:val="auto"/>
        </w:rPr>
      </w:pPr>
    </w:p>
    <w:p>
      <w:pPr>
        <w:ind w:right="400"/>
        <w:spacing w:after="0" w:line="277" w:lineRule="auto"/>
        <w:rPr>
          <w:sz w:val="20"/>
          <w:szCs w:val="20"/>
          <w:color w:val="auto"/>
        </w:rPr>
      </w:pPr>
      <w:r>
        <w:rPr>
          <w:rFonts w:ascii="Arial" w:cs="Arial" w:eastAsia="Arial" w:hAnsi="Arial"/>
          <w:sz w:val="17"/>
          <w:szCs w:val="17"/>
          <w:color w:val="auto"/>
        </w:rPr>
        <w:t>See Footnote 2 “Significant Accounting Policies and Recent Accounting Standards” to our Financial Statements for a discussion of recently issued accounting pronouncements, including information on new accounting standards and the future adoption of such standards.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244"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Our exposure to market risk has not changed materially from that disclosed in Part I, Item 7A of the 2022 Annual Report, other than as set forth below.</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manage the interest rate risk on our corporate debt through the use of a combination of fixed-rate debt and interest rate swaps (certain of which expired in September 2023 and the remaining swaps will expire in April 2024) that fix a portion of our variable-rate debt. At September 30, 2023, after considering the impact of interest rate swap agreements and excluding finance leases, the interest rate applicable to approximately 80% of our total corporate debt was effectively fixed and the interest rate applicable to the remaining 20% (approximately $574 million) is variable. Assuming no outstanding balance on our Revolving Corporate Credit Facility, a 100 basis point increase in the underlying benchmark rate on our variable-rate debt would result in an increase of approximately $5 million in annual cash interest due to the impact of our hedging arrangements discussed in Footnote 12 “Debt” to our Financial Statements. Assuming we had no outstanding hedging arrangements and no outstanding balance on our Revolving Corporate Credit Facility, a 100 basis point increase in the underlying benchmark rate would result in an annual increase in cash interest of approximately $8 million.</w:t>
      </w:r>
    </w:p>
    <w:p>
      <w:pPr>
        <w:spacing w:after="0" w:line="71"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The following table presents the scheduled maturities and the total fair value as of September 30, 2023 for our financial instruments that are impacted by market risks: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5"/>
          </w:tcPr>
          <w:p>
            <w:pPr>
              <w:ind w:left="40"/>
              <w:spacing w:after="0"/>
              <w:rPr>
                <w:sz w:val="20"/>
                <w:szCs w:val="20"/>
                <w:color w:val="auto"/>
              </w:rPr>
            </w:pPr>
            <w:r>
              <w:rPr>
                <w:rFonts w:ascii="Arial" w:cs="Arial" w:eastAsia="Arial" w:hAnsi="Arial"/>
                <w:sz w:val="14"/>
                <w:szCs w:val="14"/>
                <w:b w:val="1"/>
                <w:bCs w:val="1"/>
                <w:color w:val="auto"/>
                <w:w w:val="94"/>
              </w:rPr>
              <w:t>Maturities by Period</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360" w:type="dxa"/>
            <w:vAlign w:val="bottom"/>
          </w:tcPr>
          <w:p>
            <w:pPr>
              <w:spacing w:after="0"/>
              <w:rPr>
                <w:sz w:val="2"/>
                <w:szCs w:val="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6"/>
              </w:rPr>
              <w:t>Average</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3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Remainder</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0"/>
                <w:szCs w:val="10"/>
                <w:color w:val="auto"/>
              </w:rPr>
            </w:pPr>
          </w:p>
        </w:tc>
        <w:tc>
          <w:tcPr>
            <w:tcW w:w="580" w:type="dxa"/>
            <w:vAlign w:val="bottom"/>
          </w:tcPr>
          <w:p>
            <w:pPr>
              <w:jc w:val="center"/>
              <w:ind w:right="78"/>
              <w:spacing w:after="0" w:line="12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1"/>
        </w:trPr>
        <w:tc>
          <w:tcPr>
            <w:tcW w:w="13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68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6"/>
              </w:rPr>
              <w:t>Interest</w:t>
            </w: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89"/>
              </w:rPr>
              <w:t>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9"/>
              </w:rPr>
              <w:t>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89"/>
              </w:rPr>
              <w:t>2027</w:t>
            </w:r>
          </w:p>
        </w:tc>
        <w:tc>
          <w:tcPr>
            <w:tcW w:w="10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Thereafter</w:t>
            </w:r>
          </w:p>
        </w:tc>
        <w:tc>
          <w:tcPr>
            <w:tcW w:w="120" w:type="dxa"/>
            <w:vAlign w:val="bottom"/>
            <w:vMerge w:val="restart"/>
          </w:tcPr>
          <w:p>
            <w:pPr>
              <w:spacing w:after="0"/>
              <w:rPr>
                <w:sz w:val="12"/>
                <w:szCs w:val="12"/>
                <w:color w:val="auto"/>
              </w:rPr>
            </w:pPr>
          </w:p>
        </w:tc>
        <w:tc>
          <w:tcPr>
            <w:tcW w:w="82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580" w:type="dxa"/>
            <w:vAlign w:val="bottom"/>
          </w:tcPr>
          <w:p>
            <w:pPr>
              <w:jc w:val="center"/>
              <w:ind w:right="78"/>
              <w:spacing w:after="0" w:line="141"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4"/>
        </w:trPr>
        <w:tc>
          <w:tcPr>
            <w:tcW w:w="136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of 2023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0"/>
        </w:trPr>
        <w:tc>
          <w:tcPr>
            <w:tcW w:w="6760" w:type="dxa"/>
            <w:vAlign w:val="bottom"/>
            <w:gridSpan w:val="21"/>
            <w:shd w:val="clear" w:color="auto" w:fill="CCEEFF"/>
          </w:tcPr>
          <w:p>
            <w:pPr>
              <w:ind w:left="220"/>
              <w:spacing w:after="0"/>
              <w:rPr>
                <w:sz w:val="20"/>
                <w:szCs w:val="20"/>
                <w:color w:val="auto"/>
              </w:rPr>
            </w:pPr>
            <w:r>
              <w:rPr>
                <w:rFonts w:ascii="Arial" w:cs="Arial" w:eastAsia="Arial" w:hAnsi="Arial"/>
                <w:sz w:val="17"/>
                <w:szCs w:val="17"/>
                <w:b w:val="1"/>
                <w:bCs w:val="1"/>
                <w:color w:val="auto"/>
                <w:w w:val="93"/>
              </w:rPr>
              <w:t>Assets – Maturities represent expected principal receipts; fair values represent assets</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Vacation</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360" w:type="dxa"/>
            <w:vAlign w:val="bottom"/>
          </w:tcPr>
          <w:p>
            <w:pPr>
              <w:ind w:left="20"/>
              <w:spacing w:after="0" w:line="167" w:lineRule="exact"/>
              <w:rPr>
                <w:sz w:val="20"/>
                <w:szCs w:val="20"/>
                <w:color w:val="auto"/>
              </w:rPr>
            </w:pPr>
            <w:r>
              <w:rPr>
                <w:rFonts w:ascii="Arial" w:cs="Arial" w:eastAsia="Arial" w:hAnsi="Arial"/>
                <w:sz w:val="17"/>
                <w:szCs w:val="17"/>
                <w:color w:val="auto"/>
              </w:rPr>
              <w:t>ownership notes</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w w:val="91"/>
              </w:rPr>
              <w:t>12.2%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4"/>
                <w:szCs w:val="14"/>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color w:val="auto"/>
              </w:rPr>
              <w:t>$</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236</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406</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167"/>
        </w:trPr>
        <w:tc>
          <w:tcPr>
            <w:tcW w:w="1360" w:type="dxa"/>
            <w:vAlign w:val="bottom"/>
          </w:tcPr>
          <w:p>
            <w:pPr>
              <w:ind w:left="20"/>
              <w:spacing w:after="0" w:line="167" w:lineRule="exact"/>
              <w:rPr>
                <w:sz w:val="20"/>
                <w:szCs w:val="20"/>
                <w:color w:val="auto"/>
              </w:rPr>
            </w:pPr>
            <w:r>
              <w:rPr>
                <w:rFonts w:ascii="Arial" w:cs="Arial" w:eastAsia="Arial" w:hAnsi="Arial"/>
                <w:sz w:val="17"/>
                <w:szCs w:val="17"/>
                <w:color w:val="auto"/>
                <w:w w:val="95"/>
              </w:rPr>
              <w:t>receivable — non-</w:t>
            </w: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360" w:type="dxa"/>
            <w:vAlign w:val="bottom"/>
          </w:tcPr>
          <w:p>
            <w:pPr>
              <w:ind w:left="20"/>
              <w:spacing w:after="0"/>
              <w:rPr>
                <w:sz w:val="20"/>
                <w:szCs w:val="20"/>
                <w:color w:val="auto"/>
              </w:rPr>
            </w:pPr>
            <w:r>
              <w:rPr>
                <w:rFonts w:ascii="Arial" w:cs="Arial" w:eastAsia="Arial" w:hAnsi="Arial"/>
                <w:sz w:val="17"/>
                <w:szCs w:val="17"/>
                <w:color w:val="auto"/>
              </w:rPr>
              <w:t>securitized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36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Vacation</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3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ownership notes</w:t>
            </w: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1"/>
              </w:rPr>
              <w:t>13.3%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1,885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1,947</w:t>
            </w:r>
          </w:p>
        </w:tc>
        <w:tc>
          <w:tcPr>
            <w:tcW w:w="0" w:type="dxa"/>
            <w:vAlign w:val="bottom"/>
          </w:tcPr>
          <w:p>
            <w:pPr>
              <w:spacing w:after="0"/>
              <w:rPr>
                <w:sz w:val="1"/>
                <w:szCs w:val="1"/>
                <w:color w:val="auto"/>
              </w:rPr>
            </w:pPr>
          </w:p>
        </w:tc>
      </w:tr>
      <w:tr>
        <w:trPr>
          <w:trHeight w:val="127"/>
        </w:trPr>
        <w:tc>
          <w:tcPr>
            <w:tcW w:w="1360" w:type="dxa"/>
            <w:vAlign w:val="bottom"/>
            <w:vMerge w:val="restart"/>
            <w:shd w:val="clear" w:color="auto" w:fill="CCEEFF"/>
          </w:tcPr>
          <w:p>
            <w:pPr>
              <w:ind w:left="20"/>
              <w:spacing w:after="0" w:line="167" w:lineRule="exact"/>
              <w:rPr>
                <w:sz w:val="20"/>
                <w:szCs w:val="20"/>
                <w:color w:val="auto"/>
              </w:rPr>
            </w:pPr>
            <w:r>
              <w:rPr>
                <w:rFonts w:ascii="Arial" w:cs="Arial" w:eastAsia="Arial" w:hAnsi="Arial"/>
                <w:sz w:val="17"/>
                <w:szCs w:val="17"/>
                <w:color w:val="auto"/>
              </w:rPr>
              <w:t>receivable —</w:t>
            </w: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360" w:type="dxa"/>
            <w:vAlign w:val="bottom"/>
            <w:vMerge w:val="continue"/>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Contracts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360" w:type="dxa"/>
            <w:vAlign w:val="bottom"/>
          </w:tcPr>
          <w:p>
            <w:pPr>
              <w:ind w:left="20"/>
              <w:spacing w:after="0" w:line="167" w:lineRule="exact"/>
              <w:rPr>
                <w:sz w:val="20"/>
                <w:szCs w:val="20"/>
                <w:color w:val="auto"/>
              </w:rPr>
            </w:pPr>
            <w:r>
              <w:rPr>
                <w:rFonts w:ascii="Arial" w:cs="Arial" w:eastAsia="Arial" w:hAnsi="Arial"/>
                <w:sz w:val="17"/>
                <w:szCs w:val="17"/>
                <w:color w:val="auto"/>
              </w:rPr>
              <w:t>receivable for</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w w:val="91"/>
              </w:rPr>
              <w:t>13.3%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4"/>
                <w:szCs w:val="14"/>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color w:val="auto"/>
              </w:rPr>
              <w:t>$</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27"/>
        </w:trPr>
        <w:tc>
          <w:tcPr>
            <w:tcW w:w="1360" w:type="dxa"/>
            <w:vAlign w:val="bottom"/>
            <w:vMerge w:val="restart"/>
          </w:tcPr>
          <w:p>
            <w:pPr>
              <w:ind w:left="20"/>
              <w:spacing w:after="0" w:line="167" w:lineRule="exact"/>
              <w:rPr>
                <w:sz w:val="20"/>
                <w:szCs w:val="20"/>
                <w:color w:val="auto"/>
              </w:rPr>
            </w:pPr>
            <w:r>
              <w:rPr>
                <w:rFonts w:ascii="Arial" w:cs="Arial" w:eastAsia="Arial" w:hAnsi="Arial"/>
                <w:sz w:val="17"/>
                <w:szCs w:val="17"/>
                <w:color w:val="auto"/>
              </w:rPr>
              <w:t>financed VOI</w:t>
            </w: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3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360" w:type="dxa"/>
            <w:vAlign w:val="bottom"/>
          </w:tcPr>
          <w:p>
            <w:pPr>
              <w:ind w:left="20"/>
              <w:spacing w:after="0"/>
              <w:rPr>
                <w:sz w:val="20"/>
                <w:szCs w:val="20"/>
                <w:color w:val="auto"/>
              </w:rPr>
            </w:pPr>
            <w:r>
              <w:rPr>
                <w:rFonts w:ascii="Arial" w:cs="Arial" w:eastAsia="Arial" w:hAnsi="Arial"/>
                <w:sz w:val="17"/>
                <w:szCs w:val="17"/>
                <w:color w:val="auto"/>
              </w:rPr>
              <w:t>sales,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580" w:type="dxa"/>
            <w:vAlign w:val="bottom"/>
            <w:gridSpan w:val="24"/>
            <w:shd w:val="clear" w:color="auto" w:fill="CCEEFF"/>
          </w:tcPr>
          <w:p>
            <w:pPr>
              <w:ind w:left="220"/>
              <w:spacing w:after="0"/>
              <w:rPr>
                <w:sz w:val="20"/>
                <w:szCs w:val="20"/>
                <w:color w:val="auto"/>
              </w:rPr>
            </w:pPr>
            <w:r>
              <w:rPr>
                <w:rFonts w:ascii="Arial" w:cs="Arial" w:eastAsia="Arial" w:hAnsi="Arial"/>
                <w:sz w:val="17"/>
                <w:szCs w:val="17"/>
                <w:b w:val="1"/>
                <w:bCs w:val="1"/>
                <w:color w:val="auto"/>
                <w:w w:val="97"/>
              </w:rPr>
              <w:t>Liabilities – Maturities represent expected principal payments; fair values represent liabilities</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20"/>
              <w:spacing w:after="0"/>
              <w:rPr>
                <w:sz w:val="20"/>
                <w:szCs w:val="20"/>
                <w:color w:val="auto"/>
              </w:rPr>
            </w:pPr>
            <w:r>
              <w:rPr>
                <w:rFonts w:ascii="Arial" w:cs="Arial" w:eastAsia="Arial" w:hAnsi="Arial"/>
                <w:sz w:val="17"/>
                <w:szCs w:val="17"/>
                <w:color w:val="auto"/>
              </w:rPr>
              <w:t>Securitized debt</w:t>
            </w:r>
          </w:p>
        </w:tc>
        <w:tc>
          <w:tcPr>
            <w:tcW w:w="560" w:type="dxa"/>
            <w:vAlign w:val="bottom"/>
          </w:tcPr>
          <w:p>
            <w:pPr>
              <w:jc w:val="center"/>
              <w:spacing w:after="0"/>
              <w:rPr>
                <w:sz w:val="20"/>
                <w:szCs w:val="20"/>
                <w:color w:val="auto"/>
              </w:rPr>
            </w:pPr>
            <w:r>
              <w:rPr>
                <w:rFonts w:ascii="Arial" w:cs="Arial" w:eastAsia="Arial" w:hAnsi="Arial"/>
                <w:sz w:val="17"/>
                <w:szCs w:val="17"/>
                <w:color w:val="auto"/>
                <w:w w:val="92"/>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(2,048)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(1,937)</w:t>
            </w:r>
          </w:p>
        </w:tc>
        <w:tc>
          <w:tcPr>
            <w:tcW w:w="0" w:type="dxa"/>
            <w:vAlign w:val="bottom"/>
          </w:tcPr>
          <w:p>
            <w:pPr>
              <w:spacing w:after="0"/>
              <w:rPr>
                <w:sz w:val="1"/>
                <w:szCs w:val="1"/>
                <w:color w:val="auto"/>
              </w:rPr>
            </w:pPr>
          </w:p>
        </w:tc>
      </w:tr>
      <w:tr>
        <w:trPr>
          <w:trHeight w:val="245"/>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0" w:type="dxa"/>
            <w:vAlign w:val="bottom"/>
          </w:tcPr>
          <w:p>
            <w:pPr>
              <w:spacing w:after="0"/>
              <w:rPr>
                <w:sz w:val="1"/>
                <w:szCs w:val="1"/>
                <w:color w:val="auto"/>
              </w:rPr>
            </w:pPr>
          </w:p>
        </w:tc>
      </w:tr>
      <w:tr>
        <w:trPr>
          <w:trHeight w:val="180"/>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Revolving</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w w:val="92"/>
              </w:rPr>
              <w:t>7.2%</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5"/>
                <w:szCs w:val="15"/>
                <w:color w:val="auto"/>
              </w:rPr>
            </w:pP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color w:val="auto"/>
              </w:rPr>
              <w:t>$</w:t>
            </w: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167"/>
        </w:trPr>
        <w:tc>
          <w:tcPr>
            <w:tcW w:w="1360" w:type="dxa"/>
            <w:vAlign w:val="bottom"/>
          </w:tcPr>
          <w:p>
            <w:pPr>
              <w:ind w:left="20"/>
              <w:spacing w:after="0" w:line="167" w:lineRule="exact"/>
              <w:rPr>
                <w:sz w:val="20"/>
                <w:szCs w:val="20"/>
                <w:color w:val="auto"/>
              </w:rPr>
            </w:pPr>
            <w:r>
              <w:rPr>
                <w:rFonts w:ascii="Arial" w:cs="Arial" w:eastAsia="Arial" w:hAnsi="Arial"/>
                <w:sz w:val="17"/>
                <w:szCs w:val="17"/>
                <w:color w:val="auto"/>
              </w:rPr>
              <w:t>Corporate Credit</w:t>
            </w: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360" w:type="dxa"/>
            <w:vAlign w:val="bottom"/>
          </w:tcPr>
          <w:p>
            <w:pPr>
              <w:ind w:left="20"/>
              <w:spacing w:after="0"/>
              <w:rPr>
                <w:sz w:val="20"/>
                <w:szCs w:val="20"/>
                <w:color w:val="auto"/>
              </w:rPr>
            </w:pPr>
            <w:r>
              <w:rPr>
                <w:rFonts w:ascii="Arial" w:cs="Arial" w:eastAsia="Arial" w:hAnsi="Arial"/>
                <w:sz w:val="17"/>
                <w:szCs w:val="17"/>
                <w:color w:val="auto"/>
              </w:rPr>
              <w:t>Facility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w:t>
            </w: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120"/>
              <w:spacing w:after="0"/>
              <w:rPr>
                <w:sz w:val="20"/>
                <w:szCs w:val="20"/>
                <w:color w:val="auto"/>
              </w:rPr>
            </w:pPr>
            <w:r>
              <w:rPr>
                <w:rFonts w:ascii="Arial" w:cs="Arial" w:eastAsia="Arial" w:hAnsi="Arial"/>
                <w:sz w:val="17"/>
                <w:szCs w:val="17"/>
                <w:color w:val="auto"/>
              </w:rPr>
              <w:t>2028 Notes</w:t>
            </w:r>
          </w:p>
        </w:tc>
        <w:tc>
          <w:tcPr>
            <w:tcW w:w="560" w:type="dxa"/>
            <w:vAlign w:val="bottom"/>
          </w:tcPr>
          <w:p>
            <w:pPr>
              <w:jc w:val="center"/>
              <w:spacing w:after="0"/>
              <w:rPr>
                <w:sz w:val="20"/>
                <w:szCs w:val="20"/>
                <w:color w:val="auto"/>
              </w:rPr>
            </w:pPr>
            <w:r>
              <w:rPr>
                <w:rFonts w:ascii="Arial" w:cs="Arial" w:eastAsia="Arial" w:hAnsi="Arial"/>
                <w:sz w:val="17"/>
                <w:szCs w:val="17"/>
                <w:color w:val="auto"/>
                <w:w w:val="92"/>
              </w:rPr>
              <w:t>4.8%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(350)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45"/>
        </w:trPr>
        <w:tc>
          <w:tcPr>
            <w:tcW w:w="1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2029 Notes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180"/>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2026 Convertible</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360" w:type="dxa"/>
            <w:vAlign w:val="bottom"/>
          </w:tcPr>
          <w:p>
            <w:pPr>
              <w:ind w:left="20"/>
              <w:spacing w:after="0"/>
              <w:rPr>
                <w:sz w:val="20"/>
                <w:szCs w:val="20"/>
                <w:color w:val="auto"/>
              </w:rPr>
            </w:pPr>
            <w:r>
              <w:rPr>
                <w:rFonts w:ascii="Arial" w:cs="Arial" w:eastAsia="Arial" w:hAnsi="Arial"/>
                <w:sz w:val="17"/>
                <w:szCs w:val="17"/>
                <w:color w:val="auto"/>
              </w:rPr>
              <w:t>Notes</w:t>
            </w:r>
          </w:p>
        </w:tc>
        <w:tc>
          <w:tcPr>
            <w:tcW w:w="68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(508)</w:t>
            </w:r>
          </w:p>
        </w:tc>
        <w:tc>
          <w:tcPr>
            <w:tcW w:w="0" w:type="dxa"/>
            <w:vAlign w:val="bottom"/>
          </w:tcPr>
          <w:p>
            <w:pPr>
              <w:spacing w:after="0"/>
              <w:rPr>
                <w:sz w:val="1"/>
                <w:szCs w:val="1"/>
                <w:color w:val="auto"/>
              </w:rPr>
            </w:pPr>
          </w:p>
        </w:tc>
      </w:tr>
      <w:tr>
        <w:trPr>
          <w:trHeight w:val="181"/>
        </w:trPr>
        <w:tc>
          <w:tcPr>
            <w:tcW w:w="136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2027 Convertible</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180"/>
        </w:trPr>
        <w:tc>
          <w:tcPr>
            <w:tcW w:w="1360" w:type="dxa"/>
            <w:vAlign w:val="bottom"/>
          </w:tcPr>
          <w:p>
            <w:pPr>
              <w:ind w:left="20"/>
              <w:spacing w:after="0" w:line="180" w:lineRule="exact"/>
              <w:rPr>
                <w:sz w:val="20"/>
                <w:szCs w:val="20"/>
                <w:color w:val="auto"/>
              </w:rPr>
            </w:pPr>
            <w:r>
              <w:rPr>
                <w:rFonts w:ascii="Arial" w:cs="Arial" w:eastAsia="Arial" w:hAnsi="Arial"/>
                <w:sz w:val="17"/>
                <w:szCs w:val="17"/>
                <w:color w:val="auto"/>
              </w:rPr>
              <w:t>Non-interest</w:t>
            </w: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99"/>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vMerge w:val="restart"/>
          </w:tcPr>
          <w:p>
            <w:pPr>
              <w:jc w:val="right"/>
              <w:ind w:right="16"/>
              <w:spacing w:after="0"/>
              <w:rPr>
                <w:sz w:val="20"/>
                <w:szCs w:val="20"/>
                <w:color w:val="auto"/>
              </w:rPr>
            </w:pPr>
            <w:r>
              <w:rPr>
                <w:rFonts w:ascii="Arial" w:cs="Arial" w:eastAsia="Arial" w:hAnsi="Arial"/>
                <w:sz w:val="17"/>
                <w:szCs w:val="17"/>
                <w:color w:val="auto"/>
              </w:rPr>
              <w:t>$</w:t>
            </w: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67"/>
        </w:trPr>
        <w:tc>
          <w:tcPr>
            <w:tcW w:w="1360" w:type="dxa"/>
            <w:vAlign w:val="bottom"/>
          </w:tcPr>
          <w:p>
            <w:pPr>
              <w:ind w:left="20"/>
              <w:spacing w:after="0" w:line="167" w:lineRule="exact"/>
              <w:rPr>
                <w:sz w:val="20"/>
                <w:szCs w:val="20"/>
                <w:color w:val="auto"/>
              </w:rPr>
            </w:pPr>
            <w:r>
              <w:rPr>
                <w:rFonts w:ascii="Arial" w:cs="Arial" w:eastAsia="Arial" w:hAnsi="Arial"/>
                <w:sz w:val="17"/>
                <w:szCs w:val="17"/>
                <w:color w:val="auto"/>
              </w:rPr>
              <w:t>bearing note</w:t>
            </w:r>
          </w:p>
        </w:tc>
        <w:tc>
          <w:tcPr>
            <w:tcW w:w="6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Arial" w:cs="Arial" w:eastAsia="Arial" w:hAnsi="Arial"/>
                <w:sz w:val="17"/>
                <w:szCs w:val="17"/>
                <w:color w:val="auto"/>
              </w:rPr>
              <w:t>payable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Controls and Procedures</w:t>
      </w:r>
    </w:p>
    <w:p>
      <w:pPr>
        <w:spacing w:after="0" w:line="113"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September 30, 2023, our disclosure controls and procedures were effective and operating to provide reasonable assurance that we record, process, summarize and report the information we are required to disclose in the</w:t>
      </w:r>
    </w:p>
    <w:p>
      <w:pPr>
        <w:sectPr>
          <w:pgSz w:w="11900" w:h="16838" w:orient="portrait"/>
          <w:cols w:equalWidth="0" w:num="1">
            <w:col w:w="11220"/>
          </w:cols>
          <w:pgMar w:left="320" w:top="230" w:right="359" w:bottom="1440" w:gutter="0" w:footer="0" w:header="0"/>
        </w:sectPr>
      </w:pPr>
    </w:p>
    <w:p>
      <w:pPr>
        <w:spacing w:after="0" w:line="21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285750</wp:posOffset>
            </wp:positionV>
            <wp:extent cx="7164705"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100"/>
        <w:spacing w:after="0" w:line="264" w:lineRule="auto"/>
        <w:rPr>
          <w:sz w:val="20"/>
          <w:szCs w:val="20"/>
          <w:color w:val="auto"/>
        </w:rPr>
      </w:pPr>
      <w:r>
        <w:rPr>
          <w:rFonts w:ascii="Arial" w:cs="Arial" w:eastAsia="Arial" w:hAnsi="Arial"/>
          <w:sz w:val="17"/>
          <w:szCs w:val="17"/>
          <w:color w:val="auto"/>
        </w:rPr>
        <w:t>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1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We made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164"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Currently, and from time to time, we are subject to claims in legal proceedings arising in the normal course of business, including, among others, the legal actions discussed under “Loss Contingencies” in Footnote 10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19"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There have been no material changes to the risk factors set forth in Item 1A to Part 1 of our 2022 Annual Report, except to the extent factual information disclosed elsewhere in this Quarterly Report on Form 10-Q relates to such risk factors, which is incorporated herein by reference.</w:t>
      </w:r>
    </w:p>
    <w:p>
      <w:pPr>
        <w:spacing w:after="0" w:line="107"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Issuer Purchases of Equity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5"/>
                <w:szCs w:val="15"/>
                <w:b w:val="1"/>
                <w:bCs w:val="1"/>
                <w:color w:val="auto"/>
                <w:w w:val="95"/>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8"/>
              <w:spacing w:after="0"/>
              <w:rPr>
                <w:sz w:val="20"/>
                <w:szCs w:val="20"/>
                <w:color w:val="auto"/>
              </w:rPr>
            </w:pPr>
            <w:r>
              <w:rPr>
                <w:rFonts w:ascii="Arial" w:cs="Arial" w:eastAsia="Arial" w:hAnsi="Arial"/>
                <w:sz w:val="15"/>
                <w:szCs w:val="15"/>
                <w:b w:val="1"/>
                <w:bCs w:val="1"/>
                <w:color w:val="auto"/>
                <w:w w:val="98"/>
              </w:rPr>
              <w:t>Maximum Dollar</w:t>
            </w:r>
          </w:p>
        </w:tc>
        <w:tc>
          <w:tcPr>
            <w:tcW w:w="0" w:type="dxa"/>
            <w:vAlign w:val="bottom"/>
          </w:tcPr>
          <w:p>
            <w:pPr>
              <w:spacing w:after="0"/>
              <w:rPr>
                <w:sz w:val="1"/>
                <w:szCs w:val="1"/>
                <w:color w:val="auto"/>
              </w:rPr>
            </w:pPr>
          </w:p>
        </w:tc>
      </w:tr>
      <w:tr>
        <w:trPr>
          <w:trHeight w:val="154"/>
        </w:trPr>
        <w:tc>
          <w:tcPr>
            <w:tcW w:w="282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Total Number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1"/>
              </w:rPr>
              <w:t>Average</w:t>
            </w:r>
          </w:p>
        </w:tc>
        <w:tc>
          <w:tcPr>
            <w:tcW w:w="146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88"/>
              </w:rPr>
              <w:t>Shares Purchased as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58"/>
              <w:spacing w:after="0" w:line="154" w:lineRule="exact"/>
              <w:rPr>
                <w:sz w:val="20"/>
                <w:szCs w:val="20"/>
                <w:color w:val="auto"/>
              </w:rPr>
            </w:pPr>
            <w:r>
              <w:rPr>
                <w:rFonts w:ascii="Arial" w:cs="Arial" w:eastAsia="Arial" w:hAnsi="Arial"/>
                <w:sz w:val="15"/>
                <w:szCs w:val="15"/>
                <w:b w:val="1"/>
                <w:bCs w:val="1"/>
                <w:color w:val="auto"/>
                <w:w w:val="91"/>
              </w:rPr>
              <w:t>Amount of Shares</w:t>
            </w:r>
          </w:p>
        </w:tc>
        <w:tc>
          <w:tcPr>
            <w:tcW w:w="0" w:type="dxa"/>
            <w:vAlign w:val="bottom"/>
          </w:tcPr>
          <w:p>
            <w:pPr>
              <w:spacing w:after="0"/>
              <w:rPr>
                <w:sz w:val="1"/>
                <w:szCs w:val="1"/>
                <w:color w:val="auto"/>
              </w:rPr>
            </w:pPr>
          </w:p>
        </w:tc>
      </w:tr>
      <w:tr>
        <w:trPr>
          <w:trHeight w:val="154"/>
        </w:trPr>
        <w:tc>
          <w:tcPr>
            <w:tcW w:w="28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6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5"/>
              </w:rPr>
              <w:t>Part of Publicly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58"/>
              <w:spacing w:after="0" w:line="154" w:lineRule="exact"/>
              <w:rPr>
                <w:sz w:val="20"/>
                <w:szCs w:val="20"/>
                <w:color w:val="auto"/>
              </w:rPr>
            </w:pPr>
            <w:r>
              <w:rPr>
                <w:rFonts w:ascii="Arial" w:cs="Arial" w:eastAsia="Arial" w:hAnsi="Arial"/>
                <w:sz w:val="15"/>
                <w:szCs w:val="15"/>
                <w:b w:val="1"/>
                <w:bCs w:val="1"/>
                <w:color w:val="auto"/>
                <w:w w:val="94"/>
              </w:rPr>
              <w:t>That May Yet Be</w:t>
            </w:r>
          </w:p>
        </w:tc>
        <w:tc>
          <w:tcPr>
            <w:tcW w:w="0" w:type="dxa"/>
            <w:vAlign w:val="bottom"/>
          </w:tcPr>
          <w:p>
            <w:pPr>
              <w:spacing w:after="0"/>
              <w:rPr>
                <w:sz w:val="1"/>
                <w:szCs w:val="1"/>
                <w:color w:val="auto"/>
              </w:rPr>
            </w:pPr>
          </w:p>
        </w:tc>
      </w:tr>
      <w:tr>
        <w:trPr>
          <w:trHeight w:val="154"/>
        </w:trPr>
        <w:tc>
          <w:tcPr>
            <w:tcW w:w="2820" w:type="dxa"/>
            <w:vAlign w:val="bottom"/>
          </w:tcPr>
          <w:p>
            <w:pPr>
              <w:spacing w:after="0"/>
              <w:rPr>
                <w:sz w:val="13"/>
                <w:szCs w:val="13"/>
                <w:color w:val="auto"/>
              </w:rPr>
            </w:pPr>
          </w:p>
        </w:tc>
        <w:tc>
          <w:tcPr>
            <w:tcW w:w="104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0"/>
              </w:rPr>
              <w:t>of Shares</w:t>
            </w:r>
          </w:p>
        </w:tc>
        <w:tc>
          <w:tcPr>
            <w:tcW w:w="120" w:type="dxa"/>
            <w:vAlign w:val="bottom"/>
          </w:tcPr>
          <w:p>
            <w:pPr>
              <w:spacing w:after="0"/>
              <w:rPr>
                <w:sz w:val="13"/>
                <w:szCs w:val="13"/>
                <w:color w:val="auto"/>
              </w:rPr>
            </w:pPr>
          </w:p>
        </w:tc>
        <w:tc>
          <w:tcPr>
            <w:tcW w:w="1220" w:type="dxa"/>
            <w:vAlign w:val="bottom"/>
            <w:gridSpan w:val="3"/>
          </w:tcPr>
          <w:p>
            <w:pPr>
              <w:jc w:val="center"/>
              <w:ind w:right="120"/>
              <w:spacing w:after="0" w:line="154" w:lineRule="exact"/>
              <w:rPr>
                <w:sz w:val="20"/>
                <w:szCs w:val="20"/>
                <w:color w:val="auto"/>
              </w:rPr>
            </w:pPr>
            <w:r>
              <w:rPr>
                <w:rFonts w:ascii="Arial" w:cs="Arial" w:eastAsia="Arial" w:hAnsi="Arial"/>
                <w:sz w:val="15"/>
                <w:szCs w:val="15"/>
                <w:b w:val="1"/>
                <w:bCs w:val="1"/>
                <w:color w:val="auto"/>
                <w:w w:val="93"/>
              </w:rPr>
              <w:t>Price Paid per</w:t>
            </w:r>
          </w:p>
        </w:tc>
        <w:tc>
          <w:tcPr>
            <w:tcW w:w="1460" w:type="dxa"/>
            <w:vAlign w:val="bottom"/>
          </w:tcPr>
          <w:p>
            <w:pPr>
              <w:jc w:val="center"/>
              <w:spacing w:after="0" w:line="154" w:lineRule="exact"/>
              <w:rPr>
                <w:sz w:val="20"/>
                <w:szCs w:val="20"/>
                <w:color w:val="auto"/>
              </w:rPr>
            </w:pPr>
            <w:r>
              <w:rPr>
                <w:rFonts w:ascii="Arial" w:cs="Arial" w:eastAsia="Arial" w:hAnsi="Arial"/>
                <w:sz w:val="15"/>
                <w:szCs w:val="15"/>
                <w:b w:val="1"/>
                <w:bCs w:val="1"/>
                <w:color w:val="auto"/>
                <w:w w:val="91"/>
              </w:rPr>
              <w:t>Announced Plans or</w:t>
            </w:r>
          </w:p>
        </w:tc>
        <w:tc>
          <w:tcPr>
            <w:tcW w:w="120" w:type="dxa"/>
            <w:vAlign w:val="bottom"/>
          </w:tcPr>
          <w:p>
            <w:pPr>
              <w:spacing w:after="0"/>
              <w:rPr>
                <w:sz w:val="13"/>
                <w:szCs w:val="13"/>
                <w:color w:val="auto"/>
              </w:rPr>
            </w:pPr>
          </w:p>
        </w:tc>
        <w:tc>
          <w:tcPr>
            <w:tcW w:w="1540" w:type="dxa"/>
            <w:vAlign w:val="bottom"/>
            <w:gridSpan w:val="2"/>
          </w:tcPr>
          <w:p>
            <w:pPr>
              <w:jc w:val="center"/>
              <w:spacing w:after="0" w:line="154" w:lineRule="exact"/>
              <w:rPr>
                <w:sz w:val="20"/>
                <w:szCs w:val="20"/>
                <w:color w:val="auto"/>
              </w:rPr>
            </w:pPr>
            <w:r>
              <w:rPr>
                <w:rFonts w:ascii="Arial" w:cs="Arial" w:eastAsia="Arial" w:hAnsi="Arial"/>
                <w:sz w:val="15"/>
                <w:szCs w:val="15"/>
                <w:b w:val="1"/>
                <w:bCs w:val="1"/>
                <w:color w:val="auto"/>
                <w:w w:val="91"/>
              </w:rPr>
              <w:t>Purchased Under the</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Purchased</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17"/>
              <w:spacing w:after="0" w:line="206" w:lineRule="exact"/>
              <w:rPr>
                <w:sz w:val="20"/>
                <w:szCs w:val="20"/>
                <w:color w:val="auto"/>
              </w:rPr>
            </w:pPr>
            <w:r>
              <w:rPr>
                <w:rFonts w:ascii="Arial" w:cs="Arial" w:eastAsia="Arial" w:hAnsi="Arial"/>
                <w:sz w:val="15"/>
                <w:szCs w:val="15"/>
                <w:b w:val="1"/>
                <w:bCs w:val="1"/>
                <w:color w:val="auto"/>
                <w:w w:val="86"/>
              </w:rPr>
              <w:t>Share</w:t>
            </w:r>
            <w:r>
              <w:rPr>
                <w:rFonts w:ascii="Arial" w:cs="Arial" w:eastAsia="Arial" w:hAnsi="Arial"/>
                <w:sz w:val="20"/>
                <w:szCs w:val="20"/>
                <w:b w:val="1"/>
                <w:bCs w:val="1"/>
                <w:color w:val="auto"/>
                <w:w w:val="86"/>
                <w:vertAlign w:val="superscript"/>
              </w:rPr>
              <w:t>(2)</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5"/>
                <w:szCs w:val="15"/>
                <w:b w:val="1"/>
                <w:bCs w:val="1"/>
                <w:color w:val="auto"/>
                <w:w w:val="87"/>
              </w:rPr>
              <w:t>Programs</w:t>
            </w:r>
            <w:r>
              <w:rPr>
                <w:rFonts w:ascii="Arial" w:cs="Arial" w:eastAsia="Arial" w:hAnsi="Arial"/>
                <w:sz w:val="20"/>
                <w:szCs w:val="20"/>
                <w:b w:val="1"/>
                <w:bCs w:val="1"/>
                <w:color w:val="auto"/>
                <w:w w:val="87"/>
                <w:vertAlign w:val="superscript"/>
              </w:rPr>
              <w:t>(1)</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tcPr>
          <w:p>
            <w:pPr>
              <w:jc w:val="center"/>
              <w:spacing w:after="0" w:line="206" w:lineRule="exact"/>
              <w:rPr>
                <w:sz w:val="20"/>
                <w:szCs w:val="20"/>
                <w:color w:val="auto"/>
              </w:rPr>
            </w:pPr>
            <w:r>
              <w:rPr>
                <w:rFonts w:ascii="Arial" w:cs="Arial" w:eastAsia="Arial" w:hAnsi="Arial"/>
                <w:sz w:val="15"/>
                <w:szCs w:val="15"/>
                <w:b w:val="1"/>
                <w:bCs w:val="1"/>
                <w:color w:val="auto"/>
                <w:w w:val="87"/>
              </w:rPr>
              <w:t>Plans or Programs</w:t>
            </w:r>
            <w:r>
              <w:rPr>
                <w:rFonts w:ascii="Arial" w:cs="Arial" w:eastAsia="Arial" w:hAnsi="Arial"/>
                <w:sz w:val="20"/>
                <w:szCs w:val="20"/>
                <w:b w:val="1"/>
                <w:bCs w:val="1"/>
                <w:color w:val="auto"/>
                <w:w w:val="87"/>
                <w:vertAlign w:val="superscript"/>
              </w:rPr>
              <w:t>(1)(2)</w:t>
            </w:r>
          </w:p>
        </w:tc>
        <w:tc>
          <w:tcPr>
            <w:tcW w:w="0" w:type="dxa"/>
            <w:vAlign w:val="bottom"/>
          </w:tcPr>
          <w:p>
            <w:pPr>
              <w:spacing w:after="0"/>
              <w:rPr>
                <w:sz w:val="1"/>
                <w:szCs w:val="1"/>
                <w:color w:val="auto"/>
              </w:rPr>
            </w:pPr>
          </w:p>
        </w:tc>
      </w:tr>
      <w:tr>
        <w:trPr>
          <w:trHeight w:val="224"/>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July 1, 2023 – July 31, 2023</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560,680,772</w:t>
            </w: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Arial" w:cs="Arial" w:eastAsia="Arial" w:hAnsi="Arial"/>
                <w:sz w:val="17"/>
                <w:szCs w:val="17"/>
                <w:color w:val="auto"/>
              </w:rPr>
              <w:t>August 1, 2023 – August 31, 2023</w:t>
            </w:r>
          </w:p>
        </w:tc>
        <w:tc>
          <w:tcPr>
            <w:tcW w:w="1040" w:type="dxa"/>
            <w:vAlign w:val="bottom"/>
          </w:tcPr>
          <w:p>
            <w:pPr>
              <w:jc w:val="right"/>
              <w:spacing w:after="0"/>
              <w:rPr>
                <w:sz w:val="20"/>
                <w:szCs w:val="20"/>
                <w:color w:val="auto"/>
              </w:rPr>
            </w:pPr>
            <w:r>
              <w:rPr>
                <w:rFonts w:ascii="Arial" w:cs="Arial" w:eastAsia="Arial" w:hAnsi="Arial"/>
                <w:sz w:val="17"/>
                <w:szCs w:val="17"/>
                <w:color w:val="auto"/>
              </w:rPr>
              <w:t>440,300</w:t>
            </w:r>
          </w:p>
        </w:tc>
        <w:tc>
          <w:tcPr>
            <w:tcW w:w="32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111.70</w:t>
            </w:r>
          </w:p>
        </w:tc>
        <w:tc>
          <w:tcPr>
            <w:tcW w:w="12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7"/>
                <w:szCs w:val="17"/>
                <w:color w:val="auto"/>
              </w:rPr>
              <w:t>440,300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511,501,091</w:t>
            </w:r>
          </w:p>
        </w:tc>
        <w:tc>
          <w:tcPr>
            <w:tcW w:w="0" w:type="dxa"/>
            <w:vAlign w:val="bottom"/>
          </w:tcPr>
          <w:p>
            <w:pPr>
              <w:spacing w:after="0"/>
              <w:rPr>
                <w:sz w:val="1"/>
                <w:szCs w:val="1"/>
                <w:color w:val="auto"/>
              </w:rPr>
            </w:pPr>
          </w:p>
        </w:tc>
      </w:tr>
      <w:tr>
        <w:trPr>
          <w:trHeight w:val="181"/>
        </w:trPr>
        <w:tc>
          <w:tcPr>
            <w:tcW w:w="282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September 1, 2023 – September 30,</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353,000</w:t>
            </w:r>
          </w:p>
        </w:tc>
        <w:tc>
          <w:tcPr>
            <w:tcW w:w="3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101.27</w:t>
            </w:r>
          </w:p>
        </w:tc>
        <w:tc>
          <w:tcPr>
            <w:tcW w:w="1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353,000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475,753,637</w:t>
            </w:r>
          </w:p>
        </w:tc>
        <w:tc>
          <w:tcPr>
            <w:tcW w:w="0" w:type="dxa"/>
            <w:vAlign w:val="bottom"/>
          </w:tcPr>
          <w:p>
            <w:pPr>
              <w:spacing w:after="0"/>
              <w:rPr>
                <w:sz w:val="1"/>
                <w:szCs w:val="1"/>
                <w:color w:val="auto"/>
              </w:rPr>
            </w:pPr>
          </w:p>
        </w:tc>
      </w:tr>
      <w:tr>
        <w:trPr>
          <w:trHeight w:val="211"/>
        </w:trPr>
        <w:tc>
          <w:tcPr>
            <w:tcW w:w="2820" w:type="dxa"/>
            <w:vAlign w:val="bottom"/>
          </w:tcPr>
          <w:p>
            <w:pPr>
              <w:ind w:left="20"/>
              <w:spacing w:after="0"/>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793,300</w:t>
            </w:r>
          </w:p>
        </w:tc>
        <w:tc>
          <w:tcPr>
            <w:tcW w:w="320" w:type="dxa"/>
            <w:vAlign w:val="bottom"/>
            <w:gridSpan w:val="2"/>
          </w:tcPr>
          <w:p>
            <w:pPr>
              <w:jc w:val="right"/>
              <w:ind w:right="23"/>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107.06</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793,300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475,753,637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320" w:right="20" w:hanging="317"/>
        <w:spacing w:after="0" w:line="282" w:lineRule="auto"/>
        <w:tabs>
          <w:tab w:leader="none" w:pos="308"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On September 13, 2021, our Board of Directors authorized a share repurchase program under which we were authorized to purchase shares of our common stock for an aggregate purchase price not to exceed $250 million, prior to December 31, 2022. On February 22, 2022, we announced that our Board of Directors authorized the repurchase of up to an additional $300 million of our common stock and extended the term of our share repurchase program to March 31, 2023. On August 1, 2022, we announced that our Board of Directors authorized the repurchase of up to an additional $500 million of our common stock and extended the term of our share repurchase program to June 30, 2023. On May 11, 2023, we announced that our Board of Directors increased the remaining authorization to authorize purchases of up to $600 million of our common stock and extended the term of our share repurchase program to December 31, 2024.</w:t>
      </w:r>
    </w:p>
    <w:p>
      <w:pPr>
        <w:spacing w:after="0" w:line="13" w:lineRule="exact"/>
        <w:rPr>
          <w:rFonts w:ascii="Arial" w:cs="Arial" w:eastAsia="Arial" w:hAnsi="Arial"/>
          <w:sz w:val="19"/>
          <w:szCs w:val="19"/>
          <w:color w:val="auto"/>
          <w:vertAlign w:val="superscript"/>
        </w:rPr>
      </w:pPr>
    </w:p>
    <w:p>
      <w:pPr>
        <w:ind w:left="320" w:right="120" w:hanging="317"/>
        <w:spacing w:after="0" w:line="282" w:lineRule="auto"/>
        <w:tabs>
          <w:tab w:leader="none" w:pos="308"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The Inflation Reduction Act of 2022 imposed a nondeductible 1% excise tax on the net value of certain stock repurchases made after December 31, 2022. See Footnote 13 “Shareholders' Equity” to our Financial Statements for further information. All dollar amounts presented exclude such excise tax, as applicable.</w:t>
      </w:r>
    </w:p>
    <w:p>
      <w:pPr>
        <w:spacing w:after="0" w:line="9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(c) Trading Plans</w:t>
      </w:r>
    </w:p>
    <w:p>
      <w:pPr>
        <w:spacing w:after="0" w:line="113"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During the quarter ended September 30, 2023, no director or Section 16 officer adopted or terminated any Rule 10b5-1 trading arrangements or non-Rule 10b5-1 trading arrangements (in each case, as defined in Item 408(a) of Regulation S-K).</w:t>
      </w:r>
    </w:p>
    <w:p>
      <w:pPr>
        <w:spacing w:after="0" w:line="216"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278765</wp:posOffset>
            </wp:positionV>
            <wp:extent cx="716470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All documents referenced below are being filed as a part of this Quarterly Report on Form 10-Q, unless otherwise noted.</w:t>
      </w:r>
    </w:p>
    <w:p>
      <w:pPr>
        <w:sectPr>
          <w:pgSz w:w="11900" w:h="16838" w:orient="portrait"/>
          <w:cols w:equalWidth="0" w:num="1">
            <w:col w:w="10139"/>
          </w:cols>
          <w:pgMar w:left="320" w:top="230" w:right="1440" w:bottom="1440" w:gutter="0" w:footer="0" w:header="0"/>
        </w:sect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Number</w:t>
      </w:r>
    </w:p>
    <w:p>
      <w:pPr>
        <w:spacing w:after="0" w:line="200" w:lineRule="exact"/>
        <w:rPr>
          <w:sz w:val="20"/>
          <w:szCs w:val="20"/>
          <w:color w:val="auto"/>
        </w:rPr>
      </w:pPr>
    </w:p>
    <w:p>
      <w:pPr>
        <w:spacing w:after="0" w:line="305" w:lineRule="exact"/>
        <w:rPr>
          <w:sz w:val="20"/>
          <w:szCs w:val="20"/>
          <w:color w:val="auto"/>
        </w:rPr>
      </w:pPr>
    </w:p>
    <w:p>
      <w:pPr>
        <w:ind w:left="240"/>
        <w:spacing w:after="0"/>
        <w:rPr>
          <w:rFonts w:ascii="Arial" w:cs="Arial" w:eastAsia="Arial" w:hAnsi="Arial"/>
          <w:sz w:val="17"/>
          <w:szCs w:val="17"/>
          <w:u w:val="single" w:color="auto"/>
          <w:color w:val="0000FF"/>
        </w:rPr>
      </w:pPr>
      <w:hyperlink r:id="rId154">
        <w:r>
          <w:rPr>
            <w:rFonts w:ascii="Arial" w:cs="Arial" w:eastAsia="Arial" w:hAnsi="Arial"/>
            <w:sz w:val="17"/>
            <w:szCs w:val="17"/>
            <w:u w:val="single" w:color="auto"/>
            <w:color w:val="0000FF"/>
          </w:rPr>
          <w:t>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40"/>
        <w:spacing w:after="0"/>
        <w:rPr>
          <w:rFonts w:ascii="Arial" w:cs="Arial" w:eastAsia="Arial" w:hAnsi="Arial"/>
          <w:sz w:val="17"/>
          <w:szCs w:val="17"/>
          <w:u w:val="single" w:color="auto"/>
          <w:color w:val="0000FF"/>
        </w:rPr>
      </w:pPr>
      <w:hyperlink r:id="rId155">
        <w:r>
          <w:rPr>
            <w:rFonts w:ascii="Arial" w:cs="Arial" w:eastAsia="Arial" w:hAnsi="Arial"/>
            <w:sz w:val="17"/>
            <w:szCs w:val="17"/>
            <w:u w:val="single" w:color="auto"/>
            <w:color w:val="0000FF"/>
          </w:rPr>
          <w:t>2.2</w:t>
        </w:r>
      </w:hyperlink>
    </w:p>
    <w:p>
      <w:pPr>
        <w:spacing w:after="0" w:line="200" w:lineRule="exact"/>
        <w:rPr>
          <w:sz w:val="20"/>
          <w:szCs w:val="20"/>
          <w:color w:val="auto"/>
        </w:rPr>
      </w:pPr>
    </w:p>
    <w:p>
      <w:pPr>
        <w:spacing w:after="0" w:line="298" w:lineRule="exact"/>
        <w:rPr>
          <w:sz w:val="20"/>
          <w:szCs w:val="20"/>
          <w:color w:val="auto"/>
        </w:rPr>
      </w:pPr>
    </w:p>
    <w:p>
      <w:pPr>
        <w:ind w:left="240"/>
        <w:spacing w:after="0"/>
        <w:rPr>
          <w:rFonts w:ascii="Arial" w:cs="Arial" w:eastAsia="Arial" w:hAnsi="Arial"/>
          <w:sz w:val="17"/>
          <w:szCs w:val="17"/>
          <w:u w:val="single" w:color="auto"/>
          <w:color w:val="0000FF"/>
        </w:rPr>
      </w:pPr>
      <w:hyperlink r:id="rId156">
        <w:r>
          <w:rPr>
            <w:rFonts w:ascii="Arial" w:cs="Arial" w:eastAsia="Arial" w:hAnsi="Arial"/>
            <w:sz w:val="17"/>
            <w:szCs w:val="17"/>
            <w:u w:val="single" w:color="auto"/>
            <w:color w:val="0000FF"/>
          </w:rPr>
          <w:t>3.1</w:t>
        </w:r>
      </w:hyperlink>
    </w:p>
    <w:p>
      <w:pPr>
        <w:spacing w:after="0" w:line="279" w:lineRule="exact"/>
        <w:rPr>
          <w:sz w:val="20"/>
          <w:szCs w:val="20"/>
          <w:color w:val="auto"/>
        </w:rPr>
      </w:pPr>
    </w:p>
    <w:p>
      <w:pPr>
        <w:ind w:left="240"/>
        <w:spacing w:after="0"/>
        <w:rPr>
          <w:rFonts w:ascii="Arial" w:cs="Arial" w:eastAsia="Arial" w:hAnsi="Arial"/>
          <w:sz w:val="17"/>
          <w:szCs w:val="17"/>
          <w:u w:val="single" w:color="auto"/>
          <w:color w:val="0000FF"/>
        </w:rPr>
      </w:pPr>
      <w:hyperlink r:id="rId157">
        <w:r>
          <w:rPr>
            <w:rFonts w:ascii="Arial" w:cs="Arial" w:eastAsia="Arial" w:hAnsi="Arial"/>
            <w:sz w:val="17"/>
            <w:szCs w:val="17"/>
            <w:u w:val="single" w:color="auto"/>
            <w:color w:val="0000FF"/>
          </w:rPr>
          <w:t>3.2</w:t>
        </w:r>
      </w:hyperlink>
    </w:p>
    <w:p>
      <w:pPr>
        <w:spacing w:after="0" w:line="382" w:lineRule="exact"/>
        <w:rPr>
          <w:sz w:val="20"/>
          <w:szCs w:val="20"/>
          <w:color w:val="auto"/>
        </w:rPr>
      </w:pPr>
    </w:p>
    <w:p>
      <w:pPr>
        <w:ind w:left="240"/>
        <w:spacing w:after="0"/>
        <w:rPr>
          <w:rFonts w:ascii="Arial" w:cs="Arial" w:eastAsia="Arial" w:hAnsi="Arial"/>
          <w:sz w:val="17"/>
          <w:szCs w:val="17"/>
          <w:u w:val="single" w:color="auto"/>
          <w:color w:val="0000FF"/>
        </w:rPr>
      </w:pPr>
      <w:hyperlink r:id="rId158">
        <w:r>
          <w:rPr>
            <w:rFonts w:ascii="Arial" w:cs="Arial" w:eastAsia="Arial" w:hAnsi="Arial"/>
            <w:sz w:val="17"/>
            <w:szCs w:val="17"/>
            <w:u w:val="single" w:color="auto"/>
            <w:color w:val="0000FF"/>
          </w:rPr>
          <w:t>4.1</w:t>
        </w:r>
      </w:hyperlink>
    </w:p>
    <w:p>
      <w:pPr>
        <w:spacing w:after="0" w:line="200" w:lineRule="exact"/>
        <w:rPr>
          <w:sz w:val="20"/>
          <w:szCs w:val="20"/>
          <w:color w:val="auto"/>
        </w:rPr>
      </w:pPr>
    </w:p>
    <w:p>
      <w:pPr>
        <w:spacing w:after="0" w:line="400" w:lineRule="exact"/>
        <w:rPr>
          <w:sz w:val="20"/>
          <w:szCs w:val="20"/>
          <w:color w:val="auto"/>
        </w:rPr>
      </w:pPr>
    </w:p>
    <w:p>
      <w:pPr>
        <w:ind w:left="240"/>
        <w:spacing w:after="0"/>
        <w:rPr>
          <w:rFonts w:ascii="Arial" w:cs="Arial" w:eastAsia="Arial" w:hAnsi="Arial"/>
          <w:sz w:val="17"/>
          <w:szCs w:val="17"/>
          <w:u w:val="single" w:color="auto"/>
          <w:color w:val="0000FF"/>
        </w:rPr>
      </w:pPr>
      <w:hyperlink r:id="rId159">
        <w:r>
          <w:rPr>
            <w:rFonts w:ascii="Arial" w:cs="Arial" w:eastAsia="Arial" w:hAnsi="Arial"/>
            <w:sz w:val="17"/>
            <w:szCs w:val="17"/>
            <w:u w:val="single" w:color="auto"/>
            <w:color w:val="0000FF"/>
          </w:rPr>
          <w:t>4.2</w:t>
        </w:r>
      </w:hyperlink>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40"/>
        <w:spacing w:after="0"/>
        <w:rPr>
          <w:rFonts w:ascii="Arial" w:cs="Arial" w:eastAsia="Arial" w:hAnsi="Arial"/>
          <w:sz w:val="17"/>
          <w:szCs w:val="17"/>
          <w:u w:val="single" w:color="auto"/>
          <w:color w:val="0000FF"/>
        </w:rPr>
      </w:pPr>
      <w:hyperlink r:id="rId160">
        <w:r>
          <w:rPr>
            <w:rFonts w:ascii="Arial" w:cs="Arial" w:eastAsia="Arial" w:hAnsi="Arial"/>
            <w:sz w:val="17"/>
            <w:szCs w:val="17"/>
            <w:u w:val="single" w:color="auto"/>
            <w:color w:val="0000FF"/>
          </w:rPr>
          <w:t>4.3</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40"/>
        <w:spacing w:after="0"/>
        <w:rPr>
          <w:rFonts w:ascii="Arial" w:cs="Arial" w:eastAsia="Arial" w:hAnsi="Arial"/>
          <w:sz w:val="17"/>
          <w:szCs w:val="17"/>
          <w:u w:val="single" w:color="auto"/>
          <w:color w:val="0000FF"/>
        </w:rPr>
      </w:pPr>
      <w:hyperlink r:id="rId161">
        <w:r>
          <w:rPr>
            <w:rFonts w:ascii="Arial" w:cs="Arial" w:eastAsia="Arial" w:hAnsi="Arial"/>
            <w:sz w:val="17"/>
            <w:szCs w:val="17"/>
            <w:u w:val="single" w:color="auto"/>
            <w:color w:val="0000FF"/>
          </w:rPr>
          <w:t>4.4</w:t>
        </w:r>
      </w:hyperlink>
    </w:p>
    <w:p>
      <w:pPr>
        <w:spacing w:after="0" w:line="200" w:lineRule="exact"/>
        <w:rPr>
          <w:sz w:val="20"/>
          <w:szCs w:val="20"/>
          <w:color w:val="auto"/>
        </w:rPr>
      </w:pPr>
    </w:p>
    <w:p>
      <w:pPr>
        <w:spacing w:after="0" w:line="246" w:lineRule="exact"/>
        <w:rPr>
          <w:sz w:val="20"/>
          <w:szCs w:val="20"/>
          <w:color w:val="auto"/>
        </w:rPr>
      </w:pPr>
    </w:p>
    <w:p>
      <w:pPr>
        <w:ind w:left="240"/>
        <w:spacing w:after="0"/>
        <w:rPr>
          <w:rFonts w:ascii="Arial" w:cs="Arial" w:eastAsia="Arial" w:hAnsi="Arial"/>
          <w:sz w:val="17"/>
          <w:szCs w:val="17"/>
          <w:u w:val="single" w:color="auto"/>
          <w:color w:val="0000FF"/>
        </w:rPr>
      </w:pPr>
      <w:hyperlink r:id="rId159">
        <w:r>
          <w:rPr>
            <w:rFonts w:ascii="Arial" w:cs="Arial" w:eastAsia="Arial" w:hAnsi="Arial"/>
            <w:sz w:val="17"/>
            <w:szCs w:val="17"/>
            <w:u w:val="single" w:color="auto"/>
            <w:color w:val="0000FF"/>
          </w:rPr>
          <w:t>4.5</w:t>
        </w:r>
      </w:hyperlink>
    </w:p>
    <w:p>
      <w:pPr>
        <w:spacing w:after="0" w:line="200" w:lineRule="exact"/>
        <w:rPr>
          <w:sz w:val="20"/>
          <w:szCs w:val="20"/>
          <w:color w:val="auto"/>
        </w:rPr>
      </w:pPr>
    </w:p>
    <w:p>
      <w:pPr>
        <w:spacing w:after="0" w:line="285" w:lineRule="exact"/>
        <w:rPr>
          <w:sz w:val="20"/>
          <w:szCs w:val="20"/>
          <w:color w:val="auto"/>
        </w:rPr>
      </w:pPr>
    </w:p>
    <w:p>
      <w:pPr>
        <w:ind w:left="240"/>
        <w:spacing w:after="0"/>
        <w:rPr>
          <w:rFonts w:ascii="Arial" w:cs="Arial" w:eastAsia="Arial" w:hAnsi="Arial"/>
          <w:sz w:val="17"/>
          <w:szCs w:val="17"/>
          <w:u w:val="single" w:color="auto"/>
          <w:color w:val="0000FF"/>
        </w:rPr>
      </w:pPr>
      <w:hyperlink r:id="rId162">
        <w:r>
          <w:rPr>
            <w:rFonts w:ascii="Arial" w:cs="Arial" w:eastAsia="Arial" w:hAnsi="Arial"/>
            <w:sz w:val="17"/>
            <w:szCs w:val="17"/>
            <w:u w:val="single" w:color="auto"/>
            <w:color w:val="0000FF"/>
          </w:rPr>
          <w:t>4.6</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40"/>
        <w:spacing w:after="0"/>
        <w:rPr>
          <w:rFonts w:ascii="Arial" w:cs="Arial" w:eastAsia="Arial" w:hAnsi="Arial"/>
          <w:sz w:val="17"/>
          <w:szCs w:val="17"/>
          <w:u w:val="single" w:color="auto"/>
          <w:color w:val="0000FF"/>
        </w:rPr>
      </w:pPr>
      <w:hyperlink r:id="rId163">
        <w:r>
          <w:rPr>
            <w:rFonts w:ascii="Arial" w:cs="Arial" w:eastAsia="Arial" w:hAnsi="Arial"/>
            <w:sz w:val="17"/>
            <w:szCs w:val="17"/>
            <w:u w:val="single" w:color="auto"/>
            <w:color w:val="0000FF"/>
          </w:rPr>
          <w:t>4.7</w:t>
        </w:r>
      </w:hyperlink>
    </w:p>
    <w:p>
      <w:pPr>
        <w:spacing w:after="0" w:line="200" w:lineRule="exact"/>
        <w:rPr>
          <w:sz w:val="20"/>
          <w:szCs w:val="20"/>
          <w:color w:val="auto"/>
        </w:rPr>
      </w:pPr>
    </w:p>
    <w:p>
      <w:pPr>
        <w:spacing w:after="0" w:line="323" w:lineRule="exact"/>
        <w:rPr>
          <w:sz w:val="20"/>
          <w:szCs w:val="20"/>
          <w:color w:val="auto"/>
        </w:rPr>
      </w:pPr>
    </w:p>
    <w:p>
      <w:pPr>
        <w:ind w:left="240"/>
        <w:spacing w:after="0"/>
        <w:rPr>
          <w:rFonts w:ascii="Arial" w:cs="Arial" w:eastAsia="Arial" w:hAnsi="Arial"/>
          <w:sz w:val="17"/>
          <w:szCs w:val="17"/>
          <w:u w:val="single" w:color="auto"/>
          <w:color w:val="0000FF"/>
        </w:rPr>
      </w:pPr>
      <w:hyperlink r:id="rId163">
        <w:r>
          <w:rPr>
            <w:rFonts w:ascii="Arial" w:cs="Arial" w:eastAsia="Arial" w:hAnsi="Arial"/>
            <w:sz w:val="17"/>
            <w:szCs w:val="17"/>
            <w:u w:val="single" w:color="auto"/>
            <w:color w:val="0000FF"/>
          </w:rPr>
          <w:t>4.8</w:t>
        </w:r>
      </w:hyperlink>
    </w:p>
    <w:p>
      <w:pPr>
        <w:spacing w:after="0" w:line="200" w:lineRule="exact"/>
        <w:rPr>
          <w:sz w:val="20"/>
          <w:szCs w:val="20"/>
          <w:color w:val="auto"/>
        </w:rPr>
      </w:pPr>
    </w:p>
    <w:p>
      <w:pPr>
        <w:spacing w:after="0" w:line="285" w:lineRule="exact"/>
        <w:rPr>
          <w:sz w:val="20"/>
          <w:szCs w:val="20"/>
          <w:color w:val="auto"/>
        </w:rPr>
      </w:pPr>
    </w:p>
    <w:p>
      <w:pPr>
        <w:ind w:left="240"/>
        <w:spacing w:after="0"/>
        <w:rPr>
          <w:rFonts w:ascii="Arial" w:cs="Arial" w:eastAsia="Arial" w:hAnsi="Arial"/>
          <w:sz w:val="17"/>
          <w:szCs w:val="17"/>
          <w:u w:val="single" w:color="auto"/>
          <w:color w:val="0000FF"/>
        </w:rPr>
      </w:pPr>
      <w:hyperlink r:id="rId164">
        <w:r>
          <w:rPr>
            <w:rFonts w:ascii="Arial" w:cs="Arial" w:eastAsia="Arial" w:hAnsi="Arial"/>
            <w:sz w:val="17"/>
            <w:szCs w:val="17"/>
            <w:u w:val="single" w:color="auto"/>
            <w:color w:val="0000FF"/>
          </w:rPr>
          <w:t>4.9</w:t>
        </w:r>
      </w:hyperlink>
    </w:p>
    <w:p>
      <w:pPr>
        <w:spacing w:after="0" w:line="200" w:lineRule="exact"/>
        <w:rPr>
          <w:sz w:val="20"/>
          <w:szCs w:val="20"/>
          <w:color w:val="auto"/>
        </w:rPr>
      </w:pPr>
    </w:p>
    <w:p>
      <w:pPr>
        <w:spacing w:after="0" w:line="285" w:lineRule="exact"/>
        <w:rPr>
          <w:sz w:val="20"/>
          <w:szCs w:val="20"/>
          <w:color w:val="auto"/>
        </w:rPr>
      </w:pPr>
    </w:p>
    <w:p>
      <w:pPr>
        <w:ind w:left="200"/>
        <w:spacing w:after="0"/>
        <w:rPr>
          <w:rFonts w:ascii="Arial" w:cs="Arial" w:eastAsia="Arial" w:hAnsi="Arial"/>
          <w:sz w:val="17"/>
          <w:szCs w:val="17"/>
          <w:u w:val="single" w:color="auto"/>
          <w:color w:val="0000FF"/>
        </w:rPr>
      </w:pPr>
      <w:hyperlink r:id="rId165">
        <w:r>
          <w:rPr>
            <w:rFonts w:ascii="Arial" w:cs="Arial" w:eastAsia="Arial" w:hAnsi="Arial"/>
            <w:sz w:val="17"/>
            <w:szCs w:val="17"/>
            <w:u w:val="single" w:color="auto"/>
            <w:color w:val="0000FF"/>
          </w:rPr>
          <w:t>4.10</w:t>
        </w:r>
      </w:hyperlink>
    </w:p>
    <w:p>
      <w:pPr>
        <w:spacing w:after="0" w:line="200" w:lineRule="exact"/>
        <w:rPr>
          <w:sz w:val="20"/>
          <w:szCs w:val="20"/>
          <w:color w:val="auto"/>
        </w:rPr>
      </w:pPr>
    </w:p>
    <w:p>
      <w:pPr>
        <w:spacing w:after="0" w:line="285" w:lineRule="exact"/>
        <w:rPr>
          <w:sz w:val="20"/>
          <w:szCs w:val="20"/>
          <w:color w:val="auto"/>
        </w:rPr>
      </w:pPr>
    </w:p>
    <w:p>
      <w:pPr>
        <w:ind w:left="200"/>
        <w:spacing w:after="0"/>
        <w:rPr>
          <w:rFonts w:ascii="Arial" w:cs="Arial" w:eastAsia="Arial" w:hAnsi="Arial"/>
          <w:sz w:val="17"/>
          <w:szCs w:val="17"/>
          <w:u w:val="single" w:color="auto"/>
          <w:color w:val="0000FF"/>
        </w:rPr>
      </w:pPr>
      <w:hyperlink r:id="rId166">
        <w:r>
          <w:rPr>
            <w:rFonts w:ascii="Arial" w:cs="Arial" w:eastAsia="Arial" w:hAnsi="Arial"/>
            <w:sz w:val="17"/>
            <w:szCs w:val="17"/>
            <w:u w:val="single" w:color="auto"/>
            <w:color w:val="0000FF"/>
          </w:rPr>
          <w:t>4.11</w:t>
        </w:r>
      </w:hyperlink>
    </w:p>
    <w:p>
      <w:pPr>
        <w:spacing w:after="0" w:line="200" w:lineRule="exact"/>
        <w:rPr>
          <w:sz w:val="20"/>
          <w:szCs w:val="20"/>
          <w:color w:val="auto"/>
        </w:rPr>
      </w:pPr>
    </w:p>
    <w:p>
      <w:pPr>
        <w:spacing w:after="0" w:line="285" w:lineRule="exact"/>
        <w:rPr>
          <w:sz w:val="20"/>
          <w:szCs w:val="20"/>
          <w:color w:val="auto"/>
        </w:rPr>
      </w:pPr>
    </w:p>
    <w:p>
      <w:pPr>
        <w:ind w:left="200"/>
        <w:spacing w:after="0"/>
        <w:rPr>
          <w:rFonts w:ascii="Arial" w:cs="Arial" w:eastAsia="Arial" w:hAnsi="Arial"/>
          <w:sz w:val="17"/>
          <w:szCs w:val="17"/>
          <w:u w:val="single" w:color="auto"/>
          <w:color w:val="0000FF"/>
        </w:rPr>
      </w:pPr>
      <w:hyperlink r:id="rId167">
        <w:r>
          <w:rPr>
            <w:rFonts w:ascii="Arial" w:cs="Arial" w:eastAsia="Arial" w:hAnsi="Arial"/>
            <w:sz w:val="17"/>
            <w:szCs w:val="17"/>
            <w:u w:val="single" w:color="auto"/>
            <w:color w:val="0000FF"/>
          </w:rPr>
          <w:t>4.12</w:t>
        </w:r>
      </w:hyperlink>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5"/>
                <w:szCs w:val="15"/>
                <w:b w:val="1"/>
                <w:bCs w:val="1"/>
                <w:color w:val="auto"/>
                <w:w w:val="85"/>
              </w:rPr>
              <w:t>Filed</w:t>
            </w:r>
          </w:p>
        </w:tc>
      </w:tr>
      <w:tr>
        <w:trPr>
          <w:trHeight w:val="192"/>
        </w:trPr>
        <w:tc>
          <w:tcPr>
            <w:tcW w:w="4040" w:type="dxa"/>
            <w:vAlign w:val="bottom"/>
            <w:tcBorders>
              <w:bottom w:val="single" w:sz="8" w:color="auto"/>
            </w:tcBorders>
          </w:tcPr>
          <w:p>
            <w:pPr>
              <w:ind w:left="166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-7620</wp:posOffset>
            </wp:positionV>
            <wp:extent cx="5280660" cy="7169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5280660" cy="71691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Agreement and Plan of Merger, dated as of April 30,</w:t>
      </w:r>
    </w:p>
    <w:p>
      <w:pPr>
        <w:ind w:right="940"/>
        <w:spacing w:after="0" w:line="223" w:lineRule="auto"/>
        <w:rPr>
          <w:sz w:val="20"/>
          <w:szCs w:val="20"/>
          <w:color w:val="auto"/>
        </w:rPr>
      </w:pPr>
      <w:r>
        <w:rPr>
          <w:rFonts w:ascii="Arial" w:cs="Arial" w:eastAsia="Arial" w:hAnsi="Arial"/>
          <w:sz w:val="16"/>
          <w:szCs w:val="16"/>
          <w:color w:val="auto"/>
        </w:rPr>
        <w:t>2018, by and among Marriott Vacations Worldwide Corporation, ILG, Inc., Ignite Holdco, Inc., Ignite Holdco Subsidiary, Inc., Volt Merger Sub, Inc., and Volt Merger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Sub LLC*</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Agreement and Plan of Merger by and among Marriott</w:t>
      </w:r>
    </w:p>
    <w:p>
      <w:pPr>
        <w:ind w:right="1420"/>
        <w:spacing w:after="0" w:line="223" w:lineRule="auto"/>
        <w:rPr>
          <w:sz w:val="20"/>
          <w:szCs w:val="20"/>
          <w:color w:val="auto"/>
        </w:rPr>
      </w:pPr>
      <w:r>
        <w:rPr>
          <w:rFonts w:ascii="Arial" w:cs="Arial" w:eastAsia="Arial" w:hAnsi="Arial"/>
          <w:sz w:val="16"/>
          <w:szCs w:val="16"/>
          <w:color w:val="auto"/>
        </w:rPr>
        <w:t>Vacations Worldwide Corporation, Sommelier Acquisition Corp., Champagne Resorts, Inc., Welk Hospitality Group, Inc. and the Shareholder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Representative, dated as of January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13335</wp:posOffset>
            </wp:positionV>
            <wp:extent cx="5280660" cy="2851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5280660" cy="285115"/>
                    </a:xfrm>
                    <a:prstGeom prst="rect">
                      <a:avLst/>
                    </a:prstGeom>
                    <a:noFill/>
                  </pic:spPr>
                </pic:pic>
              </a:graphicData>
            </a:graphic>
          </wp:anchor>
        </w:drawing>
      </w:r>
    </w:p>
    <w:p>
      <w:pPr>
        <w:spacing w:after="0" w:line="27" w:lineRule="exact"/>
        <w:rPr>
          <w:sz w:val="20"/>
          <w:szCs w:val="20"/>
          <w:color w:val="auto"/>
        </w:rPr>
      </w:pPr>
    </w:p>
    <w:p>
      <w:pPr>
        <w:ind w:right="1040"/>
        <w:spacing w:after="0" w:line="246" w:lineRule="auto"/>
        <w:rPr>
          <w:sz w:val="20"/>
          <w:szCs w:val="20"/>
          <w:color w:val="auto"/>
        </w:rPr>
      </w:pPr>
      <w:r>
        <w:rPr>
          <w:rFonts w:ascii="Arial" w:cs="Arial" w:eastAsia="Arial" w:hAnsi="Arial"/>
          <w:sz w:val="17"/>
          <w:szCs w:val="17"/>
          <w:color w:val="auto"/>
        </w:rPr>
        <w:t>Second Restated Certificate of Incorporation of Marriott Vacations Worldwide Corporation</w:t>
      </w:r>
    </w:p>
    <w:p>
      <w:pPr>
        <w:spacing w:after="0" w:line="125" w:lineRule="exact"/>
        <w:rPr>
          <w:sz w:val="20"/>
          <w:szCs w:val="20"/>
          <w:color w:val="auto"/>
        </w:rPr>
      </w:pPr>
    </w:p>
    <w:p>
      <w:pPr>
        <w:ind w:right="1440"/>
        <w:spacing w:after="0" w:line="276" w:lineRule="auto"/>
        <w:rPr>
          <w:sz w:val="20"/>
          <w:szCs w:val="20"/>
          <w:color w:val="auto"/>
        </w:rPr>
      </w:pPr>
      <w:r>
        <w:rPr>
          <w:rFonts w:ascii="Arial" w:cs="Arial" w:eastAsia="Arial" w:hAnsi="Arial"/>
          <w:sz w:val="16"/>
          <w:szCs w:val="16"/>
          <w:color w:val="auto"/>
        </w:rPr>
        <w:t>Restated Bylaws of Marriott Vacations Worldwide Corporation (effective May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-15875</wp:posOffset>
            </wp:positionV>
            <wp:extent cx="5280660" cy="423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5280660" cy="42354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Form of certificate representing shares of common stock,</w:t>
      </w:r>
    </w:p>
    <w:p>
      <w:pPr>
        <w:ind w:right="1620"/>
        <w:spacing w:after="0" w:line="226" w:lineRule="auto"/>
        <w:rPr>
          <w:sz w:val="20"/>
          <w:szCs w:val="20"/>
          <w:color w:val="auto"/>
        </w:rPr>
      </w:pPr>
      <w:r>
        <w:rPr>
          <w:rFonts w:ascii="Arial" w:cs="Arial" w:eastAsia="Arial" w:hAnsi="Arial"/>
          <w:sz w:val="17"/>
          <w:szCs w:val="17"/>
          <w:color w:val="auto"/>
        </w:rPr>
        <w:t>par value $0.01 per share, of Marriott Vacations Worldwide Corporation</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Indenture, dated as of October 1, 2019, by and among</w:t>
      </w:r>
    </w:p>
    <w:p>
      <w:pPr>
        <w:ind w:right="900"/>
        <w:spacing w:after="0" w:line="238" w:lineRule="auto"/>
        <w:rPr>
          <w:sz w:val="20"/>
          <w:szCs w:val="20"/>
          <w:color w:val="auto"/>
        </w:rPr>
      </w:pPr>
      <w:r>
        <w:rPr>
          <w:rFonts w:ascii="Arial" w:cs="Arial" w:eastAsia="Arial" w:hAnsi="Arial"/>
          <w:sz w:val="15"/>
          <w:szCs w:val="15"/>
          <w:color w:val="auto"/>
        </w:rPr>
        <w:t>Marriott Ownership Resorts, Inc., Marriott Vacations Worldwide Corporation, as guarantor, the other guarantors party thereto and The Bank of New York Mellon Trust</w:t>
      </w:r>
    </w:p>
    <w:p>
      <w:pPr>
        <w:spacing w:after="0"/>
        <w:rPr>
          <w:sz w:val="20"/>
          <w:szCs w:val="20"/>
          <w:color w:val="auto"/>
        </w:rPr>
      </w:pPr>
      <w:r>
        <w:rPr>
          <w:rFonts w:ascii="Arial" w:cs="Arial" w:eastAsia="Arial" w:hAnsi="Arial"/>
          <w:sz w:val="17"/>
          <w:szCs w:val="17"/>
          <w:color w:val="auto"/>
        </w:rPr>
        <w:t>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5080</wp:posOffset>
            </wp:positionV>
            <wp:extent cx="5280660" cy="513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5280660" cy="51371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Supplemental Indenture, dated December 31, 2019, by</w:t>
      </w:r>
    </w:p>
    <w:p>
      <w:pPr>
        <w:ind w:right="1000"/>
        <w:spacing w:after="0" w:line="219" w:lineRule="auto"/>
        <w:rPr>
          <w:sz w:val="20"/>
          <w:szCs w:val="20"/>
          <w:color w:val="auto"/>
        </w:rPr>
      </w:pPr>
      <w:r>
        <w:rPr>
          <w:rFonts w:ascii="Arial" w:cs="Arial" w:eastAsia="Arial" w:hAnsi="Arial"/>
          <w:sz w:val="17"/>
          <w:szCs w:val="17"/>
          <w:color w:val="auto"/>
        </w:rPr>
        <w:t>and among Marriott Ownership Resorts, Inc., MVW Vacations, LLC and the Bank of New York Mellon Trust Company, N.A., as trustee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Second Supplemental Indenture, dated February 26, 2020,</w:t>
      </w:r>
    </w:p>
    <w:p>
      <w:pPr>
        <w:ind w:right="980"/>
        <w:spacing w:after="0" w:line="219" w:lineRule="auto"/>
        <w:rPr>
          <w:sz w:val="20"/>
          <w:szCs w:val="20"/>
          <w:color w:val="auto"/>
        </w:rPr>
      </w:pPr>
      <w:r>
        <w:rPr>
          <w:rFonts w:ascii="Arial" w:cs="Arial" w:eastAsia="Arial" w:hAnsi="Arial"/>
          <w:sz w:val="17"/>
          <w:szCs w:val="17"/>
          <w:color w:val="auto"/>
        </w:rPr>
        <w:t>by and among Marriott Ownership Resorts, Inc., MVW Services Corporation, and the Bank of New York Mellon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34290</wp:posOffset>
            </wp:positionV>
            <wp:extent cx="5280660" cy="2851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5280660" cy="285115"/>
                    </a:xfrm>
                    <a:prstGeom prst="rect">
                      <a:avLst/>
                    </a:prstGeom>
                    <a:noFill/>
                  </pic:spPr>
                </pic:pic>
              </a:graphicData>
            </a:graphic>
          </wp:anchor>
        </w:drawing>
      </w:r>
    </w:p>
    <w:p>
      <w:pPr>
        <w:spacing w:after="0" w:line="60" w:lineRule="exact"/>
        <w:rPr>
          <w:sz w:val="20"/>
          <w:szCs w:val="20"/>
          <w:color w:val="auto"/>
        </w:rPr>
      </w:pPr>
    </w:p>
    <w:p>
      <w:pPr>
        <w:ind w:right="1280"/>
        <w:spacing w:after="0" w:line="246" w:lineRule="auto"/>
        <w:rPr>
          <w:sz w:val="20"/>
          <w:szCs w:val="20"/>
          <w:color w:val="auto"/>
        </w:rPr>
      </w:pPr>
      <w:r>
        <w:rPr>
          <w:rFonts w:ascii="Arial" w:cs="Arial" w:eastAsia="Arial" w:hAnsi="Arial"/>
          <w:sz w:val="17"/>
          <w:szCs w:val="17"/>
          <w:color w:val="auto"/>
        </w:rPr>
        <w:t>Form of 4.750% Senior Notes due 2028 (included as Exhibit A to Exhibit 4.2 above)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Registration Rights Agreement, dated as of October 1,</w:t>
      </w:r>
    </w:p>
    <w:p>
      <w:pPr>
        <w:ind w:right="980"/>
        <w:spacing w:after="0" w:line="238" w:lineRule="auto"/>
        <w:rPr>
          <w:sz w:val="20"/>
          <w:szCs w:val="20"/>
          <w:color w:val="auto"/>
        </w:rPr>
      </w:pPr>
      <w:r>
        <w:rPr>
          <w:rFonts w:ascii="Arial" w:cs="Arial" w:eastAsia="Arial" w:hAnsi="Arial"/>
          <w:sz w:val="15"/>
          <w:szCs w:val="15"/>
          <w:color w:val="auto"/>
        </w:rPr>
        <w:t>2019, by and among Marriott Ownership Resorts, Inc., Marriott Vacations Worldwide Corporation, as guarantor, the other guarantors party thereto and J.P. Morgan</w:t>
      </w:r>
    </w:p>
    <w:p>
      <w:pPr>
        <w:spacing w:after="0"/>
        <w:rPr>
          <w:sz w:val="20"/>
          <w:szCs w:val="20"/>
          <w:color w:val="auto"/>
        </w:rPr>
      </w:pPr>
      <w:r>
        <w:rPr>
          <w:rFonts w:ascii="Arial" w:cs="Arial" w:eastAsia="Arial" w:hAnsi="Arial"/>
          <w:sz w:val="17"/>
          <w:szCs w:val="17"/>
          <w:color w:val="auto"/>
        </w:rPr>
        <w:t>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5080</wp:posOffset>
            </wp:positionV>
            <wp:extent cx="5280660" cy="6191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5280660" cy="61912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Indenture, dated as of May 13, 2020, by and among</w:t>
      </w:r>
    </w:p>
    <w:p>
      <w:pPr>
        <w:ind w:right="900"/>
        <w:spacing w:after="0" w:line="238" w:lineRule="auto"/>
        <w:rPr>
          <w:sz w:val="20"/>
          <w:szCs w:val="20"/>
          <w:color w:val="auto"/>
        </w:rPr>
      </w:pPr>
      <w:r>
        <w:rPr>
          <w:rFonts w:ascii="Arial" w:cs="Arial" w:eastAsia="Arial" w:hAnsi="Arial"/>
          <w:sz w:val="15"/>
          <w:szCs w:val="15"/>
          <w:color w:val="auto"/>
        </w:rPr>
        <w:t>Marriott Ownership Resorts, Inc., Marriott Vacations Worldwide Corporation, as guarantor, the other guarantors party thereto and The Bank of New York Mellon Trust</w:t>
      </w:r>
    </w:p>
    <w:p>
      <w:pPr>
        <w:spacing w:after="0"/>
        <w:rPr>
          <w:sz w:val="20"/>
          <w:szCs w:val="20"/>
          <w:color w:val="auto"/>
        </w:rPr>
      </w:pPr>
      <w:r>
        <w:rPr>
          <w:rFonts w:ascii="Arial" w:cs="Arial" w:eastAsia="Arial" w:hAnsi="Arial"/>
          <w:sz w:val="17"/>
          <w:szCs w:val="17"/>
          <w:color w:val="auto"/>
        </w:rPr>
        <w:t>Company, N.A., as trustee and collateral agent</w:t>
      </w:r>
    </w:p>
    <w:p>
      <w:pPr>
        <w:spacing w:after="0" w:line="73" w:lineRule="exact"/>
        <w:rPr>
          <w:sz w:val="20"/>
          <w:szCs w:val="20"/>
          <w:color w:val="auto"/>
        </w:rPr>
      </w:pPr>
    </w:p>
    <w:p>
      <w:pPr>
        <w:ind w:right="1560"/>
        <w:spacing w:after="0" w:line="246" w:lineRule="auto"/>
        <w:rPr>
          <w:sz w:val="20"/>
          <w:szCs w:val="20"/>
          <w:color w:val="auto"/>
        </w:rPr>
      </w:pPr>
      <w:r>
        <w:rPr>
          <w:rFonts w:ascii="Arial" w:cs="Arial" w:eastAsia="Arial" w:hAnsi="Arial"/>
          <w:sz w:val="17"/>
          <w:szCs w:val="17"/>
          <w:color w:val="auto"/>
        </w:rPr>
        <w:t>Form of 6.125% Senior Secured Notes due 2025 (included as Exhibit A to Exhibit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13970</wp:posOffset>
            </wp:positionV>
            <wp:extent cx="5280660" cy="5784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5280660" cy="57848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Indenture, dated as of February 2, 2021, by and among</w:t>
      </w:r>
    </w:p>
    <w:p>
      <w:pPr>
        <w:ind w:right="1140"/>
        <w:spacing w:after="0" w:line="238" w:lineRule="auto"/>
        <w:rPr>
          <w:sz w:val="20"/>
          <w:szCs w:val="20"/>
          <w:color w:val="auto"/>
        </w:rPr>
      </w:pPr>
      <w:r>
        <w:rPr>
          <w:rFonts w:ascii="Arial" w:cs="Arial" w:eastAsia="Arial" w:hAnsi="Arial"/>
          <w:sz w:val="15"/>
          <w:szCs w:val="15"/>
          <w:color w:val="auto"/>
        </w:rPr>
        <w:t>Marriott Vacations Worldwide Corporation, Marriott Ownership Resorts, Inc. and the other guarantors party thereto and The Bank of New York Mellon Trust</w:t>
      </w:r>
    </w:p>
    <w:p>
      <w:pPr>
        <w:spacing w:after="0"/>
        <w:rPr>
          <w:sz w:val="20"/>
          <w:szCs w:val="20"/>
          <w:color w:val="auto"/>
        </w:rPr>
      </w:pPr>
      <w:r>
        <w:rPr>
          <w:rFonts w:ascii="Arial" w:cs="Arial" w:eastAsia="Arial" w:hAnsi="Arial"/>
          <w:sz w:val="17"/>
          <w:szCs w:val="17"/>
          <w:color w:val="auto"/>
        </w:rPr>
        <w:t>Company, N.A., as trustee</w:t>
      </w:r>
    </w:p>
    <w:p>
      <w:pPr>
        <w:spacing w:after="0" w:line="34" w:lineRule="exact"/>
        <w:rPr>
          <w:sz w:val="20"/>
          <w:szCs w:val="20"/>
          <w:color w:val="auto"/>
        </w:rPr>
      </w:pPr>
    </w:p>
    <w:p>
      <w:pPr>
        <w:ind w:right="1460"/>
        <w:spacing w:after="0" w:line="294" w:lineRule="auto"/>
        <w:rPr>
          <w:sz w:val="20"/>
          <w:szCs w:val="20"/>
          <w:color w:val="auto"/>
        </w:rPr>
      </w:pPr>
      <w:r>
        <w:rPr>
          <w:rFonts w:ascii="Arial" w:cs="Arial" w:eastAsia="Arial" w:hAnsi="Arial"/>
          <w:sz w:val="15"/>
          <w:szCs w:val="15"/>
          <w:color w:val="auto"/>
        </w:rPr>
        <w:t>Form of 0.00% Convertible Senior Note due 2026 (included as Exhibit A to Exhibit 4.9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635</wp:posOffset>
            </wp:positionV>
            <wp:extent cx="5280660" cy="5784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5280660" cy="57848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Indenture, dated as of June 21, 2021, by and among</w:t>
      </w:r>
    </w:p>
    <w:p>
      <w:pPr>
        <w:ind w:right="900"/>
        <w:spacing w:after="0" w:line="238" w:lineRule="auto"/>
        <w:rPr>
          <w:sz w:val="20"/>
          <w:szCs w:val="20"/>
          <w:color w:val="auto"/>
        </w:rPr>
      </w:pPr>
      <w:r>
        <w:rPr>
          <w:rFonts w:ascii="Arial" w:cs="Arial" w:eastAsia="Arial" w:hAnsi="Arial"/>
          <w:sz w:val="15"/>
          <w:szCs w:val="15"/>
          <w:color w:val="auto"/>
        </w:rPr>
        <w:t>Marriott Ownership Resorts, Inc., Marriott Vacations Worldwide Corporation, as guarantor, the other guarantors party thereto and The Bank of New York Mellon Trust</w:t>
      </w:r>
    </w:p>
    <w:p>
      <w:pPr>
        <w:spacing w:after="0"/>
        <w:rPr>
          <w:sz w:val="20"/>
          <w:szCs w:val="20"/>
          <w:color w:val="auto"/>
        </w:rPr>
      </w:pPr>
      <w:r>
        <w:rPr>
          <w:rFonts w:ascii="Arial" w:cs="Arial" w:eastAsia="Arial" w:hAnsi="Arial"/>
          <w:sz w:val="17"/>
          <w:szCs w:val="17"/>
          <w:color w:val="auto"/>
        </w:rPr>
        <w:t>Company, N.A., as trustee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Form of 4.500% Senior Notes due 2029 (included as</w:t>
      </w:r>
    </w:p>
    <w:p>
      <w:pPr>
        <w:spacing w:after="0"/>
        <w:rPr>
          <w:sz w:val="20"/>
          <w:szCs w:val="20"/>
          <w:color w:val="auto"/>
        </w:rPr>
      </w:pPr>
      <w:r>
        <w:rPr>
          <w:rFonts w:ascii="Arial" w:cs="Arial" w:eastAsia="Arial" w:hAnsi="Arial"/>
          <w:sz w:val="17"/>
          <w:szCs w:val="17"/>
          <w:color w:val="auto"/>
        </w:rPr>
        <w:t>Exhibit A to Exhibit 4.11 above)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Incorporation By Reference From</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Form</w:t>
            </w: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b w:val="1"/>
                <w:bCs w:val="1"/>
                <w:color w:val="auto"/>
              </w:rPr>
              <w:t>Exhibit</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5"/>
                <w:szCs w:val="15"/>
                <w:b w:val="1"/>
                <w:bCs w:val="1"/>
                <w:color w:val="auto"/>
              </w:rPr>
              <w:t>Date Filed</w:t>
            </w:r>
          </w:p>
        </w:tc>
      </w:tr>
      <w:tr>
        <w:trPr>
          <w:trHeight w:val="661"/>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2.1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3"/>
              </w:rPr>
              <w:t>5/1/2018</w:t>
            </w:r>
          </w:p>
        </w:tc>
      </w:tr>
      <w:tr>
        <w:trPr>
          <w:trHeight w:val="1014"/>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2.1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1/26/2021</w:t>
            </w:r>
          </w:p>
        </w:tc>
      </w:tr>
      <w:tr>
        <w:trPr>
          <w:trHeight w:val="693"/>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5/15/2023</w:t>
            </w:r>
          </w:p>
        </w:tc>
      </w:tr>
      <w:tr>
        <w:trPr>
          <w:trHeight w:val="475"/>
        </w:trPr>
        <w:tc>
          <w:tcPr>
            <w:tcW w:w="76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10-Q</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3.3</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3"/>
              </w:rPr>
              <w:t>8/4/2023</w:t>
            </w:r>
          </w:p>
        </w:tc>
      </w:tr>
      <w:tr>
        <w:trPr>
          <w:trHeight w:val="578"/>
        </w:trPr>
        <w:tc>
          <w:tcPr>
            <w:tcW w:w="640" w:type="dxa"/>
            <w:vAlign w:val="bottom"/>
          </w:tcPr>
          <w:p>
            <w:pPr>
              <w:jc w:val="center"/>
              <w:spacing w:after="0"/>
              <w:rPr>
                <w:sz w:val="20"/>
                <w:szCs w:val="20"/>
                <w:color w:val="auto"/>
              </w:rPr>
            </w:pPr>
            <w:r>
              <w:rPr>
                <w:rFonts w:ascii="Arial" w:cs="Arial" w:eastAsia="Arial" w:hAnsi="Arial"/>
                <w:sz w:val="17"/>
                <w:szCs w:val="17"/>
                <w:color w:val="auto"/>
                <w:w w:val="84"/>
              </w:rPr>
              <w:t>10</w:t>
            </w:r>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1"/>
              </w:rPr>
              <w:t>10/14/2011</w:t>
            </w:r>
          </w:p>
        </w:tc>
      </w:tr>
      <w:tr>
        <w:trPr>
          <w:trHeight w:val="796"/>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10/1/2019</w:t>
            </w:r>
          </w:p>
        </w:tc>
      </w:tr>
      <w:tr>
        <w:trPr>
          <w:trHeight w:val="860"/>
        </w:trPr>
        <w:tc>
          <w:tcPr>
            <w:tcW w:w="760" w:type="dxa"/>
            <w:vAlign w:val="bottom"/>
            <w:gridSpan w:val="2"/>
          </w:tcPr>
          <w:p>
            <w:pPr>
              <w:jc w:val="center"/>
              <w:ind w:right="120"/>
              <w:spacing w:after="0"/>
              <w:rPr>
                <w:sz w:val="20"/>
                <w:szCs w:val="20"/>
                <w:color w:val="auto"/>
              </w:rPr>
            </w:pPr>
            <w:r>
              <w:rPr>
                <w:rFonts w:ascii="Arial" w:cs="Arial" w:eastAsia="Arial" w:hAnsi="Arial"/>
                <w:sz w:val="17"/>
                <w:szCs w:val="17"/>
                <w:color w:val="auto"/>
              </w:rPr>
              <w:t>10-K</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4.12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3"/>
              </w:rPr>
              <w:t>3/2/2020</w:t>
            </w:r>
          </w:p>
        </w:tc>
      </w:tr>
      <w:tr>
        <w:trPr>
          <w:trHeight w:val="809"/>
        </w:trPr>
        <w:tc>
          <w:tcPr>
            <w:tcW w:w="760" w:type="dxa"/>
            <w:vAlign w:val="bottom"/>
            <w:gridSpan w:val="2"/>
          </w:tcPr>
          <w:p>
            <w:pPr>
              <w:jc w:val="center"/>
              <w:ind w:right="120"/>
              <w:spacing w:after="0"/>
              <w:rPr>
                <w:sz w:val="20"/>
                <w:szCs w:val="20"/>
                <w:color w:val="auto"/>
              </w:rPr>
            </w:pPr>
            <w:r>
              <w:rPr>
                <w:rFonts w:ascii="Arial" w:cs="Arial" w:eastAsia="Arial" w:hAnsi="Arial"/>
                <w:sz w:val="17"/>
                <w:szCs w:val="17"/>
                <w:color w:val="auto"/>
              </w:rPr>
              <w:t>10-K</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4.13</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3"/>
              </w:rPr>
              <w:t>3/2/2020</w:t>
            </w:r>
          </w:p>
        </w:tc>
      </w:tr>
      <w:tr>
        <w:trPr>
          <w:trHeight w:val="642"/>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10/1/2019</w:t>
            </w:r>
          </w:p>
        </w:tc>
      </w:tr>
      <w:tr>
        <w:trPr>
          <w:trHeight w:val="680"/>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4.3</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10/1/2019</w:t>
            </w:r>
          </w:p>
        </w:tc>
      </w:tr>
      <w:tr>
        <w:trPr>
          <w:trHeight w:val="937"/>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5/15/2020</w:t>
            </w:r>
          </w:p>
        </w:tc>
      </w:tr>
      <w:tr>
        <w:trPr>
          <w:trHeight w:val="719"/>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5/15/2020</w:t>
            </w:r>
          </w:p>
        </w:tc>
      </w:tr>
      <w:tr>
        <w:trPr>
          <w:trHeight w:val="680"/>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3"/>
              </w:rPr>
              <w:t>2/3/2021</w:t>
            </w:r>
          </w:p>
        </w:tc>
      </w:tr>
      <w:tr>
        <w:trPr>
          <w:trHeight w:val="680"/>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3"/>
              </w:rPr>
              <w:t>2/3/2021</w:t>
            </w:r>
          </w:p>
        </w:tc>
      </w:tr>
      <w:tr>
        <w:trPr>
          <w:trHeight w:val="680"/>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6/22/2021</w:t>
            </w:r>
          </w:p>
        </w:tc>
      </w:tr>
      <w:tr>
        <w:trPr>
          <w:trHeight w:val="680"/>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6/22/2021</w:t>
            </w:r>
          </w:p>
        </w:tc>
      </w:tr>
    </w:tbl>
    <w:p>
      <w:pPr>
        <w:spacing w:after="0" w:line="282" w:lineRule="exact"/>
        <w:rPr>
          <w:sz w:val="20"/>
          <w:szCs w:val="20"/>
          <w:color w:val="auto"/>
        </w:rPr>
      </w:pPr>
    </w:p>
    <w:p>
      <w:pPr>
        <w:sectPr>
          <w:pgSz w:w="11900" w:h="16838" w:orient="portrait"/>
          <w:cols w:equalWidth="0" w:num="3">
            <w:col w:w="600" w:space="220"/>
            <w:col w:w="4900" w:space="120"/>
            <w:col w:w="4299"/>
          </w:cols>
          <w:pgMar w:left="320" w:top="230" w:right="1440" w:bottom="1440" w:gutter="0" w:footer="0" w:header="0"/>
          <w:type w:val="continuous"/>
        </w:sectPr>
      </w:pP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285750</wp:posOffset>
            </wp:positionV>
            <wp:extent cx="716470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0139"/>
          </w:cols>
          <w:pgMar w:left="320" w:top="2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Number</w:t>
      </w:r>
    </w:p>
    <w:p>
      <w:pPr>
        <w:spacing w:after="0" w:line="200" w:lineRule="exact"/>
        <w:rPr>
          <w:sz w:val="20"/>
          <w:szCs w:val="20"/>
          <w:color w:val="auto"/>
        </w:rPr>
      </w:pPr>
    </w:p>
    <w:p>
      <w:pPr>
        <w:spacing w:after="0" w:line="203" w:lineRule="exact"/>
        <w:rPr>
          <w:sz w:val="20"/>
          <w:szCs w:val="20"/>
          <w:color w:val="auto"/>
        </w:rPr>
      </w:pPr>
    </w:p>
    <w:p>
      <w:pPr>
        <w:ind w:left="200"/>
        <w:spacing w:after="0"/>
        <w:rPr>
          <w:rFonts w:ascii="Arial" w:cs="Arial" w:eastAsia="Arial" w:hAnsi="Arial"/>
          <w:sz w:val="17"/>
          <w:szCs w:val="17"/>
          <w:u w:val="single" w:color="auto"/>
          <w:color w:val="0000FF"/>
        </w:rPr>
      </w:pPr>
      <w:hyperlink r:id="rId177">
        <w:r>
          <w:rPr>
            <w:rFonts w:ascii="Arial" w:cs="Arial" w:eastAsia="Arial" w:hAnsi="Arial"/>
            <w:sz w:val="17"/>
            <w:szCs w:val="17"/>
            <w:u w:val="single" w:color="auto"/>
            <w:color w:val="0000FF"/>
          </w:rPr>
          <w:t>4.13</w:t>
        </w:r>
      </w:hyperlink>
    </w:p>
    <w:p>
      <w:pPr>
        <w:spacing w:after="0" w:line="200" w:lineRule="exact"/>
        <w:rPr>
          <w:sz w:val="20"/>
          <w:szCs w:val="20"/>
          <w:color w:val="auto"/>
        </w:rPr>
      </w:pPr>
    </w:p>
    <w:p>
      <w:pPr>
        <w:spacing w:after="0" w:line="285" w:lineRule="exact"/>
        <w:rPr>
          <w:sz w:val="20"/>
          <w:szCs w:val="20"/>
          <w:color w:val="auto"/>
        </w:rPr>
      </w:pPr>
    </w:p>
    <w:p>
      <w:pPr>
        <w:ind w:left="200"/>
        <w:spacing w:after="0"/>
        <w:rPr>
          <w:rFonts w:ascii="Arial" w:cs="Arial" w:eastAsia="Arial" w:hAnsi="Arial"/>
          <w:sz w:val="17"/>
          <w:szCs w:val="17"/>
          <w:u w:val="single" w:color="auto"/>
          <w:color w:val="0000FF"/>
        </w:rPr>
      </w:pPr>
      <w:hyperlink r:id="rId178">
        <w:r>
          <w:rPr>
            <w:rFonts w:ascii="Arial" w:cs="Arial" w:eastAsia="Arial" w:hAnsi="Arial"/>
            <w:sz w:val="17"/>
            <w:szCs w:val="17"/>
            <w:u w:val="single" w:color="auto"/>
            <w:color w:val="0000FF"/>
          </w:rPr>
          <w:t>4.14</w:t>
        </w:r>
      </w:hyperlink>
    </w:p>
    <w:p>
      <w:pPr>
        <w:spacing w:after="0" w:line="151" w:lineRule="exact"/>
        <w:rPr>
          <w:sz w:val="20"/>
          <w:szCs w:val="20"/>
          <w:color w:val="auto"/>
        </w:rPr>
      </w:pPr>
    </w:p>
    <w:p>
      <w:pPr>
        <w:ind w:left="200"/>
        <w:spacing w:after="0"/>
        <w:rPr>
          <w:rFonts w:ascii="Arial" w:cs="Arial" w:eastAsia="Arial" w:hAnsi="Arial"/>
          <w:sz w:val="17"/>
          <w:szCs w:val="17"/>
          <w:u w:val="single" w:color="auto"/>
          <w:color w:val="0000FF"/>
        </w:rPr>
      </w:pPr>
      <w:hyperlink r:id="rId179">
        <w:r>
          <w:rPr>
            <w:rFonts w:ascii="Arial" w:cs="Arial" w:eastAsia="Arial" w:hAnsi="Arial"/>
            <w:sz w:val="17"/>
            <w:szCs w:val="17"/>
            <w:u w:val="single" w:color="auto"/>
            <w:color w:val="0000FF"/>
          </w:rPr>
          <w:t>4.15</w:t>
        </w:r>
      </w:hyperlink>
    </w:p>
    <w:p>
      <w:pPr>
        <w:spacing w:after="0" w:line="164" w:lineRule="exact"/>
        <w:rPr>
          <w:sz w:val="20"/>
          <w:szCs w:val="20"/>
          <w:color w:val="auto"/>
        </w:rPr>
      </w:pPr>
    </w:p>
    <w:p>
      <w:pPr>
        <w:ind w:left="200"/>
        <w:spacing w:after="0"/>
        <w:rPr>
          <w:rFonts w:ascii="Arial" w:cs="Arial" w:eastAsia="Arial" w:hAnsi="Arial"/>
          <w:sz w:val="17"/>
          <w:szCs w:val="17"/>
          <w:u w:val="single" w:color="auto"/>
          <w:color w:val="0000FF"/>
        </w:rPr>
      </w:pPr>
      <w:hyperlink r:id="rId180">
        <w:r>
          <w:rPr>
            <w:rFonts w:ascii="Arial" w:cs="Arial" w:eastAsia="Arial" w:hAnsi="Arial"/>
            <w:sz w:val="17"/>
            <w:szCs w:val="17"/>
            <w:u w:val="single" w:color="auto"/>
            <w:color w:val="0000FF"/>
          </w:rPr>
          <w:t>10.1</w:t>
        </w:r>
      </w:hyperlink>
    </w:p>
    <w:p>
      <w:pPr>
        <w:spacing w:after="0" w:line="200" w:lineRule="exact"/>
        <w:rPr>
          <w:sz w:val="20"/>
          <w:szCs w:val="20"/>
          <w:color w:val="auto"/>
        </w:rPr>
      </w:pPr>
    </w:p>
    <w:p>
      <w:pPr>
        <w:spacing w:after="0" w:line="285" w:lineRule="exact"/>
        <w:rPr>
          <w:sz w:val="20"/>
          <w:szCs w:val="20"/>
          <w:color w:val="auto"/>
        </w:rPr>
      </w:pPr>
    </w:p>
    <w:p>
      <w:pPr>
        <w:ind w:left="200"/>
        <w:spacing w:after="0"/>
        <w:rPr>
          <w:rFonts w:ascii="Arial" w:cs="Arial" w:eastAsia="Arial" w:hAnsi="Arial"/>
          <w:sz w:val="17"/>
          <w:szCs w:val="17"/>
          <w:u w:val="single" w:color="auto"/>
          <w:color w:val="0000FF"/>
        </w:rPr>
      </w:pPr>
      <w:hyperlink r:id="rId181">
        <w:r>
          <w:rPr>
            <w:rFonts w:ascii="Arial" w:cs="Arial" w:eastAsia="Arial" w:hAnsi="Arial"/>
            <w:sz w:val="17"/>
            <w:szCs w:val="17"/>
            <w:u w:val="single" w:color="auto"/>
            <w:color w:val="0000FF"/>
          </w:rPr>
          <w:t>10.2</w:t>
        </w:r>
      </w:hyperlink>
    </w:p>
    <w:p>
      <w:pPr>
        <w:spacing w:after="0" w:line="200" w:lineRule="exact"/>
        <w:rPr>
          <w:sz w:val="20"/>
          <w:szCs w:val="20"/>
          <w:color w:val="auto"/>
        </w:rPr>
      </w:pPr>
    </w:p>
    <w:p>
      <w:pPr>
        <w:spacing w:after="0" w:line="259" w:lineRule="exact"/>
        <w:rPr>
          <w:sz w:val="20"/>
          <w:szCs w:val="20"/>
          <w:color w:val="auto"/>
        </w:rPr>
      </w:pPr>
    </w:p>
    <w:p>
      <w:pPr>
        <w:ind w:left="200"/>
        <w:spacing w:after="0"/>
        <w:rPr>
          <w:rFonts w:ascii="Arial" w:cs="Arial" w:eastAsia="Arial" w:hAnsi="Arial"/>
          <w:sz w:val="17"/>
          <w:szCs w:val="17"/>
          <w:u w:val="single" w:color="auto"/>
          <w:color w:val="0000FF"/>
        </w:rPr>
      </w:pPr>
      <w:hyperlink r:id="rId182">
        <w:r>
          <w:rPr>
            <w:rFonts w:ascii="Arial" w:cs="Arial" w:eastAsia="Arial" w:hAnsi="Arial"/>
            <w:sz w:val="17"/>
            <w:szCs w:val="17"/>
            <w:u w:val="single" w:color="auto"/>
            <w:color w:val="0000FF"/>
          </w:rPr>
          <w:t>10.3</w:t>
        </w:r>
      </w:hyperlink>
    </w:p>
    <w:p>
      <w:pPr>
        <w:spacing w:after="0" w:line="202" w:lineRule="exact"/>
        <w:rPr>
          <w:sz w:val="20"/>
          <w:szCs w:val="20"/>
          <w:color w:val="auto"/>
        </w:rPr>
      </w:pPr>
    </w:p>
    <w:p>
      <w:pPr>
        <w:ind w:left="200"/>
        <w:spacing w:after="0"/>
        <w:rPr>
          <w:rFonts w:ascii="Arial" w:cs="Arial" w:eastAsia="Arial" w:hAnsi="Arial"/>
          <w:sz w:val="17"/>
          <w:szCs w:val="17"/>
          <w:u w:val="single" w:color="auto"/>
          <w:color w:val="0000FF"/>
        </w:rPr>
      </w:pPr>
      <w:hyperlink r:id="rId183">
        <w:r>
          <w:rPr>
            <w:rFonts w:ascii="Arial" w:cs="Arial" w:eastAsia="Arial" w:hAnsi="Arial"/>
            <w:sz w:val="17"/>
            <w:szCs w:val="17"/>
            <w:u w:val="single" w:color="auto"/>
            <w:color w:val="0000FF"/>
          </w:rPr>
          <w:t>10.4</w:t>
        </w:r>
      </w:hyperlink>
    </w:p>
    <w:p>
      <w:pPr>
        <w:spacing w:after="0" w:line="125" w:lineRule="exact"/>
        <w:rPr>
          <w:sz w:val="20"/>
          <w:szCs w:val="20"/>
          <w:color w:val="auto"/>
        </w:rPr>
      </w:pPr>
    </w:p>
    <w:p>
      <w:pPr>
        <w:ind w:left="200"/>
        <w:spacing w:after="0"/>
        <w:rPr>
          <w:rFonts w:ascii="Arial" w:cs="Arial" w:eastAsia="Arial" w:hAnsi="Arial"/>
          <w:sz w:val="17"/>
          <w:szCs w:val="17"/>
          <w:u w:val="single" w:color="auto"/>
          <w:color w:val="0000FF"/>
        </w:rPr>
      </w:pPr>
      <w:hyperlink r:id="rId184">
        <w:r>
          <w:rPr>
            <w:rFonts w:ascii="Arial" w:cs="Arial" w:eastAsia="Arial" w:hAnsi="Arial"/>
            <w:sz w:val="17"/>
            <w:szCs w:val="17"/>
            <w:u w:val="single" w:color="auto"/>
            <w:color w:val="0000FF"/>
          </w:rPr>
          <w:t>10.5</w:t>
        </w:r>
      </w:hyperlink>
    </w:p>
    <w:p>
      <w:pPr>
        <w:spacing w:after="0" w:line="164" w:lineRule="exact"/>
        <w:rPr>
          <w:sz w:val="20"/>
          <w:szCs w:val="20"/>
          <w:color w:val="auto"/>
        </w:rPr>
      </w:pPr>
    </w:p>
    <w:p>
      <w:pPr>
        <w:ind w:left="200"/>
        <w:spacing w:after="0"/>
        <w:rPr>
          <w:sz w:val="20"/>
          <w:szCs w:val="20"/>
          <w:color w:val="auto"/>
        </w:rPr>
      </w:pPr>
      <w:r>
        <w:rPr>
          <w:rFonts w:ascii="Arial" w:cs="Arial" w:eastAsia="Arial" w:hAnsi="Arial"/>
          <w:sz w:val="17"/>
          <w:szCs w:val="17"/>
          <w:u w:val="single" w:color="auto"/>
          <w:color w:val="0000FF"/>
        </w:rPr>
        <w:t>10.6</w:t>
      </w:r>
    </w:p>
    <w:p>
      <w:pPr>
        <w:spacing w:after="0" w:line="151" w:lineRule="exact"/>
        <w:rPr>
          <w:sz w:val="20"/>
          <w:szCs w:val="20"/>
          <w:color w:val="auto"/>
        </w:rPr>
      </w:pPr>
    </w:p>
    <w:p>
      <w:pPr>
        <w:ind w:left="200"/>
        <w:spacing w:after="0"/>
        <w:rPr>
          <w:rFonts w:ascii="Arial" w:cs="Arial" w:eastAsia="Arial" w:hAnsi="Arial"/>
          <w:sz w:val="17"/>
          <w:szCs w:val="17"/>
          <w:u w:val="single" w:color="auto"/>
          <w:color w:val="0000FF"/>
        </w:rPr>
      </w:pPr>
      <w:hyperlink r:id="rId185">
        <w:r>
          <w:rPr>
            <w:rFonts w:ascii="Arial" w:cs="Arial" w:eastAsia="Arial" w:hAnsi="Arial"/>
            <w:sz w:val="17"/>
            <w:szCs w:val="17"/>
            <w:u w:val="single" w:color="auto"/>
            <w:color w:val="0000FF"/>
          </w:rPr>
          <w:t>22.1</w:t>
        </w:r>
      </w:hyperlink>
    </w:p>
    <w:p>
      <w:pPr>
        <w:spacing w:after="0" w:line="164" w:lineRule="exact"/>
        <w:rPr>
          <w:sz w:val="20"/>
          <w:szCs w:val="20"/>
          <w:color w:val="auto"/>
        </w:rPr>
      </w:pPr>
    </w:p>
    <w:p>
      <w:pPr>
        <w:ind w:left="200"/>
        <w:spacing w:after="0"/>
        <w:rPr>
          <w:sz w:val="20"/>
          <w:szCs w:val="20"/>
          <w:color w:val="auto"/>
        </w:rPr>
      </w:pPr>
      <w:r>
        <w:rPr>
          <w:rFonts w:ascii="Arial" w:cs="Arial" w:eastAsia="Arial" w:hAnsi="Arial"/>
          <w:sz w:val="17"/>
          <w:szCs w:val="17"/>
          <w:u w:val="single" w:color="auto"/>
          <w:color w:val="0000FF"/>
        </w:rPr>
        <w:t>31.1</w:t>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17"/>
          <w:szCs w:val="17"/>
          <w:u w:val="single" w:color="auto"/>
          <w:color w:val="0000FF"/>
        </w:rPr>
        <w:t>31.2</w:t>
      </w:r>
    </w:p>
    <w:p>
      <w:pPr>
        <w:spacing w:after="0" w:line="331" w:lineRule="exact"/>
        <w:rPr>
          <w:sz w:val="20"/>
          <w:szCs w:val="20"/>
          <w:color w:val="auto"/>
        </w:rPr>
      </w:pPr>
    </w:p>
    <w:p>
      <w:pPr>
        <w:ind w:left="200"/>
        <w:spacing w:after="0"/>
        <w:rPr>
          <w:sz w:val="20"/>
          <w:szCs w:val="20"/>
          <w:color w:val="auto"/>
        </w:rPr>
      </w:pPr>
      <w:r>
        <w:rPr>
          <w:rFonts w:ascii="Arial" w:cs="Arial" w:eastAsia="Arial" w:hAnsi="Arial"/>
          <w:sz w:val="17"/>
          <w:szCs w:val="17"/>
          <w:u w:val="single" w:color="auto"/>
          <w:color w:val="0000FF"/>
        </w:rPr>
        <w:t>32.1</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7"/>
          <w:szCs w:val="17"/>
          <w:u w:val="single" w:color="auto"/>
          <w:color w:val="0000FF"/>
        </w:rPr>
        <w:t>32.2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59"/>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15240</wp:posOffset>
            </wp:positionV>
            <wp:extent cx="5280660" cy="586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5280660" cy="58674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Indenture, dated as of December 8, 2022, by and among</w:t>
      </w:r>
    </w:p>
    <w:p>
      <w:pPr>
        <w:spacing w:after="0" w:line="21"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Marriott Vacations Worldwide Corporation, as issuer, Marriott Ownership Resorts, Inc. and the other guarantors party thereto from time to time and The New York Bank</w:t>
      </w:r>
    </w:p>
    <w:p>
      <w:pPr>
        <w:spacing w:after="0"/>
        <w:rPr>
          <w:sz w:val="20"/>
          <w:szCs w:val="20"/>
          <w:color w:val="auto"/>
        </w:rPr>
      </w:pPr>
      <w:r>
        <w:rPr>
          <w:rFonts w:ascii="Arial" w:cs="Arial" w:eastAsia="Arial" w:hAnsi="Arial"/>
          <w:sz w:val="17"/>
          <w:szCs w:val="17"/>
          <w:color w:val="auto"/>
        </w:rPr>
        <w:t>of Mellon Trust Company, N.A., as trustee</w:t>
      </w:r>
    </w:p>
    <w:p>
      <w:pPr>
        <w:spacing w:after="0" w:line="34" w:lineRule="exact"/>
        <w:rPr>
          <w:sz w:val="20"/>
          <w:szCs w:val="20"/>
          <w:color w:val="auto"/>
        </w:rPr>
      </w:pPr>
    </w:p>
    <w:p>
      <w:pPr>
        <w:ind w:right="480"/>
        <w:spacing w:after="0" w:line="303" w:lineRule="auto"/>
        <w:rPr>
          <w:sz w:val="20"/>
          <w:szCs w:val="20"/>
          <w:color w:val="auto"/>
        </w:rPr>
      </w:pPr>
      <w:r>
        <w:rPr>
          <w:rFonts w:ascii="Arial" w:cs="Arial" w:eastAsia="Arial" w:hAnsi="Arial"/>
          <w:sz w:val="15"/>
          <w:szCs w:val="15"/>
          <w:color w:val="auto"/>
        </w:rPr>
        <w:t>Form of 3.25% Convertible Senior Notes due 2027 (included as Exhibit A to Exhibit 4.13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-6985</wp:posOffset>
            </wp:positionV>
            <wp:extent cx="528066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5280660" cy="1631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Description of Registered Securities</w:t>
      </w:r>
    </w:p>
    <w:p>
      <w:pPr>
        <w:spacing w:after="0" w:line="74"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Marriott Vacations Worldwide Corporation Change in Control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13970</wp:posOffset>
            </wp:positionV>
            <wp:extent cx="5280660" cy="5784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5280660" cy="57848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Amendment No. 2 to Credit Agreement dated as of April</w:t>
      </w:r>
    </w:p>
    <w:p>
      <w:pPr>
        <w:spacing w:after="0" w:line="10"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27, 2023, among Marriott Vacations Worldwide Corporation, Marriott Ownership Resorts, Inc., and JPMorgan Chase Bank, N.A., as administrative agent and</w:t>
      </w:r>
    </w:p>
    <w:p>
      <w:pPr>
        <w:spacing w:after="0"/>
        <w:rPr>
          <w:sz w:val="20"/>
          <w:szCs w:val="20"/>
          <w:color w:val="auto"/>
        </w:rPr>
      </w:pPr>
      <w:r>
        <w:rPr>
          <w:rFonts w:ascii="Arial" w:cs="Arial" w:eastAsia="Arial" w:hAnsi="Arial"/>
          <w:sz w:val="17"/>
          <w:szCs w:val="17"/>
          <w:color w:val="auto"/>
        </w:rPr>
        <w:t>collateral agent</w:t>
      </w:r>
    </w:p>
    <w:p>
      <w:pPr>
        <w:spacing w:after="0" w:line="9" w:lineRule="exact"/>
        <w:rPr>
          <w:sz w:val="20"/>
          <w:szCs w:val="20"/>
          <w:color w:val="auto"/>
        </w:rPr>
      </w:pPr>
    </w:p>
    <w:p>
      <w:pPr>
        <w:ind w:right="800"/>
        <w:spacing w:after="0" w:line="244" w:lineRule="auto"/>
        <w:rPr>
          <w:sz w:val="20"/>
          <w:szCs w:val="20"/>
          <w:color w:val="auto"/>
        </w:rPr>
      </w:pPr>
      <w:r>
        <w:rPr>
          <w:rFonts w:ascii="Arial" w:cs="Arial" w:eastAsia="Arial" w:hAnsi="Arial"/>
          <w:sz w:val="17"/>
          <w:szCs w:val="17"/>
          <w:color w:val="auto"/>
        </w:rPr>
        <w:t>Form of Non-Employee Director Share Award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0</wp:posOffset>
            </wp:positionV>
            <wp:extent cx="5280660" cy="2527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5280660" cy="252730"/>
                    </a:xfrm>
                    <a:prstGeom prst="rect">
                      <a:avLst/>
                    </a:prstGeom>
                    <a:noFill/>
                  </pic:spPr>
                </pic:pic>
              </a:graphicData>
            </a:graphic>
          </wp:anchor>
        </w:drawing>
      </w:r>
    </w:p>
    <w:p>
      <w:pPr>
        <w:ind w:right="340"/>
        <w:spacing w:after="0" w:line="246" w:lineRule="auto"/>
        <w:rPr>
          <w:sz w:val="20"/>
          <w:szCs w:val="20"/>
          <w:color w:val="auto"/>
        </w:rPr>
      </w:pPr>
      <w:r>
        <w:rPr>
          <w:rFonts w:ascii="Arial" w:cs="Arial" w:eastAsia="Arial" w:hAnsi="Arial"/>
          <w:sz w:val="17"/>
          <w:szCs w:val="17"/>
          <w:color w:val="auto"/>
        </w:rPr>
        <w:t>Form of Non-Employee Director Stock Appreciation Right Award Agreement*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Form of Director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30480</wp:posOffset>
            </wp:positionV>
            <wp:extent cx="5280660" cy="2851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5280660" cy="285115"/>
                    </a:xfrm>
                    <a:prstGeom prst="rect">
                      <a:avLst/>
                    </a:prstGeom>
                    <a:noFill/>
                  </pic:spPr>
                </pic:pic>
              </a:graphicData>
            </a:graphic>
          </wp:anchor>
        </w:drawing>
      </w:r>
    </w:p>
    <w:p>
      <w:pPr>
        <w:spacing w:after="0" w:line="54"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auto"/>
        </w:rPr>
        <w:t>Amended and Restated Marriott Vacations Worldwide Corporation 2020 Equity Incentive Plan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List of the Issuer and its Guarantor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30480</wp:posOffset>
            </wp:positionV>
            <wp:extent cx="5280660" cy="2851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5280660" cy="285115"/>
                    </a:xfrm>
                    <a:prstGeom prst="rect">
                      <a:avLst/>
                    </a:prstGeom>
                    <a:noFill/>
                  </pic:spPr>
                </pic:pic>
              </a:graphicData>
            </a:graphic>
          </wp:anchor>
        </w:drawing>
      </w:r>
    </w:p>
    <w:p>
      <w:pPr>
        <w:spacing w:after="0" w:line="54" w:lineRule="exact"/>
        <w:rPr>
          <w:sz w:val="20"/>
          <w:szCs w:val="20"/>
          <w:color w:val="auto"/>
        </w:rPr>
      </w:pPr>
    </w:p>
    <w:p>
      <w:pPr>
        <w:ind w:right="200"/>
        <w:spacing w:after="0" w:line="311" w:lineRule="auto"/>
        <w:rPr>
          <w:sz w:val="20"/>
          <w:szCs w:val="20"/>
          <w:color w:val="auto"/>
        </w:rPr>
      </w:pPr>
      <w:r>
        <w:rPr>
          <w:rFonts w:ascii="Arial" w:cs="Arial" w:eastAsia="Arial" w:hAnsi="Arial"/>
          <w:sz w:val="15"/>
          <w:szCs w:val="15"/>
          <w:color w:val="auto"/>
        </w:rPr>
        <w:t>Certification by Chief Executive Officer Pursuant to Rule 13a-14(a) of the Securities Exchange Act of 1934</w:t>
      </w:r>
    </w:p>
    <w:p>
      <w:pPr>
        <w:spacing w:after="0" w:line="2" w:lineRule="exact"/>
        <w:rPr>
          <w:sz w:val="20"/>
          <w:szCs w:val="20"/>
          <w:color w:val="auto"/>
        </w:rPr>
      </w:pPr>
    </w:p>
    <w:p>
      <w:pPr>
        <w:ind w:right="200"/>
        <w:spacing w:after="0" w:line="311" w:lineRule="auto"/>
        <w:rPr>
          <w:sz w:val="20"/>
          <w:szCs w:val="20"/>
          <w:color w:val="auto"/>
        </w:rPr>
      </w:pPr>
      <w:r>
        <w:rPr>
          <w:rFonts w:ascii="Arial" w:cs="Arial" w:eastAsia="Arial" w:hAnsi="Arial"/>
          <w:sz w:val="15"/>
          <w:szCs w:val="15"/>
          <w:color w:val="auto"/>
        </w:rPr>
        <w:t>Certification by Chief Financial Officer Pursuant to Rule 13a-14(a)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-14605</wp:posOffset>
            </wp:positionV>
            <wp:extent cx="5280660" cy="391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5280660" cy="391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Certification by Chief Executive Officer Pursuant to 18</w:t>
      </w:r>
    </w:p>
    <w:p>
      <w:pPr>
        <w:spacing w:after="0" w:line="10"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U.S.C. Section 1350, as Adopted Pursuant to Section 906 of the Sarbanes-Oxley Act of 2002</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Certification by Chief Financial Officer Pursuant to 18</w:t>
      </w:r>
    </w:p>
    <w:p>
      <w:pPr>
        <w:spacing w:after="0" w:line="10"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17780</wp:posOffset>
            </wp:positionV>
            <wp:extent cx="5280660" cy="6115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5280660" cy="611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Filed</w:t>
      </w:r>
    </w:p>
    <w:p>
      <w:pPr>
        <w:jc w:val="center"/>
        <w:spacing w:after="0"/>
        <w:rPr>
          <w:sz w:val="20"/>
          <w:szCs w:val="20"/>
          <w:color w:val="auto"/>
        </w:rPr>
      </w:pPr>
      <w:r>
        <w:rPr>
          <w:rFonts w:ascii="Arial" w:cs="Arial" w:eastAsia="Arial" w:hAnsi="Arial"/>
          <w:sz w:val="12"/>
          <w:szCs w:val="12"/>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X</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Incorporation By Reference From</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Form</w:t>
            </w: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b w:val="1"/>
                <w:bCs w:val="1"/>
                <w:color w:val="auto"/>
              </w:rPr>
              <w:t>Exhibit</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5"/>
                <w:szCs w:val="15"/>
                <w:b w:val="1"/>
                <w:bCs w:val="1"/>
                <w:color w:val="auto"/>
              </w:rPr>
              <w:t>Date Filed</w:t>
            </w:r>
          </w:p>
        </w:tc>
      </w:tr>
      <w:tr>
        <w:trPr>
          <w:trHeight w:val="559"/>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12/8/2022</w:t>
            </w:r>
          </w:p>
        </w:tc>
      </w:tr>
      <w:tr>
        <w:trPr>
          <w:trHeight w:val="680"/>
        </w:trPr>
        <w:tc>
          <w:tcPr>
            <w:tcW w:w="76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8-K</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12/8/2022</w:t>
            </w:r>
          </w:p>
        </w:tc>
      </w:tr>
      <w:tr>
        <w:trPr>
          <w:trHeight w:val="347"/>
        </w:trPr>
        <w:tc>
          <w:tcPr>
            <w:tcW w:w="760" w:type="dxa"/>
            <w:vAlign w:val="bottom"/>
            <w:gridSpan w:val="2"/>
          </w:tcPr>
          <w:p>
            <w:pPr>
              <w:jc w:val="center"/>
              <w:ind w:right="120"/>
              <w:spacing w:after="0"/>
              <w:rPr>
                <w:sz w:val="20"/>
                <w:szCs w:val="20"/>
                <w:color w:val="auto"/>
              </w:rPr>
            </w:pPr>
            <w:r>
              <w:rPr>
                <w:rFonts w:ascii="Arial" w:cs="Arial" w:eastAsia="Arial" w:hAnsi="Arial"/>
                <w:sz w:val="17"/>
                <w:szCs w:val="17"/>
                <w:color w:val="auto"/>
              </w:rPr>
              <w:t>10-K</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4.16</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3/2/2020</w:t>
            </w:r>
          </w:p>
        </w:tc>
      </w:tr>
      <w:tr>
        <w:trPr>
          <w:trHeight w:val="359"/>
        </w:trPr>
        <w:tc>
          <w:tcPr>
            <w:tcW w:w="76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10-Q</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05/5/2023</w:t>
            </w:r>
          </w:p>
        </w:tc>
      </w:tr>
      <w:tr>
        <w:trPr>
          <w:trHeight w:val="680"/>
        </w:trPr>
        <w:tc>
          <w:tcPr>
            <w:tcW w:w="76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10-Q</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08/4/2023</w:t>
            </w:r>
          </w:p>
        </w:tc>
      </w:tr>
      <w:tr>
        <w:trPr>
          <w:trHeight w:val="655"/>
        </w:trPr>
        <w:tc>
          <w:tcPr>
            <w:tcW w:w="76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10-Q</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10.3</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08/4/2023</w:t>
            </w:r>
          </w:p>
        </w:tc>
      </w:tr>
      <w:tr>
        <w:trPr>
          <w:trHeight w:val="398"/>
        </w:trPr>
        <w:tc>
          <w:tcPr>
            <w:tcW w:w="76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10-Q</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10.4</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08/4/2023</w:t>
            </w:r>
          </w:p>
        </w:tc>
      </w:tr>
      <w:tr>
        <w:trPr>
          <w:trHeight w:val="321"/>
        </w:trPr>
        <w:tc>
          <w:tcPr>
            <w:tcW w:w="76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10-Q</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10.5</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08/4/2023</w:t>
            </w:r>
          </w:p>
        </w:tc>
      </w:tr>
      <w:tr>
        <w:trPr>
          <w:trHeight w:val="706"/>
        </w:trPr>
        <w:tc>
          <w:tcPr>
            <w:tcW w:w="76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10-Q</w:t>
            </w: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22.1</w:t>
            </w:r>
          </w:p>
        </w:tc>
        <w:tc>
          <w:tcPr>
            <w:tcW w:w="1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08/4/2023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Furnished</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Furnished</w:t>
      </w:r>
    </w:p>
    <w:p>
      <w:pPr>
        <w:spacing w:after="0" w:line="253" w:lineRule="exact"/>
        <w:rPr>
          <w:sz w:val="20"/>
          <w:szCs w:val="20"/>
          <w:color w:val="auto"/>
        </w:rPr>
      </w:pPr>
    </w:p>
    <w:p>
      <w:pPr>
        <w:sectPr>
          <w:pgSz w:w="11900" w:h="16838" w:orient="portrait"/>
          <w:cols w:equalWidth="0" w:num="4">
            <w:col w:w="600" w:space="220"/>
            <w:col w:w="3980" w:space="260"/>
            <w:col w:w="580" w:space="200"/>
            <w:col w:w="4299"/>
          </w:cols>
          <w:pgMar w:left="320" w:top="230" w:right="1440" w:bottom="1440" w:gutter="0" w:footer="0" w:header="0"/>
          <w:type w:val="continuous"/>
        </w:sectPr>
      </w:pPr>
    </w:p>
    <w:p>
      <w:pPr>
        <w:ind w:left="820" w:right="2039"/>
        <w:spacing w:after="0" w:line="250" w:lineRule="auto"/>
        <w:rPr>
          <w:sz w:val="20"/>
          <w:szCs w:val="20"/>
          <w:color w:val="auto"/>
        </w:rPr>
      </w:pPr>
      <w:r>
        <w:rPr>
          <w:rFonts w:ascii="Arial" w:cs="Arial" w:eastAsia="Arial" w:hAnsi="Arial"/>
          <w:sz w:val="15"/>
          <w:szCs w:val="15"/>
          <w:color w:val="auto"/>
        </w:rPr>
        <w:t>The following financial statements from the Company’s Quarterly Report on Form 10-Q for the quarter ended September 30, 2023, formatted in Inline XBRL: (i) Interim Consolidated Statements of Income, (ii)</w:t>
      </w:r>
    </w:p>
    <w:p>
      <w:pPr>
        <w:spacing w:after="0" w:line="1" w:lineRule="exact"/>
        <w:rPr>
          <w:sz w:val="20"/>
          <w:szCs w:val="20"/>
          <w:color w:val="auto"/>
        </w:rPr>
      </w:pPr>
    </w:p>
    <w:p>
      <w:pPr>
        <w:ind w:left="820" w:right="1959" w:hanging="606"/>
        <w:spacing w:after="0" w:line="241" w:lineRule="auto"/>
        <w:tabs>
          <w:tab w:leader="none" w:pos="8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Interim Consolidated Statements of Comprehensive Income, (iii) Interim Consolidated Balance Sheets, (iv) Interim Consolidated Statements of Cash Flows, (v) Interim Consolidated Statements of Shareholders’</w:t>
      </w:r>
    </w:p>
    <w:p>
      <w:pPr>
        <w:sectPr>
          <w:pgSz w:w="11900" w:h="16838" w:orient="portrait"/>
          <w:cols w:equalWidth="0" w:num="1">
            <w:col w:w="10139"/>
          </w:cols>
          <w:pgMar w:left="320" w:top="230" w:right="1440" w:bottom="1440" w:gutter="0" w:footer="0" w:header="0"/>
          <w:type w:val="continuous"/>
        </w:sectPr>
      </w:pPr>
    </w:p>
    <w:p>
      <w:pPr>
        <w:spacing w:after="0" w:line="32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104</w:t>
      </w: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Equity, and (vi) Notes to Interim Consolidated Financial Statements</w:t>
      </w:r>
    </w:p>
    <w:p>
      <w:pPr>
        <w:spacing w:after="0" w:line="34" w:lineRule="exact"/>
        <w:rPr>
          <w:sz w:val="20"/>
          <w:szCs w:val="20"/>
          <w:color w:val="auto"/>
        </w:rPr>
      </w:pPr>
    </w:p>
    <w:p>
      <w:pPr>
        <w:ind w:right="2079"/>
        <w:spacing w:after="0" w:line="246" w:lineRule="auto"/>
        <w:rPr>
          <w:sz w:val="20"/>
          <w:szCs w:val="20"/>
          <w:color w:val="auto"/>
        </w:rPr>
      </w:pPr>
      <w:r>
        <w:rPr>
          <w:rFonts w:ascii="Arial" w:cs="Arial" w:eastAsia="Arial" w:hAnsi="Arial"/>
          <w:sz w:val="17"/>
          <w:szCs w:val="17"/>
          <w:color w:val="auto"/>
        </w:rPr>
        <w:t>The cover page from the Company’s Quarterly Report on Form 10-Q for the quarter ended September 30, 2023, formatted in Inline XBRL and contained in Exhibit 101</w:t>
      </w:r>
    </w:p>
    <w:p>
      <w:pPr>
        <w:spacing w:after="0" w:line="228" w:lineRule="exact"/>
        <w:rPr>
          <w:sz w:val="20"/>
          <w:szCs w:val="20"/>
          <w:color w:val="auto"/>
        </w:rPr>
      </w:pPr>
    </w:p>
    <w:p>
      <w:pPr>
        <w:ind w:left="40" w:right="1879"/>
        <w:spacing w:after="0" w:line="235" w:lineRule="auto"/>
        <w:rPr>
          <w:sz w:val="20"/>
          <w:szCs w:val="20"/>
          <w:color w:val="auto"/>
        </w:rPr>
      </w:pPr>
      <w:r>
        <w:rPr>
          <w:rFonts w:ascii="Arial" w:cs="Arial" w:eastAsia="Arial" w:hAnsi="Arial"/>
          <w:sz w:val="17"/>
          <w:szCs w:val="17"/>
          <w:color w:val="auto"/>
        </w:rPr>
        <w:t>Schedules have been omitted pursuant to Item 601(b)(2) of Regulation S-K. The Company agrees to furnish supplemental copies to the SEC of any omitted schedule upon request by the SEC.</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Management contract or compensatory plan or arrangement.</w:t>
      </w:r>
    </w:p>
    <w:p>
      <w:pPr>
        <w:spacing w:after="0" w:line="200" w:lineRule="exact"/>
        <w:rPr>
          <w:sz w:val="20"/>
          <w:szCs w:val="20"/>
          <w:color w:val="auto"/>
        </w:rPr>
      </w:pPr>
    </w:p>
    <w:p>
      <w:pPr>
        <w:sectPr>
          <w:pgSz w:w="11900" w:h="16838" w:orient="portrait"/>
          <w:cols w:equalWidth="0" w:num="2">
            <w:col w:w="480" w:space="340"/>
            <w:col w:w="9319"/>
          </w:cols>
          <w:pgMar w:left="320" w:top="230" w:right="1440" w:bottom="1440" w:gutter="0" w:footer="0" w:header="0"/>
          <w:type w:val="continuous"/>
        </w:sectPr>
      </w:pPr>
    </w:p>
    <w:p>
      <w:pPr>
        <w:spacing w:after="0" w:line="169"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285750</wp:posOffset>
            </wp:positionV>
            <wp:extent cx="7164705"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type w:val="continuous"/>
        </w:sectPr>
      </w:pPr>
    </w:p>
    <w:bookmarkStart w:id="71" w:name="page72"/>
    <w:bookmarkEnd w:id="71"/>
    <w:p>
      <w:pPr>
        <w:ind w:left="5380"/>
        <w:spacing w:after="0"/>
        <w:rPr>
          <w:sz w:val="20"/>
          <w:szCs w:val="20"/>
          <w:color w:val="auto"/>
        </w:rPr>
      </w:pPr>
      <w:r>
        <w:rPr>
          <w:rFonts w:ascii="Arial" w:cs="Arial" w:eastAsia="Arial" w:hAnsi="Arial"/>
          <w:sz w:val="17"/>
          <w:szCs w:val="17"/>
          <w:b w:val="1"/>
          <w:bCs w:val="1"/>
          <w:color w:val="auto"/>
        </w:rPr>
        <w:t>SIGNATURES</w:t>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0"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7"/>
                <w:szCs w:val="17"/>
                <w:color w:val="auto"/>
              </w:rPr>
              <w:t>MARRIOTT VACATIONS WORLDWIDE CORPORATION</w:t>
            </w:r>
          </w:p>
        </w:tc>
      </w:tr>
      <w:tr>
        <w:trPr>
          <w:trHeight w:val="514"/>
        </w:trPr>
        <w:tc>
          <w:tcPr>
            <w:tcW w:w="3160" w:type="dxa"/>
            <w:vAlign w:val="bottom"/>
          </w:tcPr>
          <w:p>
            <w:pPr>
              <w:spacing w:after="0"/>
              <w:rPr>
                <w:sz w:val="20"/>
                <w:szCs w:val="20"/>
                <w:color w:val="auto"/>
              </w:rPr>
            </w:pPr>
            <w:r>
              <w:rPr>
                <w:rFonts w:ascii="Arial" w:cs="Arial" w:eastAsia="Arial" w:hAnsi="Arial"/>
                <w:sz w:val="17"/>
                <w:szCs w:val="17"/>
                <w:color w:val="auto"/>
              </w:rPr>
              <w:t>Date:   November 3, 2023</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John E. Geller, Jr.</w:t>
            </w:r>
          </w:p>
        </w:tc>
      </w:tr>
      <w:tr>
        <w:trPr>
          <w:trHeight w:val="236"/>
        </w:trPr>
        <w:tc>
          <w:tcPr>
            <w:tcW w:w="31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7"/>
                <w:szCs w:val="17"/>
                <w:color w:val="auto"/>
              </w:rPr>
              <w:t>John E. Geller, Jr.</w:t>
            </w:r>
          </w:p>
        </w:tc>
      </w:tr>
      <w:tr>
        <w:trPr>
          <w:trHeight w:val="257"/>
        </w:trPr>
        <w:tc>
          <w:tcPr>
            <w:tcW w:w="316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r>
        <w:trPr>
          <w:trHeight w:val="514"/>
        </w:trPr>
        <w:tc>
          <w:tcPr>
            <w:tcW w:w="3160" w:type="dxa"/>
            <w:vAlign w:val="bottom"/>
          </w:tcPr>
          <w:p>
            <w:pPr>
              <w:spacing w:after="0"/>
              <w:rPr>
                <w:sz w:val="24"/>
                <w:szCs w:val="24"/>
                <w:color w:val="auto"/>
              </w:rPr>
            </w:pP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Jason P. Marino</w:t>
            </w:r>
          </w:p>
        </w:tc>
      </w:tr>
      <w:tr>
        <w:trPr>
          <w:trHeight w:val="236"/>
        </w:trPr>
        <w:tc>
          <w:tcPr>
            <w:tcW w:w="31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7"/>
                <w:szCs w:val="17"/>
                <w:color w:val="auto"/>
              </w:rPr>
              <w:t>Jason P. Marino</w:t>
            </w:r>
          </w:p>
        </w:tc>
      </w:tr>
      <w:tr>
        <w:trPr>
          <w:trHeight w:val="257"/>
        </w:trPr>
        <w:tc>
          <w:tcPr>
            <w:tcW w:w="316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552"/>
        </w:trPr>
        <w:tc>
          <w:tcPr>
            <w:tcW w:w="3160" w:type="dxa"/>
            <w:vAlign w:val="bottom"/>
          </w:tcPr>
          <w:p>
            <w:pPr>
              <w:spacing w:after="0"/>
              <w:rPr>
                <w:sz w:val="24"/>
                <w:szCs w:val="24"/>
                <w:color w:val="auto"/>
              </w:rPr>
            </w:pPr>
          </w:p>
        </w:tc>
        <w:tc>
          <w:tcPr>
            <w:tcW w:w="5140" w:type="dxa"/>
            <w:vAlign w:val="bottom"/>
          </w:tcPr>
          <w:p>
            <w:pPr>
              <w:ind w:left="1200"/>
              <w:spacing w:after="0"/>
              <w:rPr>
                <w:sz w:val="20"/>
                <w:szCs w:val="20"/>
                <w:color w:val="auto"/>
              </w:rPr>
            </w:pPr>
            <w:r>
              <w:rPr>
                <w:rFonts w:ascii="Arial" w:cs="Arial" w:eastAsia="Arial" w:hAnsi="Arial"/>
                <w:sz w:val="17"/>
                <w:szCs w:val="17"/>
                <w:color w:val="auto"/>
              </w:rPr>
              <w:t>70</w:t>
            </w:r>
          </w:p>
        </w:tc>
      </w:tr>
    </w:tbl>
    <w:p>
      <w:pPr>
        <w:sectPr>
          <w:pgSz w:w="11900" w:h="16838" w:orient="portrait"/>
          <w:cols w:equalWidth="0" w:num="1">
            <w:col w:w="10640"/>
          </w:cols>
          <w:pgMar w:left="320" w:top="1122" w:right="939" w:bottom="1440" w:gutter="0" w:footer="0" w:header="0"/>
        </w:sectPr>
      </w:pPr>
    </w:p>
    <w:bookmarkStart w:id="72" w:name="page73"/>
    <w:bookmarkEnd w:id="72"/>
    <w:p>
      <w:pPr>
        <w:jc w:val="right"/>
        <w:spacing w:after="0"/>
        <w:rPr>
          <w:sz w:val="20"/>
          <w:szCs w:val="20"/>
          <w:color w:val="auto"/>
        </w:rPr>
      </w:pPr>
      <w:r>
        <w:rPr>
          <w:rFonts w:ascii="Arial" w:cs="Arial" w:eastAsia="Arial" w:hAnsi="Arial"/>
          <w:sz w:val="19"/>
          <w:szCs w:val="19"/>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40"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2020 Equity Incentive Plan</w:t>
      </w:r>
    </w:p>
    <w:p>
      <w:pPr>
        <w:sectPr>
          <w:pgSz w:w="11900" w:h="16838" w:orient="portrait"/>
          <w:cols w:equalWidth="0" w:num="1">
            <w:col w:w="10120"/>
          </w:cols>
          <w:pgMar w:left="1440" w:top="118" w:right="339" w:bottom="1440" w:gutter="0" w:footer="0" w:header="0"/>
        </w:sectPr>
      </w:pPr>
    </w:p>
    <w:bookmarkStart w:id="73" w:name="page74"/>
    <w:bookmarkEnd w:id="73"/>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740" w:type="dxa"/>
            <w:vAlign w:val="bottom"/>
            <w:gridSpan w:val="3"/>
          </w:tcPr>
          <w:p>
            <w:pPr>
              <w:spacing w:after="0"/>
              <w:rPr>
                <w:sz w:val="20"/>
                <w:szCs w:val="20"/>
                <w:color w:val="auto"/>
              </w:rPr>
            </w:pPr>
            <w:r>
              <w:rPr>
                <w:rFonts w:ascii="Arial" w:cs="Arial" w:eastAsia="Arial" w:hAnsi="Arial"/>
                <w:sz w:val="17"/>
                <w:szCs w:val="17"/>
                <w:color w:val="auto"/>
              </w:rPr>
              <w:t>Article 1. Establishment, Objectives, and Duration</w:t>
            </w:r>
          </w:p>
        </w:tc>
        <w:tc>
          <w:tcPr>
            <w:tcW w:w="40" w:type="dxa"/>
            <w:vAlign w:val="bottom"/>
          </w:tcPr>
          <w:p>
            <w:pPr>
              <w:spacing w:after="0"/>
              <w:rPr>
                <w:sz w:val="16"/>
                <w:szCs w:val="16"/>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10740" w:type="dxa"/>
            <w:vAlign w:val="bottom"/>
            <w:gridSpan w:val="3"/>
          </w:tcPr>
          <w:p>
            <w:pPr>
              <w:spacing w:after="0"/>
              <w:rPr>
                <w:sz w:val="20"/>
                <w:szCs w:val="20"/>
                <w:color w:val="auto"/>
              </w:rPr>
            </w:pPr>
            <w:r>
              <w:rPr>
                <w:rFonts w:ascii="Arial" w:cs="Arial" w:eastAsia="Arial" w:hAnsi="Arial"/>
                <w:sz w:val="17"/>
                <w:szCs w:val="17"/>
                <w:color w:val="auto"/>
              </w:rPr>
              <w:t>Article 2. Definitions</w:t>
            </w:r>
          </w:p>
        </w:tc>
        <w:tc>
          <w:tcPr>
            <w:tcW w:w="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10740" w:type="dxa"/>
            <w:vAlign w:val="bottom"/>
            <w:gridSpan w:val="3"/>
          </w:tcPr>
          <w:p>
            <w:pPr>
              <w:spacing w:after="0"/>
              <w:rPr>
                <w:sz w:val="20"/>
                <w:szCs w:val="20"/>
                <w:color w:val="auto"/>
              </w:rPr>
            </w:pPr>
            <w:r>
              <w:rPr>
                <w:rFonts w:ascii="Arial" w:cs="Arial" w:eastAsia="Arial" w:hAnsi="Arial"/>
                <w:sz w:val="17"/>
                <w:szCs w:val="17"/>
                <w:color w:val="auto"/>
              </w:rPr>
              <w:t>Article 3. Administration</w:t>
            </w:r>
          </w:p>
        </w:tc>
        <w:tc>
          <w:tcPr>
            <w:tcW w:w="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10740" w:type="dxa"/>
            <w:vAlign w:val="bottom"/>
            <w:gridSpan w:val="3"/>
          </w:tcPr>
          <w:p>
            <w:pPr>
              <w:spacing w:after="0"/>
              <w:rPr>
                <w:sz w:val="20"/>
                <w:szCs w:val="20"/>
                <w:color w:val="auto"/>
              </w:rPr>
            </w:pPr>
            <w:r>
              <w:rPr>
                <w:rFonts w:ascii="Arial" w:cs="Arial" w:eastAsia="Arial" w:hAnsi="Arial"/>
                <w:sz w:val="17"/>
                <w:szCs w:val="17"/>
                <w:color w:val="auto"/>
              </w:rPr>
              <w:t>Article 4. Shares Subject to the Plan</w:t>
            </w:r>
          </w:p>
        </w:tc>
        <w:tc>
          <w:tcPr>
            <w:tcW w:w="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10740" w:type="dxa"/>
            <w:vAlign w:val="bottom"/>
            <w:gridSpan w:val="3"/>
          </w:tcPr>
          <w:p>
            <w:pPr>
              <w:spacing w:after="0"/>
              <w:rPr>
                <w:sz w:val="20"/>
                <w:szCs w:val="20"/>
                <w:color w:val="auto"/>
              </w:rPr>
            </w:pPr>
            <w:r>
              <w:rPr>
                <w:rFonts w:ascii="Arial" w:cs="Arial" w:eastAsia="Arial" w:hAnsi="Arial"/>
                <w:sz w:val="17"/>
                <w:szCs w:val="17"/>
                <w:color w:val="auto"/>
              </w:rPr>
              <w:t>Article 5. Eligibility and Participation</w:t>
            </w:r>
          </w:p>
        </w:tc>
        <w:tc>
          <w:tcPr>
            <w:tcW w:w="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60" w:type="dxa"/>
            <w:vAlign w:val="bottom"/>
          </w:tcPr>
          <w:p>
            <w:pPr>
              <w:spacing w:after="0"/>
              <w:rPr>
                <w:sz w:val="20"/>
                <w:szCs w:val="20"/>
                <w:color w:val="auto"/>
              </w:rPr>
            </w:pPr>
            <w:r>
              <w:rPr>
                <w:rFonts w:ascii="Arial" w:cs="Arial" w:eastAsia="Arial" w:hAnsi="Arial"/>
                <w:sz w:val="17"/>
                <w:szCs w:val="17"/>
                <w:color w:val="auto"/>
                <w:w w:val="96"/>
              </w:rPr>
              <w:t>Article 6.</w:t>
            </w:r>
          </w:p>
        </w:tc>
        <w:tc>
          <w:tcPr>
            <w:tcW w:w="10080" w:type="dxa"/>
            <w:vAlign w:val="bottom"/>
            <w:gridSpan w:val="2"/>
          </w:tcPr>
          <w:p>
            <w:pPr>
              <w:ind w:left="20"/>
              <w:spacing w:after="0"/>
              <w:rPr>
                <w:sz w:val="20"/>
                <w:szCs w:val="20"/>
                <w:color w:val="auto"/>
              </w:rPr>
            </w:pPr>
            <w:r>
              <w:rPr>
                <w:rFonts w:ascii="Arial" w:cs="Arial" w:eastAsia="Arial" w:hAnsi="Arial"/>
                <w:sz w:val="17"/>
                <w:szCs w:val="17"/>
                <w:color w:val="auto"/>
              </w:rPr>
              <w:t>SARs and Stock Options</w:t>
            </w:r>
          </w:p>
        </w:tc>
        <w:tc>
          <w:tcPr>
            <w:tcW w:w="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60" w:type="dxa"/>
            <w:vAlign w:val="bottom"/>
          </w:tcPr>
          <w:p>
            <w:pPr>
              <w:spacing w:after="0"/>
              <w:rPr>
                <w:sz w:val="20"/>
                <w:szCs w:val="20"/>
                <w:color w:val="auto"/>
              </w:rPr>
            </w:pPr>
            <w:r>
              <w:rPr>
                <w:rFonts w:ascii="Arial" w:cs="Arial" w:eastAsia="Arial" w:hAnsi="Arial"/>
                <w:sz w:val="17"/>
                <w:szCs w:val="17"/>
                <w:color w:val="auto"/>
                <w:w w:val="96"/>
              </w:rPr>
              <w:t>Article 7.</w:t>
            </w:r>
          </w:p>
        </w:tc>
        <w:tc>
          <w:tcPr>
            <w:tcW w:w="10080" w:type="dxa"/>
            <w:vAlign w:val="bottom"/>
            <w:gridSpan w:val="2"/>
          </w:tcPr>
          <w:p>
            <w:pPr>
              <w:ind w:left="20"/>
              <w:spacing w:after="0"/>
              <w:rPr>
                <w:sz w:val="20"/>
                <w:szCs w:val="20"/>
                <w:color w:val="auto"/>
              </w:rPr>
            </w:pPr>
            <w:r>
              <w:rPr>
                <w:rFonts w:ascii="Arial" w:cs="Arial" w:eastAsia="Arial" w:hAnsi="Arial"/>
                <w:sz w:val="17"/>
                <w:szCs w:val="17"/>
                <w:color w:val="auto"/>
              </w:rPr>
              <w:t>Restricted Stock</w:t>
            </w: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10</w:t>
            </w:r>
          </w:p>
        </w:tc>
      </w:tr>
      <w:tr>
        <w:trPr>
          <w:trHeight w:val="198"/>
        </w:trPr>
        <w:tc>
          <w:tcPr>
            <w:tcW w:w="660" w:type="dxa"/>
            <w:vAlign w:val="bottom"/>
          </w:tcPr>
          <w:p>
            <w:pPr>
              <w:spacing w:after="0"/>
              <w:rPr>
                <w:sz w:val="20"/>
                <w:szCs w:val="20"/>
                <w:color w:val="auto"/>
              </w:rPr>
            </w:pPr>
            <w:r>
              <w:rPr>
                <w:rFonts w:ascii="Arial" w:cs="Arial" w:eastAsia="Arial" w:hAnsi="Arial"/>
                <w:sz w:val="17"/>
                <w:szCs w:val="17"/>
                <w:color w:val="auto"/>
                <w:w w:val="96"/>
              </w:rPr>
              <w:t>Article 8.</w:t>
            </w:r>
          </w:p>
        </w:tc>
        <w:tc>
          <w:tcPr>
            <w:tcW w:w="10080" w:type="dxa"/>
            <w:vAlign w:val="bottom"/>
            <w:gridSpan w:val="2"/>
          </w:tcPr>
          <w:p>
            <w:pPr>
              <w:ind w:left="20"/>
              <w:spacing w:after="0"/>
              <w:rPr>
                <w:sz w:val="20"/>
                <w:szCs w:val="20"/>
                <w:color w:val="auto"/>
              </w:rPr>
            </w:pPr>
            <w:r>
              <w:rPr>
                <w:rFonts w:ascii="Arial" w:cs="Arial" w:eastAsia="Arial" w:hAnsi="Arial"/>
                <w:sz w:val="17"/>
                <w:szCs w:val="17"/>
                <w:color w:val="auto"/>
              </w:rPr>
              <w:t>Restricted Stock Units</w:t>
            </w:r>
          </w:p>
        </w:tc>
        <w:tc>
          <w:tcPr>
            <w:tcW w:w="16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84"/>
              </w:rPr>
              <w:t>11</w:t>
            </w:r>
          </w:p>
        </w:tc>
        <w:tc>
          <w:tcPr>
            <w:tcW w:w="20" w:type="dxa"/>
            <w:vAlign w:val="bottom"/>
          </w:tcPr>
          <w:p>
            <w:pPr>
              <w:spacing w:after="0"/>
              <w:rPr>
                <w:sz w:val="17"/>
                <w:szCs w:val="17"/>
                <w:color w:val="auto"/>
              </w:rPr>
            </w:pPr>
          </w:p>
        </w:tc>
      </w:tr>
      <w:tr>
        <w:trPr>
          <w:trHeight w:val="198"/>
        </w:trPr>
        <w:tc>
          <w:tcPr>
            <w:tcW w:w="660" w:type="dxa"/>
            <w:vAlign w:val="bottom"/>
          </w:tcPr>
          <w:p>
            <w:pPr>
              <w:spacing w:after="0"/>
              <w:rPr>
                <w:sz w:val="20"/>
                <w:szCs w:val="20"/>
                <w:color w:val="auto"/>
              </w:rPr>
            </w:pPr>
            <w:r>
              <w:rPr>
                <w:rFonts w:ascii="Arial" w:cs="Arial" w:eastAsia="Arial" w:hAnsi="Arial"/>
                <w:sz w:val="17"/>
                <w:szCs w:val="17"/>
                <w:color w:val="auto"/>
                <w:w w:val="96"/>
              </w:rPr>
              <w:t>Article 9.</w:t>
            </w:r>
          </w:p>
        </w:tc>
        <w:tc>
          <w:tcPr>
            <w:tcW w:w="10080" w:type="dxa"/>
            <w:vAlign w:val="bottom"/>
            <w:gridSpan w:val="2"/>
          </w:tcPr>
          <w:p>
            <w:pPr>
              <w:ind w:left="20"/>
              <w:spacing w:after="0"/>
              <w:rPr>
                <w:sz w:val="20"/>
                <w:szCs w:val="20"/>
                <w:color w:val="auto"/>
              </w:rPr>
            </w:pPr>
            <w:r>
              <w:rPr>
                <w:rFonts w:ascii="Arial" w:cs="Arial" w:eastAsia="Arial" w:hAnsi="Arial"/>
                <w:sz w:val="17"/>
                <w:szCs w:val="17"/>
                <w:color w:val="auto"/>
              </w:rPr>
              <w:t>Other Share-Based Awards</w:t>
            </w: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12</w:t>
            </w:r>
          </w:p>
        </w:tc>
      </w:tr>
      <w:tr>
        <w:trPr>
          <w:trHeight w:val="198"/>
        </w:trPr>
        <w:tc>
          <w:tcPr>
            <w:tcW w:w="10740" w:type="dxa"/>
            <w:vAlign w:val="bottom"/>
            <w:gridSpan w:val="3"/>
          </w:tcPr>
          <w:p>
            <w:pPr>
              <w:spacing w:after="0"/>
              <w:rPr>
                <w:sz w:val="20"/>
                <w:szCs w:val="20"/>
                <w:color w:val="auto"/>
              </w:rPr>
            </w:pPr>
            <w:r>
              <w:rPr>
                <w:rFonts w:ascii="Arial" w:cs="Arial" w:eastAsia="Arial" w:hAnsi="Arial"/>
                <w:sz w:val="17"/>
                <w:szCs w:val="17"/>
                <w:color w:val="auto"/>
              </w:rPr>
              <w:t>Article 10. Directors’ Share Awards, Fee Deferral Elections, and Director SARs and Options</w:t>
            </w: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13</w:t>
            </w:r>
          </w:p>
        </w:tc>
      </w:tr>
      <w:tr>
        <w:trPr>
          <w:trHeight w:val="198"/>
        </w:trPr>
        <w:tc>
          <w:tcPr>
            <w:tcW w:w="10740" w:type="dxa"/>
            <w:vAlign w:val="bottom"/>
            <w:gridSpan w:val="3"/>
          </w:tcPr>
          <w:p>
            <w:pPr>
              <w:spacing w:after="0"/>
              <w:rPr>
                <w:sz w:val="20"/>
                <w:szCs w:val="20"/>
                <w:color w:val="auto"/>
              </w:rPr>
            </w:pPr>
            <w:r>
              <w:rPr>
                <w:rFonts w:ascii="Arial" w:cs="Arial" w:eastAsia="Arial" w:hAnsi="Arial"/>
                <w:sz w:val="17"/>
                <w:szCs w:val="17"/>
                <w:color w:val="auto"/>
              </w:rPr>
              <w:t>Article 11. Beneficiary Designation</w:t>
            </w: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15</w:t>
            </w:r>
          </w:p>
        </w:tc>
      </w:tr>
      <w:tr>
        <w:trPr>
          <w:trHeight w:val="198"/>
        </w:trPr>
        <w:tc>
          <w:tcPr>
            <w:tcW w:w="10740" w:type="dxa"/>
            <w:vAlign w:val="bottom"/>
            <w:gridSpan w:val="3"/>
          </w:tcPr>
          <w:p>
            <w:pPr>
              <w:spacing w:after="0"/>
              <w:rPr>
                <w:sz w:val="20"/>
                <w:szCs w:val="20"/>
                <w:color w:val="auto"/>
              </w:rPr>
            </w:pPr>
            <w:r>
              <w:rPr>
                <w:rFonts w:ascii="Arial" w:cs="Arial" w:eastAsia="Arial" w:hAnsi="Arial"/>
                <w:sz w:val="17"/>
                <w:szCs w:val="17"/>
                <w:color w:val="auto"/>
              </w:rPr>
              <w:t>Article 12. Change in Control.</w:t>
            </w: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15</w:t>
            </w:r>
          </w:p>
        </w:tc>
      </w:tr>
      <w:tr>
        <w:trPr>
          <w:trHeight w:val="198"/>
        </w:trPr>
        <w:tc>
          <w:tcPr>
            <w:tcW w:w="10740" w:type="dxa"/>
            <w:vAlign w:val="bottom"/>
            <w:gridSpan w:val="3"/>
          </w:tcPr>
          <w:p>
            <w:pPr>
              <w:spacing w:after="0"/>
              <w:rPr>
                <w:sz w:val="20"/>
                <w:szCs w:val="20"/>
                <w:color w:val="auto"/>
              </w:rPr>
            </w:pPr>
            <w:r>
              <w:rPr>
                <w:rFonts w:ascii="Arial" w:cs="Arial" w:eastAsia="Arial" w:hAnsi="Arial"/>
                <w:sz w:val="17"/>
                <w:szCs w:val="17"/>
                <w:color w:val="auto"/>
              </w:rPr>
              <w:t>Article 13. Rights of Participants</w:t>
            </w: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17</w:t>
            </w:r>
          </w:p>
        </w:tc>
      </w:tr>
      <w:tr>
        <w:trPr>
          <w:trHeight w:val="198"/>
        </w:trPr>
        <w:tc>
          <w:tcPr>
            <w:tcW w:w="10740" w:type="dxa"/>
            <w:vAlign w:val="bottom"/>
            <w:gridSpan w:val="3"/>
          </w:tcPr>
          <w:p>
            <w:pPr>
              <w:spacing w:after="0"/>
              <w:rPr>
                <w:sz w:val="20"/>
                <w:szCs w:val="20"/>
                <w:color w:val="auto"/>
              </w:rPr>
            </w:pPr>
            <w:r>
              <w:rPr>
                <w:rFonts w:ascii="Arial" w:cs="Arial" w:eastAsia="Arial" w:hAnsi="Arial"/>
                <w:sz w:val="17"/>
                <w:szCs w:val="17"/>
                <w:color w:val="auto"/>
              </w:rPr>
              <w:t>Article 14. Amendment, Modification, and Termination</w:t>
            </w: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17</w:t>
            </w:r>
          </w:p>
        </w:tc>
      </w:tr>
      <w:tr>
        <w:trPr>
          <w:trHeight w:val="198"/>
        </w:trPr>
        <w:tc>
          <w:tcPr>
            <w:tcW w:w="10740" w:type="dxa"/>
            <w:vAlign w:val="bottom"/>
            <w:gridSpan w:val="3"/>
          </w:tcPr>
          <w:p>
            <w:pPr>
              <w:spacing w:after="0"/>
              <w:rPr>
                <w:sz w:val="20"/>
                <w:szCs w:val="20"/>
                <w:color w:val="auto"/>
              </w:rPr>
            </w:pPr>
            <w:r>
              <w:rPr>
                <w:rFonts w:ascii="Arial" w:cs="Arial" w:eastAsia="Arial" w:hAnsi="Arial"/>
                <w:sz w:val="17"/>
                <w:szCs w:val="17"/>
                <w:color w:val="auto"/>
              </w:rPr>
              <w:t>Article 15. Withholding</w:t>
            </w: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18</w:t>
            </w:r>
          </w:p>
        </w:tc>
      </w:tr>
      <w:tr>
        <w:trPr>
          <w:trHeight w:val="198"/>
        </w:trPr>
        <w:tc>
          <w:tcPr>
            <w:tcW w:w="760" w:type="dxa"/>
            <w:vAlign w:val="bottom"/>
            <w:gridSpan w:val="2"/>
          </w:tcPr>
          <w:p>
            <w:pPr>
              <w:spacing w:after="0"/>
              <w:rPr>
                <w:sz w:val="20"/>
                <w:szCs w:val="20"/>
                <w:color w:val="auto"/>
              </w:rPr>
            </w:pPr>
            <w:r>
              <w:rPr>
                <w:rFonts w:ascii="Arial" w:cs="Arial" w:eastAsia="Arial" w:hAnsi="Arial"/>
                <w:sz w:val="17"/>
                <w:szCs w:val="17"/>
                <w:color w:val="auto"/>
                <w:w w:val="97"/>
              </w:rPr>
              <w:t>Article 16.</w:t>
            </w:r>
          </w:p>
        </w:tc>
        <w:tc>
          <w:tcPr>
            <w:tcW w:w="9980" w:type="dxa"/>
            <w:vAlign w:val="bottom"/>
          </w:tcPr>
          <w:p>
            <w:pPr>
              <w:ind w:left="20"/>
              <w:spacing w:after="0"/>
              <w:rPr>
                <w:sz w:val="20"/>
                <w:szCs w:val="20"/>
                <w:color w:val="auto"/>
              </w:rPr>
            </w:pPr>
            <w:r>
              <w:rPr>
                <w:rFonts w:ascii="Arial" w:cs="Arial" w:eastAsia="Arial" w:hAnsi="Arial"/>
                <w:sz w:val="17"/>
                <w:szCs w:val="17"/>
                <w:color w:val="auto"/>
              </w:rPr>
              <w:t>Indemnification</w:t>
            </w: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18</w:t>
            </w:r>
          </w:p>
        </w:tc>
      </w:tr>
      <w:tr>
        <w:trPr>
          <w:trHeight w:val="198"/>
        </w:trPr>
        <w:tc>
          <w:tcPr>
            <w:tcW w:w="760" w:type="dxa"/>
            <w:vAlign w:val="bottom"/>
            <w:gridSpan w:val="2"/>
          </w:tcPr>
          <w:p>
            <w:pPr>
              <w:spacing w:after="0"/>
              <w:rPr>
                <w:sz w:val="20"/>
                <w:szCs w:val="20"/>
                <w:color w:val="auto"/>
              </w:rPr>
            </w:pPr>
            <w:r>
              <w:rPr>
                <w:rFonts w:ascii="Arial" w:cs="Arial" w:eastAsia="Arial" w:hAnsi="Arial"/>
                <w:sz w:val="17"/>
                <w:szCs w:val="17"/>
                <w:color w:val="auto"/>
                <w:w w:val="97"/>
              </w:rPr>
              <w:t>Article 17.</w:t>
            </w:r>
          </w:p>
        </w:tc>
        <w:tc>
          <w:tcPr>
            <w:tcW w:w="9980" w:type="dxa"/>
            <w:vAlign w:val="bottom"/>
          </w:tcPr>
          <w:p>
            <w:pPr>
              <w:ind w:left="20"/>
              <w:spacing w:after="0"/>
              <w:rPr>
                <w:sz w:val="20"/>
                <w:szCs w:val="20"/>
                <w:color w:val="auto"/>
              </w:rPr>
            </w:pPr>
            <w:r>
              <w:rPr>
                <w:rFonts w:ascii="Arial" w:cs="Arial" w:eastAsia="Arial" w:hAnsi="Arial"/>
                <w:sz w:val="17"/>
                <w:szCs w:val="17"/>
                <w:color w:val="auto"/>
              </w:rPr>
              <w:t>Code Section 409A</w:t>
            </w: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18</w:t>
            </w:r>
          </w:p>
        </w:tc>
      </w:tr>
      <w:tr>
        <w:trPr>
          <w:trHeight w:val="198"/>
        </w:trPr>
        <w:tc>
          <w:tcPr>
            <w:tcW w:w="760" w:type="dxa"/>
            <w:vAlign w:val="bottom"/>
            <w:gridSpan w:val="2"/>
          </w:tcPr>
          <w:p>
            <w:pPr>
              <w:spacing w:after="0"/>
              <w:rPr>
                <w:sz w:val="20"/>
                <w:szCs w:val="20"/>
                <w:color w:val="auto"/>
              </w:rPr>
            </w:pPr>
            <w:r>
              <w:rPr>
                <w:rFonts w:ascii="Arial" w:cs="Arial" w:eastAsia="Arial" w:hAnsi="Arial"/>
                <w:sz w:val="17"/>
                <w:szCs w:val="17"/>
                <w:color w:val="auto"/>
                <w:w w:val="97"/>
              </w:rPr>
              <w:t>Article 18.</w:t>
            </w:r>
          </w:p>
        </w:tc>
        <w:tc>
          <w:tcPr>
            <w:tcW w:w="9980" w:type="dxa"/>
            <w:vAlign w:val="bottom"/>
          </w:tcPr>
          <w:p>
            <w:pPr>
              <w:ind w:left="20"/>
              <w:spacing w:after="0"/>
              <w:rPr>
                <w:sz w:val="20"/>
                <w:szCs w:val="20"/>
                <w:color w:val="auto"/>
              </w:rPr>
            </w:pPr>
            <w:r>
              <w:rPr>
                <w:rFonts w:ascii="Arial" w:cs="Arial" w:eastAsia="Arial" w:hAnsi="Arial"/>
                <w:sz w:val="17"/>
                <w:szCs w:val="17"/>
                <w:color w:val="auto"/>
              </w:rPr>
              <w:t>Successors</w:t>
            </w: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18</w:t>
            </w:r>
          </w:p>
        </w:tc>
      </w:tr>
      <w:tr>
        <w:trPr>
          <w:trHeight w:val="198"/>
        </w:trPr>
        <w:tc>
          <w:tcPr>
            <w:tcW w:w="760" w:type="dxa"/>
            <w:vAlign w:val="bottom"/>
            <w:gridSpan w:val="2"/>
          </w:tcPr>
          <w:p>
            <w:pPr>
              <w:spacing w:after="0"/>
              <w:rPr>
                <w:sz w:val="20"/>
                <w:szCs w:val="20"/>
                <w:color w:val="auto"/>
              </w:rPr>
            </w:pPr>
            <w:r>
              <w:rPr>
                <w:rFonts w:ascii="Arial" w:cs="Arial" w:eastAsia="Arial" w:hAnsi="Arial"/>
                <w:sz w:val="17"/>
                <w:szCs w:val="17"/>
                <w:color w:val="auto"/>
                <w:w w:val="97"/>
              </w:rPr>
              <w:t>Article 19.</w:t>
            </w:r>
          </w:p>
        </w:tc>
        <w:tc>
          <w:tcPr>
            <w:tcW w:w="9980" w:type="dxa"/>
            <w:vAlign w:val="bottom"/>
          </w:tcPr>
          <w:p>
            <w:pPr>
              <w:ind w:left="20"/>
              <w:spacing w:after="0"/>
              <w:rPr>
                <w:sz w:val="20"/>
                <w:szCs w:val="20"/>
                <w:color w:val="auto"/>
              </w:rPr>
            </w:pPr>
            <w:r>
              <w:rPr>
                <w:rFonts w:ascii="Arial" w:cs="Arial" w:eastAsia="Arial" w:hAnsi="Arial"/>
                <w:sz w:val="17"/>
                <w:szCs w:val="17"/>
                <w:color w:val="auto"/>
              </w:rPr>
              <w:t>Legal Construction; Miscellaneous</w:t>
            </w: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w w:val="94"/>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920"/>
          </w:cols>
          <w:pgMar w:left="340" w:top="1440" w:right="639" w:bottom="1440" w:gutter="0" w:footer="0" w:header="0"/>
        </w:sectPr>
      </w:pPr>
    </w:p>
    <w:bookmarkStart w:id="74" w:name="page75"/>
    <w:bookmarkEnd w:id="74"/>
    <w:p>
      <w:pPr>
        <w:spacing w:after="0" w:line="303" w:lineRule="exact"/>
        <w:rPr>
          <w:sz w:val="20"/>
          <w:szCs w:val="20"/>
          <w:color w:val="auto"/>
        </w:rPr>
      </w:pPr>
    </w:p>
    <w:p>
      <w:pPr>
        <w:jc w:val="center"/>
        <w:ind w:right="-279"/>
        <w:spacing w:after="0"/>
        <w:rPr>
          <w:sz w:val="20"/>
          <w:szCs w:val="20"/>
          <w:color w:val="auto"/>
        </w:rPr>
      </w:pPr>
      <w:r>
        <w:rPr>
          <w:rFonts w:ascii="Arial" w:cs="Arial" w:eastAsia="Arial" w:hAnsi="Arial"/>
          <w:sz w:val="21"/>
          <w:szCs w:val="21"/>
          <w:b w:val="1"/>
          <w:bCs w:val="1"/>
          <w:u w:val="single" w:color="auto"/>
          <w:color w:val="auto"/>
        </w:rPr>
        <w:t>PREAMBLE</w:t>
      </w:r>
    </w:p>
    <w:p>
      <w:pPr>
        <w:spacing w:after="0" w:line="162" w:lineRule="exact"/>
        <w:rPr>
          <w:sz w:val="20"/>
          <w:szCs w:val="20"/>
          <w:color w:val="auto"/>
        </w:rPr>
      </w:pPr>
    </w:p>
    <w:p>
      <w:pPr>
        <w:ind w:firstLine="616"/>
        <w:spacing w:after="0" w:line="252" w:lineRule="auto"/>
        <w:rPr>
          <w:sz w:val="20"/>
          <w:szCs w:val="20"/>
          <w:color w:val="auto"/>
        </w:rPr>
      </w:pPr>
      <w:r>
        <w:rPr>
          <w:rFonts w:ascii="Arial" w:cs="Arial" w:eastAsia="Arial" w:hAnsi="Arial"/>
          <w:sz w:val="17"/>
          <w:szCs w:val="17"/>
          <w:color w:val="auto"/>
        </w:rPr>
        <w:t>Marriott Vacations Worldwide Corporation has established the Marriott Vacations Worldwide Corporation 2020 Equity Incentive Plan, which shall become effective on the Effective Date and shall remain in effect for the period set forth in Article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1.4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80"/>
          </w:cols>
          <w:pgMar w:left="320" w:top="1440" w:right="599" w:bottom="1440" w:gutter="0" w:footer="0" w:header="0"/>
        </w:sectPr>
      </w:pPr>
    </w:p>
    <w:bookmarkStart w:id="75" w:name="page76"/>
    <w:bookmarkEnd w:id="75"/>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2020 EQUITY INCENTIVE PLAN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 Establishment, Objectives, and Duration</w:t>
      </w:r>
    </w:p>
    <w:p>
      <w:pPr>
        <w:spacing w:after="0" w:line="215" w:lineRule="exact"/>
        <w:rPr>
          <w:sz w:val="20"/>
          <w:szCs w:val="20"/>
          <w:color w:val="auto"/>
        </w:rPr>
      </w:pPr>
    </w:p>
    <w:p>
      <w:pPr>
        <w:jc w:val="both"/>
        <w:ind w:right="100" w:firstLine="616"/>
        <w:spacing w:after="0" w:line="285" w:lineRule="auto"/>
        <w:rPr>
          <w:sz w:val="20"/>
          <w:szCs w:val="20"/>
          <w:color w:val="auto"/>
        </w:rPr>
      </w:pPr>
      <w:r>
        <w:rPr>
          <w:rFonts w:ascii="Arial" w:cs="Arial" w:eastAsia="Arial" w:hAnsi="Arial"/>
          <w:sz w:val="17"/>
          <w:szCs w:val="17"/>
          <w:b w:val="1"/>
          <w:bCs w:val="1"/>
          <w:color w:val="auto"/>
        </w:rPr>
        <w:t xml:space="preserve">1.1 Establishment of the Plan. </w:t>
      </w:r>
      <w:r>
        <w:rPr>
          <w:rFonts w:ascii="Arial" w:cs="Arial" w:eastAsia="Arial" w:hAnsi="Arial"/>
          <w:sz w:val="17"/>
          <w:szCs w:val="17"/>
          <w:color w:val="auto"/>
        </w:rPr>
        <w:t>Marriott Vacations Worldwide Corporation, a Delaware corporation, hereby establishes an incentive compensation plan</w:t>
      </w:r>
      <w:r>
        <w:rPr>
          <w:rFonts w:ascii="Arial" w:cs="Arial" w:eastAsia="Arial" w:hAnsi="Arial"/>
          <w:sz w:val="17"/>
          <w:szCs w:val="17"/>
          <w:b w:val="1"/>
          <w:bCs w:val="1"/>
          <w:color w:val="auto"/>
        </w:rPr>
        <w:t xml:space="preserve"> </w:t>
      </w:r>
      <w:r>
        <w:rPr>
          <w:rFonts w:ascii="Arial" w:cs="Arial" w:eastAsia="Arial" w:hAnsi="Arial"/>
          <w:sz w:val="17"/>
          <w:szCs w:val="17"/>
          <w:color w:val="auto"/>
        </w:rPr>
        <w:t>to be known as the Marriott Vacations Worldwide Corporation 2020 Equity Incentive Plan, as set forth in this document.</w:t>
      </w:r>
    </w:p>
    <w:p>
      <w:pPr>
        <w:spacing w:after="0" w:line="152" w:lineRule="exact"/>
        <w:rPr>
          <w:sz w:val="20"/>
          <w:szCs w:val="20"/>
          <w:color w:val="auto"/>
        </w:rPr>
      </w:pPr>
    </w:p>
    <w:p>
      <w:pPr>
        <w:jc w:val="both"/>
        <w:ind w:right="120" w:firstLine="616"/>
        <w:spacing w:after="0" w:line="263" w:lineRule="auto"/>
        <w:rPr>
          <w:sz w:val="20"/>
          <w:szCs w:val="20"/>
          <w:color w:val="auto"/>
        </w:rPr>
      </w:pPr>
      <w:r>
        <w:rPr>
          <w:rFonts w:ascii="Arial" w:cs="Arial" w:eastAsia="Arial" w:hAnsi="Arial"/>
          <w:sz w:val="17"/>
          <w:szCs w:val="17"/>
          <w:b w:val="1"/>
          <w:bCs w:val="1"/>
          <w:color w:val="auto"/>
        </w:rPr>
        <w:t xml:space="preserve">1.2 Purpose of the Plan. </w:t>
      </w:r>
      <w:r>
        <w:rPr>
          <w:rFonts w:ascii="Arial" w:cs="Arial" w:eastAsia="Arial" w:hAnsi="Arial"/>
          <w:sz w:val="17"/>
          <w:szCs w:val="17"/>
          <w:color w:val="auto"/>
        </w:rPr>
        <w:t>The purpose of the Plan is to promote and enhance the long-term growth of the Company by aligning the personal interests of</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Non-Employee Directors to those of Company shareholders and allowing such Employees and Non-Employee Directors to participate in the growth, development and financial success of the Company. The Plan is further intended to provide flexibility to the Company in its ability to motivate, attract, and retain the services of key individuals.</w:t>
      </w:r>
    </w:p>
    <w:p>
      <w:pPr>
        <w:spacing w:after="0" w:line="170" w:lineRule="exact"/>
        <w:rPr>
          <w:sz w:val="20"/>
          <w:szCs w:val="20"/>
          <w:color w:val="auto"/>
        </w:rPr>
      </w:pPr>
    </w:p>
    <w:p>
      <w:pPr>
        <w:jc w:val="both"/>
        <w:ind w:right="180" w:firstLine="616"/>
        <w:spacing w:after="0" w:line="284" w:lineRule="auto"/>
        <w:rPr>
          <w:sz w:val="20"/>
          <w:szCs w:val="20"/>
          <w:color w:val="auto"/>
        </w:rPr>
      </w:pPr>
      <w:r>
        <w:rPr>
          <w:rFonts w:ascii="Arial" w:cs="Arial" w:eastAsia="Arial" w:hAnsi="Arial"/>
          <w:sz w:val="16"/>
          <w:szCs w:val="16"/>
          <w:b w:val="1"/>
          <w:bCs w:val="1"/>
          <w:color w:val="auto"/>
        </w:rPr>
        <w:t xml:space="preserve">1.3 History. </w:t>
      </w:r>
      <w:r>
        <w:rPr>
          <w:rFonts w:ascii="Arial" w:cs="Arial" w:eastAsia="Arial" w:hAnsi="Arial"/>
          <w:sz w:val="16"/>
          <w:szCs w:val="16"/>
          <w:color w:val="auto"/>
        </w:rPr>
        <w:t>Prior to the Effective Date, the Company had in effect the Marriott Vacations Worldwide Corporation Stock and Cash Incentive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“Prior Marriott Plan”) and the Amended and Restated Interval Leisure Group, Inc. 2013 Stock and Incentive Compensation Plan (together with the Prior Marriott Plan, the “Prior Plans”). Upon shareholder approval of this Plan, the Prior Plans will terminate and no new awards will be granted under the Prior Plans, although awards granted under the Prior Plans and still outstanding will continue to be subject to all terms and conditions of the Prior Plans.</w:t>
      </w:r>
    </w:p>
    <w:p>
      <w:pPr>
        <w:spacing w:after="0" w:line="156" w:lineRule="exact"/>
        <w:rPr>
          <w:sz w:val="20"/>
          <w:szCs w:val="20"/>
          <w:color w:val="auto"/>
        </w:rPr>
      </w:pPr>
    </w:p>
    <w:p>
      <w:pPr>
        <w:ind w:right="180" w:firstLine="616"/>
        <w:spacing w:after="0" w:line="292" w:lineRule="auto"/>
        <w:rPr>
          <w:sz w:val="20"/>
          <w:szCs w:val="20"/>
          <w:color w:val="auto"/>
        </w:rPr>
      </w:pPr>
      <w:r>
        <w:rPr>
          <w:rFonts w:ascii="Arial" w:cs="Arial" w:eastAsia="Arial" w:hAnsi="Arial"/>
          <w:sz w:val="16"/>
          <w:szCs w:val="16"/>
          <w:b w:val="1"/>
          <w:bCs w:val="1"/>
          <w:color w:val="auto"/>
        </w:rPr>
        <w:t xml:space="preserve">1.4 Duration of the Plan. </w:t>
      </w:r>
      <w:r>
        <w:rPr>
          <w:rFonts w:ascii="Arial" w:cs="Arial" w:eastAsia="Arial" w:hAnsi="Arial"/>
          <w:sz w:val="16"/>
          <w:szCs w:val="16"/>
          <w:color w:val="auto"/>
        </w:rPr>
        <w:t>The Plan shall commence on the Effective Date and shall remain in effect, subject to the right of the Board of Directors to</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the Plan at any time pursuant to Article 14 hereof, until the earlier of the date all Shares subject to it shall have been purchased or acquired according to the Plan’s provisions or the 10th anniversary of the date on which the stockholders of the Company have approved the Plan.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2 Definitions</w:t>
      </w:r>
    </w:p>
    <w:p>
      <w:pPr>
        <w:spacing w:after="0" w:line="221" w:lineRule="exact"/>
        <w:rPr>
          <w:sz w:val="20"/>
          <w:szCs w:val="20"/>
          <w:color w:val="auto"/>
        </w:rPr>
      </w:pPr>
    </w:p>
    <w:p>
      <w:pPr>
        <w:ind w:right="240" w:firstLine="616"/>
        <w:spacing w:after="0" w:line="277" w:lineRule="auto"/>
        <w:rPr>
          <w:sz w:val="20"/>
          <w:szCs w:val="20"/>
          <w:color w:val="auto"/>
        </w:rPr>
      </w:pPr>
      <w:r>
        <w:rPr>
          <w:rFonts w:ascii="Arial" w:cs="Arial" w:eastAsia="Arial" w:hAnsi="Arial"/>
          <w:sz w:val="17"/>
          <w:szCs w:val="17"/>
          <w:color w:val="auto"/>
        </w:rPr>
        <w:t>Whenever used in the Plan, the following terms shall have the meanings set forth below, and when the meaning is intended, the initial letter of the word shall be capitalized:</w:t>
      </w:r>
    </w:p>
    <w:p>
      <w:pPr>
        <w:spacing w:after="0" w:line="159"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5"/>
          <w:szCs w:val="15"/>
          <w:b w:val="1"/>
          <w:bCs w:val="1"/>
          <w:color w:val="auto"/>
        </w:rPr>
        <w:t xml:space="preserve">“Annual Meeting” </w:t>
      </w:r>
      <w:r>
        <w:rPr>
          <w:rFonts w:ascii="Arial" w:cs="Arial" w:eastAsia="Arial" w:hAnsi="Arial"/>
          <w:sz w:val="15"/>
          <w:szCs w:val="15"/>
          <w:color w:val="auto"/>
        </w:rPr>
        <w:t>means the annual meeting of the stockholders of the Company at which Directors are elected.</w:t>
      </w:r>
    </w:p>
    <w:p>
      <w:pPr>
        <w:spacing w:after="0" w:line="215" w:lineRule="exact"/>
        <w:rPr>
          <w:sz w:val="20"/>
          <w:szCs w:val="20"/>
          <w:color w:val="auto"/>
        </w:rPr>
      </w:pPr>
    </w:p>
    <w:p>
      <w:pPr>
        <w:ind w:firstLine="616"/>
        <w:spacing w:after="0" w:line="263" w:lineRule="auto"/>
        <w:rPr>
          <w:sz w:val="20"/>
          <w:szCs w:val="20"/>
          <w:color w:val="auto"/>
        </w:rPr>
      </w:pPr>
      <w:r>
        <w:rPr>
          <w:rFonts w:ascii="Arial" w:cs="Arial" w:eastAsia="Arial" w:hAnsi="Arial"/>
          <w:sz w:val="17"/>
          <w:szCs w:val="17"/>
          <w:b w:val="1"/>
          <w:bCs w:val="1"/>
          <w:color w:val="auto"/>
        </w:rPr>
        <w:t xml:space="preserve">2.2 “Approved Retiree” </w:t>
      </w:r>
      <w:r>
        <w:rPr>
          <w:rFonts w:ascii="Arial" w:cs="Arial" w:eastAsia="Arial" w:hAnsi="Arial"/>
          <w:sz w:val="17"/>
          <w:szCs w:val="17"/>
          <w:color w:val="auto"/>
        </w:rPr>
        <w:t>means, unless otherwise specified in an Award Agreement, any awardee of an Award who (i) terminates employment by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of a Disability, or (ii) (A) retires from employment with the Company with the specific approval of the Committee on or after such date on which the awardee has attained age fifty-five (55) and completed ten (10) Years of Service, and (B) has entered into and has not breached an agreement to refrain from Engaging in Competition in form and substance satisfactory to the Committee.</w:t>
      </w:r>
    </w:p>
    <w:p>
      <w:pPr>
        <w:spacing w:after="0" w:line="170" w:lineRule="exact"/>
        <w:rPr>
          <w:sz w:val="20"/>
          <w:szCs w:val="20"/>
          <w:color w:val="auto"/>
        </w:rPr>
      </w:pPr>
    </w:p>
    <w:p>
      <w:pPr>
        <w:ind w:right="400" w:firstLine="616"/>
        <w:spacing w:after="0" w:line="285" w:lineRule="auto"/>
        <w:rPr>
          <w:sz w:val="20"/>
          <w:szCs w:val="20"/>
          <w:color w:val="auto"/>
        </w:rPr>
      </w:pPr>
      <w:r>
        <w:rPr>
          <w:rFonts w:ascii="Arial" w:cs="Arial" w:eastAsia="Arial" w:hAnsi="Arial"/>
          <w:sz w:val="17"/>
          <w:szCs w:val="17"/>
          <w:b w:val="1"/>
          <w:bCs w:val="1"/>
          <w:color w:val="auto"/>
        </w:rPr>
        <w:t xml:space="preserve">2.3 “Award” </w:t>
      </w:r>
      <w:r>
        <w:rPr>
          <w:rFonts w:ascii="Arial" w:cs="Arial" w:eastAsia="Arial" w:hAnsi="Arial"/>
          <w:sz w:val="17"/>
          <w:szCs w:val="17"/>
          <w:color w:val="auto"/>
        </w:rPr>
        <w:t>means, individually or collectively, a grant under this Plan of SARs, Nonqualified Stock Options, Incentive Stock Options,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RSUs, Other Share-Based Awards, Non-Employee Director Share Awards, Stock Units, Director SARs and Director Options.</w:t>
      </w:r>
    </w:p>
    <w:p>
      <w:pPr>
        <w:spacing w:after="0" w:line="152" w:lineRule="exact"/>
        <w:rPr>
          <w:sz w:val="20"/>
          <w:szCs w:val="20"/>
          <w:color w:val="auto"/>
        </w:rPr>
      </w:pPr>
    </w:p>
    <w:p>
      <w:pPr>
        <w:ind w:right="120" w:firstLine="616"/>
        <w:spacing w:after="0" w:line="285" w:lineRule="auto"/>
        <w:rPr>
          <w:sz w:val="20"/>
          <w:szCs w:val="20"/>
          <w:color w:val="auto"/>
        </w:rPr>
      </w:pPr>
      <w:r>
        <w:rPr>
          <w:rFonts w:ascii="Arial" w:cs="Arial" w:eastAsia="Arial" w:hAnsi="Arial"/>
          <w:sz w:val="17"/>
          <w:szCs w:val="17"/>
          <w:b w:val="1"/>
          <w:bCs w:val="1"/>
          <w:color w:val="auto"/>
        </w:rPr>
        <w:t xml:space="preserve">2.4 “Award Agreement” </w:t>
      </w:r>
      <w:r>
        <w:rPr>
          <w:rFonts w:ascii="Arial" w:cs="Arial" w:eastAsia="Arial" w:hAnsi="Arial"/>
          <w:sz w:val="17"/>
          <w:szCs w:val="17"/>
          <w:color w:val="auto"/>
        </w:rPr>
        <w:t>means an agreement entered into by the Company and each Participant setting forth the terms and provisions applicable to an</w:t>
      </w:r>
      <w:r>
        <w:rPr>
          <w:rFonts w:ascii="Arial" w:cs="Arial" w:eastAsia="Arial" w:hAnsi="Arial"/>
          <w:sz w:val="17"/>
          <w:szCs w:val="17"/>
          <w:b w:val="1"/>
          <w:bCs w:val="1"/>
          <w:color w:val="auto"/>
        </w:rPr>
        <w:t xml:space="preserve"> </w:t>
      </w:r>
      <w:r>
        <w:rPr>
          <w:rFonts w:ascii="Arial" w:cs="Arial" w:eastAsia="Arial" w:hAnsi="Arial"/>
          <w:sz w:val="17"/>
          <w:szCs w:val="17"/>
          <w:color w:val="auto"/>
        </w:rPr>
        <w:t>Award granted under this Plan.</w:t>
      </w:r>
    </w:p>
    <w:p>
      <w:pPr>
        <w:spacing w:after="0" w:line="152" w:lineRule="exact"/>
        <w:rPr>
          <w:sz w:val="20"/>
          <w:szCs w:val="20"/>
          <w:color w:val="auto"/>
        </w:rPr>
      </w:pPr>
    </w:p>
    <w:p>
      <w:pPr>
        <w:ind w:right="100" w:firstLine="616"/>
        <w:spacing w:after="0" w:line="285" w:lineRule="auto"/>
        <w:rPr>
          <w:sz w:val="20"/>
          <w:szCs w:val="20"/>
          <w:color w:val="auto"/>
        </w:rPr>
      </w:pPr>
      <w:r>
        <w:rPr>
          <w:rFonts w:ascii="Arial" w:cs="Arial" w:eastAsia="Arial" w:hAnsi="Arial"/>
          <w:sz w:val="17"/>
          <w:szCs w:val="17"/>
          <w:b w:val="1"/>
          <w:bCs w:val="1"/>
          <w:color w:val="auto"/>
        </w:rPr>
        <w:t xml:space="preserve">2.5 “Beneficial Owner” or “Beneficial Ownership” </w:t>
      </w:r>
      <w:r>
        <w:rPr>
          <w:rFonts w:ascii="Arial" w:cs="Arial" w:eastAsia="Arial" w:hAnsi="Arial"/>
          <w:sz w:val="17"/>
          <w:szCs w:val="17"/>
          <w:color w:val="auto"/>
        </w:rPr>
        <w:t>shall have the meaning ascribed to such term in Rule 13d-3 of the General Rules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Exchange Act.</w:t>
      </w:r>
    </w:p>
    <w:p>
      <w:pPr>
        <w:spacing w:after="0" w:line="152"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7"/>
          <w:szCs w:val="17"/>
          <w:b w:val="1"/>
          <w:bCs w:val="1"/>
          <w:color w:val="auto"/>
        </w:rPr>
        <w:t>2.6</w:t>
      </w:r>
      <w:r>
        <w:rPr>
          <w:sz w:val="20"/>
          <w:szCs w:val="20"/>
          <w:color w:val="auto"/>
        </w:rPr>
        <w:tab/>
      </w:r>
      <w:r>
        <w:rPr>
          <w:rFonts w:ascii="Arial" w:cs="Arial" w:eastAsia="Arial" w:hAnsi="Arial"/>
          <w:sz w:val="15"/>
          <w:szCs w:val="15"/>
          <w:b w:val="1"/>
          <w:bCs w:val="1"/>
          <w:color w:val="auto"/>
        </w:rPr>
        <w:t xml:space="preserve">“Beneficiary” </w:t>
      </w:r>
      <w:r>
        <w:rPr>
          <w:rFonts w:ascii="Arial" w:cs="Arial" w:eastAsia="Arial" w:hAnsi="Arial"/>
          <w:sz w:val="15"/>
          <w:szCs w:val="15"/>
          <w:color w:val="auto"/>
        </w:rPr>
        <w:t>means the person or persons designated pursuant to Article 11 hereof.</w:t>
      </w:r>
    </w:p>
    <w:p>
      <w:pPr>
        <w:spacing w:after="0" w:line="215"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7"/>
          <w:szCs w:val="17"/>
          <w:b w:val="1"/>
          <w:bCs w:val="1"/>
          <w:color w:val="auto"/>
        </w:rPr>
        <w:t>2.7</w:t>
      </w:r>
      <w:r>
        <w:rPr>
          <w:sz w:val="20"/>
          <w:szCs w:val="20"/>
          <w:color w:val="auto"/>
        </w:rPr>
        <w:tab/>
      </w:r>
      <w:r>
        <w:rPr>
          <w:rFonts w:ascii="Arial" w:cs="Arial" w:eastAsia="Arial" w:hAnsi="Arial"/>
          <w:sz w:val="15"/>
          <w:szCs w:val="15"/>
          <w:b w:val="1"/>
          <w:bCs w:val="1"/>
          <w:color w:val="auto"/>
        </w:rPr>
        <w:t xml:space="preserve">“Board” or “Board of Directors” </w:t>
      </w:r>
      <w:r>
        <w:rPr>
          <w:rFonts w:ascii="Arial" w:cs="Arial" w:eastAsia="Arial" w:hAnsi="Arial"/>
          <w:sz w:val="15"/>
          <w:szCs w:val="15"/>
          <w:color w:val="auto"/>
        </w:rPr>
        <w:t>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19" w:lineRule="exact"/>
        <w:rPr>
          <w:sz w:val="20"/>
          <w:szCs w:val="20"/>
          <w:color w:val="auto"/>
        </w:rPr>
      </w:pPr>
    </w:p>
    <w:p>
      <w:pPr>
        <w:ind w:right="20" w:firstLine="616"/>
        <w:spacing w:after="0" w:line="284" w:lineRule="auto"/>
        <w:rPr>
          <w:sz w:val="20"/>
          <w:szCs w:val="20"/>
          <w:color w:val="auto"/>
        </w:rPr>
      </w:pPr>
      <w:r>
        <w:rPr>
          <w:rFonts w:ascii="Arial" w:cs="Arial" w:eastAsia="Arial" w:hAnsi="Arial"/>
          <w:sz w:val="16"/>
          <w:szCs w:val="16"/>
          <w:b w:val="1"/>
          <w:bCs w:val="1"/>
          <w:color w:val="auto"/>
        </w:rPr>
        <w:t xml:space="preserve">2.8 “Change in Control Price per Share” </w:t>
      </w:r>
      <w:r>
        <w:rPr>
          <w:rFonts w:ascii="Arial" w:cs="Arial" w:eastAsia="Arial" w:hAnsi="Arial"/>
          <w:sz w:val="16"/>
          <w:szCs w:val="16"/>
          <w:color w:val="auto"/>
        </w:rPr>
        <w:t>means (a) in the case of a Change in Control in which consideration is paid to the general stockholders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through a tender offer or otherwise, the price paid per Share to such stockholders as determined by the Committee in its sole discretion and (b) in the case of a Change in Control in which consideration is not paid to the general stockholders of the Company, such as a sale of all or substantially all of the Company’s assets, the value of the consideration on a per Share basis as determined by the Committee in its sole discretion.</w:t>
      </w:r>
    </w:p>
    <w:p>
      <w:pPr>
        <w:spacing w:after="0" w:line="15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7"/>
          <w:szCs w:val="17"/>
          <w:b w:val="1"/>
          <w:bCs w:val="1"/>
          <w:color w:val="auto"/>
        </w:rPr>
        <w:t>2.9</w:t>
      </w:r>
      <w:r>
        <w:rPr>
          <w:sz w:val="20"/>
          <w:szCs w:val="20"/>
          <w:color w:val="auto"/>
        </w:rPr>
        <w:tab/>
      </w:r>
      <w:r>
        <w:rPr>
          <w:rFonts w:ascii="Arial" w:cs="Arial" w:eastAsia="Arial" w:hAnsi="Arial"/>
          <w:sz w:val="15"/>
          <w:szCs w:val="15"/>
          <w:b w:val="1"/>
          <w:bCs w:val="1"/>
          <w:color w:val="auto"/>
        </w:rPr>
        <w:t xml:space="preserve">“Code” </w:t>
      </w:r>
      <w:r>
        <w:rPr>
          <w:rFonts w:ascii="Arial" w:cs="Arial" w:eastAsia="Arial" w:hAnsi="Arial"/>
          <w:sz w:val="15"/>
          <w:szCs w:val="15"/>
          <w:color w:val="auto"/>
        </w:rPr>
        <w:t>means the Internal Revenue Code of 1986, as amended from time to time.</w:t>
      </w:r>
    </w:p>
    <w:p>
      <w:pPr>
        <w:spacing w:after="0" w:line="215" w:lineRule="exact"/>
        <w:rPr>
          <w:sz w:val="20"/>
          <w:szCs w:val="20"/>
          <w:color w:val="auto"/>
        </w:rPr>
      </w:pPr>
    </w:p>
    <w:p>
      <w:pPr>
        <w:ind w:right="120" w:firstLine="616"/>
        <w:spacing w:after="0" w:line="285" w:lineRule="auto"/>
        <w:rPr>
          <w:sz w:val="20"/>
          <w:szCs w:val="20"/>
          <w:color w:val="auto"/>
        </w:rPr>
      </w:pPr>
      <w:r>
        <w:rPr>
          <w:rFonts w:ascii="Arial" w:cs="Arial" w:eastAsia="Arial" w:hAnsi="Arial"/>
          <w:sz w:val="17"/>
          <w:szCs w:val="17"/>
          <w:b w:val="1"/>
          <w:bCs w:val="1"/>
          <w:color w:val="auto"/>
        </w:rPr>
        <w:t xml:space="preserve">2.10 “Committee” </w:t>
      </w:r>
      <w:r>
        <w:rPr>
          <w:rFonts w:ascii="Arial" w:cs="Arial" w:eastAsia="Arial" w:hAnsi="Arial"/>
          <w:sz w:val="17"/>
          <w:szCs w:val="17"/>
          <w:color w:val="auto"/>
        </w:rPr>
        <w:t>means the Compensation Policy Committee of the Board, as specified in Article 3 hereof, or such other committee appointed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to administer the Plan with respect to grants of Awards.</w:t>
      </w:r>
    </w:p>
    <w:p>
      <w:pPr>
        <w:spacing w:after="0" w:line="152" w:lineRule="exact"/>
        <w:rPr>
          <w:sz w:val="20"/>
          <w:szCs w:val="20"/>
          <w:color w:val="auto"/>
        </w:rPr>
      </w:pPr>
    </w:p>
    <w:p>
      <w:pPr>
        <w:ind w:right="300" w:firstLine="616"/>
        <w:spacing w:after="0" w:line="285" w:lineRule="auto"/>
        <w:rPr>
          <w:sz w:val="20"/>
          <w:szCs w:val="20"/>
          <w:color w:val="auto"/>
        </w:rPr>
      </w:pPr>
      <w:r>
        <w:rPr>
          <w:rFonts w:ascii="Arial" w:cs="Arial" w:eastAsia="Arial" w:hAnsi="Arial"/>
          <w:sz w:val="17"/>
          <w:szCs w:val="17"/>
          <w:b w:val="1"/>
          <w:bCs w:val="1"/>
          <w:color w:val="auto"/>
        </w:rPr>
        <w:t xml:space="preserve">2.11 “Company” </w:t>
      </w:r>
      <w:r>
        <w:rPr>
          <w:rFonts w:ascii="Arial" w:cs="Arial" w:eastAsia="Arial" w:hAnsi="Arial"/>
          <w:sz w:val="17"/>
          <w:szCs w:val="17"/>
          <w:color w:val="auto"/>
        </w:rPr>
        <w:t>means Marriott Vacations Worldwide Corporation, together with any and all Subsidiaries, and any successor thereto as provided in</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18 hereof.</w:t>
      </w:r>
    </w:p>
    <w:p>
      <w:pPr>
        <w:spacing w:after="0" w:line="152"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2.12</w:t>
      </w:r>
      <w:r>
        <w:rPr>
          <w:sz w:val="20"/>
          <w:szCs w:val="20"/>
          <w:color w:val="auto"/>
        </w:rPr>
        <w:tab/>
      </w:r>
      <w:r>
        <w:rPr>
          <w:rFonts w:ascii="Arial" w:cs="Arial" w:eastAsia="Arial" w:hAnsi="Arial"/>
          <w:sz w:val="15"/>
          <w:szCs w:val="15"/>
          <w:b w:val="1"/>
          <w:bCs w:val="1"/>
          <w:color w:val="auto"/>
        </w:rPr>
        <w:t xml:space="preserve">“Director” </w:t>
      </w:r>
      <w:r>
        <w:rPr>
          <w:rFonts w:ascii="Arial" w:cs="Arial" w:eastAsia="Arial" w:hAnsi="Arial"/>
          <w:sz w:val="15"/>
          <w:szCs w:val="15"/>
          <w:color w:val="auto"/>
        </w:rPr>
        <w:t>means any member of the Board.</w:t>
      </w:r>
    </w:p>
    <w:p>
      <w:pPr>
        <w:spacing w:after="0" w:line="215"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2.13</w:t>
      </w:r>
      <w:r>
        <w:rPr>
          <w:sz w:val="20"/>
          <w:szCs w:val="20"/>
          <w:color w:val="auto"/>
        </w:rPr>
        <w:tab/>
      </w:r>
      <w:r>
        <w:rPr>
          <w:rFonts w:ascii="Arial" w:cs="Arial" w:eastAsia="Arial" w:hAnsi="Arial"/>
          <w:sz w:val="15"/>
          <w:szCs w:val="15"/>
          <w:b w:val="1"/>
          <w:bCs w:val="1"/>
          <w:color w:val="auto"/>
        </w:rPr>
        <w:t xml:space="preserve">“Director SAR” and “Director Option” </w:t>
      </w:r>
      <w:r>
        <w:rPr>
          <w:rFonts w:ascii="Arial" w:cs="Arial" w:eastAsia="Arial" w:hAnsi="Arial"/>
          <w:sz w:val="15"/>
          <w:szCs w:val="15"/>
          <w:color w:val="auto"/>
        </w:rPr>
        <w:t>mean, respectively, a SAR and a Nonqualified Stock Option as described in Article 10 hereof.</w:t>
      </w:r>
    </w:p>
    <w:p>
      <w:pPr>
        <w:spacing w:after="0" w:line="215" w:lineRule="exact"/>
        <w:rPr>
          <w:sz w:val="20"/>
          <w:szCs w:val="20"/>
          <w:color w:val="auto"/>
        </w:rPr>
      </w:pPr>
    </w:p>
    <w:p>
      <w:pPr>
        <w:ind w:right="180" w:firstLine="616"/>
        <w:spacing w:after="0" w:line="268" w:lineRule="auto"/>
        <w:rPr>
          <w:sz w:val="20"/>
          <w:szCs w:val="20"/>
          <w:color w:val="auto"/>
        </w:rPr>
      </w:pPr>
      <w:r>
        <w:rPr>
          <w:rFonts w:ascii="Arial" w:cs="Arial" w:eastAsia="Arial" w:hAnsi="Arial"/>
          <w:sz w:val="17"/>
          <w:szCs w:val="17"/>
          <w:b w:val="1"/>
          <w:bCs w:val="1"/>
          <w:color w:val="auto"/>
        </w:rPr>
        <w:t xml:space="preserve">2.14 “Disability” </w:t>
      </w:r>
      <w:r>
        <w:rPr>
          <w:rFonts w:ascii="Arial" w:cs="Arial" w:eastAsia="Arial" w:hAnsi="Arial"/>
          <w:sz w:val="17"/>
          <w:szCs w:val="17"/>
          <w:color w:val="auto"/>
        </w:rPr>
        <w:t>means a permanent and total disability, within the meaning of Code Section 22(e)(3), as determined by the Committee in good faith,</w:t>
      </w:r>
      <w:r>
        <w:rPr>
          <w:rFonts w:ascii="Arial" w:cs="Arial" w:eastAsia="Arial" w:hAnsi="Arial"/>
          <w:sz w:val="17"/>
          <w:szCs w:val="17"/>
          <w:b w:val="1"/>
          <w:bCs w:val="1"/>
          <w:color w:val="auto"/>
        </w:rPr>
        <w:t xml:space="preserve"> </w:t>
      </w:r>
      <w:r>
        <w:rPr>
          <w:rFonts w:ascii="Arial" w:cs="Arial" w:eastAsia="Arial" w:hAnsi="Arial"/>
          <w:sz w:val="17"/>
          <w:szCs w:val="17"/>
          <w:color w:val="auto"/>
        </w:rPr>
        <w:t>upon receipt of sufficient competent medical advice from one or more individuals, selected by or satisfactory to the Committee, who are qualified to give professional medical advice.</w:t>
      </w:r>
    </w:p>
    <w:p>
      <w:pPr>
        <w:spacing w:after="0" w:line="167"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2.15</w:t>
      </w:r>
      <w:r>
        <w:rPr>
          <w:sz w:val="20"/>
          <w:szCs w:val="20"/>
          <w:color w:val="auto"/>
        </w:rPr>
        <w:tab/>
      </w:r>
      <w:r>
        <w:rPr>
          <w:rFonts w:ascii="Arial" w:cs="Arial" w:eastAsia="Arial" w:hAnsi="Arial"/>
          <w:sz w:val="15"/>
          <w:szCs w:val="15"/>
          <w:b w:val="1"/>
          <w:bCs w:val="1"/>
          <w:color w:val="auto"/>
        </w:rPr>
        <w:t xml:space="preserve">“Effective Date” </w:t>
      </w:r>
      <w:r>
        <w:rPr>
          <w:rFonts w:ascii="Arial" w:cs="Arial" w:eastAsia="Arial" w:hAnsi="Arial"/>
          <w:sz w:val="15"/>
          <w:szCs w:val="15"/>
          <w:color w:val="auto"/>
        </w:rPr>
        <w:t>means the date of the 2020 Annual Meeting, subject to the approval of the Plan by the Company’s stockholders at such meeting.</w:t>
      </w:r>
    </w:p>
    <w:p>
      <w:pPr>
        <w:spacing w:after="0" w:line="215" w:lineRule="exact"/>
        <w:rPr>
          <w:sz w:val="20"/>
          <w:szCs w:val="20"/>
          <w:color w:val="auto"/>
        </w:rPr>
      </w:pPr>
    </w:p>
    <w:p>
      <w:pPr>
        <w:ind w:firstLine="616"/>
        <w:spacing w:after="0" w:line="263" w:lineRule="auto"/>
        <w:rPr>
          <w:sz w:val="20"/>
          <w:szCs w:val="20"/>
          <w:color w:val="auto"/>
        </w:rPr>
      </w:pPr>
      <w:r>
        <w:rPr>
          <w:rFonts w:ascii="Arial" w:cs="Arial" w:eastAsia="Arial" w:hAnsi="Arial"/>
          <w:sz w:val="17"/>
          <w:szCs w:val="17"/>
          <w:b w:val="1"/>
          <w:bCs w:val="1"/>
          <w:color w:val="auto"/>
        </w:rPr>
        <w:t xml:space="preserve">2.16 “Employee” </w:t>
      </w:r>
      <w:r>
        <w:rPr>
          <w:rFonts w:ascii="Arial" w:cs="Arial" w:eastAsia="Arial" w:hAnsi="Arial"/>
          <w:sz w:val="17"/>
          <w:szCs w:val="17"/>
          <w:color w:val="auto"/>
        </w:rPr>
        <w:t>means any individual who is, or will become, an active, non-union employee of the Company. Any Employee who, at the request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on the written assignment of the Company specifically referencing this provision of the Plan, becomes an employee of another employer shall continue to be treated as an Employee for all purposes hereunder during the period of such assignment. Non-Employee Directors shall not be considered Employees under this Plan.</w:t>
      </w:r>
    </w:p>
    <w:p>
      <w:pPr>
        <w:spacing w:after="0" w:line="170" w:lineRule="exact"/>
        <w:rPr>
          <w:sz w:val="20"/>
          <w:szCs w:val="20"/>
          <w:color w:val="auto"/>
        </w:rPr>
      </w:pPr>
    </w:p>
    <w:p>
      <w:pPr>
        <w:ind w:right="100" w:firstLine="616"/>
        <w:spacing w:after="0" w:line="260" w:lineRule="auto"/>
        <w:rPr>
          <w:sz w:val="20"/>
          <w:szCs w:val="20"/>
          <w:color w:val="auto"/>
        </w:rPr>
      </w:pPr>
      <w:r>
        <w:rPr>
          <w:rFonts w:ascii="Arial" w:cs="Arial" w:eastAsia="Arial" w:hAnsi="Arial"/>
          <w:sz w:val="17"/>
          <w:szCs w:val="17"/>
          <w:b w:val="1"/>
          <w:bCs w:val="1"/>
          <w:color w:val="auto"/>
        </w:rPr>
        <w:t xml:space="preserve">2.17 “Engaging in Competition” </w:t>
      </w:r>
      <w:r>
        <w:rPr>
          <w:rFonts w:ascii="Arial" w:cs="Arial" w:eastAsia="Arial" w:hAnsi="Arial"/>
          <w:sz w:val="17"/>
          <w:szCs w:val="17"/>
          <w:color w:val="auto"/>
        </w:rPr>
        <w:t>means (a) engaging, individually or as an employee, consultant, owner (more than five percent (5%)) or agent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entity, in or on behalf of any business engaged in significant competition (or that transacts or cooperates with another business in activities of significant competition) with any business operated by the Company or with interests adverse to those of the Company; (b) soliciting and hiring a key employee of the Company in another business, whether or not in significant competition with any business operated by the Company; or (c) using or disclosing confidential or proprietary information, in each case, without the approval of the Company.</w:t>
      </w:r>
    </w:p>
    <w:p>
      <w:pPr>
        <w:spacing w:after="0" w:line="173"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2.18</w:t>
      </w:r>
      <w:r>
        <w:rPr>
          <w:sz w:val="20"/>
          <w:szCs w:val="20"/>
          <w:color w:val="auto"/>
        </w:rPr>
        <w:tab/>
      </w:r>
      <w:r>
        <w:rPr>
          <w:rFonts w:ascii="Arial" w:cs="Arial" w:eastAsia="Arial" w:hAnsi="Arial"/>
          <w:sz w:val="15"/>
          <w:szCs w:val="15"/>
          <w:b w:val="1"/>
          <w:bCs w:val="1"/>
          <w:color w:val="auto"/>
        </w:rPr>
        <w:t xml:space="preserve">“Exchange Act” </w:t>
      </w:r>
      <w:r>
        <w:rPr>
          <w:rFonts w:ascii="Arial" w:cs="Arial" w:eastAsia="Arial" w:hAnsi="Arial"/>
          <w:sz w:val="15"/>
          <w:szCs w:val="15"/>
          <w:color w:val="auto"/>
        </w:rPr>
        <w:t>means the Securities Exchange Act of 1934, as amended from time to time, or any successor act thereto.</w:t>
      </w:r>
    </w:p>
    <w:p>
      <w:pPr>
        <w:spacing w:after="0" w:line="215" w:lineRule="exact"/>
        <w:rPr>
          <w:sz w:val="20"/>
          <w:szCs w:val="20"/>
          <w:color w:val="auto"/>
        </w:rPr>
      </w:pPr>
    </w:p>
    <w:p>
      <w:pPr>
        <w:ind w:right="720" w:firstLine="616"/>
        <w:spacing w:after="0" w:line="285" w:lineRule="auto"/>
        <w:rPr>
          <w:sz w:val="20"/>
          <w:szCs w:val="20"/>
          <w:color w:val="auto"/>
        </w:rPr>
      </w:pPr>
      <w:r>
        <w:rPr>
          <w:rFonts w:ascii="Arial" w:cs="Arial" w:eastAsia="Arial" w:hAnsi="Arial"/>
          <w:sz w:val="17"/>
          <w:szCs w:val="17"/>
          <w:b w:val="1"/>
          <w:bCs w:val="1"/>
          <w:color w:val="auto"/>
        </w:rPr>
        <w:t xml:space="preserve">2.19 “Exercise Price” </w:t>
      </w:r>
      <w:r>
        <w:rPr>
          <w:rFonts w:ascii="Arial" w:cs="Arial" w:eastAsia="Arial" w:hAnsi="Arial"/>
          <w:sz w:val="17"/>
          <w:szCs w:val="17"/>
          <w:color w:val="auto"/>
        </w:rPr>
        <w:t>means the price at which a Share may be purchased by a Participant pursuant to an Option or the base price from which</w:t>
      </w:r>
      <w:r>
        <w:rPr>
          <w:rFonts w:ascii="Arial" w:cs="Arial" w:eastAsia="Arial" w:hAnsi="Arial"/>
          <w:sz w:val="17"/>
          <w:szCs w:val="17"/>
          <w:b w:val="1"/>
          <w:bCs w:val="1"/>
          <w:color w:val="auto"/>
        </w:rPr>
        <w:t xml:space="preserve"> </w:t>
      </w:r>
      <w:r>
        <w:rPr>
          <w:rFonts w:ascii="Arial" w:cs="Arial" w:eastAsia="Arial" w:hAnsi="Arial"/>
          <w:sz w:val="17"/>
          <w:szCs w:val="17"/>
          <w:color w:val="auto"/>
        </w:rPr>
        <w:t>appreciation in Shares is measured under a SAR.</w:t>
      </w:r>
    </w:p>
    <w:p>
      <w:pPr>
        <w:spacing w:after="0" w:line="152" w:lineRule="exact"/>
        <w:rPr>
          <w:sz w:val="20"/>
          <w:szCs w:val="20"/>
          <w:color w:val="auto"/>
        </w:rPr>
      </w:pPr>
    </w:p>
    <w:p>
      <w:pPr>
        <w:ind w:right="180" w:firstLine="616"/>
        <w:spacing w:after="0" w:line="268" w:lineRule="auto"/>
        <w:rPr>
          <w:sz w:val="20"/>
          <w:szCs w:val="20"/>
          <w:color w:val="auto"/>
        </w:rPr>
      </w:pPr>
      <w:r>
        <w:rPr>
          <w:rFonts w:ascii="Arial" w:cs="Arial" w:eastAsia="Arial" w:hAnsi="Arial"/>
          <w:sz w:val="17"/>
          <w:szCs w:val="17"/>
          <w:b w:val="1"/>
          <w:bCs w:val="1"/>
          <w:color w:val="auto"/>
        </w:rPr>
        <w:t xml:space="preserve">2.20 “Fair Market Value” </w:t>
      </w:r>
      <w:r>
        <w:rPr>
          <w:rFonts w:ascii="Arial" w:cs="Arial" w:eastAsia="Arial" w:hAnsi="Arial"/>
          <w:sz w:val="17"/>
          <w:szCs w:val="17"/>
          <w:color w:val="auto"/>
        </w:rPr>
        <w:t>means the average of the highest and lowest quoted selling prices for the Shares on the relevant date, or (if there were no</w:t>
      </w:r>
      <w:r>
        <w:rPr>
          <w:rFonts w:ascii="Arial" w:cs="Arial" w:eastAsia="Arial" w:hAnsi="Arial"/>
          <w:sz w:val="17"/>
          <w:szCs w:val="17"/>
          <w:b w:val="1"/>
          <w:bCs w:val="1"/>
          <w:color w:val="auto"/>
        </w:rPr>
        <w:t xml:space="preserve"> </w:t>
      </w:r>
      <w:r>
        <w:rPr>
          <w:rFonts w:ascii="Arial" w:cs="Arial" w:eastAsia="Arial" w:hAnsi="Arial"/>
          <w:sz w:val="17"/>
          <w:szCs w:val="17"/>
          <w:color w:val="auto"/>
        </w:rPr>
        <w:t>sales on such date) the average so computed on the nearest day before or the nearest day after the relevant date, as reported in The Wall Street Journal or a similar publication selected by the Committee.</w:t>
      </w:r>
    </w:p>
    <w:p>
      <w:pPr>
        <w:spacing w:after="0" w:line="167"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2.21</w:t>
      </w:r>
      <w:r>
        <w:rPr>
          <w:sz w:val="20"/>
          <w:szCs w:val="20"/>
          <w:color w:val="auto"/>
        </w:rPr>
        <w:tab/>
      </w:r>
      <w:r>
        <w:rPr>
          <w:rFonts w:ascii="Arial" w:cs="Arial" w:eastAsia="Arial" w:hAnsi="Arial"/>
          <w:sz w:val="15"/>
          <w:szCs w:val="15"/>
          <w:b w:val="1"/>
          <w:bCs w:val="1"/>
          <w:color w:val="auto"/>
        </w:rPr>
        <w:t xml:space="preserve">“Fee Deferral Election” </w:t>
      </w:r>
      <w:r>
        <w:rPr>
          <w:rFonts w:ascii="Arial" w:cs="Arial" w:eastAsia="Arial" w:hAnsi="Arial"/>
          <w:sz w:val="15"/>
          <w:szCs w:val="15"/>
          <w:color w:val="auto"/>
        </w:rPr>
        <w:t>means an election made by a Non-Employee Director to defer the receipt of Fees, as described in Article 10.3 hereof.</w:t>
      </w:r>
    </w:p>
    <w:p>
      <w:pPr>
        <w:spacing w:after="0" w:line="215"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2.22</w:t>
      </w:r>
      <w:r>
        <w:rPr>
          <w:sz w:val="20"/>
          <w:szCs w:val="20"/>
          <w:color w:val="auto"/>
        </w:rPr>
        <w:tab/>
      </w:r>
      <w:r>
        <w:rPr>
          <w:rFonts w:ascii="Arial" w:cs="Arial" w:eastAsia="Arial" w:hAnsi="Arial"/>
          <w:sz w:val="15"/>
          <w:szCs w:val="15"/>
          <w:b w:val="1"/>
          <w:bCs w:val="1"/>
          <w:color w:val="auto"/>
        </w:rPr>
        <w:t xml:space="preserve">“Fees” </w:t>
      </w:r>
      <w:r>
        <w:rPr>
          <w:rFonts w:ascii="Arial" w:cs="Arial" w:eastAsia="Arial" w:hAnsi="Arial"/>
          <w:sz w:val="15"/>
          <w:szCs w:val="15"/>
          <w:color w:val="auto"/>
        </w:rPr>
        <w:t>means all or part of any retainer and/or fees payable to a Non-Employee Director in his or her capacity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19" w:lineRule="exact"/>
        <w:rPr>
          <w:sz w:val="20"/>
          <w:szCs w:val="20"/>
          <w:color w:val="auto"/>
        </w:rPr>
      </w:pPr>
    </w:p>
    <w:p>
      <w:pPr>
        <w:ind w:firstLine="616"/>
        <w:spacing w:after="0" w:line="285" w:lineRule="auto"/>
        <w:rPr>
          <w:sz w:val="20"/>
          <w:szCs w:val="20"/>
          <w:color w:val="auto"/>
        </w:rPr>
      </w:pPr>
      <w:r>
        <w:rPr>
          <w:rFonts w:ascii="Arial" w:cs="Arial" w:eastAsia="Arial" w:hAnsi="Arial"/>
          <w:sz w:val="17"/>
          <w:szCs w:val="17"/>
          <w:b w:val="1"/>
          <w:bCs w:val="1"/>
          <w:color w:val="auto"/>
        </w:rPr>
        <w:t xml:space="preserve">2.23 “Incentive Stock Option” or “ISO” </w:t>
      </w:r>
      <w:r>
        <w:rPr>
          <w:rFonts w:ascii="Arial" w:cs="Arial" w:eastAsia="Arial" w:hAnsi="Arial"/>
          <w:sz w:val="17"/>
          <w:szCs w:val="17"/>
          <w:color w:val="auto"/>
        </w:rPr>
        <w:t>means an option to purchase Shares granted under Article 6 hereof, which is designated as an Incentive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and which is intended to meet the requirements of Code Section 422.</w:t>
      </w:r>
    </w:p>
    <w:p>
      <w:pPr>
        <w:spacing w:after="0" w:line="152" w:lineRule="exact"/>
        <w:rPr>
          <w:sz w:val="20"/>
          <w:szCs w:val="20"/>
          <w:color w:val="auto"/>
        </w:rPr>
      </w:pPr>
    </w:p>
    <w:p>
      <w:pPr>
        <w:ind w:right="20" w:firstLine="616"/>
        <w:spacing w:after="0" w:line="318" w:lineRule="auto"/>
        <w:rPr>
          <w:sz w:val="20"/>
          <w:szCs w:val="20"/>
          <w:color w:val="auto"/>
        </w:rPr>
      </w:pPr>
      <w:r>
        <w:rPr>
          <w:rFonts w:ascii="Arial" w:cs="Arial" w:eastAsia="Arial" w:hAnsi="Arial"/>
          <w:sz w:val="16"/>
          <w:szCs w:val="16"/>
          <w:b w:val="1"/>
          <w:bCs w:val="1"/>
          <w:color w:val="auto"/>
        </w:rPr>
        <w:t xml:space="preserve">2.24 “Insider” </w:t>
      </w:r>
      <w:r>
        <w:rPr>
          <w:rFonts w:ascii="Arial" w:cs="Arial" w:eastAsia="Arial" w:hAnsi="Arial"/>
          <w:sz w:val="16"/>
          <w:szCs w:val="16"/>
          <w:color w:val="auto"/>
        </w:rPr>
        <w:t>means an individual who is, on the relevant date, an officer, Director or more than ten percent (10%) beneficial owner of any class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equity securities that is registered pursuant to Section 12 of the Exchange Act, all as defined under Section 16 of the Exchange Act.</w:t>
      </w:r>
    </w:p>
    <w:p>
      <w:pPr>
        <w:spacing w:after="0" w:line="128"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2.25</w:t>
      </w:r>
      <w:r>
        <w:rPr>
          <w:sz w:val="20"/>
          <w:szCs w:val="20"/>
          <w:color w:val="auto"/>
        </w:rPr>
        <w:tab/>
      </w:r>
      <w:r>
        <w:rPr>
          <w:rFonts w:ascii="Arial" w:cs="Arial" w:eastAsia="Arial" w:hAnsi="Arial"/>
          <w:sz w:val="15"/>
          <w:szCs w:val="15"/>
          <w:b w:val="1"/>
          <w:bCs w:val="1"/>
          <w:color w:val="auto"/>
        </w:rPr>
        <w:t xml:space="preserve">“Non-Employee Director” </w:t>
      </w:r>
      <w:r>
        <w:rPr>
          <w:rFonts w:ascii="Arial" w:cs="Arial" w:eastAsia="Arial" w:hAnsi="Arial"/>
          <w:sz w:val="15"/>
          <w:szCs w:val="15"/>
          <w:color w:val="auto"/>
        </w:rPr>
        <w:t>means a Director who is not an Employee of the Company.</w:t>
      </w:r>
    </w:p>
    <w:p>
      <w:pPr>
        <w:spacing w:after="0" w:line="215"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2.26</w:t>
      </w:r>
      <w:r>
        <w:rPr>
          <w:sz w:val="20"/>
          <w:szCs w:val="20"/>
          <w:color w:val="auto"/>
        </w:rPr>
        <w:tab/>
      </w:r>
      <w:r>
        <w:rPr>
          <w:rFonts w:ascii="Arial" w:cs="Arial" w:eastAsia="Arial" w:hAnsi="Arial"/>
          <w:sz w:val="15"/>
          <w:szCs w:val="15"/>
          <w:b w:val="1"/>
          <w:bCs w:val="1"/>
          <w:color w:val="auto"/>
        </w:rPr>
        <w:t xml:space="preserve">“Non-Employee Director Share Award” </w:t>
      </w:r>
      <w:r>
        <w:rPr>
          <w:rFonts w:ascii="Arial" w:cs="Arial" w:eastAsia="Arial" w:hAnsi="Arial"/>
          <w:sz w:val="15"/>
          <w:szCs w:val="15"/>
          <w:color w:val="auto"/>
        </w:rPr>
        <w:t>shall mean an award of Shares to a Non-Employee Director, as described in Article 10.2 hereof.</w:t>
      </w:r>
    </w:p>
    <w:p>
      <w:pPr>
        <w:spacing w:after="0" w:line="215" w:lineRule="exact"/>
        <w:rPr>
          <w:sz w:val="20"/>
          <w:szCs w:val="20"/>
          <w:color w:val="auto"/>
        </w:rPr>
      </w:pPr>
    </w:p>
    <w:p>
      <w:pPr>
        <w:ind w:right="120" w:firstLine="616"/>
        <w:spacing w:after="0" w:line="285" w:lineRule="auto"/>
        <w:rPr>
          <w:sz w:val="20"/>
          <w:szCs w:val="20"/>
          <w:color w:val="auto"/>
        </w:rPr>
      </w:pPr>
      <w:r>
        <w:rPr>
          <w:rFonts w:ascii="Arial" w:cs="Arial" w:eastAsia="Arial" w:hAnsi="Arial"/>
          <w:sz w:val="17"/>
          <w:szCs w:val="17"/>
          <w:b w:val="1"/>
          <w:bCs w:val="1"/>
          <w:color w:val="auto"/>
        </w:rPr>
        <w:t xml:space="preserve">2.27 “Nonqualified Stock Option” or “NQSO” </w:t>
      </w:r>
      <w:r>
        <w:rPr>
          <w:rFonts w:ascii="Arial" w:cs="Arial" w:eastAsia="Arial" w:hAnsi="Arial"/>
          <w:sz w:val="17"/>
          <w:szCs w:val="17"/>
          <w:color w:val="auto"/>
        </w:rPr>
        <w:t>means an option to purchase Shares granted under Article 6 hereof and which is not intended to meet</w:t>
      </w:r>
      <w:r>
        <w:rPr>
          <w:rFonts w:ascii="Arial" w:cs="Arial" w:eastAsia="Arial" w:hAnsi="Arial"/>
          <w:sz w:val="17"/>
          <w:szCs w:val="17"/>
          <w:b w:val="1"/>
          <w:bCs w:val="1"/>
          <w:color w:val="auto"/>
        </w:rPr>
        <w:t xml:space="preserve"> </w:t>
      </w:r>
      <w:r>
        <w:rPr>
          <w:rFonts w:ascii="Arial" w:cs="Arial" w:eastAsia="Arial" w:hAnsi="Arial"/>
          <w:sz w:val="17"/>
          <w:szCs w:val="17"/>
          <w:color w:val="auto"/>
        </w:rPr>
        <w:t>the requirements of Code Section 422.</w:t>
      </w:r>
    </w:p>
    <w:p>
      <w:pPr>
        <w:spacing w:after="0" w:line="152" w:lineRule="exact"/>
        <w:rPr>
          <w:sz w:val="20"/>
          <w:szCs w:val="20"/>
          <w:color w:val="auto"/>
        </w:rPr>
      </w:pPr>
    </w:p>
    <w:p>
      <w:pPr>
        <w:ind w:right="140" w:firstLine="616"/>
        <w:spacing w:after="0" w:line="285" w:lineRule="auto"/>
        <w:rPr>
          <w:sz w:val="20"/>
          <w:szCs w:val="20"/>
          <w:color w:val="auto"/>
        </w:rPr>
      </w:pPr>
      <w:r>
        <w:rPr>
          <w:rFonts w:ascii="Arial" w:cs="Arial" w:eastAsia="Arial" w:hAnsi="Arial"/>
          <w:sz w:val="17"/>
          <w:szCs w:val="17"/>
          <w:b w:val="1"/>
          <w:bCs w:val="1"/>
          <w:color w:val="auto"/>
        </w:rPr>
        <w:t xml:space="preserve">2.28 “Option” </w:t>
      </w:r>
      <w:r>
        <w:rPr>
          <w:rFonts w:ascii="Arial" w:cs="Arial" w:eastAsia="Arial" w:hAnsi="Arial"/>
          <w:sz w:val="17"/>
          <w:szCs w:val="17"/>
          <w:color w:val="auto"/>
        </w:rPr>
        <w:t>means an Incentive Stock Option or a Nonqualified Stock Option, as described in Article 6 hereof, or a Director Option as described in</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10 hereof.</w:t>
      </w:r>
    </w:p>
    <w:p>
      <w:pPr>
        <w:spacing w:after="0" w:line="152"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2.29</w:t>
      </w:r>
      <w:r>
        <w:rPr>
          <w:sz w:val="20"/>
          <w:szCs w:val="20"/>
          <w:color w:val="auto"/>
        </w:rPr>
        <w:tab/>
      </w:r>
      <w:r>
        <w:rPr>
          <w:rFonts w:ascii="Arial" w:cs="Arial" w:eastAsia="Arial" w:hAnsi="Arial"/>
          <w:sz w:val="15"/>
          <w:szCs w:val="15"/>
          <w:b w:val="1"/>
          <w:bCs w:val="1"/>
          <w:color w:val="auto"/>
        </w:rPr>
        <w:t xml:space="preserve">“Other Share-Based Award” </w:t>
      </w:r>
      <w:r>
        <w:rPr>
          <w:rFonts w:ascii="Arial" w:cs="Arial" w:eastAsia="Arial" w:hAnsi="Arial"/>
          <w:sz w:val="15"/>
          <w:szCs w:val="15"/>
          <w:color w:val="auto"/>
        </w:rPr>
        <w:t>means an Other Share-Based Award, as described in Article 9 hereof.</w:t>
      </w:r>
    </w:p>
    <w:p>
      <w:pPr>
        <w:spacing w:after="0" w:line="215"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2.30</w:t>
      </w:r>
      <w:r>
        <w:rPr>
          <w:sz w:val="20"/>
          <w:szCs w:val="20"/>
          <w:color w:val="auto"/>
        </w:rPr>
        <w:tab/>
      </w:r>
      <w:r>
        <w:rPr>
          <w:rFonts w:ascii="Arial" w:cs="Arial" w:eastAsia="Arial" w:hAnsi="Arial"/>
          <w:sz w:val="15"/>
          <w:szCs w:val="15"/>
          <w:b w:val="1"/>
          <w:bCs w:val="1"/>
          <w:color w:val="auto"/>
        </w:rPr>
        <w:t xml:space="preserve">“Participant” </w:t>
      </w:r>
      <w:r>
        <w:rPr>
          <w:rFonts w:ascii="Arial" w:cs="Arial" w:eastAsia="Arial" w:hAnsi="Arial"/>
          <w:sz w:val="15"/>
          <w:szCs w:val="15"/>
          <w:color w:val="auto"/>
        </w:rPr>
        <w:t>means an individual who has an outstanding Award granted under the Plan.</w:t>
      </w:r>
    </w:p>
    <w:p>
      <w:pPr>
        <w:spacing w:after="0" w:line="215" w:lineRule="exact"/>
        <w:rPr>
          <w:sz w:val="20"/>
          <w:szCs w:val="20"/>
          <w:color w:val="auto"/>
        </w:rPr>
      </w:pPr>
    </w:p>
    <w:p>
      <w:pPr>
        <w:ind w:right="100" w:firstLine="616"/>
        <w:spacing w:after="0" w:line="268" w:lineRule="auto"/>
        <w:rPr>
          <w:sz w:val="20"/>
          <w:szCs w:val="20"/>
          <w:color w:val="auto"/>
        </w:rPr>
      </w:pPr>
      <w:r>
        <w:rPr>
          <w:rFonts w:ascii="Arial" w:cs="Arial" w:eastAsia="Arial" w:hAnsi="Arial"/>
          <w:sz w:val="17"/>
          <w:szCs w:val="17"/>
          <w:b w:val="1"/>
          <w:bCs w:val="1"/>
          <w:color w:val="auto"/>
        </w:rPr>
        <w:t xml:space="preserve">2.31 “Period of Restriction” </w:t>
      </w:r>
      <w:r>
        <w:rPr>
          <w:rFonts w:ascii="Arial" w:cs="Arial" w:eastAsia="Arial" w:hAnsi="Arial"/>
          <w:sz w:val="17"/>
          <w:szCs w:val="17"/>
          <w:color w:val="auto"/>
        </w:rPr>
        <w:t>means the period during which the transfer of Shares of Restricted Stock is limited in some way (based on the passage of</w:t>
      </w:r>
      <w:r>
        <w:rPr>
          <w:rFonts w:ascii="Arial" w:cs="Arial" w:eastAsia="Arial" w:hAnsi="Arial"/>
          <w:sz w:val="17"/>
          <w:szCs w:val="17"/>
          <w:b w:val="1"/>
          <w:bCs w:val="1"/>
          <w:color w:val="auto"/>
        </w:rPr>
        <w:t xml:space="preserve"> </w:t>
      </w:r>
      <w:r>
        <w:rPr>
          <w:rFonts w:ascii="Arial" w:cs="Arial" w:eastAsia="Arial" w:hAnsi="Arial"/>
          <w:sz w:val="17"/>
          <w:szCs w:val="17"/>
          <w:color w:val="auto"/>
        </w:rPr>
        <w:t>time, the achievement of performance objectives, or upon the occurrence of other events as determined by the Committee, in its discretion), and the Shares are subject to a substantial risk of forfeiture, as provided in Article 7 hereof.</w:t>
      </w:r>
    </w:p>
    <w:p>
      <w:pPr>
        <w:spacing w:after="0" w:line="167" w:lineRule="exact"/>
        <w:rPr>
          <w:sz w:val="20"/>
          <w:szCs w:val="20"/>
          <w:color w:val="auto"/>
        </w:rPr>
      </w:pPr>
    </w:p>
    <w:p>
      <w:pPr>
        <w:ind w:right="500" w:firstLine="616"/>
        <w:spacing w:after="0" w:line="285" w:lineRule="auto"/>
        <w:rPr>
          <w:sz w:val="20"/>
          <w:szCs w:val="20"/>
          <w:color w:val="auto"/>
        </w:rPr>
      </w:pPr>
      <w:r>
        <w:rPr>
          <w:rFonts w:ascii="Arial" w:cs="Arial" w:eastAsia="Arial" w:hAnsi="Arial"/>
          <w:sz w:val="17"/>
          <w:szCs w:val="17"/>
          <w:b w:val="1"/>
          <w:bCs w:val="1"/>
          <w:color w:val="auto"/>
        </w:rPr>
        <w:t xml:space="preserve">2.32 “Person” </w:t>
      </w:r>
      <w:r>
        <w:rPr>
          <w:rFonts w:ascii="Arial" w:cs="Arial" w:eastAsia="Arial" w:hAnsi="Arial"/>
          <w:sz w:val="17"/>
          <w:szCs w:val="17"/>
          <w:color w:val="auto"/>
        </w:rPr>
        <w:t>shall have the meaning ascribed to such term in Section 3(a)(9) of the Exchange Act and used in Sections 13(d) and 14(d)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“group” as defined in Section 13(d) thereof.</w:t>
      </w:r>
    </w:p>
    <w:p>
      <w:pPr>
        <w:spacing w:after="0" w:line="152"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2.33</w:t>
      </w:r>
      <w:r>
        <w:rPr>
          <w:sz w:val="20"/>
          <w:szCs w:val="20"/>
          <w:color w:val="auto"/>
        </w:rPr>
        <w:tab/>
      </w:r>
      <w:r>
        <w:rPr>
          <w:rFonts w:ascii="Arial" w:cs="Arial" w:eastAsia="Arial" w:hAnsi="Arial"/>
          <w:sz w:val="15"/>
          <w:szCs w:val="15"/>
          <w:b w:val="1"/>
          <w:bCs w:val="1"/>
          <w:color w:val="auto"/>
        </w:rPr>
        <w:t xml:space="preserve">“Plan” </w:t>
      </w:r>
      <w:r>
        <w:rPr>
          <w:rFonts w:ascii="Arial" w:cs="Arial" w:eastAsia="Arial" w:hAnsi="Arial"/>
          <w:sz w:val="15"/>
          <w:szCs w:val="15"/>
          <w:color w:val="auto"/>
        </w:rPr>
        <w:t>means this Marriott Vacations Worldwide Corporation 2020 Stock and Cash Incentive Plan.</w:t>
      </w:r>
    </w:p>
    <w:p>
      <w:pPr>
        <w:spacing w:after="0" w:line="215"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2.34</w:t>
      </w:r>
      <w:r>
        <w:rPr>
          <w:sz w:val="20"/>
          <w:szCs w:val="20"/>
          <w:color w:val="auto"/>
        </w:rPr>
        <w:tab/>
      </w:r>
      <w:r>
        <w:rPr>
          <w:rFonts w:ascii="Arial" w:cs="Arial" w:eastAsia="Arial" w:hAnsi="Arial"/>
          <w:sz w:val="15"/>
          <w:szCs w:val="15"/>
          <w:b w:val="1"/>
          <w:bCs w:val="1"/>
          <w:color w:val="auto"/>
        </w:rPr>
        <w:t xml:space="preserve">“Restricted Stock” </w:t>
      </w:r>
      <w:r>
        <w:rPr>
          <w:rFonts w:ascii="Arial" w:cs="Arial" w:eastAsia="Arial" w:hAnsi="Arial"/>
          <w:sz w:val="15"/>
          <w:szCs w:val="15"/>
          <w:color w:val="auto"/>
        </w:rPr>
        <w:t>means an Award of Shares granted to a Participant pursuant to Article 7 hereof.</w:t>
      </w:r>
    </w:p>
    <w:p>
      <w:pPr>
        <w:spacing w:after="0" w:line="215"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2.35</w:t>
      </w:r>
      <w:r>
        <w:rPr>
          <w:sz w:val="20"/>
          <w:szCs w:val="20"/>
          <w:color w:val="auto"/>
        </w:rPr>
        <w:tab/>
      </w:r>
      <w:r>
        <w:rPr>
          <w:rFonts w:ascii="Arial" w:cs="Arial" w:eastAsia="Arial" w:hAnsi="Arial"/>
          <w:sz w:val="15"/>
          <w:szCs w:val="15"/>
          <w:b w:val="1"/>
          <w:bCs w:val="1"/>
          <w:color w:val="auto"/>
        </w:rPr>
        <w:t xml:space="preserve">“RSU” </w:t>
      </w:r>
      <w:r>
        <w:rPr>
          <w:rFonts w:ascii="Arial" w:cs="Arial" w:eastAsia="Arial" w:hAnsi="Arial"/>
          <w:sz w:val="15"/>
          <w:szCs w:val="15"/>
          <w:color w:val="auto"/>
        </w:rPr>
        <w:t>means a restricted stock unit Award granted to a Participant pursuant to Article 8 hereof.</w:t>
      </w:r>
    </w:p>
    <w:p>
      <w:pPr>
        <w:spacing w:after="0" w:line="215"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2.36</w:t>
      </w:r>
      <w:r>
        <w:rPr>
          <w:sz w:val="20"/>
          <w:szCs w:val="20"/>
          <w:color w:val="auto"/>
        </w:rPr>
        <w:tab/>
      </w:r>
      <w:r>
        <w:rPr>
          <w:rFonts w:ascii="Arial" w:cs="Arial" w:eastAsia="Arial" w:hAnsi="Arial"/>
          <w:sz w:val="15"/>
          <w:szCs w:val="15"/>
          <w:b w:val="1"/>
          <w:bCs w:val="1"/>
          <w:color w:val="auto"/>
        </w:rPr>
        <w:t xml:space="preserve">“Shares” </w:t>
      </w:r>
      <w:r>
        <w:rPr>
          <w:rFonts w:ascii="Arial" w:cs="Arial" w:eastAsia="Arial" w:hAnsi="Arial"/>
          <w:sz w:val="15"/>
          <w:szCs w:val="15"/>
          <w:color w:val="auto"/>
        </w:rPr>
        <w:t>means shares of Common Stock of the Company or of any successor company adopting this Plan.</w:t>
      </w:r>
    </w:p>
    <w:p>
      <w:pPr>
        <w:spacing w:after="0" w:line="215" w:lineRule="exact"/>
        <w:rPr>
          <w:sz w:val="20"/>
          <w:szCs w:val="20"/>
          <w:color w:val="auto"/>
        </w:rPr>
      </w:pPr>
    </w:p>
    <w:p>
      <w:pPr>
        <w:ind w:right="20" w:firstLine="616"/>
        <w:spacing w:after="0" w:line="285" w:lineRule="auto"/>
        <w:rPr>
          <w:sz w:val="20"/>
          <w:szCs w:val="20"/>
          <w:color w:val="auto"/>
        </w:rPr>
      </w:pPr>
      <w:r>
        <w:rPr>
          <w:rFonts w:ascii="Arial" w:cs="Arial" w:eastAsia="Arial" w:hAnsi="Arial"/>
          <w:sz w:val="17"/>
          <w:szCs w:val="17"/>
          <w:b w:val="1"/>
          <w:bCs w:val="1"/>
          <w:color w:val="auto"/>
        </w:rPr>
        <w:t xml:space="preserve">2.37 “SAR” </w:t>
      </w:r>
      <w:r>
        <w:rPr>
          <w:rFonts w:ascii="Arial" w:cs="Arial" w:eastAsia="Arial" w:hAnsi="Arial"/>
          <w:sz w:val="17"/>
          <w:szCs w:val="17"/>
          <w:color w:val="auto"/>
        </w:rPr>
        <w:t>means a stock appreciation right as described in Article 6 hereof, or a Director SAR as described in Article 10 hereof, which may be settled</w:t>
      </w:r>
      <w:r>
        <w:rPr>
          <w:rFonts w:ascii="Arial" w:cs="Arial" w:eastAsia="Arial" w:hAnsi="Arial"/>
          <w:sz w:val="17"/>
          <w:szCs w:val="17"/>
          <w:b w:val="1"/>
          <w:bCs w:val="1"/>
          <w:color w:val="auto"/>
        </w:rPr>
        <w:t xml:space="preserve"> </w:t>
      </w:r>
      <w:r>
        <w:rPr>
          <w:rFonts w:ascii="Arial" w:cs="Arial" w:eastAsia="Arial" w:hAnsi="Arial"/>
          <w:sz w:val="17"/>
          <w:szCs w:val="17"/>
          <w:color w:val="auto"/>
        </w:rPr>
        <w:t>in Shares or cash as provided in the pertinent Award Agreement.</w:t>
      </w:r>
    </w:p>
    <w:p>
      <w:pPr>
        <w:spacing w:after="0" w:line="152" w:lineRule="exact"/>
        <w:rPr>
          <w:sz w:val="20"/>
          <w:szCs w:val="20"/>
          <w:color w:val="auto"/>
        </w:rPr>
      </w:pPr>
    </w:p>
    <w:p>
      <w:pPr>
        <w:ind w:right="140" w:firstLine="616"/>
        <w:spacing w:after="0" w:line="285" w:lineRule="auto"/>
        <w:rPr>
          <w:sz w:val="20"/>
          <w:szCs w:val="20"/>
          <w:color w:val="auto"/>
        </w:rPr>
      </w:pPr>
      <w:r>
        <w:rPr>
          <w:rFonts w:ascii="Arial" w:cs="Arial" w:eastAsia="Arial" w:hAnsi="Arial"/>
          <w:sz w:val="17"/>
          <w:szCs w:val="17"/>
          <w:b w:val="1"/>
          <w:bCs w:val="1"/>
          <w:color w:val="auto"/>
        </w:rPr>
        <w:t xml:space="preserve">2.38 “Stock Units” </w:t>
      </w:r>
      <w:r>
        <w:rPr>
          <w:rFonts w:ascii="Arial" w:cs="Arial" w:eastAsia="Arial" w:hAnsi="Arial"/>
          <w:sz w:val="17"/>
          <w:szCs w:val="17"/>
          <w:color w:val="auto"/>
        </w:rPr>
        <w:t>means the credits to a Non-Employee Director’s Stock Unit Account, each of which represents the right to receive one Share upon</w:t>
      </w:r>
      <w:r>
        <w:rPr>
          <w:rFonts w:ascii="Arial" w:cs="Arial" w:eastAsia="Arial" w:hAnsi="Arial"/>
          <w:sz w:val="17"/>
          <w:szCs w:val="17"/>
          <w:b w:val="1"/>
          <w:bCs w:val="1"/>
          <w:color w:val="auto"/>
        </w:rPr>
        <w:t xml:space="preserve"> </w:t>
      </w:r>
      <w:r>
        <w:rPr>
          <w:rFonts w:ascii="Arial" w:cs="Arial" w:eastAsia="Arial" w:hAnsi="Arial"/>
          <w:sz w:val="17"/>
          <w:szCs w:val="17"/>
          <w:color w:val="auto"/>
        </w:rPr>
        <w:t>settlement of the Stock Unit Account.</w:t>
      </w:r>
    </w:p>
    <w:p>
      <w:pPr>
        <w:spacing w:after="0" w:line="152"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2.39</w:t>
      </w:r>
      <w:r>
        <w:rPr>
          <w:sz w:val="20"/>
          <w:szCs w:val="20"/>
          <w:color w:val="auto"/>
        </w:rPr>
        <w:tab/>
      </w:r>
      <w:r>
        <w:rPr>
          <w:rFonts w:ascii="Arial" w:cs="Arial" w:eastAsia="Arial" w:hAnsi="Arial"/>
          <w:sz w:val="15"/>
          <w:szCs w:val="15"/>
          <w:b w:val="1"/>
          <w:bCs w:val="1"/>
          <w:color w:val="auto"/>
        </w:rPr>
        <w:t xml:space="preserve">“Stock Unit Account” </w:t>
      </w:r>
      <w:r>
        <w:rPr>
          <w:rFonts w:ascii="Arial" w:cs="Arial" w:eastAsia="Arial" w:hAnsi="Arial"/>
          <w:sz w:val="15"/>
          <w:szCs w:val="15"/>
          <w:color w:val="auto"/>
        </w:rPr>
        <w:t>means the bookkeeping account established by the Company pursuant to Article 10.3.</w:t>
      </w:r>
    </w:p>
    <w:p>
      <w:pPr>
        <w:spacing w:after="0" w:line="215" w:lineRule="exact"/>
        <w:rPr>
          <w:sz w:val="20"/>
          <w:szCs w:val="20"/>
          <w:color w:val="auto"/>
        </w:rPr>
      </w:pPr>
    </w:p>
    <w:p>
      <w:pPr>
        <w:jc w:val="both"/>
        <w:ind w:right="60" w:firstLine="616"/>
        <w:spacing w:after="0" w:line="355" w:lineRule="auto"/>
        <w:rPr>
          <w:sz w:val="20"/>
          <w:szCs w:val="20"/>
          <w:color w:val="auto"/>
        </w:rPr>
      </w:pPr>
      <w:r>
        <w:rPr>
          <w:rFonts w:ascii="Arial" w:cs="Arial" w:eastAsia="Arial" w:hAnsi="Arial"/>
          <w:sz w:val="15"/>
          <w:szCs w:val="15"/>
          <w:b w:val="1"/>
          <w:bCs w:val="1"/>
          <w:color w:val="auto"/>
        </w:rPr>
        <w:t xml:space="preserve">2.40 “Subsidiary” </w:t>
      </w:r>
      <w:r>
        <w:rPr>
          <w:rFonts w:ascii="Arial" w:cs="Arial" w:eastAsia="Arial" w:hAnsi="Arial"/>
          <w:sz w:val="15"/>
          <w:szCs w:val="15"/>
          <w:color w:val="auto"/>
        </w:rPr>
        <w:t>means any corporation, partnership, joint venture, trust or other entity in which the Company has a controlling interest as defined in</w:t>
      </w:r>
      <w:r>
        <w:rPr>
          <w:rFonts w:ascii="Arial" w:cs="Arial" w:eastAsia="Arial" w:hAnsi="Arial"/>
          <w:sz w:val="15"/>
          <w:szCs w:val="15"/>
          <w:b w:val="1"/>
          <w:bCs w:val="1"/>
          <w:color w:val="auto"/>
        </w:rPr>
        <w:t xml:space="preserve"> </w:t>
      </w:r>
      <w:r>
        <w:rPr>
          <w:rFonts w:ascii="Arial" w:cs="Arial" w:eastAsia="Arial" w:hAnsi="Arial"/>
          <w:sz w:val="15"/>
          <w:szCs w:val="15"/>
          <w:color w:val="auto"/>
        </w:rPr>
        <w:t>Treasury Regulation Section 1.414(c)-2(b)(2), except that the threshold interest shall be “more than fifty percent (50%)” instead of “at least eighty percent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00"/>
          </w:cols>
          <w:pgMar w:left="320" w:top="1440" w:right="379" w:bottom="1440" w:gutter="0" w:footer="0" w:header="0"/>
        </w:sectPr>
      </w:pPr>
    </w:p>
    <w:bookmarkStart w:id="78" w:name="page79"/>
    <w:bookmarkEnd w:id="78"/>
    <w:p>
      <w:pPr>
        <w:spacing w:after="0" w:line="119"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2.41</w:t>
      </w:r>
      <w:r>
        <w:rPr>
          <w:sz w:val="20"/>
          <w:szCs w:val="20"/>
          <w:color w:val="auto"/>
        </w:rPr>
        <w:tab/>
      </w:r>
      <w:r>
        <w:rPr>
          <w:rFonts w:ascii="Arial" w:cs="Arial" w:eastAsia="Arial" w:hAnsi="Arial"/>
          <w:sz w:val="15"/>
          <w:szCs w:val="15"/>
          <w:b w:val="1"/>
          <w:bCs w:val="1"/>
          <w:color w:val="auto"/>
        </w:rPr>
        <w:t xml:space="preserve">“Termination of Service” </w:t>
      </w:r>
      <w:r>
        <w:rPr>
          <w:rFonts w:ascii="Arial" w:cs="Arial" w:eastAsia="Arial" w:hAnsi="Arial"/>
          <w:sz w:val="15"/>
          <w:szCs w:val="15"/>
          <w:color w:val="auto"/>
        </w:rPr>
        <w:t>means termination of service as a Non-Employee Director in any of the following circumstances:</w:t>
      </w:r>
    </w:p>
    <w:p>
      <w:pPr>
        <w:spacing w:after="0" w:line="221" w:lineRule="exact"/>
        <w:rPr>
          <w:sz w:val="20"/>
          <w:szCs w:val="20"/>
          <w:color w:val="auto"/>
        </w:rPr>
      </w:pPr>
    </w:p>
    <w:p>
      <w:pPr>
        <w:ind w:left="980" w:hanging="361"/>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Where the Non-Employee Director voluntarily resigns or retires;</w:t>
      </w:r>
    </w:p>
    <w:p>
      <w:pPr>
        <w:spacing w:after="0" w:line="215" w:lineRule="exact"/>
        <w:rPr>
          <w:rFonts w:ascii="Arial" w:cs="Arial" w:eastAsia="Arial" w:hAnsi="Arial"/>
          <w:sz w:val="17"/>
          <w:szCs w:val="17"/>
          <w:color w:val="auto"/>
        </w:rPr>
      </w:pPr>
    </w:p>
    <w:p>
      <w:pPr>
        <w:ind w:left="980" w:hanging="361"/>
        <w:spacing w:after="0"/>
        <w:tabs>
          <w:tab w:leader="none" w:pos="9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Where the Non-Employee Director is not re-elected (or elected in the case of an appointed Non-Employee Director) to the Board by the shareholders;</w:t>
      </w:r>
    </w:p>
    <w:p>
      <w:pPr>
        <w:spacing w:after="0" w:line="238" w:lineRule="exact"/>
        <w:rPr>
          <w:rFonts w:ascii="Arial" w:cs="Arial" w:eastAsia="Arial" w:hAnsi="Arial"/>
          <w:sz w:val="15"/>
          <w:szCs w:val="15"/>
          <w:color w:val="auto"/>
        </w:rPr>
      </w:pPr>
    </w:p>
    <w:p>
      <w:pPr>
        <w:ind w:left="980" w:hanging="361"/>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Where the Non-Employee Director ceases to perform services on account of a Disability; or</w:t>
      </w:r>
    </w:p>
    <w:p>
      <w:pPr>
        <w:spacing w:after="0" w:line="215" w:lineRule="exact"/>
        <w:rPr>
          <w:rFonts w:ascii="Arial" w:cs="Arial" w:eastAsia="Arial" w:hAnsi="Arial"/>
          <w:sz w:val="17"/>
          <w:szCs w:val="17"/>
          <w:color w:val="auto"/>
        </w:rPr>
      </w:pPr>
    </w:p>
    <w:p>
      <w:pPr>
        <w:ind w:left="980" w:hanging="361"/>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Where the Non-Employee Director dies.</w:t>
      </w:r>
    </w:p>
    <w:p>
      <w:pPr>
        <w:spacing w:after="0" w:line="215" w:lineRule="exact"/>
        <w:rPr>
          <w:sz w:val="20"/>
          <w:szCs w:val="20"/>
          <w:color w:val="auto"/>
        </w:rPr>
      </w:pPr>
    </w:p>
    <w:p>
      <w:pPr>
        <w:ind w:right="160" w:firstLine="616"/>
        <w:spacing w:after="0" w:line="277" w:lineRule="auto"/>
        <w:rPr>
          <w:sz w:val="20"/>
          <w:szCs w:val="20"/>
          <w:color w:val="auto"/>
        </w:rPr>
      </w:pPr>
      <w:r>
        <w:rPr>
          <w:rFonts w:ascii="Arial" w:cs="Arial" w:eastAsia="Arial" w:hAnsi="Arial"/>
          <w:sz w:val="17"/>
          <w:szCs w:val="17"/>
          <w:color w:val="auto"/>
        </w:rPr>
        <w:t>With respect to any Awards that are or become subject to Section 409A of the Code, Termination of Service shall not include any event that is not within the meaning of “separation from service” as set forth in Treasury Regulation Section 1.409A-1(h).</w:t>
      </w:r>
    </w:p>
    <w:p>
      <w:pPr>
        <w:spacing w:after="0" w:line="159" w:lineRule="exact"/>
        <w:rPr>
          <w:sz w:val="20"/>
          <w:szCs w:val="20"/>
          <w:color w:val="auto"/>
        </w:rPr>
      </w:pPr>
    </w:p>
    <w:p>
      <w:pPr>
        <w:ind w:right="360" w:firstLine="616"/>
        <w:spacing w:after="0" w:line="285" w:lineRule="auto"/>
        <w:rPr>
          <w:sz w:val="20"/>
          <w:szCs w:val="20"/>
          <w:color w:val="auto"/>
        </w:rPr>
      </w:pPr>
      <w:r>
        <w:rPr>
          <w:rFonts w:ascii="Arial" w:cs="Arial" w:eastAsia="Arial" w:hAnsi="Arial"/>
          <w:sz w:val="17"/>
          <w:szCs w:val="17"/>
          <w:b w:val="1"/>
          <w:bCs w:val="1"/>
          <w:color w:val="auto"/>
        </w:rPr>
        <w:t xml:space="preserve">2.42 “Year of Service” </w:t>
      </w:r>
      <w:r>
        <w:rPr>
          <w:rFonts w:ascii="Arial" w:cs="Arial" w:eastAsia="Arial" w:hAnsi="Arial"/>
          <w:sz w:val="17"/>
          <w:szCs w:val="17"/>
          <w:color w:val="auto"/>
        </w:rPr>
        <w:t>means a period of twelve (12) consecutive calendar months during which an Employee is employed by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predecessor thereto as determined by the Committee.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 Administration</w:t>
      </w:r>
    </w:p>
    <w:p>
      <w:pPr>
        <w:spacing w:after="0" w:line="215" w:lineRule="exact"/>
        <w:rPr>
          <w:sz w:val="20"/>
          <w:szCs w:val="20"/>
          <w:color w:val="auto"/>
        </w:rPr>
      </w:pPr>
    </w:p>
    <w:p>
      <w:pPr>
        <w:ind w:right="60" w:firstLine="616"/>
        <w:spacing w:after="0" w:line="260" w:lineRule="auto"/>
        <w:rPr>
          <w:sz w:val="20"/>
          <w:szCs w:val="20"/>
          <w:color w:val="auto"/>
        </w:rPr>
      </w:pPr>
      <w:r>
        <w:rPr>
          <w:rFonts w:ascii="Arial" w:cs="Arial" w:eastAsia="Arial" w:hAnsi="Arial"/>
          <w:sz w:val="17"/>
          <w:szCs w:val="17"/>
          <w:b w:val="1"/>
          <w:bCs w:val="1"/>
          <w:color w:val="auto"/>
        </w:rPr>
        <w:t xml:space="preserve">3.1 The Committee. </w:t>
      </w:r>
      <w:r>
        <w:rPr>
          <w:rFonts w:ascii="Arial" w:cs="Arial" w:eastAsia="Arial" w:hAnsi="Arial"/>
          <w:sz w:val="17"/>
          <w:szCs w:val="17"/>
          <w:color w:val="auto"/>
        </w:rPr>
        <w:t>The Plan shall be administered by the Committee or by any other committee appointed by the Board. The members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shall be appointed from time to time by, and shall serve at the discretion of, the Board of Directors. Any power of the Committee may also be exercised by the Board, except to the extent that the grant or exercise of such authority would cause any Award or transaction to become subject to (or lose an exemption under) the short-swing profit recovery provisions of Section 16 of the Exchange Act. To the extent that any permitted action taken by the Board conflicts with action taken by the Committee, the Board action shall control.</w:t>
      </w:r>
    </w:p>
    <w:p>
      <w:pPr>
        <w:spacing w:after="0" w:line="173" w:lineRule="exact"/>
        <w:rPr>
          <w:sz w:val="20"/>
          <w:szCs w:val="20"/>
          <w:color w:val="auto"/>
        </w:rPr>
      </w:pPr>
    </w:p>
    <w:p>
      <w:pPr>
        <w:ind w:right="60" w:firstLine="616"/>
        <w:spacing w:after="0" w:line="293" w:lineRule="auto"/>
        <w:rPr>
          <w:sz w:val="20"/>
          <w:szCs w:val="20"/>
          <w:color w:val="auto"/>
        </w:rPr>
      </w:pPr>
      <w:r>
        <w:rPr>
          <w:rFonts w:ascii="Arial" w:cs="Arial" w:eastAsia="Arial" w:hAnsi="Arial"/>
          <w:sz w:val="15"/>
          <w:szCs w:val="15"/>
          <w:b w:val="1"/>
          <w:bCs w:val="1"/>
          <w:color w:val="auto"/>
        </w:rPr>
        <w:t xml:space="preserve">3.2 Authority of the Committee. </w:t>
      </w:r>
      <w:r>
        <w:rPr>
          <w:rFonts w:ascii="Arial" w:cs="Arial" w:eastAsia="Arial" w:hAnsi="Arial"/>
          <w:sz w:val="15"/>
          <w:szCs w:val="15"/>
          <w:color w:val="auto"/>
        </w:rPr>
        <w:t>Except as limited by law or by the Articles of Incorporation or Bylaws of the Company, and subject to the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hereof, the Committee shall have full power to select Employees and Non-Employee Directors who shall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subject to the provisions of Article 14 hereof, amend the terms and conditions of any outstanding Award to the extent such terms and conditions are within the discretion of the Committee as provided in the Plan; and approve corrections in the documentation or administration of any Award. Further, the Committee shall make all other determinations that may be necessary or advisable for the administration of the Plan. The Committee’s determinations under the Plan (including without limitation, determinations of the persons to receive Awards, the form, amount and timing of such Awards, the terms and provisions of such Awards and the Award Agreements evidencing such Awards) need not be uniform and may be made by the Committee selectively among persons who receive, or are eligible to receive, Awards under the Plan, whether or not such persons are similarly situated. As permitted by law, the Committee may delegate its authority under the Plan to a Director or Employee.</w:t>
      </w:r>
    </w:p>
    <w:p>
      <w:pPr>
        <w:spacing w:after="0" w:line="153" w:lineRule="exact"/>
        <w:rPr>
          <w:sz w:val="20"/>
          <w:szCs w:val="20"/>
          <w:color w:val="auto"/>
        </w:rPr>
      </w:pPr>
    </w:p>
    <w:p>
      <w:pPr>
        <w:ind w:right="100" w:firstLine="616"/>
        <w:spacing w:after="0" w:line="273" w:lineRule="auto"/>
        <w:rPr>
          <w:sz w:val="20"/>
          <w:szCs w:val="20"/>
          <w:color w:val="auto"/>
        </w:rPr>
      </w:pPr>
      <w:r>
        <w:rPr>
          <w:rFonts w:ascii="Arial" w:cs="Arial" w:eastAsia="Arial" w:hAnsi="Arial"/>
          <w:sz w:val="16"/>
          <w:szCs w:val="16"/>
          <w:b w:val="1"/>
          <w:bCs w:val="1"/>
          <w:color w:val="auto"/>
        </w:rPr>
        <w:t xml:space="preserve">3.3 Delegation. </w:t>
      </w:r>
      <w:r>
        <w:rPr>
          <w:rFonts w:ascii="Arial" w:cs="Arial" w:eastAsia="Arial" w:hAnsi="Arial"/>
          <w:sz w:val="16"/>
          <w:szCs w:val="16"/>
          <w:color w:val="auto"/>
        </w:rPr>
        <w:t>The Committee may delegate to one or more separate committees (any such committee a “Subcommittee”) composed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(who may but need not be members of the Committee) the ability to grant Awards and take the other actions described in Article 3.2 hereof with respect to Participants who are not executive officers, and such actions shall be treated for all purposes as if taken by the Committee. The Committee may delegate to a Subcommittee of one or more officers of the Company the ability to grant Awards and take the other actions described in Article 3.2 hereof with respect to Participants (other than any such officers themselves) who are not Directors or executive officers, provided, however, that the resolution so authorizing such officer(s) shall specify the total number of rights or options such Subcommittee may so award, and such actions shall be treated for all purposes as if taken by the Committee. Any action by any such Subcommittee within the scope of such delegation shall be deemed for all purposes to have been taken by the Committee, and references in this Plan to the Committee shall include any such Subcommittee. The Committee may delegate the day to day administration of the Plan to an officer or officers of the Company, or one or more agents, and such administrator(s) may have the authority to execute and distribute agreements or other documents evidencing or relating to Awards granted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2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Committee under the Plan, to maintain records relating to the grant, vesting, exercise, forfeiture or expiration of Awards, to process or oversee the issuance of Shares upon the exercise, vesting and/or settlement of an Award, to interpret the terms of Awards and to take such other actions as the Committee may specify. Any action by any such administrator within the scope of its delegation shall be deemed for all purposes to have been taken by the Committee and references in the Plan to the Committee shall include any such administrator, provided that the actions and interpretations of any such administrator shall be subject to review and approval, disapproval or modification by the Committee.</w:t>
      </w:r>
    </w:p>
    <w:p>
      <w:pPr>
        <w:spacing w:after="0" w:line="175" w:lineRule="exact"/>
        <w:rPr>
          <w:sz w:val="20"/>
          <w:szCs w:val="20"/>
          <w:color w:val="auto"/>
        </w:rPr>
      </w:pPr>
    </w:p>
    <w:p>
      <w:pPr>
        <w:ind w:right="260" w:firstLine="616"/>
        <w:spacing w:after="0" w:line="285" w:lineRule="auto"/>
        <w:rPr>
          <w:sz w:val="20"/>
          <w:szCs w:val="20"/>
          <w:color w:val="auto"/>
        </w:rPr>
      </w:pPr>
      <w:r>
        <w:rPr>
          <w:rFonts w:ascii="Arial" w:cs="Arial" w:eastAsia="Arial" w:hAnsi="Arial"/>
          <w:sz w:val="17"/>
          <w:szCs w:val="17"/>
          <w:b w:val="1"/>
          <w:bCs w:val="1"/>
          <w:color w:val="auto"/>
        </w:rPr>
        <w:t xml:space="preserve">3.4 Decisions Binding. </w:t>
      </w:r>
      <w:r>
        <w:rPr>
          <w:rFonts w:ascii="Arial" w:cs="Arial" w:eastAsia="Arial" w:hAnsi="Arial"/>
          <w:sz w:val="17"/>
          <w:szCs w:val="17"/>
          <w:color w:val="auto"/>
        </w:rPr>
        <w:t>All determinations and decisions made by the Committee or its designee pursuant to the provisions of the Plan and all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orders and resolutions of the Board shall be final, conclusive and binding on all parties.</w:t>
      </w:r>
    </w:p>
    <w:p>
      <w:pPr>
        <w:spacing w:after="0" w:line="152" w:lineRule="exact"/>
        <w:rPr>
          <w:sz w:val="20"/>
          <w:szCs w:val="20"/>
          <w:color w:val="auto"/>
        </w:rPr>
      </w:pPr>
    </w:p>
    <w:p>
      <w:pPr>
        <w:ind w:right="520" w:firstLine="616"/>
        <w:spacing w:after="0" w:line="285" w:lineRule="auto"/>
        <w:rPr>
          <w:sz w:val="20"/>
          <w:szCs w:val="20"/>
          <w:color w:val="auto"/>
        </w:rPr>
      </w:pPr>
      <w:r>
        <w:rPr>
          <w:rFonts w:ascii="Arial" w:cs="Arial" w:eastAsia="Arial" w:hAnsi="Arial"/>
          <w:sz w:val="17"/>
          <w:szCs w:val="17"/>
          <w:b w:val="1"/>
          <w:bCs w:val="1"/>
          <w:color w:val="auto"/>
        </w:rPr>
        <w:t xml:space="preserve">3.5 Unanimous Consent in Lieu of Meeting. </w:t>
      </w:r>
      <w:r>
        <w:rPr>
          <w:rFonts w:ascii="Arial" w:cs="Arial" w:eastAsia="Arial" w:hAnsi="Arial"/>
          <w:sz w:val="17"/>
          <w:szCs w:val="17"/>
          <w:color w:val="auto"/>
        </w:rPr>
        <w:t>A memorandum signed by all members of the Committee shall constitute the act of the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the necessity in such event to hold a meeting.</w:t>
      </w:r>
    </w:p>
    <w:p>
      <w:pPr>
        <w:spacing w:after="0" w:line="152" w:lineRule="exact"/>
        <w:rPr>
          <w:sz w:val="20"/>
          <w:szCs w:val="20"/>
          <w:color w:val="auto"/>
        </w:rPr>
      </w:pPr>
    </w:p>
    <w:p>
      <w:pPr>
        <w:ind w:firstLine="616"/>
        <w:spacing w:after="0" w:line="260" w:lineRule="auto"/>
        <w:rPr>
          <w:sz w:val="20"/>
          <w:szCs w:val="20"/>
          <w:color w:val="auto"/>
        </w:rPr>
      </w:pPr>
      <w:r>
        <w:rPr>
          <w:rFonts w:ascii="Arial" w:cs="Arial" w:eastAsia="Arial" w:hAnsi="Arial"/>
          <w:sz w:val="17"/>
          <w:szCs w:val="17"/>
          <w:b w:val="1"/>
          <w:bCs w:val="1"/>
          <w:color w:val="auto"/>
        </w:rPr>
        <w:t xml:space="preserve">3.6 Serious Misconduct. </w:t>
      </w:r>
      <w:r>
        <w:rPr>
          <w:rFonts w:ascii="Arial" w:cs="Arial" w:eastAsia="Arial" w:hAnsi="Arial"/>
          <w:sz w:val="17"/>
          <w:szCs w:val="17"/>
          <w:color w:val="auto"/>
        </w:rPr>
        <w:t>Notwithstanding anything to the contrary in the Plan or any Award Agreement, if a Participant terminates employment for</w:t>
      </w:r>
      <w:r>
        <w:rPr>
          <w:rFonts w:ascii="Arial" w:cs="Arial" w:eastAsia="Arial" w:hAnsi="Arial"/>
          <w:sz w:val="17"/>
          <w:szCs w:val="17"/>
          <w:b w:val="1"/>
          <w:bCs w:val="1"/>
          <w:color w:val="auto"/>
        </w:rPr>
        <w:t xml:space="preserve"> </w:t>
      </w:r>
      <w:r>
        <w:rPr>
          <w:rFonts w:ascii="Arial" w:cs="Arial" w:eastAsia="Arial" w:hAnsi="Arial"/>
          <w:sz w:val="17"/>
          <w:szCs w:val="17"/>
          <w:color w:val="auto"/>
        </w:rPr>
        <w:t>serious misconduct, including but not limited to engaging in a terminable offense set forth in the applicable associate handbook, the Committee may, in its sole discretion, refuse or revoke Approved Retiree status or other retirement approval for such Participant, or otherwise determine that such Participant may not receive, vest in or exercise any Awards or otherwise receive Shares thereunder to the extent the Awards are not granted, vested or fully exercised, or Shares are not received, as of such determination.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4 Shares Subject to the Plan</w:t>
      </w:r>
    </w:p>
    <w:p>
      <w:pPr>
        <w:spacing w:after="0" w:line="215"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color w:val="auto"/>
        </w:rPr>
        <w:t>Number of Shares.</w:t>
      </w:r>
    </w:p>
    <w:p>
      <w:pPr>
        <w:spacing w:after="0" w:line="221" w:lineRule="exact"/>
        <w:rPr>
          <w:sz w:val="20"/>
          <w:szCs w:val="20"/>
          <w:color w:val="auto"/>
        </w:rPr>
      </w:pPr>
    </w:p>
    <w:p>
      <w:pPr>
        <w:ind w:firstLine="619"/>
        <w:spacing w:after="0" w:line="264" w:lineRule="auto"/>
        <w:tabs>
          <w:tab w:leader="none" w:pos="977"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Reserve</w:t>
      </w:r>
      <w:r>
        <w:rPr>
          <w:rFonts w:ascii="Arial" w:cs="Arial" w:eastAsia="Arial" w:hAnsi="Arial"/>
          <w:sz w:val="17"/>
          <w:szCs w:val="17"/>
          <w:color w:val="auto"/>
        </w:rPr>
        <w:t>. Subject to Article 4.2 hereof, an aggregate of one million, two hundred and sixty-five thousand (1,265,000) Shares, plus the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described in Article 4.1(b) (the “Reserve”), may be issued pursuant to Awards granted under the Plan. All of the Shares reserved for issuance under the Plan may be issued pursuant to ISOs.</w:t>
      </w:r>
    </w:p>
    <w:p>
      <w:pPr>
        <w:spacing w:after="0" w:line="176" w:lineRule="exact"/>
        <w:rPr>
          <w:rFonts w:ascii="Arial" w:cs="Arial" w:eastAsia="Arial" w:hAnsi="Arial"/>
          <w:sz w:val="17"/>
          <w:szCs w:val="17"/>
          <w:color w:val="auto"/>
        </w:rPr>
      </w:pPr>
    </w:p>
    <w:p>
      <w:pPr>
        <w:ind w:right="20" w:firstLine="619"/>
        <w:spacing w:after="0" w:line="301" w:lineRule="auto"/>
        <w:tabs>
          <w:tab w:leader="none" w:pos="986" w:val="left"/>
        </w:tabs>
        <w:numPr>
          <w:ilvl w:val="0"/>
          <w:numId w:val="4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Prior Plans. </w:t>
      </w:r>
      <w:r>
        <w:rPr>
          <w:rFonts w:ascii="Arial" w:cs="Arial" w:eastAsia="Arial" w:hAnsi="Arial"/>
          <w:sz w:val="15"/>
          <w:szCs w:val="15"/>
          <w:color w:val="auto"/>
        </w:rPr>
        <w:t>The number of Shares which were reserved for issuance under the Prior Marriott Plan but which are not subject to any outstanding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awards under such plan as of the Effective Date shall be considered part of the Reserve under Article 4.1(a). Further, after the Effective Date, if any Shares subject to or underlying awards granted under the Prior Plans would again become available for new grants under the terms of such plans if such plans were still in effect, then those Shares will be added to the Reserve, thereby increasing the number of Shares available for issuance under this Plan as determined under the first sentence of Article 4.1(a). Any such Shares will not be available for future awards under the terms of the Prior Plans, which are terminated as of the Effective Date.</w:t>
      </w:r>
    </w:p>
    <w:p>
      <w:pPr>
        <w:spacing w:after="0" w:line="150" w:lineRule="exact"/>
        <w:rPr>
          <w:rFonts w:ascii="Arial" w:cs="Arial" w:eastAsia="Arial" w:hAnsi="Arial"/>
          <w:sz w:val="15"/>
          <w:szCs w:val="15"/>
          <w:color w:val="auto"/>
        </w:rPr>
      </w:pPr>
    </w:p>
    <w:p>
      <w:pPr>
        <w:ind w:right="420" w:firstLine="619"/>
        <w:spacing w:after="0" w:line="277" w:lineRule="auto"/>
        <w:tabs>
          <w:tab w:leader="none" w:pos="977"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Depletion of Reserve</w:t>
      </w:r>
      <w:r>
        <w:rPr>
          <w:rFonts w:ascii="Arial" w:cs="Arial" w:eastAsia="Arial" w:hAnsi="Arial"/>
          <w:sz w:val="17"/>
          <w:szCs w:val="17"/>
          <w:color w:val="auto"/>
        </w:rPr>
        <w:t>. When an Award is granted, the Reserve shall be depleted by the maximum number of Shares to which the Award relates,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that an Award that is valued in relation to a Share but that may only be settled in cash shall not deplete the Reserve.</w:t>
      </w:r>
    </w:p>
    <w:p>
      <w:pPr>
        <w:spacing w:after="0" w:line="164" w:lineRule="exact"/>
        <w:rPr>
          <w:rFonts w:ascii="Arial" w:cs="Arial" w:eastAsia="Arial" w:hAnsi="Arial"/>
          <w:sz w:val="17"/>
          <w:szCs w:val="17"/>
          <w:color w:val="auto"/>
        </w:rPr>
      </w:pPr>
    </w:p>
    <w:p>
      <w:pPr>
        <w:ind w:firstLine="619"/>
        <w:spacing w:after="0" w:line="274" w:lineRule="auto"/>
        <w:tabs>
          <w:tab w:leader="none" w:pos="986"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Replenishment of Reserve</w:t>
      </w:r>
      <w:r>
        <w:rPr>
          <w:rFonts w:ascii="Arial" w:cs="Arial" w:eastAsia="Arial" w:hAnsi="Arial"/>
          <w:sz w:val="16"/>
          <w:szCs w:val="16"/>
          <w:color w:val="auto"/>
        </w:rPr>
        <w:t>. To the extent (i) an Award lapses, expires, terminates or is cancelled without the issuance of Shares under the Award, (ii)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 is determined during or at the conclusion of the term of an Award that all or some portion of the Shares with respect to which the Award was granted will not be issuable on the basis that the conditions for such issuance will not be satisfied, (iii) Shares are forfeited under an Award, (iv) Shares are tendered or withheld in payment of the exercise price of an Option or as a result of the net settlement in Shares of an outstanding SAR; (v) Shares are tendered or withheld to satisfy federal, state or local tax withholding obligations; or (vi) Shares are issued under any Award and the Company subsequently reacquires them pursuant to rights reserved upon the issuance of the Shares, then such Shares shall be re-credited to the Reserve and may be used for new Awards under the Plan, provided that Shares re-credited to the Reserve pursuant to clause (vi) may not be issued pursuant to ISOs.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320" w:top="1440" w:right="359" w:bottom="1440" w:gutter="0" w:footer="0" w:header="0"/>
        </w:sectPr>
      </w:pPr>
    </w:p>
    <w:bookmarkStart w:id="80" w:name="page81"/>
    <w:bookmarkEnd w:id="80"/>
    <w:p>
      <w:pPr>
        <w:spacing w:after="0" w:line="119" w:lineRule="exact"/>
        <w:rPr>
          <w:sz w:val="20"/>
          <w:szCs w:val="20"/>
          <w:color w:val="auto"/>
        </w:rPr>
      </w:pPr>
    </w:p>
    <w:p>
      <w:pPr>
        <w:ind w:firstLine="616"/>
        <w:spacing w:after="0" w:line="289" w:lineRule="auto"/>
        <w:rPr>
          <w:sz w:val="20"/>
          <w:szCs w:val="20"/>
          <w:color w:val="auto"/>
        </w:rPr>
      </w:pPr>
      <w:r>
        <w:rPr>
          <w:rFonts w:ascii="Arial" w:cs="Arial" w:eastAsia="Arial" w:hAnsi="Arial"/>
          <w:sz w:val="15"/>
          <w:szCs w:val="15"/>
          <w:b w:val="1"/>
          <w:bCs w:val="1"/>
          <w:color w:val="auto"/>
        </w:rPr>
        <w:t xml:space="preserve">4.2 Adjustments in Authorized Shares and Awards. </w:t>
      </w:r>
      <w:r>
        <w:rPr>
          <w:rFonts w:ascii="Arial" w:cs="Arial" w:eastAsia="Arial" w:hAnsi="Arial"/>
          <w:sz w:val="15"/>
          <w:szCs w:val="15"/>
          <w:color w:val="auto"/>
        </w:rPr>
        <w:t>In the event of any change in corporate capitalization, such as a stock split, reverse stock split,</w:t>
      </w:r>
      <w:r>
        <w:rPr>
          <w:rFonts w:ascii="Arial" w:cs="Arial" w:eastAsia="Arial" w:hAnsi="Arial"/>
          <w:sz w:val="15"/>
          <w:szCs w:val="15"/>
          <w:b w:val="1"/>
          <w:bCs w:val="1"/>
          <w:color w:val="auto"/>
        </w:rPr>
        <w:t xml:space="preserve"> </w:t>
      </w:r>
      <w:r>
        <w:rPr>
          <w:rFonts w:ascii="Arial" w:cs="Arial" w:eastAsia="Arial" w:hAnsi="Arial"/>
          <w:sz w:val="15"/>
          <w:szCs w:val="15"/>
          <w:color w:val="auto"/>
        </w:rPr>
        <w:t>stock dividend, share combination, recapitalization, or similar event affecting the equity capital structure of the Company, or in the event the Shares shall be changed into or exchanged for a different number or class of shares of stock or securities of the Company or of another corporation and/or for cash as a result of a corporate transaction, such as any merger, consolidation, separation, acquisition of property or shares, stock rights offering, spin-off, or other distribution of stock or property of the Company, any reorganization (whether or not such reorganization comes within the definition of such term in Code Section 368) or any partial or complete liquidation of the Company, or similar event affecting the Company, such adjustment shall be made in (a) the number and class of Shares which thereafter may be delivered under Article 4.1(a), (b) or (c), (b) the number and class of Shares subject to outstanding Awards, (c) the Exercise Price relating to any Award, and</w:t>
      </w:r>
    </w:p>
    <w:p>
      <w:pPr>
        <w:spacing w:after="0" w:line="1" w:lineRule="exact"/>
        <w:rPr>
          <w:sz w:val="20"/>
          <w:szCs w:val="20"/>
          <w:color w:val="auto"/>
        </w:rPr>
      </w:pPr>
    </w:p>
    <w:p>
      <w:pPr>
        <w:ind w:right="100" w:firstLine="3"/>
        <w:spacing w:after="0" w:line="289" w:lineRule="auto"/>
        <w:tabs>
          <w:tab w:leader="none" w:pos="242"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performance goals which may be applicable to any outstanding Awards, and such other equitable substitutions or adjustments may be made, as may be determined to be appropriate and equitable by the Committee, in its sole discretion, to prevent dilution or enlargement of rights. Without limiting the preceding sentence, in the case of any such transaction described in the preceding sentence, the adjustments made by the Committee or the board of directors, compensation committee or similar body of any other legal entity assuming the obligations of the Company hereunder, may consist of either (i) making appropriate provision for the protection of outstanding Awards by the substitution on an equitable basis of appropriate equity interests or awards similar to the Awards (or, in the event no such similar equity interests may be identified, a nonqualified deferred compensation account allocation of equivalent value), provided that the substitution neither enlarges nor diminishes the value and rights under the Awards; or (ii) upon written notice to the Participants, providing that Awards will be exercised, distributed, cashed out or exchanged for value pursuant to such terms and conditions (including the waiver of any existing terms or conditions including but not limited to vesting restrictions or exercise waiting periods) as shall be specified in the notice, provided that any Awards that are subject to Code Section 409A must not be exercised, distributed, cashed out or exchanged for value unless, to the extent required for compliance with Code Section 409A, the transaction qualifies as a “change in control event” as described under Code Section 409A(2)(A)(v) and the regulations thereunder. Any adjustment of an ISO under clause (i) of the preceding sentence in this paragraph shall be made in such a manner so as not to constitute a “modification” within the meaning of Section 424(h)(3) of the Code.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5 Eligibility and Participation</w:t>
      </w:r>
    </w:p>
    <w:p>
      <w:pPr>
        <w:spacing w:after="0" w:line="215" w:lineRule="exact"/>
        <w:rPr>
          <w:sz w:val="20"/>
          <w:szCs w:val="20"/>
          <w:color w:val="auto"/>
        </w:rPr>
      </w:pPr>
    </w:p>
    <w:p>
      <w:pPr>
        <w:ind w:right="120" w:firstLine="616"/>
        <w:spacing w:after="0" w:line="285" w:lineRule="auto"/>
        <w:rPr>
          <w:sz w:val="20"/>
          <w:szCs w:val="20"/>
          <w:color w:val="auto"/>
        </w:rPr>
      </w:pPr>
      <w:r>
        <w:rPr>
          <w:rFonts w:ascii="Arial" w:cs="Arial" w:eastAsia="Arial" w:hAnsi="Arial"/>
          <w:sz w:val="17"/>
          <w:szCs w:val="17"/>
          <w:b w:val="1"/>
          <w:bCs w:val="1"/>
          <w:color w:val="auto"/>
        </w:rPr>
        <w:t xml:space="preserve">5.1 Eligibility. </w:t>
      </w:r>
      <w:r>
        <w:rPr>
          <w:rFonts w:ascii="Arial" w:cs="Arial" w:eastAsia="Arial" w:hAnsi="Arial"/>
          <w:sz w:val="17"/>
          <w:szCs w:val="17"/>
          <w:color w:val="auto"/>
        </w:rPr>
        <w:t>Employees shall be eligible to participate in this Plan with respect to Awards specified in Articles 6 through 9. Non-Employee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eligible to participate in the Plan with respect to Awards specified in Article 10.</w:t>
      </w:r>
    </w:p>
    <w:p>
      <w:pPr>
        <w:spacing w:after="0" w:line="152" w:lineRule="exact"/>
        <w:rPr>
          <w:sz w:val="20"/>
          <w:szCs w:val="20"/>
          <w:color w:val="auto"/>
        </w:rPr>
      </w:pPr>
    </w:p>
    <w:p>
      <w:pPr>
        <w:ind w:right="800" w:firstLine="616"/>
        <w:spacing w:after="0" w:line="285" w:lineRule="auto"/>
        <w:rPr>
          <w:sz w:val="20"/>
          <w:szCs w:val="20"/>
          <w:color w:val="auto"/>
        </w:rPr>
      </w:pPr>
      <w:r>
        <w:rPr>
          <w:rFonts w:ascii="Arial" w:cs="Arial" w:eastAsia="Arial" w:hAnsi="Arial"/>
          <w:sz w:val="17"/>
          <w:szCs w:val="17"/>
          <w:b w:val="1"/>
          <w:bCs w:val="1"/>
          <w:color w:val="auto"/>
        </w:rPr>
        <w:t xml:space="preserve">5.2 Actual Participation by Employees. </w:t>
      </w:r>
      <w:r>
        <w:rPr>
          <w:rFonts w:ascii="Arial" w:cs="Arial" w:eastAsia="Arial" w:hAnsi="Arial"/>
          <w:sz w:val="17"/>
          <w:szCs w:val="17"/>
          <w:color w:val="auto"/>
        </w:rPr>
        <w:t>Subject to the provisions of the Plan, the Committee may, from time to time, select from all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those to whom Awards shall be granted and shall determine the nature and amount of each Award.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6 SARs and Stock Options</w:t>
      </w:r>
    </w:p>
    <w:p>
      <w:pPr>
        <w:spacing w:after="0" w:line="215" w:lineRule="exact"/>
        <w:rPr>
          <w:sz w:val="20"/>
          <w:szCs w:val="20"/>
          <w:color w:val="auto"/>
        </w:rPr>
      </w:pPr>
    </w:p>
    <w:p>
      <w:pPr>
        <w:jc w:val="both"/>
        <w:ind w:right="180" w:firstLine="616"/>
        <w:spacing w:after="0" w:line="268" w:lineRule="auto"/>
        <w:rPr>
          <w:sz w:val="20"/>
          <w:szCs w:val="20"/>
          <w:color w:val="auto"/>
        </w:rPr>
      </w:pPr>
      <w:r>
        <w:rPr>
          <w:rFonts w:ascii="Arial" w:cs="Arial" w:eastAsia="Arial" w:hAnsi="Arial"/>
          <w:sz w:val="17"/>
          <w:szCs w:val="17"/>
          <w:b w:val="1"/>
          <w:bCs w:val="1"/>
          <w:color w:val="auto"/>
        </w:rPr>
        <w:t xml:space="preserve">6.1 Grant of SARs and Options. </w:t>
      </w:r>
      <w:r>
        <w:rPr>
          <w:rFonts w:ascii="Arial" w:cs="Arial" w:eastAsia="Arial" w:hAnsi="Arial"/>
          <w:sz w:val="17"/>
          <w:szCs w:val="17"/>
          <w:color w:val="auto"/>
        </w:rPr>
        <w:t>Subject to the terms and provisions of the Plan, SARs and/or Options may be granted to Employees in such number,</w:t>
      </w:r>
      <w:r>
        <w:rPr>
          <w:rFonts w:ascii="Arial" w:cs="Arial" w:eastAsia="Arial" w:hAnsi="Arial"/>
          <w:sz w:val="17"/>
          <w:szCs w:val="17"/>
          <w:b w:val="1"/>
          <w:bCs w:val="1"/>
          <w:color w:val="auto"/>
        </w:rPr>
        <w:t xml:space="preserve"> </w:t>
      </w:r>
      <w:r>
        <w:rPr>
          <w:rFonts w:ascii="Arial" w:cs="Arial" w:eastAsia="Arial" w:hAnsi="Arial"/>
          <w:sz w:val="17"/>
          <w:szCs w:val="17"/>
          <w:color w:val="auto"/>
        </w:rPr>
        <w:t>and upon such terms, and at any time and from time to time as shall be determined by the Committee. No dividends or dividend equivalent rights may be granted with respect to SARs or Options.</w:t>
      </w:r>
    </w:p>
    <w:p>
      <w:pPr>
        <w:spacing w:after="0" w:line="167" w:lineRule="exact"/>
        <w:rPr>
          <w:sz w:val="20"/>
          <w:szCs w:val="20"/>
          <w:color w:val="auto"/>
        </w:rPr>
      </w:pPr>
    </w:p>
    <w:p>
      <w:pPr>
        <w:ind w:right="60" w:firstLine="616"/>
        <w:spacing w:after="0" w:line="263" w:lineRule="auto"/>
        <w:rPr>
          <w:sz w:val="20"/>
          <w:szCs w:val="20"/>
          <w:color w:val="auto"/>
        </w:rPr>
      </w:pPr>
      <w:r>
        <w:rPr>
          <w:rFonts w:ascii="Arial" w:cs="Arial" w:eastAsia="Arial" w:hAnsi="Arial"/>
          <w:sz w:val="17"/>
          <w:szCs w:val="17"/>
          <w:b w:val="1"/>
          <w:bCs w:val="1"/>
          <w:color w:val="auto"/>
        </w:rPr>
        <w:t xml:space="preserve">6.2 Award Agreement. </w:t>
      </w:r>
      <w:r>
        <w:rPr>
          <w:rFonts w:ascii="Arial" w:cs="Arial" w:eastAsia="Arial" w:hAnsi="Arial"/>
          <w:sz w:val="17"/>
          <w:szCs w:val="17"/>
          <w:color w:val="auto"/>
        </w:rPr>
        <w:t>Each SAR and Option grant shall be evidenced by an Award Agreement that shall specify the Exercise Price, the duration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Award, the number of Shares to which the Award pertains, and such other provisions as the Committee shall determine. The Award Agreement, if pertaining to an Option, also shall specify whether the Option is intended to be an ISO within the meaning of Code Section 422, or an NQSO whose grant is intended not to fall under the provisions of Code Section 422.</w:t>
      </w:r>
    </w:p>
    <w:p>
      <w:pPr>
        <w:spacing w:after="0" w:line="170" w:lineRule="exact"/>
        <w:rPr>
          <w:sz w:val="20"/>
          <w:szCs w:val="20"/>
          <w:color w:val="auto"/>
        </w:rPr>
      </w:pPr>
    </w:p>
    <w:p>
      <w:pPr>
        <w:ind w:right="20" w:firstLine="616"/>
        <w:spacing w:after="0" w:line="285" w:lineRule="auto"/>
        <w:rPr>
          <w:sz w:val="20"/>
          <w:szCs w:val="20"/>
          <w:color w:val="auto"/>
        </w:rPr>
      </w:pPr>
      <w:r>
        <w:rPr>
          <w:rFonts w:ascii="Arial" w:cs="Arial" w:eastAsia="Arial" w:hAnsi="Arial"/>
          <w:sz w:val="17"/>
          <w:szCs w:val="17"/>
          <w:b w:val="1"/>
          <w:bCs w:val="1"/>
          <w:color w:val="auto"/>
        </w:rPr>
        <w:t xml:space="preserve">6.3 Exercise Price. </w:t>
      </w:r>
      <w:r>
        <w:rPr>
          <w:rFonts w:ascii="Arial" w:cs="Arial" w:eastAsia="Arial" w:hAnsi="Arial"/>
          <w:sz w:val="17"/>
          <w:szCs w:val="17"/>
          <w:color w:val="auto"/>
        </w:rPr>
        <w:t>The Exercise Price for each grant of a SAR or an Option under this Article 6 shall be at least equal to one hundred percent (100%)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Fair Market Value of a Share on the date the SAR or Option is granted.</w:t>
      </w:r>
    </w:p>
    <w:p>
      <w:pPr>
        <w:spacing w:after="0" w:line="152" w:lineRule="exact"/>
        <w:rPr>
          <w:sz w:val="20"/>
          <w:szCs w:val="20"/>
          <w:color w:val="auto"/>
        </w:rPr>
      </w:pPr>
    </w:p>
    <w:p>
      <w:pPr>
        <w:ind w:firstLine="616"/>
        <w:spacing w:after="0" w:line="285" w:lineRule="auto"/>
        <w:rPr>
          <w:sz w:val="20"/>
          <w:szCs w:val="20"/>
          <w:color w:val="auto"/>
        </w:rPr>
      </w:pPr>
      <w:r>
        <w:rPr>
          <w:rFonts w:ascii="Arial" w:cs="Arial" w:eastAsia="Arial" w:hAnsi="Arial"/>
          <w:sz w:val="17"/>
          <w:szCs w:val="17"/>
          <w:b w:val="1"/>
          <w:bCs w:val="1"/>
          <w:color w:val="auto"/>
        </w:rPr>
        <w:t xml:space="preserve">6.4 Duration of SARs and Options. </w:t>
      </w:r>
      <w:r>
        <w:rPr>
          <w:rFonts w:ascii="Arial" w:cs="Arial" w:eastAsia="Arial" w:hAnsi="Arial"/>
          <w:sz w:val="17"/>
          <w:szCs w:val="17"/>
          <w:color w:val="auto"/>
        </w:rPr>
        <w:t>Each SAR and Option granted under this Article 6 shall expire at such time as the Committee shall determine at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 of grant; provided, however, that no SAR or Option shall be exercisable later than the tenth (10th) anniversary date of its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19" w:lineRule="exact"/>
        <w:rPr>
          <w:sz w:val="20"/>
          <w:szCs w:val="20"/>
          <w:color w:val="auto"/>
        </w:rPr>
      </w:pPr>
    </w:p>
    <w:p>
      <w:pPr>
        <w:ind w:right="60" w:firstLine="616"/>
        <w:spacing w:after="0" w:line="285" w:lineRule="auto"/>
        <w:rPr>
          <w:sz w:val="20"/>
          <w:szCs w:val="20"/>
          <w:color w:val="auto"/>
        </w:rPr>
      </w:pPr>
      <w:r>
        <w:rPr>
          <w:rFonts w:ascii="Arial" w:cs="Arial" w:eastAsia="Arial" w:hAnsi="Arial"/>
          <w:sz w:val="17"/>
          <w:szCs w:val="17"/>
          <w:b w:val="1"/>
          <w:bCs w:val="1"/>
          <w:color w:val="auto"/>
        </w:rPr>
        <w:t xml:space="preserve">6.5 Exercise of SARs and Options. </w:t>
      </w:r>
      <w:r>
        <w:rPr>
          <w:rFonts w:ascii="Arial" w:cs="Arial" w:eastAsia="Arial" w:hAnsi="Arial"/>
          <w:sz w:val="17"/>
          <w:szCs w:val="17"/>
          <w:color w:val="auto"/>
        </w:rPr>
        <w:t>SARs and Options granted under this Article 6 shall be exercisable at such times and be subject to such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conditions as the Committee shall in each instance approve, which need not be the same for each grant or for each Participant.</w:t>
      </w:r>
    </w:p>
    <w:p>
      <w:pPr>
        <w:spacing w:after="0" w:line="158" w:lineRule="exact"/>
        <w:rPr>
          <w:sz w:val="20"/>
          <w:szCs w:val="20"/>
          <w:color w:val="auto"/>
        </w:rPr>
      </w:pPr>
    </w:p>
    <w:p>
      <w:pPr>
        <w:ind w:right="300" w:firstLine="616"/>
        <w:spacing w:after="0" w:line="289" w:lineRule="auto"/>
        <w:rPr>
          <w:sz w:val="20"/>
          <w:szCs w:val="20"/>
          <w:color w:val="auto"/>
        </w:rPr>
      </w:pPr>
      <w:r>
        <w:rPr>
          <w:rFonts w:ascii="Arial" w:cs="Arial" w:eastAsia="Arial" w:hAnsi="Arial"/>
          <w:sz w:val="16"/>
          <w:szCs w:val="16"/>
          <w:color w:val="auto"/>
        </w:rPr>
        <w:t>The ability of a Participant to exercise a SAR or an Option is conditioned upon the Participant not committing any criminal offense or malicious tort relating to or against the Company, or, as determined by the Committee in its sole discretion, engaging in willful acts or omissions or acts or omissions of gross negligence that are or potentially are injurious to the Company’s operations, financial condition or business reputation.</w:t>
      </w:r>
    </w:p>
    <w:p>
      <w:pPr>
        <w:spacing w:after="0" w:line="151" w:lineRule="exact"/>
        <w:rPr>
          <w:sz w:val="20"/>
          <w:szCs w:val="20"/>
          <w:color w:val="auto"/>
        </w:rPr>
      </w:pPr>
    </w:p>
    <w:p>
      <w:pPr>
        <w:ind w:firstLine="616"/>
        <w:spacing w:after="0" w:line="268" w:lineRule="auto"/>
        <w:rPr>
          <w:sz w:val="20"/>
          <w:szCs w:val="20"/>
          <w:color w:val="auto"/>
        </w:rPr>
      </w:pPr>
      <w:r>
        <w:rPr>
          <w:rFonts w:ascii="Arial" w:cs="Arial" w:eastAsia="Arial" w:hAnsi="Arial"/>
          <w:sz w:val="17"/>
          <w:szCs w:val="17"/>
          <w:b w:val="1"/>
          <w:bCs w:val="1"/>
          <w:color w:val="auto"/>
        </w:rPr>
        <w:t>6.6 Notice and Payment</w:t>
      </w:r>
      <w:r>
        <w:rPr>
          <w:rFonts w:ascii="Arial" w:cs="Arial" w:eastAsia="Arial" w:hAnsi="Arial"/>
          <w:sz w:val="17"/>
          <w:szCs w:val="17"/>
          <w:color w:val="auto"/>
        </w:rPr>
        <w:t>. SARs and Options granted under this Article 6 shall be exercised by the delivery of notice of exercise to the Company by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means as the Committee shall approve from time </w:t>
      </w:r>
      <w:r>
        <w:rPr>
          <w:rFonts w:ascii="Arial" w:cs="Arial" w:eastAsia="Arial" w:hAnsi="Arial"/>
          <w:sz w:val="17"/>
          <w:szCs w:val="17"/>
          <w:b w:val="1"/>
          <w:bCs w:val="1"/>
          <w:color w:val="auto"/>
        </w:rPr>
        <w:t>to</w:t>
      </w:r>
      <w:r>
        <w:rPr>
          <w:rFonts w:ascii="Arial" w:cs="Arial" w:eastAsia="Arial" w:hAnsi="Arial"/>
          <w:sz w:val="17"/>
          <w:szCs w:val="17"/>
          <w:color w:val="auto"/>
        </w:rPr>
        <w:t xml:space="preserve"> time, setting forth the number of Shares with respect to which the SAR or Option is to be exercised, accompanied, in the case of Options, by full payment for the Shares.</w:t>
      </w:r>
    </w:p>
    <w:p>
      <w:pPr>
        <w:spacing w:after="0" w:line="173" w:lineRule="exact"/>
        <w:rPr>
          <w:sz w:val="20"/>
          <w:szCs w:val="20"/>
          <w:color w:val="auto"/>
        </w:rPr>
      </w:pPr>
    </w:p>
    <w:p>
      <w:pPr>
        <w:ind w:firstLine="616"/>
        <w:spacing w:after="0" w:line="260" w:lineRule="auto"/>
        <w:rPr>
          <w:sz w:val="20"/>
          <w:szCs w:val="20"/>
          <w:color w:val="auto"/>
        </w:rPr>
      </w:pPr>
      <w:r>
        <w:rPr>
          <w:rFonts w:ascii="Arial" w:cs="Arial" w:eastAsia="Arial" w:hAnsi="Arial"/>
          <w:sz w:val="17"/>
          <w:szCs w:val="17"/>
          <w:color w:val="auto"/>
        </w:rPr>
        <w:t>The Exercise Price upon exercise of any Option shall be payable to the Company in full either: (a) in cash or its equivalent, (b) if permitted in the governing Award Agreement, by withholding of Shares deliverable upon exercise or tendering (either actually or by attestation) previously acquired Shares, in each case having an aggregate Fair Market Value at the time of exercise equal to the total Exercise Price, (c) withholding Shares subject to the Option, or (d) any combination of (a), (b) and (c).</w:t>
      </w:r>
    </w:p>
    <w:p>
      <w:pPr>
        <w:spacing w:after="0" w:line="180" w:lineRule="exact"/>
        <w:rPr>
          <w:sz w:val="20"/>
          <w:szCs w:val="20"/>
          <w:color w:val="auto"/>
        </w:rPr>
      </w:pPr>
    </w:p>
    <w:p>
      <w:pPr>
        <w:ind w:right="560" w:firstLine="616"/>
        <w:spacing w:after="0" w:line="310" w:lineRule="auto"/>
        <w:rPr>
          <w:sz w:val="20"/>
          <w:szCs w:val="20"/>
          <w:color w:val="auto"/>
        </w:rPr>
      </w:pPr>
      <w:r>
        <w:rPr>
          <w:rFonts w:ascii="Arial" w:cs="Arial" w:eastAsia="Arial" w:hAnsi="Arial"/>
          <w:sz w:val="16"/>
          <w:szCs w:val="16"/>
          <w:color w:val="auto"/>
        </w:rPr>
        <w:t>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spacing w:after="0" w:line="141" w:lineRule="exact"/>
        <w:rPr>
          <w:sz w:val="20"/>
          <w:szCs w:val="20"/>
          <w:color w:val="auto"/>
        </w:rPr>
      </w:pPr>
    </w:p>
    <w:p>
      <w:pPr>
        <w:ind w:right="20" w:firstLine="616"/>
        <w:spacing w:after="0" w:line="258" w:lineRule="auto"/>
        <w:rPr>
          <w:sz w:val="20"/>
          <w:szCs w:val="20"/>
          <w:color w:val="auto"/>
        </w:rPr>
      </w:pPr>
      <w:r>
        <w:rPr>
          <w:rFonts w:ascii="Arial" w:cs="Arial" w:eastAsia="Arial" w:hAnsi="Arial"/>
          <w:sz w:val="17"/>
          <w:szCs w:val="17"/>
          <w:color w:val="auto"/>
        </w:rPr>
        <w:t>If a Participant shall dispose of Shares acquired through exercise of an ISO within either (i) two (2) years after the date the Option is granted or (ii) one (1) year after the date the Option is exercised (i.e., in a disqualifying disposition), such Participant shall notify the Company within seven (7) days of the date of such disqualifying disposition. In addition, if a Participant elects, under Code Section 83, to be taxed at the time an Award of Restricted Stock (or other property subject to such Code section) is made, rather than at the time the Award vests, such Participant shall notify the Company of such election within the time period prescribed by law.</w:t>
      </w:r>
    </w:p>
    <w:p>
      <w:pPr>
        <w:spacing w:after="0" w:line="175" w:lineRule="exact"/>
        <w:rPr>
          <w:sz w:val="20"/>
          <w:szCs w:val="20"/>
          <w:color w:val="auto"/>
        </w:rPr>
      </w:pPr>
    </w:p>
    <w:p>
      <w:pPr>
        <w:ind w:right="160" w:firstLine="616"/>
        <w:spacing w:after="0" w:line="263" w:lineRule="auto"/>
        <w:rPr>
          <w:sz w:val="20"/>
          <w:szCs w:val="20"/>
          <w:color w:val="auto"/>
        </w:rPr>
      </w:pPr>
      <w:r>
        <w:rPr>
          <w:rFonts w:ascii="Arial" w:cs="Arial" w:eastAsia="Arial" w:hAnsi="Arial"/>
          <w:sz w:val="17"/>
          <w:szCs w:val="17"/>
          <w:b w:val="1"/>
          <w:bCs w:val="1"/>
          <w:color w:val="auto"/>
        </w:rPr>
        <w:t xml:space="preserve">6.7 Restrictions on Share Transferability. </w:t>
      </w:r>
      <w:r>
        <w:rPr>
          <w:rFonts w:ascii="Arial" w:cs="Arial" w:eastAsia="Arial" w:hAnsi="Arial"/>
          <w:sz w:val="17"/>
          <w:szCs w:val="17"/>
          <w:color w:val="auto"/>
        </w:rPr>
        <w:t>The Committee may impose such restrictions on any Shares acquired pursuant to the exercise of a SAR or</w:t>
      </w:r>
      <w:r>
        <w:rPr>
          <w:rFonts w:ascii="Arial" w:cs="Arial" w:eastAsia="Arial" w:hAnsi="Arial"/>
          <w:sz w:val="17"/>
          <w:szCs w:val="17"/>
          <w:b w:val="1"/>
          <w:bCs w:val="1"/>
          <w:color w:val="auto"/>
        </w:rPr>
        <w:t xml:space="preserve"> </w:t>
      </w:r>
      <w:r>
        <w:rPr>
          <w:rFonts w:ascii="Arial" w:cs="Arial" w:eastAsia="Arial" w:hAnsi="Arial"/>
          <w:sz w:val="17"/>
          <w:szCs w:val="17"/>
          <w:color w:val="auto"/>
        </w:rPr>
        <w:t>an Option granted under this Article 6 as it may deem advisable, including, without limitation, restrictions under applicable Federal securities laws, under the requirements of any stock exchange or market upon which such Shares are then listed or traded, and under any blue sky or state securities laws applicable to such Shares.</w:t>
      </w:r>
    </w:p>
    <w:p>
      <w:pPr>
        <w:spacing w:after="0" w:line="170" w:lineRule="exact"/>
        <w:rPr>
          <w:sz w:val="20"/>
          <w:szCs w:val="20"/>
          <w:color w:val="auto"/>
        </w:rPr>
      </w:pPr>
    </w:p>
    <w:p>
      <w:pPr>
        <w:ind w:firstLine="616"/>
        <w:spacing w:after="0" w:line="272" w:lineRule="auto"/>
        <w:rPr>
          <w:sz w:val="20"/>
          <w:szCs w:val="20"/>
          <w:color w:val="auto"/>
        </w:rPr>
      </w:pPr>
      <w:r>
        <w:rPr>
          <w:rFonts w:ascii="Arial" w:cs="Arial" w:eastAsia="Arial" w:hAnsi="Arial"/>
          <w:sz w:val="16"/>
          <w:szCs w:val="16"/>
          <w:b w:val="1"/>
          <w:bCs w:val="1"/>
          <w:color w:val="auto"/>
        </w:rPr>
        <w:t xml:space="preserve">6.8 Termination of Employment or Leave of Absence. </w:t>
      </w:r>
      <w:r>
        <w:rPr>
          <w:rFonts w:ascii="Arial" w:cs="Arial" w:eastAsia="Arial" w:hAnsi="Arial"/>
          <w:sz w:val="16"/>
          <w:szCs w:val="16"/>
          <w:color w:val="auto"/>
        </w:rPr>
        <w:t>Except as otherwise approved by the Committee and set forth in the pertinent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in the event that a Participant who is an Employee, during his or her lifetime has been on leave of absence for a period of greater than twelve (12) months (except a leave of absence approved by the Board or the Committee, as the case may be), or ceases to be an Employee of the Company or of any Subsidiary for any reason, including retirement, the portion of any SAR or Option which is not exercisable on the date on which the Participant ceased to be an Employee or has been on leave for over twelve (12) months (except a leave of absence approved by the Board or the Committee, as the case may be) shall expire on such date and any unexercised portion thereof which was otherwise exercisable on such date shall expire unless exercised within a period of three (3) months from such date, but in no event after the expiration of the term for which the SAR or Option was granted; provided, however, that in the case of an awardee of a SAR or a NQSO who is an “Approved Retiree” (as hereinafter defined), the SAR or NQSO shall continue to vest for up to five years from the date of retirement and said awardee may exercise such SAR or NQSO, as applicable, until the soonest to occur of (i) the expiration of such SAR or NQSO in accordance with its original term; (ii) the expiration of five (5) years from the date of retirement; or (iii) with respect to SARs or Options granted less than one year before the date the Approved Retiree retires, expiration of the SAR or Option on such retirement date, except not with respect to that portion of the SARs or Options equal to such number of shares multiplied by the ratio of (I) the number of days between the grant date and the retirement date inclusive, over (II) the number of days in the twelve (12) month period following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20" w:top="1440" w:right="359" w:bottom="1440" w:gutter="0" w:footer="0" w:header="0"/>
        </w:sectPr>
      </w:pPr>
    </w:p>
    <w:bookmarkStart w:id="82" w:name="page83"/>
    <w:bookmarkEnd w:id="82"/>
    <w:p>
      <w:pPr>
        <w:spacing w:after="0" w:line="125" w:lineRule="exact"/>
        <w:rPr>
          <w:sz w:val="20"/>
          <w:szCs w:val="20"/>
          <w:color w:val="auto"/>
        </w:rPr>
      </w:pPr>
    </w:p>
    <w:p>
      <w:pPr>
        <w:ind w:right="100" w:firstLine="616"/>
        <w:spacing w:after="0" w:line="260" w:lineRule="auto"/>
        <w:rPr>
          <w:sz w:val="20"/>
          <w:szCs w:val="20"/>
          <w:color w:val="auto"/>
        </w:rPr>
      </w:pPr>
      <w:r>
        <w:rPr>
          <w:rFonts w:ascii="Arial" w:cs="Arial" w:eastAsia="Arial" w:hAnsi="Arial"/>
          <w:sz w:val="17"/>
          <w:szCs w:val="17"/>
          <w:color w:val="auto"/>
        </w:rPr>
        <w:t>Notwithstanding the preceding paragraph, if the Committee subsequently determines, in its sole discretion, that an Approved Retiree has violated the provisions of the agreement to refrain from Engaging in Competition, or has engaged in willful acts or omissions or acts or omissions of gross negligence that are or potentially are injurious to the Company’s operations, financial condition or business reputation, all SARs and Options shall be cancelled without consideration immediately.</w:t>
      </w:r>
    </w:p>
    <w:p>
      <w:pPr>
        <w:spacing w:after="0" w:line="180" w:lineRule="exact"/>
        <w:rPr>
          <w:sz w:val="20"/>
          <w:szCs w:val="20"/>
          <w:color w:val="auto"/>
        </w:rPr>
      </w:pPr>
    </w:p>
    <w:p>
      <w:pPr>
        <w:jc w:val="both"/>
        <w:ind w:firstLine="616"/>
        <w:spacing w:after="0" w:line="260" w:lineRule="auto"/>
        <w:rPr>
          <w:sz w:val="20"/>
          <w:szCs w:val="20"/>
          <w:color w:val="auto"/>
        </w:rPr>
      </w:pPr>
      <w:r>
        <w:rPr>
          <w:rFonts w:ascii="Arial" w:cs="Arial" w:eastAsia="Arial" w:hAnsi="Arial"/>
          <w:sz w:val="17"/>
          <w:szCs w:val="17"/>
          <w:color w:val="auto"/>
        </w:rPr>
        <w:t>In the event of the death of an awardee during the three (3) month period described above for exercise of a SAR or an Option by a terminated awardee or one on leave for over twelve (12) months (except a leave of absence approved by the Board or the Committee, as the case may be), the Option shall be exercisable by the awardee’s personal representatives, heirs or legatees to the same extent and during the same period that the awardee could have exercised the SAR or Option if the awardee had not died.</w:t>
      </w:r>
    </w:p>
    <w:p>
      <w:pPr>
        <w:spacing w:after="0" w:line="180" w:lineRule="exact"/>
        <w:rPr>
          <w:sz w:val="20"/>
          <w:szCs w:val="20"/>
          <w:color w:val="auto"/>
        </w:rPr>
      </w:pPr>
    </w:p>
    <w:p>
      <w:pPr>
        <w:ind w:right="60" w:firstLine="616"/>
        <w:spacing w:after="0" w:line="260" w:lineRule="auto"/>
        <w:rPr>
          <w:sz w:val="20"/>
          <w:szCs w:val="20"/>
          <w:color w:val="auto"/>
        </w:rPr>
      </w:pPr>
      <w:r>
        <w:rPr>
          <w:rFonts w:ascii="Arial" w:cs="Arial" w:eastAsia="Arial" w:hAnsi="Arial"/>
          <w:sz w:val="17"/>
          <w:szCs w:val="17"/>
          <w:color w:val="auto"/>
        </w:rPr>
        <w:t>Notwithstanding anything in Article 6.5 to the contrary, in the event of the death of an awardee while an Employee or Approved Retiree of the Company or any Subsidiary, an outstanding SAR or Option held by such awardee upon death shall become fully vested upon death and shall be exercisable by the awardee’s personal representatives, heirs or legatees at any time prior to the expiration of one (1) year from the date of death of the awardee, but in no event after the expiration of the term for which the SAR or Option was granted.</w:t>
      </w:r>
    </w:p>
    <w:p>
      <w:pPr>
        <w:spacing w:after="0" w:line="174" w:lineRule="exact"/>
        <w:rPr>
          <w:sz w:val="20"/>
          <w:szCs w:val="20"/>
          <w:color w:val="auto"/>
        </w:rPr>
      </w:pPr>
    </w:p>
    <w:p>
      <w:pPr>
        <w:jc w:val="both"/>
        <w:ind w:firstLine="616"/>
        <w:spacing w:after="0" w:line="268" w:lineRule="auto"/>
        <w:rPr>
          <w:sz w:val="20"/>
          <w:szCs w:val="20"/>
          <w:color w:val="auto"/>
        </w:rPr>
      </w:pPr>
      <w:r>
        <w:rPr>
          <w:rFonts w:ascii="Arial" w:cs="Arial" w:eastAsia="Arial" w:hAnsi="Arial"/>
          <w:sz w:val="17"/>
          <w:szCs w:val="17"/>
          <w:b w:val="1"/>
          <w:bCs w:val="1"/>
          <w:color w:val="auto"/>
        </w:rPr>
        <w:t xml:space="preserve">6.9 Nontransferability of SARs and Options. </w:t>
      </w:r>
      <w:r>
        <w:rPr>
          <w:rFonts w:ascii="Arial" w:cs="Arial" w:eastAsia="Arial" w:hAnsi="Arial"/>
          <w:sz w:val="17"/>
          <w:szCs w:val="17"/>
          <w:color w:val="auto"/>
        </w:rPr>
        <w:t>No SAR, NQSO or ISO granted under the Plan may be sold, transferred, pledged, assigned,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alienated or hypothecated, other than by will or by the laws of descent and distribution. Further, all SARS, NQSOs and ISOs granted to a Participant under the Plan shall be exercisable during his or her lifetime only by such Participant.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7 Restricted Stock</w:t>
      </w:r>
    </w:p>
    <w:p>
      <w:pPr>
        <w:spacing w:after="0" w:line="215" w:lineRule="exact"/>
        <w:rPr>
          <w:sz w:val="20"/>
          <w:szCs w:val="20"/>
          <w:color w:val="auto"/>
        </w:rPr>
      </w:pPr>
    </w:p>
    <w:p>
      <w:pPr>
        <w:ind w:right="100" w:firstLine="616"/>
        <w:spacing w:after="0" w:line="285" w:lineRule="auto"/>
        <w:rPr>
          <w:sz w:val="20"/>
          <w:szCs w:val="20"/>
          <w:color w:val="auto"/>
        </w:rPr>
      </w:pPr>
      <w:r>
        <w:rPr>
          <w:rFonts w:ascii="Arial" w:cs="Arial" w:eastAsia="Arial" w:hAnsi="Arial"/>
          <w:sz w:val="17"/>
          <w:szCs w:val="17"/>
          <w:b w:val="1"/>
          <w:bCs w:val="1"/>
          <w:color w:val="auto"/>
        </w:rPr>
        <w:t xml:space="preserve">7.1 Grant of Restricted Stock. </w:t>
      </w:r>
      <w:r>
        <w:rPr>
          <w:rFonts w:ascii="Arial" w:cs="Arial" w:eastAsia="Arial" w:hAnsi="Arial"/>
          <w:sz w:val="17"/>
          <w:szCs w:val="17"/>
          <w:color w:val="auto"/>
        </w:rPr>
        <w:t>Subject to the terms and provisions of the Plan, the Committee, at any time and from time to time, may grant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to Employees in such amounts as the Committee shall determine.</w:t>
      </w:r>
    </w:p>
    <w:p>
      <w:pPr>
        <w:spacing w:after="0" w:line="152" w:lineRule="exact"/>
        <w:rPr>
          <w:sz w:val="20"/>
          <w:szCs w:val="20"/>
          <w:color w:val="auto"/>
        </w:rPr>
      </w:pPr>
    </w:p>
    <w:p>
      <w:pPr>
        <w:ind w:right="600" w:firstLine="616"/>
        <w:spacing w:after="0" w:line="318" w:lineRule="auto"/>
        <w:rPr>
          <w:sz w:val="20"/>
          <w:szCs w:val="20"/>
          <w:color w:val="auto"/>
        </w:rPr>
      </w:pPr>
      <w:r>
        <w:rPr>
          <w:rFonts w:ascii="Arial" w:cs="Arial" w:eastAsia="Arial" w:hAnsi="Arial"/>
          <w:sz w:val="16"/>
          <w:szCs w:val="16"/>
          <w:b w:val="1"/>
          <w:bCs w:val="1"/>
          <w:color w:val="auto"/>
        </w:rPr>
        <w:t xml:space="preserve">7.2 Restricted Stock Agreement. </w:t>
      </w:r>
      <w:r>
        <w:rPr>
          <w:rFonts w:ascii="Arial" w:cs="Arial" w:eastAsia="Arial" w:hAnsi="Arial"/>
          <w:sz w:val="16"/>
          <w:szCs w:val="16"/>
          <w:color w:val="auto"/>
        </w:rPr>
        <w:t>Each Restricted Stock grant shall be evidenced by a Restricted Stock Award Agreement that shall specify the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of Restriction, the number of Shares of Restricted Stock granted, and such other provisions as the Committee shall determine.</w:t>
      </w:r>
    </w:p>
    <w:p>
      <w:pPr>
        <w:spacing w:after="0" w:line="128" w:lineRule="exact"/>
        <w:rPr>
          <w:sz w:val="20"/>
          <w:szCs w:val="20"/>
          <w:color w:val="auto"/>
        </w:rPr>
      </w:pPr>
    </w:p>
    <w:p>
      <w:pPr>
        <w:ind w:right="140" w:firstLine="616"/>
        <w:spacing w:after="0" w:line="260" w:lineRule="auto"/>
        <w:rPr>
          <w:sz w:val="20"/>
          <w:szCs w:val="20"/>
          <w:color w:val="auto"/>
        </w:rPr>
      </w:pPr>
      <w:r>
        <w:rPr>
          <w:rFonts w:ascii="Arial" w:cs="Arial" w:eastAsia="Arial" w:hAnsi="Arial"/>
          <w:sz w:val="17"/>
          <w:szCs w:val="17"/>
          <w:b w:val="1"/>
          <w:bCs w:val="1"/>
          <w:color w:val="auto"/>
        </w:rPr>
        <w:t xml:space="preserve">7.3 Transferability. </w:t>
      </w:r>
      <w:r>
        <w:rPr>
          <w:rFonts w:ascii="Arial" w:cs="Arial" w:eastAsia="Arial" w:hAnsi="Arial"/>
          <w:sz w:val="17"/>
          <w:szCs w:val="17"/>
          <w:color w:val="auto"/>
        </w:rPr>
        <w:t>Except as provided in this Article 7, the Shares of Restricted Stock granted hereunder may not be sold, transferred, pledged,</w:t>
      </w:r>
      <w:r>
        <w:rPr>
          <w:rFonts w:ascii="Arial" w:cs="Arial" w:eastAsia="Arial" w:hAnsi="Arial"/>
          <w:sz w:val="17"/>
          <w:szCs w:val="17"/>
          <w:b w:val="1"/>
          <w:bCs w:val="1"/>
          <w:color w:val="auto"/>
        </w:rPr>
        <w:t xml:space="preserve"> </w:t>
      </w:r>
      <w:r>
        <w:rPr>
          <w:rFonts w:ascii="Arial" w:cs="Arial" w:eastAsia="Arial" w:hAnsi="Arial"/>
          <w:sz w:val="17"/>
          <w:szCs w:val="17"/>
          <w:color w:val="auto"/>
        </w:rPr>
        <w:t>assigned, or otherwise alienated or hypothecated until the end of the applicable Period of Restriction established by the Committee and specified in the Restricted Stock Award Agreement, or upon earlier satisfaction of any other conditions, as specified by the Committee in its sole discretion and set forth in the Restricted Stock Award Agreement. All rights with respect to the Restricted Stock granted to a Participant under the Plan shall be available during his or her lifetime only to such Participant.</w:t>
      </w:r>
    </w:p>
    <w:p>
      <w:pPr>
        <w:spacing w:after="0" w:line="173" w:lineRule="exact"/>
        <w:rPr>
          <w:sz w:val="20"/>
          <w:szCs w:val="20"/>
          <w:color w:val="auto"/>
        </w:rPr>
      </w:pPr>
    </w:p>
    <w:p>
      <w:pPr>
        <w:ind w:right="80" w:firstLine="616"/>
        <w:spacing w:after="0" w:line="284" w:lineRule="auto"/>
        <w:rPr>
          <w:sz w:val="20"/>
          <w:szCs w:val="20"/>
          <w:color w:val="auto"/>
        </w:rPr>
      </w:pPr>
      <w:r>
        <w:rPr>
          <w:rFonts w:ascii="Arial" w:cs="Arial" w:eastAsia="Arial" w:hAnsi="Arial"/>
          <w:sz w:val="16"/>
          <w:szCs w:val="16"/>
          <w:b w:val="1"/>
          <w:bCs w:val="1"/>
          <w:color w:val="auto"/>
        </w:rPr>
        <w:t>7.4 Other Restrictions</w:t>
      </w:r>
      <w:r>
        <w:rPr>
          <w:rFonts w:ascii="Arial" w:cs="Arial" w:eastAsia="Arial" w:hAnsi="Arial"/>
          <w:sz w:val="16"/>
          <w:szCs w:val="16"/>
          <w:color w:val="auto"/>
        </w:rPr>
        <w:t>. The Committee shall impose such conditions and/or restrictions on any Shares of Restricted Stock granted pursuant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as it may deem advisable including, without limitation, a requirement that Participants pay a stipulated purchase price for each Share of Restricted Stock, restrictions based upon the achievement of specific performance objectives (Company-wide, business unit, and/or individual), time-based restrictions on vesting following the attainment of the performance objectives, and/or restrictions under applicable Federal or state securities laws.</w:t>
      </w:r>
    </w:p>
    <w:p>
      <w:pPr>
        <w:spacing w:after="0" w:line="162" w:lineRule="exact"/>
        <w:rPr>
          <w:sz w:val="20"/>
          <w:szCs w:val="20"/>
          <w:color w:val="auto"/>
        </w:rPr>
      </w:pPr>
    </w:p>
    <w:p>
      <w:pPr>
        <w:ind w:right="300" w:firstLine="616"/>
        <w:spacing w:after="0" w:line="277" w:lineRule="auto"/>
        <w:rPr>
          <w:sz w:val="20"/>
          <w:szCs w:val="20"/>
          <w:color w:val="auto"/>
        </w:rPr>
      </w:pPr>
      <w:r>
        <w:rPr>
          <w:rFonts w:ascii="Arial" w:cs="Arial" w:eastAsia="Arial" w:hAnsi="Arial"/>
          <w:sz w:val="17"/>
          <w:szCs w:val="17"/>
          <w:color w:val="auto"/>
        </w:rPr>
        <w:t>The Company shall retain the certificates representing Shares of Restricted Stock in the Company’s possession until such time as all conditions and/or restrictions applicable to such Shares have been satisfied.</w:t>
      </w:r>
    </w:p>
    <w:p>
      <w:pPr>
        <w:spacing w:after="0" w:line="165" w:lineRule="exact"/>
        <w:rPr>
          <w:sz w:val="20"/>
          <w:szCs w:val="20"/>
          <w:color w:val="auto"/>
        </w:rPr>
      </w:pPr>
    </w:p>
    <w:p>
      <w:pPr>
        <w:ind w:right="20" w:firstLine="616"/>
        <w:spacing w:after="0" w:line="277" w:lineRule="auto"/>
        <w:rPr>
          <w:sz w:val="20"/>
          <w:szCs w:val="20"/>
          <w:color w:val="auto"/>
        </w:rPr>
      </w:pPr>
      <w:r>
        <w:rPr>
          <w:rFonts w:ascii="Arial" w:cs="Arial" w:eastAsia="Arial" w:hAnsi="Arial"/>
          <w:sz w:val="17"/>
          <w:szCs w:val="17"/>
          <w:color w:val="auto"/>
        </w:rPr>
        <w:t>Except as otherwise provided in this Article 7, Shares of Restricted Stock covered by each Restricted Stock grant made under the Plan shall become freely transferable by the Participant after the last day of the applicable Period of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00"/>
          </w:cols>
          <w:pgMar w:left="320" w:top="1440" w:right="379" w:bottom="1440" w:gutter="0" w:footer="0" w:header="0"/>
        </w:sectPr>
      </w:pPr>
    </w:p>
    <w:bookmarkStart w:id="83" w:name="page84"/>
    <w:bookmarkEnd w:id="83"/>
    <w:p>
      <w:pPr>
        <w:spacing w:after="0" w:line="125" w:lineRule="exact"/>
        <w:rPr>
          <w:sz w:val="20"/>
          <w:szCs w:val="20"/>
          <w:color w:val="auto"/>
        </w:rPr>
      </w:pPr>
    </w:p>
    <w:p>
      <w:pPr>
        <w:ind w:right="160" w:firstLine="616"/>
        <w:spacing w:after="0" w:line="264" w:lineRule="auto"/>
        <w:rPr>
          <w:sz w:val="20"/>
          <w:szCs w:val="20"/>
          <w:color w:val="auto"/>
        </w:rPr>
      </w:pPr>
      <w:r>
        <w:rPr>
          <w:rFonts w:ascii="Arial" w:cs="Arial" w:eastAsia="Arial" w:hAnsi="Arial"/>
          <w:sz w:val="17"/>
          <w:szCs w:val="17"/>
          <w:color w:val="auto"/>
        </w:rPr>
        <w:t>Distribution of Shares of Restricted Stock is conditioned upon the Participant not committing any criminal offense or malicious tort relating to or against the Company or, as determined by the Committee in its sole discretion, engaging in willful acts or omissions or acts or omissions of gross negligence that are or potentially are injurious to the company’s operations, financial condition or business reputation.</w:t>
      </w:r>
    </w:p>
    <w:p>
      <w:pPr>
        <w:spacing w:after="0" w:line="170" w:lineRule="exact"/>
        <w:rPr>
          <w:sz w:val="20"/>
          <w:szCs w:val="20"/>
          <w:color w:val="auto"/>
        </w:rPr>
      </w:pPr>
    </w:p>
    <w:p>
      <w:pPr>
        <w:ind w:right="220" w:firstLine="616"/>
        <w:spacing w:after="0" w:line="285" w:lineRule="auto"/>
        <w:rPr>
          <w:sz w:val="20"/>
          <w:szCs w:val="20"/>
          <w:color w:val="auto"/>
        </w:rPr>
      </w:pPr>
      <w:r>
        <w:rPr>
          <w:rFonts w:ascii="Arial" w:cs="Arial" w:eastAsia="Arial" w:hAnsi="Arial"/>
          <w:sz w:val="17"/>
          <w:szCs w:val="17"/>
          <w:b w:val="1"/>
          <w:bCs w:val="1"/>
          <w:color w:val="auto"/>
        </w:rPr>
        <w:t xml:space="preserve">7.5 Voting Rights. </w:t>
      </w:r>
      <w:r>
        <w:rPr>
          <w:rFonts w:ascii="Arial" w:cs="Arial" w:eastAsia="Arial" w:hAnsi="Arial"/>
          <w:sz w:val="17"/>
          <w:szCs w:val="17"/>
          <w:color w:val="auto"/>
        </w:rPr>
        <w:t>During the Period of Restriction, Participants holding Shares of Restricted Stock granted hereunder may exercise full voting rights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those Shares.</w:t>
      </w:r>
    </w:p>
    <w:p>
      <w:pPr>
        <w:spacing w:after="0" w:line="152" w:lineRule="exact"/>
        <w:rPr>
          <w:sz w:val="20"/>
          <w:szCs w:val="20"/>
          <w:color w:val="auto"/>
        </w:rPr>
      </w:pPr>
    </w:p>
    <w:p>
      <w:pPr>
        <w:ind w:firstLine="616"/>
        <w:spacing w:after="0" w:line="263" w:lineRule="auto"/>
        <w:rPr>
          <w:sz w:val="20"/>
          <w:szCs w:val="20"/>
          <w:color w:val="auto"/>
        </w:rPr>
      </w:pPr>
      <w:r>
        <w:rPr>
          <w:rFonts w:ascii="Arial" w:cs="Arial" w:eastAsia="Arial" w:hAnsi="Arial"/>
          <w:sz w:val="17"/>
          <w:szCs w:val="17"/>
          <w:b w:val="1"/>
          <w:bCs w:val="1"/>
          <w:color w:val="auto"/>
        </w:rPr>
        <w:t xml:space="preserve">7.6 Dividends and Other Distributions. </w:t>
      </w:r>
      <w:r>
        <w:rPr>
          <w:rFonts w:ascii="Arial" w:cs="Arial" w:eastAsia="Arial" w:hAnsi="Arial"/>
          <w:sz w:val="17"/>
          <w:szCs w:val="17"/>
          <w:color w:val="auto"/>
        </w:rPr>
        <w:t>During the Period of Restriction, Participants holding Shares of Restricted Stock granted hereunder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credited with regular dividends paid with respect to the underlying Shares while they are so held. Such dividends shall be converted into additional shares of Restricted Stock or deferred until such Restricted Stock vests, upon such terms as the Committee establishes, but in no event will any dividends be paid on unvested Restricted Stock.</w:t>
      </w:r>
    </w:p>
    <w:p>
      <w:pPr>
        <w:spacing w:after="0" w:line="176" w:lineRule="exact"/>
        <w:rPr>
          <w:sz w:val="20"/>
          <w:szCs w:val="20"/>
          <w:color w:val="auto"/>
        </w:rPr>
      </w:pPr>
    </w:p>
    <w:p>
      <w:pPr>
        <w:ind w:right="80" w:firstLine="616"/>
        <w:spacing w:after="0" w:line="264" w:lineRule="auto"/>
        <w:rPr>
          <w:sz w:val="20"/>
          <w:szCs w:val="20"/>
          <w:color w:val="auto"/>
        </w:rPr>
      </w:pPr>
      <w:r>
        <w:rPr>
          <w:rFonts w:ascii="Arial" w:cs="Arial" w:eastAsia="Arial" w:hAnsi="Arial"/>
          <w:sz w:val="17"/>
          <w:szCs w:val="17"/>
          <w:color w:val="auto"/>
        </w:rPr>
        <w:t>The Committee may apply any additional restrictions to the dividends that the Committee deems appropriate. Without limiting the generality of the preceding sentence, if Restricted Stock is contingent on a performance condition, any dividends relating to such Restricted Stock may also be made subject to such performance conditions.</w:t>
      </w:r>
    </w:p>
    <w:p>
      <w:pPr>
        <w:spacing w:after="0" w:line="170" w:lineRule="exact"/>
        <w:rPr>
          <w:sz w:val="20"/>
          <w:szCs w:val="20"/>
          <w:color w:val="auto"/>
        </w:rPr>
      </w:pPr>
    </w:p>
    <w:p>
      <w:pPr>
        <w:ind w:right="140" w:firstLine="616"/>
        <w:spacing w:after="0" w:line="290" w:lineRule="auto"/>
        <w:rPr>
          <w:sz w:val="20"/>
          <w:szCs w:val="20"/>
          <w:color w:val="auto"/>
        </w:rPr>
      </w:pPr>
      <w:r>
        <w:rPr>
          <w:rFonts w:ascii="Arial" w:cs="Arial" w:eastAsia="Arial" w:hAnsi="Arial"/>
          <w:sz w:val="15"/>
          <w:szCs w:val="15"/>
          <w:b w:val="1"/>
          <w:bCs w:val="1"/>
          <w:color w:val="auto"/>
        </w:rPr>
        <w:t xml:space="preserve">7.7 Termination of Employment. </w:t>
      </w:r>
      <w:r>
        <w:rPr>
          <w:rFonts w:ascii="Arial" w:cs="Arial" w:eastAsia="Arial" w:hAnsi="Arial"/>
          <w:sz w:val="15"/>
          <w:szCs w:val="15"/>
          <w:color w:val="auto"/>
        </w:rPr>
        <w:t>Except as otherwise approved by the Committee and set forth in the pertinent Award Agreement(s), (a) in the event</w:t>
      </w:r>
      <w:r>
        <w:rPr>
          <w:rFonts w:ascii="Arial" w:cs="Arial" w:eastAsia="Arial" w:hAnsi="Arial"/>
          <w:sz w:val="15"/>
          <w:szCs w:val="15"/>
          <w:b w:val="1"/>
          <w:bCs w:val="1"/>
          <w:color w:val="auto"/>
        </w:rPr>
        <w:t xml:space="preserve"> </w:t>
      </w:r>
      <w:r>
        <w:rPr>
          <w:rFonts w:ascii="Arial" w:cs="Arial" w:eastAsia="Arial" w:hAnsi="Arial"/>
          <w:sz w:val="15"/>
          <w:szCs w:val="15"/>
          <w:color w:val="auto"/>
        </w:rPr>
        <w:t>that a Participant’s employment with the Company is terminated during the Period of Restriction because the Participant is an Approved Retiree, the Committee shall have complete discretion in determining the percentage, if any, of a Participant’s outstanding Shares of Restricted Stock as to which the Period of Restriction shall end; (b) in the event a Participant’s employment with the Company is terminated because of the Participant’s Disability or death during the Period of Restriction, the Period of Restriction shall end and, in the case of death, the Participant’s rights thereunder shall inure to the benefit of his or her Beneficiary; and</w:t>
      </w:r>
    </w:p>
    <w:p>
      <w:pPr>
        <w:spacing w:after="0" w:line="2" w:lineRule="exact"/>
        <w:rPr>
          <w:sz w:val="20"/>
          <w:szCs w:val="20"/>
          <w:color w:val="auto"/>
        </w:rPr>
      </w:pPr>
    </w:p>
    <w:p>
      <w:pPr>
        <w:ind w:right="840" w:firstLine="3"/>
        <w:spacing w:after="0" w:line="264" w:lineRule="auto"/>
        <w:tabs>
          <w:tab w:leader="none" w:pos="233"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the event that a Participant’s employment with the Company is terminated for any other reason during the Period of Restriction, such Participant’s outstanding Shares of Restricted Stock shall be forfeited to the Company without payment.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8 Restricted Stock Units</w:t>
      </w:r>
    </w:p>
    <w:p>
      <w:pPr>
        <w:spacing w:after="0" w:line="215" w:lineRule="exact"/>
        <w:rPr>
          <w:sz w:val="20"/>
          <w:szCs w:val="20"/>
          <w:color w:val="auto"/>
        </w:rPr>
      </w:pPr>
    </w:p>
    <w:p>
      <w:pPr>
        <w:ind w:right="380" w:firstLine="616"/>
        <w:spacing w:after="0" w:line="285" w:lineRule="auto"/>
        <w:rPr>
          <w:sz w:val="20"/>
          <w:szCs w:val="20"/>
          <w:color w:val="auto"/>
        </w:rPr>
      </w:pPr>
      <w:r>
        <w:rPr>
          <w:rFonts w:ascii="Arial" w:cs="Arial" w:eastAsia="Arial" w:hAnsi="Arial"/>
          <w:sz w:val="17"/>
          <w:szCs w:val="17"/>
          <w:b w:val="1"/>
          <w:bCs w:val="1"/>
          <w:color w:val="auto"/>
        </w:rPr>
        <w:t xml:space="preserve">8.1 RSUs. </w:t>
      </w:r>
      <w:r>
        <w:rPr>
          <w:rFonts w:ascii="Arial" w:cs="Arial" w:eastAsia="Arial" w:hAnsi="Arial"/>
          <w:sz w:val="17"/>
          <w:szCs w:val="17"/>
          <w:color w:val="auto"/>
        </w:rPr>
        <w:t>Subject to the terms and conditions of the Plan, the Committee, at any time and from time to time, may grant Awards of RSUs to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in such amounts as the Committee shall determine.</w:t>
      </w:r>
    </w:p>
    <w:p>
      <w:pPr>
        <w:spacing w:after="0" w:line="152" w:lineRule="exact"/>
        <w:rPr>
          <w:sz w:val="20"/>
          <w:szCs w:val="20"/>
          <w:color w:val="auto"/>
        </w:rPr>
      </w:pPr>
    </w:p>
    <w:p>
      <w:pPr>
        <w:ind w:right="60" w:firstLine="616"/>
        <w:spacing w:after="0" w:line="273" w:lineRule="auto"/>
        <w:rPr>
          <w:sz w:val="20"/>
          <w:szCs w:val="20"/>
          <w:color w:val="auto"/>
        </w:rPr>
      </w:pPr>
      <w:r>
        <w:rPr>
          <w:rFonts w:ascii="Arial" w:cs="Arial" w:eastAsia="Arial" w:hAnsi="Arial"/>
          <w:sz w:val="16"/>
          <w:szCs w:val="16"/>
          <w:b w:val="1"/>
          <w:bCs w:val="1"/>
          <w:color w:val="auto"/>
        </w:rPr>
        <w:t xml:space="preserve">8.2 RSU and Common Stock Rights. </w:t>
      </w:r>
      <w:r>
        <w:rPr>
          <w:rFonts w:ascii="Arial" w:cs="Arial" w:eastAsia="Arial" w:hAnsi="Arial"/>
          <w:sz w:val="16"/>
          <w:szCs w:val="16"/>
          <w:color w:val="auto"/>
        </w:rPr>
        <w:t>RSUs shall represent an Employee’s unsecured right to receive from the Company the transfer of title to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vesting schedule referenced in Article 8.3 below, provided that the Employee has satisfied the conditions of transfer set forth in Article 8.4 below. On each such vesting date, if it occurs, the Company shall transfer a corresponding number of Shares to an individual brokerage account established and maintained in the Employee’s name. The Employee shall have all the rights of a stockholder with respect to such Shares transferred to the brokerage account, including but not limited to the right to vote the Shares, to sell, transfer, liquidate or otherwise dispose of the Shares, and to receive all dividends or other distributions paid or made with respect to the Shares from the time they are deposited in the account. The Employee shall have no voting, transfer, liquidation, or other rights of a Share stockholder with respect to RSUs prior to such time that the corresponding Shares are transferred, if at all, to the Employee’s brokerage account. Notwithstanding the foregoing, RSU’s may be granted with dividend equivalent rights at the discretion of the Committee and the Committee shall provide whether such dividend equivalents will be converted into additional RSUs (subject to the same terms and conditions as the underlying RSUs to which they relate) or deferred until such RSUs vest, but in no event will any dividends equivalents be paid with respect to unvested RSUs.</w:t>
      </w:r>
    </w:p>
    <w:p>
      <w:pPr>
        <w:spacing w:after="0" w:line="166" w:lineRule="exact"/>
        <w:rPr>
          <w:sz w:val="20"/>
          <w:szCs w:val="20"/>
          <w:color w:val="auto"/>
        </w:rPr>
      </w:pPr>
    </w:p>
    <w:p>
      <w:pPr>
        <w:ind w:left="620"/>
        <w:spacing w:after="0"/>
        <w:tabs>
          <w:tab w:leader="none" w:pos="98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5"/>
          <w:szCs w:val="15"/>
          <w:b w:val="1"/>
          <w:bCs w:val="1"/>
          <w:color w:val="auto"/>
        </w:rPr>
        <w:t xml:space="preserve">Vesting in RSUs. </w:t>
      </w:r>
      <w:r>
        <w:rPr>
          <w:rFonts w:ascii="Arial" w:cs="Arial" w:eastAsia="Arial" w:hAnsi="Arial"/>
          <w:sz w:val="15"/>
          <w:szCs w:val="15"/>
          <w:color w:val="auto"/>
        </w:rPr>
        <w:t>RSU Awards shall become vested in accordance with the vesting provisions set forth in the pertinent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19" w:lineRule="exact"/>
        <w:rPr>
          <w:sz w:val="20"/>
          <w:szCs w:val="20"/>
          <w:color w:val="auto"/>
        </w:rPr>
      </w:pPr>
    </w:p>
    <w:p>
      <w:pPr>
        <w:ind w:right="400" w:firstLine="616"/>
        <w:spacing w:after="0" w:line="285" w:lineRule="auto"/>
        <w:rPr>
          <w:sz w:val="20"/>
          <w:szCs w:val="20"/>
          <w:color w:val="auto"/>
        </w:rPr>
      </w:pPr>
      <w:r>
        <w:rPr>
          <w:rFonts w:ascii="Arial" w:cs="Arial" w:eastAsia="Arial" w:hAnsi="Arial"/>
          <w:sz w:val="17"/>
          <w:szCs w:val="17"/>
          <w:b w:val="1"/>
          <w:bCs w:val="1"/>
          <w:color w:val="auto"/>
        </w:rPr>
        <w:t xml:space="preserve">8.4 Conditions of Transfer. </w:t>
      </w:r>
      <w:r>
        <w:rPr>
          <w:rFonts w:ascii="Arial" w:cs="Arial" w:eastAsia="Arial" w:hAnsi="Arial"/>
          <w:sz w:val="17"/>
          <w:szCs w:val="17"/>
          <w:color w:val="auto"/>
        </w:rPr>
        <w:t>A transfer of Shares in accordance with Article 8.2 above shall be conditioned upon the Employee meeting both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conditions during the entire period from the grant date through the vesting date(s) relating to such RSUs:</w:t>
      </w:r>
    </w:p>
    <w:p>
      <w:pPr>
        <w:spacing w:after="0" w:line="158" w:lineRule="exact"/>
        <w:rPr>
          <w:sz w:val="20"/>
          <w:szCs w:val="20"/>
          <w:color w:val="auto"/>
        </w:rPr>
      </w:pPr>
    </w:p>
    <w:p>
      <w:pPr>
        <w:ind w:left="980" w:hanging="361"/>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Employee must continue to be an active employee of the Company or one of its Subsidiaries; and</w:t>
      </w:r>
    </w:p>
    <w:p>
      <w:pPr>
        <w:spacing w:after="0" w:line="215" w:lineRule="exact"/>
        <w:rPr>
          <w:rFonts w:ascii="Arial" w:cs="Arial" w:eastAsia="Arial" w:hAnsi="Arial"/>
          <w:sz w:val="17"/>
          <w:szCs w:val="17"/>
          <w:color w:val="auto"/>
        </w:rPr>
      </w:pPr>
    </w:p>
    <w:p>
      <w:pPr>
        <w:ind w:right="320" w:firstLine="619"/>
        <w:spacing w:after="0" w:line="264" w:lineRule="auto"/>
        <w:tabs>
          <w:tab w:leader="none" w:pos="987"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Employee must refrain from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w:t>
      </w:r>
    </w:p>
    <w:p>
      <w:pPr>
        <w:spacing w:after="0" w:line="176" w:lineRule="exact"/>
        <w:rPr>
          <w:sz w:val="20"/>
          <w:szCs w:val="20"/>
          <w:color w:val="auto"/>
        </w:rPr>
      </w:pPr>
    </w:p>
    <w:p>
      <w:pPr>
        <w:ind w:firstLine="616"/>
        <w:spacing w:after="0" w:line="281" w:lineRule="auto"/>
        <w:rPr>
          <w:sz w:val="20"/>
          <w:szCs w:val="20"/>
          <w:color w:val="auto"/>
        </w:rPr>
      </w:pPr>
      <w:r>
        <w:rPr>
          <w:rFonts w:ascii="Arial" w:cs="Arial" w:eastAsia="Arial" w:hAnsi="Arial"/>
          <w:sz w:val="16"/>
          <w:szCs w:val="16"/>
          <w:color w:val="auto"/>
        </w:rPr>
        <w:t>If the Employee fails to meet the requirements of Article 8.4(a) or (b), then the Employee shall forfeit the right to vest in any RSUs that have not already vested as of the time such failure is determined, and the Employee shall accordingly forfeit the right to receive the transfer of title to any corresponding Shares. The forfeiture of rights with respect to unvested RSUs (and corresponding Shares) shall not affect the rights of the Employee with respect to any RSUs that already have vested nor with respect to any Shares the title of which has already been transferred to the Employee’s brokerage account.</w:t>
      </w:r>
    </w:p>
    <w:p>
      <w:pPr>
        <w:spacing w:after="0" w:line="159" w:lineRule="exact"/>
        <w:rPr>
          <w:sz w:val="20"/>
          <w:szCs w:val="20"/>
          <w:color w:val="auto"/>
        </w:rPr>
      </w:pPr>
    </w:p>
    <w:p>
      <w:pPr>
        <w:ind w:right="120" w:firstLine="616"/>
        <w:spacing w:after="0" w:line="285" w:lineRule="auto"/>
        <w:rPr>
          <w:sz w:val="20"/>
          <w:szCs w:val="20"/>
          <w:color w:val="auto"/>
        </w:rPr>
      </w:pPr>
      <w:r>
        <w:rPr>
          <w:rFonts w:ascii="Arial" w:cs="Arial" w:eastAsia="Arial" w:hAnsi="Arial"/>
          <w:sz w:val="17"/>
          <w:szCs w:val="17"/>
          <w:b w:val="1"/>
          <w:bCs w:val="1"/>
          <w:color w:val="auto"/>
        </w:rPr>
        <w:t xml:space="preserve">8.5 Effect of Termination of Employment. </w:t>
      </w:r>
      <w:r>
        <w:rPr>
          <w:rFonts w:ascii="Arial" w:cs="Arial" w:eastAsia="Arial" w:hAnsi="Arial"/>
          <w:sz w:val="17"/>
          <w:szCs w:val="17"/>
          <w:color w:val="auto"/>
        </w:rPr>
        <w:t>Notwithstanding contrary provisions of this Article 8, except as otherwise approved by the Committee and</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the pertinent Award Agreement(s):</w:t>
      </w:r>
    </w:p>
    <w:p>
      <w:pPr>
        <w:spacing w:after="0" w:line="158" w:lineRule="exact"/>
        <w:rPr>
          <w:sz w:val="20"/>
          <w:szCs w:val="20"/>
          <w:color w:val="auto"/>
        </w:rPr>
      </w:pPr>
    </w:p>
    <w:p>
      <w:pPr>
        <w:ind w:right="100" w:firstLine="619"/>
        <w:spacing w:after="0" w:line="260" w:lineRule="auto"/>
        <w:tabs>
          <w:tab w:leader="none" w:pos="977"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the event the Employee’s employment is terminated prior to the relevant vesting date on account of death, and if the Employee had otherwise met the requirements of Article 8.4(a) and (b) from the grant date through the date of such death, then the Employee’s unvested RSUs shall immediately vest in full upon death and the Employee’s rights hereunder with respect to any such RSUs shall inure to the benefit of the Employee’s executors, administrators, personal representatives and assigns.</w:t>
      </w:r>
    </w:p>
    <w:p>
      <w:pPr>
        <w:spacing w:after="0" w:line="179" w:lineRule="exact"/>
        <w:rPr>
          <w:rFonts w:ascii="Arial" w:cs="Arial" w:eastAsia="Arial" w:hAnsi="Arial"/>
          <w:sz w:val="17"/>
          <w:szCs w:val="17"/>
          <w:color w:val="auto"/>
        </w:rPr>
      </w:pPr>
    </w:p>
    <w:p>
      <w:pPr>
        <w:ind w:right="100" w:firstLine="619"/>
        <w:spacing w:after="0" w:line="263" w:lineRule="auto"/>
        <w:tabs>
          <w:tab w:leader="none" w:pos="987"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the event Employee’s employment is terminated prior to the relevant vesting date on account of the Employee having a Disability or being an Approved Retiree, and if the Employee had otherwise met the requirements of Article 8.4(a) and (b) from the grant date through the date of the termination of employment date, and provided that the Employee continues to meet the requirements of Article 8.4(b), then the Employee’s rights hereunder with respect to any outstanding, unvested RSUs shall continue in the same manner as if the Employee continued to meet the continuous employment requirement of Article 8.4(a) through the vesting dates related to the Award, except not for that portion of RSUs granted less than one (1) year prior to the Employee’s termination equal to such number of shares multiplied by the ratio of (A) the number of days after the termination date and before the first (1</w:t>
      </w:r>
      <w:r>
        <w:rPr>
          <w:rFonts w:ascii="Arial" w:cs="Arial" w:eastAsia="Arial" w:hAnsi="Arial"/>
          <w:sz w:val="21"/>
          <w:szCs w:val="21"/>
          <w:color w:val="auto"/>
          <w:vertAlign w:val="superscript"/>
        </w:rPr>
        <w:t>st</w:t>
      </w:r>
      <w:r>
        <w:rPr>
          <w:rFonts w:ascii="Arial" w:cs="Arial" w:eastAsia="Arial" w:hAnsi="Arial"/>
          <w:sz w:val="16"/>
          <w:szCs w:val="16"/>
          <w:color w:val="auto"/>
        </w:rPr>
        <w:t>) anniversary of the grant date, over (B) the number of days on and after the grant date and before the first (1</w:t>
      </w:r>
      <w:r>
        <w:rPr>
          <w:rFonts w:ascii="Arial" w:cs="Arial" w:eastAsia="Arial" w:hAnsi="Arial"/>
          <w:sz w:val="21"/>
          <w:szCs w:val="21"/>
          <w:color w:val="auto"/>
          <w:vertAlign w:val="superscript"/>
        </w:rPr>
        <w:t>st</w:t>
      </w:r>
      <w:r>
        <w:rPr>
          <w:rFonts w:ascii="Arial" w:cs="Arial" w:eastAsia="Arial" w:hAnsi="Arial"/>
          <w:sz w:val="16"/>
          <w:szCs w:val="16"/>
          <w:color w:val="auto"/>
        </w:rPr>
        <w:t>) anniversary of the grant date.</w:t>
      </w:r>
    </w:p>
    <w:p>
      <w:pPr>
        <w:spacing w:after="0" w:line="105" w:lineRule="exact"/>
        <w:rPr>
          <w:rFonts w:ascii="Arial" w:cs="Arial" w:eastAsia="Arial" w:hAnsi="Arial"/>
          <w:sz w:val="16"/>
          <w:szCs w:val="16"/>
          <w:color w:val="auto"/>
        </w:rPr>
      </w:pPr>
    </w:p>
    <w:p>
      <w:pPr>
        <w:ind w:right="480" w:firstLine="619"/>
        <w:spacing w:after="0" w:line="310" w:lineRule="auto"/>
        <w:tabs>
          <w:tab w:leader="none" w:pos="977"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the event Employee’s employment is terminated prior to the relevant vesting date for any reason other than those circumstances described in paragraphs (a) and (b) of this Article 8.5, such Employee’s outstanding RSUs shall be forfeited to the Company without payment.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9 Other Share-Based Awards</w:t>
      </w:r>
    </w:p>
    <w:p>
      <w:pPr>
        <w:spacing w:after="0" w:line="215" w:lineRule="exact"/>
        <w:rPr>
          <w:sz w:val="20"/>
          <w:szCs w:val="20"/>
          <w:color w:val="auto"/>
        </w:rPr>
      </w:pPr>
    </w:p>
    <w:p>
      <w:pPr>
        <w:ind w:right="120" w:firstLine="616"/>
        <w:spacing w:after="0" w:line="285" w:lineRule="auto"/>
        <w:rPr>
          <w:sz w:val="20"/>
          <w:szCs w:val="20"/>
          <w:color w:val="auto"/>
        </w:rPr>
      </w:pPr>
      <w:r>
        <w:rPr>
          <w:rFonts w:ascii="Arial" w:cs="Arial" w:eastAsia="Arial" w:hAnsi="Arial"/>
          <w:sz w:val="17"/>
          <w:szCs w:val="17"/>
          <w:b w:val="1"/>
          <w:bCs w:val="1"/>
          <w:color w:val="auto"/>
        </w:rPr>
        <w:t xml:space="preserve">9.1 Grant of Other Share-Based Awards. </w:t>
      </w:r>
      <w:r>
        <w:rPr>
          <w:rFonts w:ascii="Arial" w:cs="Arial" w:eastAsia="Arial" w:hAnsi="Arial"/>
          <w:sz w:val="17"/>
          <w:szCs w:val="17"/>
          <w:color w:val="auto"/>
        </w:rPr>
        <w:t>The Committee may grant Other Share-Based Awards to Participants in such number, and upon such terms,</w:t>
      </w:r>
      <w:r>
        <w:rPr>
          <w:rFonts w:ascii="Arial" w:cs="Arial" w:eastAsia="Arial" w:hAnsi="Arial"/>
          <w:sz w:val="17"/>
          <w:szCs w:val="17"/>
          <w:b w:val="1"/>
          <w:bCs w:val="1"/>
          <w:color w:val="auto"/>
        </w:rPr>
        <w:t xml:space="preserve"> </w:t>
      </w:r>
      <w:r>
        <w:rPr>
          <w:rFonts w:ascii="Arial" w:cs="Arial" w:eastAsia="Arial" w:hAnsi="Arial"/>
          <w:sz w:val="17"/>
          <w:szCs w:val="17"/>
          <w:color w:val="auto"/>
        </w:rPr>
        <w:t>and at any time and from time to time, as shall be determined by the Committee.</w:t>
      </w:r>
    </w:p>
    <w:p>
      <w:pPr>
        <w:spacing w:after="0" w:line="152" w:lineRule="exact"/>
        <w:rPr>
          <w:sz w:val="20"/>
          <w:szCs w:val="20"/>
          <w:color w:val="auto"/>
        </w:rPr>
      </w:pPr>
    </w:p>
    <w:p>
      <w:pPr>
        <w:jc w:val="both"/>
        <w:ind w:right="60" w:firstLine="616"/>
        <w:spacing w:after="0" w:line="290" w:lineRule="auto"/>
        <w:rPr>
          <w:sz w:val="20"/>
          <w:szCs w:val="20"/>
          <w:color w:val="auto"/>
        </w:rPr>
      </w:pPr>
      <w:r>
        <w:rPr>
          <w:rFonts w:ascii="Arial" w:cs="Arial" w:eastAsia="Arial" w:hAnsi="Arial"/>
          <w:sz w:val="15"/>
          <w:szCs w:val="15"/>
          <w:b w:val="1"/>
          <w:bCs w:val="1"/>
          <w:color w:val="auto"/>
        </w:rPr>
        <w:t xml:space="preserve">9.2 Terms of Other Share-Based Awards. </w:t>
      </w:r>
      <w:r>
        <w:rPr>
          <w:rFonts w:ascii="Arial" w:cs="Arial" w:eastAsia="Arial" w:hAnsi="Arial"/>
          <w:sz w:val="15"/>
          <w:szCs w:val="15"/>
          <w:color w:val="auto"/>
        </w:rPr>
        <w:t>Other Share-Based Awards shall contain such terms and conditions as the Committee may from time to time</w:t>
      </w:r>
      <w:r>
        <w:rPr>
          <w:rFonts w:ascii="Arial" w:cs="Arial" w:eastAsia="Arial" w:hAnsi="Arial"/>
          <w:sz w:val="15"/>
          <w:szCs w:val="15"/>
          <w:b w:val="1"/>
          <w:bCs w:val="1"/>
          <w:color w:val="auto"/>
        </w:rPr>
        <w:t xml:space="preserve"> </w:t>
      </w:r>
      <w:r>
        <w:rPr>
          <w:rFonts w:ascii="Arial" w:cs="Arial" w:eastAsia="Arial" w:hAnsi="Arial"/>
          <w:sz w:val="15"/>
          <w:szCs w:val="15"/>
          <w:color w:val="auto"/>
        </w:rPr>
        <w:t>specify and may be denominated in cash, in Shares, in Share-equivalent units, in Share appreciation units, in securities or debentures convertible into Shares or in a combination of the foregoing and may be paid in cash or in Shares, all as determined by the Committee, provided that any Other Share-Based Award that represent the right to receive value in the amount of the increase in the Fair Market Value of a Share rather than the full value of a Share shall have an exercise or grant price no lower than the Fair Market Value on the date of grant. Other Share-Based Awards may be issued alone or in tandem with other Awards granted to Employees.</w:t>
      </w:r>
    </w:p>
    <w:p>
      <w:pPr>
        <w:spacing w:after="0" w:line="2"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No dividend equivalent units may granted on an Other Shared-Based Award that is not a full-value award, and any dividends or dividend equivalents granted with respect to an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Share-Based Award that is a full-value award shall vest and be paid only if and to the same extent as the underlying Other Share-Based Award is vested and paid.</w:t>
      </w:r>
    </w:p>
    <w:p>
      <w:pPr>
        <w:spacing w:after="0" w:line="232" w:lineRule="exact"/>
        <w:rPr>
          <w:sz w:val="20"/>
          <w:szCs w:val="20"/>
          <w:color w:val="auto"/>
        </w:rPr>
      </w:pPr>
    </w:p>
    <w:p>
      <w:pPr>
        <w:ind w:right="180" w:firstLine="616"/>
        <w:spacing w:after="0" w:line="285" w:lineRule="auto"/>
        <w:rPr>
          <w:sz w:val="20"/>
          <w:szCs w:val="20"/>
          <w:color w:val="auto"/>
        </w:rPr>
      </w:pPr>
      <w:r>
        <w:rPr>
          <w:rFonts w:ascii="Arial" w:cs="Arial" w:eastAsia="Arial" w:hAnsi="Arial"/>
          <w:sz w:val="17"/>
          <w:szCs w:val="17"/>
          <w:b w:val="1"/>
          <w:bCs w:val="1"/>
          <w:color w:val="auto"/>
        </w:rPr>
        <w:t xml:space="preserve">9.3 Other Share-Based Award Agreement. </w:t>
      </w:r>
      <w:r>
        <w:rPr>
          <w:rFonts w:ascii="Arial" w:cs="Arial" w:eastAsia="Arial" w:hAnsi="Arial"/>
          <w:sz w:val="17"/>
          <w:szCs w:val="17"/>
          <w:color w:val="auto"/>
        </w:rPr>
        <w:t>Each Other Share-Based Award shall be evidenced by an Award Agreement that shall specify such terms</w:t>
      </w:r>
      <w:r>
        <w:rPr>
          <w:rFonts w:ascii="Arial" w:cs="Arial" w:eastAsia="Arial" w:hAnsi="Arial"/>
          <w:sz w:val="17"/>
          <w:szCs w:val="17"/>
          <w:b w:val="1"/>
          <w:bCs w:val="1"/>
          <w:color w:val="auto"/>
        </w:rPr>
        <w:t xml:space="preserve"> </w:t>
      </w:r>
      <w:r>
        <w:rPr>
          <w:rFonts w:ascii="Arial" w:cs="Arial" w:eastAsia="Arial" w:hAnsi="Arial"/>
          <w:sz w:val="17"/>
          <w:szCs w:val="17"/>
          <w:color w:val="auto"/>
        </w:rPr>
        <w:t>and conditions as the Committee shall determine.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10 Directors’ Share Awards, Fee Deferral Elections, and Director SARs and Options</w:t>
      </w:r>
    </w:p>
    <w:p>
      <w:pPr>
        <w:spacing w:after="0" w:line="215" w:lineRule="exact"/>
        <w:rPr>
          <w:sz w:val="20"/>
          <w:szCs w:val="20"/>
          <w:color w:val="auto"/>
        </w:rPr>
      </w:pPr>
    </w:p>
    <w:p>
      <w:pPr>
        <w:ind w:firstLine="616"/>
        <w:spacing w:after="0" w:line="292" w:lineRule="auto"/>
        <w:rPr>
          <w:sz w:val="20"/>
          <w:szCs w:val="20"/>
          <w:color w:val="auto"/>
        </w:rPr>
      </w:pPr>
      <w:r>
        <w:rPr>
          <w:rFonts w:ascii="Arial" w:cs="Arial" w:eastAsia="Arial" w:hAnsi="Arial"/>
          <w:sz w:val="16"/>
          <w:szCs w:val="16"/>
          <w:b w:val="1"/>
          <w:bCs w:val="1"/>
          <w:color w:val="auto"/>
        </w:rPr>
        <w:t xml:space="preserve">10.1 Eligibility. </w:t>
      </w:r>
      <w:r>
        <w:rPr>
          <w:rFonts w:ascii="Arial" w:cs="Arial" w:eastAsia="Arial" w:hAnsi="Arial"/>
          <w:sz w:val="16"/>
          <w:szCs w:val="16"/>
          <w:color w:val="auto"/>
        </w:rPr>
        <w:t>Only Non-Employee Directors shall be eligible to receive Non-Employee Director Share Awards and Director SARs and Options and to</w:t>
      </w:r>
      <w:r>
        <w:rPr>
          <w:rFonts w:ascii="Arial" w:cs="Arial" w:eastAsia="Arial" w:hAnsi="Arial"/>
          <w:sz w:val="16"/>
          <w:szCs w:val="16"/>
          <w:b w:val="1"/>
          <w:bCs w:val="1"/>
          <w:color w:val="auto"/>
        </w:rPr>
        <w:t xml:space="preserve"> </w:t>
      </w:r>
      <w:r>
        <w:rPr>
          <w:rFonts w:ascii="Arial" w:cs="Arial" w:eastAsia="Arial" w:hAnsi="Arial"/>
          <w:sz w:val="16"/>
          <w:szCs w:val="16"/>
          <w:color w:val="auto"/>
        </w:rPr>
        <w:t>make Fee Deferral Elections. All such awards are subject to prior approval by the Committee. The aggregate value of the cash fees paid, along with the grant date value of any Awards granted hereunder, to a Non-Employee Director during any fiscal year of the Company shall not exceed $750,000.</w:t>
      </w:r>
    </w:p>
    <w:p>
      <w:pPr>
        <w:spacing w:after="0" w:line="149" w:lineRule="exact"/>
        <w:rPr>
          <w:sz w:val="20"/>
          <w:szCs w:val="20"/>
          <w:color w:val="auto"/>
        </w:rPr>
      </w:pPr>
    </w:p>
    <w:p>
      <w:pPr>
        <w:ind w:firstLine="616"/>
        <w:spacing w:after="0" w:line="258" w:lineRule="auto"/>
        <w:rPr>
          <w:sz w:val="20"/>
          <w:szCs w:val="20"/>
          <w:color w:val="auto"/>
        </w:rPr>
      </w:pPr>
      <w:r>
        <w:rPr>
          <w:rFonts w:ascii="Arial" w:cs="Arial" w:eastAsia="Arial" w:hAnsi="Arial"/>
          <w:sz w:val="16"/>
          <w:szCs w:val="16"/>
          <w:b w:val="1"/>
          <w:bCs w:val="1"/>
          <w:color w:val="auto"/>
        </w:rPr>
        <w:t xml:space="preserve">10.2 Non-Employee Director Share Awards. </w:t>
      </w:r>
      <w:r>
        <w:rPr>
          <w:rFonts w:ascii="Arial" w:cs="Arial" w:eastAsia="Arial" w:hAnsi="Arial"/>
          <w:sz w:val="16"/>
          <w:szCs w:val="16"/>
          <w:color w:val="auto"/>
        </w:rPr>
        <w:t>On the first (1</w:t>
      </w:r>
      <w:r>
        <w:rPr>
          <w:rFonts w:ascii="Arial" w:cs="Arial" w:eastAsia="Arial" w:hAnsi="Arial"/>
          <w:sz w:val="21"/>
          <w:szCs w:val="21"/>
          <w:color w:val="auto"/>
          <w:vertAlign w:val="superscript"/>
        </w:rPr>
        <w:t>st</w:t>
      </w:r>
      <w:r>
        <w:rPr>
          <w:rFonts w:ascii="Arial" w:cs="Arial" w:eastAsia="Arial" w:hAnsi="Arial"/>
          <w:sz w:val="16"/>
          <w:szCs w:val="16"/>
          <w:color w:val="auto"/>
        </w:rPr>
        <w:t>) full trading day immediately following each Annual Meeting, each Non-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designated by the Board may receive a Non-Employee Director Share Award of a number of Shares determined by the Board before such Annual Meeting. Each Non-Employee Director Share Award shall be fully vested and nonforfeitable when granted. Upon Termination of Service or at such other times as determined by the Committee, the Non-Employee Director Share Award awarded to a Non-Employee Director shall be paid to the Non-Employee Director.</w:t>
      </w:r>
    </w:p>
    <w:p>
      <w:pPr>
        <w:spacing w:after="0" w:line="175"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10.3</w:t>
      </w:r>
      <w:r>
        <w:rPr>
          <w:sz w:val="20"/>
          <w:szCs w:val="20"/>
          <w:color w:val="auto"/>
        </w:rPr>
        <w:tab/>
      </w:r>
      <w:r>
        <w:rPr>
          <w:rFonts w:ascii="Arial" w:cs="Arial" w:eastAsia="Arial" w:hAnsi="Arial"/>
          <w:sz w:val="15"/>
          <w:szCs w:val="15"/>
          <w:b w:val="1"/>
          <w:bCs w:val="1"/>
          <w:color w:val="auto"/>
        </w:rPr>
        <w:t>Fee Deferral Elections.</w:t>
      </w:r>
    </w:p>
    <w:p>
      <w:pPr>
        <w:spacing w:after="0" w:line="221" w:lineRule="exact"/>
        <w:rPr>
          <w:sz w:val="20"/>
          <w:szCs w:val="20"/>
          <w:color w:val="auto"/>
        </w:rPr>
      </w:pPr>
    </w:p>
    <w:p>
      <w:pPr>
        <w:jc w:val="both"/>
        <w:ind w:right="80" w:firstLine="619"/>
        <w:spacing w:after="0" w:line="281" w:lineRule="auto"/>
        <w:tabs>
          <w:tab w:leader="none" w:pos="977"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Elections to Defer Payment of Fees. </w:t>
      </w:r>
      <w:r>
        <w:rPr>
          <w:rFonts w:ascii="Arial" w:cs="Arial" w:eastAsia="Arial" w:hAnsi="Arial"/>
          <w:sz w:val="16"/>
          <w:szCs w:val="16"/>
          <w:color w:val="auto"/>
        </w:rPr>
        <w:t>Payment of all or any part of any Fees payable to a Non-Employee Director may be deferred by election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Non-Employee Director. Each such election must be made in writing on a form prescribed by the Committee and irrevocably delivered to the Company in the year preceding the year which commences with the next Annual Meeting (the “Election Year”), and must be irrevocable for such Election Year. No election may be made under this Article 10.3(a) with respect to Fees for which an election is made under Article 10.5.</w:t>
      </w:r>
    </w:p>
    <w:p>
      <w:pPr>
        <w:spacing w:after="0" w:line="165" w:lineRule="exact"/>
        <w:rPr>
          <w:rFonts w:ascii="Arial" w:cs="Arial" w:eastAsia="Arial" w:hAnsi="Arial"/>
          <w:sz w:val="16"/>
          <w:szCs w:val="16"/>
          <w:color w:val="auto"/>
        </w:rPr>
      </w:pPr>
    </w:p>
    <w:p>
      <w:pPr>
        <w:jc w:val="both"/>
        <w:ind w:right="200" w:firstLine="619"/>
        <w:spacing w:after="0" w:line="258" w:lineRule="auto"/>
        <w:tabs>
          <w:tab w:leader="none" w:pos="986"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Crediting Stock Units to Accounts</w:t>
      </w:r>
      <w:r>
        <w:rPr>
          <w:rFonts w:ascii="Arial" w:cs="Arial" w:eastAsia="Arial" w:hAnsi="Arial"/>
          <w:sz w:val="17"/>
          <w:szCs w:val="17"/>
          <w:color w:val="auto"/>
        </w:rPr>
        <w:t>. Amounts deferred pursuant to a Fee Deferral Election shall be credited as of the date of the deferral to a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 Account in Stock Units. The number of Stock Units credited to a Stock Unit Account with respect to any Non-Employee Director shall equal (i) the amount deferred pursuant to the Fee Deferral Election divided by (ii) the Fair Market Value of a Share on the date on which the Fees subject to the Fee Deferral Election would have been paid but for the Fee Deferral Election, and, unless the Committee or the Board determines otherwise, rounded down to the nearest whole Stock Unit with the value of any fractional Stock Unit paid to the Director in cash.</w:t>
      </w:r>
    </w:p>
    <w:p>
      <w:pPr>
        <w:spacing w:after="0" w:line="181" w:lineRule="exact"/>
        <w:rPr>
          <w:rFonts w:ascii="Arial" w:cs="Arial" w:eastAsia="Arial" w:hAnsi="Arial"/>
          <w:sz w:val="17"/>
          <w:szCs w:val="17"/>
          <w:color w:val="auto"/>
        </w:rPr>
      </w:pPr>
    </w:p>
    <w:p>
      <w:pPr>
        <w:ind w:right="340" w:firstLine="619"/>
        <w:spacing w:after="0" w:line="277" w:lineRule="auto"/>
        <w:tabs>
          <w:tab w:leader="none" w:pos="977"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Fully Vested Stock Units. </w:t>
      </w:r>
      <w:r>
        <w:rPr>
          <w:rFonts w:ascii="Arial" w:cs="Arial" w:eastAsia="Arial" w:hAnsi="Arial"/>
          <w:sz w:val="17"/>
          <w:szCs w:val="17"/>
          <w:color w:val="auto"/>
        </w:rPr>
        <w:t>All Stock Units credited to a Non-Employee Director’s Stock Unit Account pursuant to this Article 10.3 shall be at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times fully vested and nonforfeitable.</w:t>
      </w:r>
    </w:p>
    <w:p>
      <w:pPr>
        <w:spacing w:after="0" w:line="164" w:lineRule="exact"/>
        <w:rPr>
          <w:rFonts w:ascii="Arial" w:cs="Arial" w:eastAsia="Arial" w:hAnsi="Arial"/>
          <w:sz w:val="17"/>
          <w:szCs w:val="17"/>
          <w:color w:val="auto"/>
        </w:rPr>
      </w:pPr>
    </w:p>
    <w:p>
      <w:pPr>
        <w:ind w:right="60" w:firstLine="619"/>
        <w:spacing w:after="0" w:line="293" w:lineRule="auto"/>
        <w:tabs>
          <w:tab w:leader="none" w:pos="986" w:val="left"/>
        </w:tabs>
        <w:numPr>
          <w:ilvl w:val="0"/>
          <w:numId w:val="4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Credit of Dividend Equivalents. </w:t>
      </w:r>
      <w:r>
        <w:rPr>
          <w:rFonts w:ascii="Arial" w:cs="Arial" w:eastAsia="Arial" w:hAnsi="Arial"/>
          <w:sz w:val="15"/>
          <w:szCs w:val="15"/>
          <w:color w:val="auto"/>
        </w:rPr>
        <w:t>Each Stock Unit credited to a Director’s Stock Unit Account includes one dividend equivalent unit,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represents the Non-Employee Director’s right to receive a cash payment equal to the dividend paid on one share. Such cash payment will be paid to the Non-Employee Director within 30 days of the dividend payment date. Notwithstanding the foregoing, the Committee may either require or allow a Non-Employee Director to elect (at the same time elections are made under paragraph (a) of this Article 10.3) to have the cash dividend equivalent unit payments reinvested in additional Stock Units. In such case, the amount of Stock Units credited to the Non-Employee Director’s Stock Unit Account shall equal the quotient of (i) the amount of dividend equivalent payments that are to be reinvested in Stock Units, divided by (ii) the Fair Market Value of a Share on such dividend payment date, and unless the Committee or the Board determines otherwise, rounded down to the nearest whole Stock Unit with the value of any fractional Stock Unit paid to the Director in cash within 30 days of the dividend payment date. If dividends are paid on Shares in a form other than cash, then the Committee or the Board shall determine, in its discretion, whether to make payment (or credit the Stock Unit Account, as applicable) in-kind or notionally convert the dividend to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20"/>
          </w:cols>
          <w:pgMar w:left="320" w:top="1440" w:right="359" w:bottom="1440" w:gutter="0" w:footer="0" w:header="0"/>
        </w:sectPr>
      </w:pPr>
    </w:p>
    <w:bookmarkStart w:id="86" w:name="page87"/>
    <w:bookmarkEnd w:id="86"/>
    <w:p>
      <w:pPr>
        <w:spacing w:after="0" w:line="125" w:lineRule="exact"/>
        <w:rPr>
          <w:sz w:val="20"/>
          <w:szCs w:val="20"/>
          <w:color w:val="auto"/>
        </w:rPr>
      </w:pPr>
    </w:p>
    <w:p>
      <w:pPr>
        <w:jc w:val="both"/>
        <w:ind w:right="180" w:firstLine="619"/>
        <w:spacing w:after="0" w:line="278" w:lineRule="auto"/>
        <w:tabs>
          <w:tab w:leader="none" w:pos="977"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of Stock Units. </w:t>
      </w:r>
      <w:r>
        <w:rPr>
          <w:rFonts w:ascii="Arial" w:cs="Arial" w:eastAsia="Arial" w:hAnsi="Arial"/>
          <w:sz w:val="16"/>
          <w:szCs w:val="16"/>
          <w:color w:val="auto"/>
        </w:rPr>
        <w:t>Upon Termination of Service or at such other times as determined by the Committee and irrevocably elected in writing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Non-Employee Director at the time of the Non-Employee Director’s election to defer Fees under Article 10.3(a), the Stock Units credited to a Non-Employee Director’s Stock Unit Account shall be paid to the Non-Employee Director in an equal number of shares of Stock in a single lump sum or in substantially equal annual installments over a period not to exceed ten (10) years, as irrevocably elected in writing by the Non-Employee Director at the time of the Non-Employee Director’s election to defer Fees under Article 10.3(a), pursuant to rules established from time to time by the Committee.</w:t>
      </w:r>
    </w:p>
    <w:p>
      <w:pPr>
        <w:spacing w:after="0" w:line="160" w:lineRule="exact"/>
        <w:rPr>
          <w:sz w:val="20"/>
          <w:szCs w:val="20"/>
          <w:color w:val="auto"/>
        </w:rPr>
      </w:pPr>
    </w:p>
    <w:p>
      <w:pPr>
        <w:ind w:right="140" w:firstLine="616"/>
        <w:spacing w:after="0" w:line="263" w:lineRule="auto"/>
        <w:rPr>
          <w:sz w:val="20"/>
          <w:szCs w:val="20"/>
          <w:color w:val="auto"/>
        </w:rPr>
      </w:pPr>
      <w:r>
        <w:rPr>
          <w:rFonts w:ascii="Arial" w:cs="Arial" w:eastAsia="Arial" w:hAnsi="Arial"/>
          <w:sz w:val="17"/>
          <w:szCs w:val="17"/>
          <w:b w:val="1"/>
          <w:bCs w:val="1"/>
          <w:color w:val="auto"/>
        </w:rPr>
        <w:t xml:space="preserve">10.4 Unfunded Status. </w:t>
      </w:r>
      <w:r>
        <w:rPr>
          <w:rFonts w:ascii="Arial" w:cs="Arial" w:eastAsia="Arial" w:hAnsi="Arial"/>
          <w:sz w:val="17"/>
          <w:szCs w:val="17"/>
          <w:color w:val="auto"/>
        </w:rPr>
        <w:t>The interest of each Non-Employee Director in any Fees deferred under this Article 10 (and any Stock Units or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relating thereto) or in any Director Stock Award shall be that of a general creditor of the Company. Stock Unit Accounts and Stock Units (and, if any, “in kind” dividends) credited thereto shall at all times be maintained by the Company as bookkeeping entries evidencing unfunded and unsecured general obligations of the Company.</w:t>
      </w:r>
    </w:p>
    <w:p>
      <w:pPr>
        <w:spacing w:after="0" w:line="170"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10.5</w:t>
      </w:r>
      <w:r>
        <w:rPr>
          <w:sz w:val="20"/>
          <w:szCs w:val="20"/>
          <w:color w:val="auto"/>
        </w:rPr>
        <w:tab/>
      </w:r>
      <w:r>
        <w:rPr>
          <w:rFonts w:ascii="Arial" w:cs="Arial" w:eastAsia="Arial" w:hAnsi="Arial"/>
          <w:sz w:val="15"/>
          <w:szCs w:val="15"/>
          <w:b w:val="1"/>
          <w:bCs w:val="1"/>
          <w:color w:val="auto"/>
        </w:rPr>
        <w:t>Director SARs and Options.</w:t>
      </w:r>
    </w:p>
    <w:p>
      <w:pPr>
        <w:spacing w:after="0" w:line="221" w:lineRule="exact"/>
        <w:rPr>
          <w:sz w:val="20"/>
          <w:szCs w:val="20"/>
          <w:color w:val="auto"/>
        </w:rPr>
      </w:pPr>
    </w:p>
    <w:p>
      <w:pPr>
        <w:ind w:firstLine="619"/>
        <w:spacing w:after="0" w:line="258" w:lineRule="auto"/>
        <w:tabs>
          <w:tab w:leader="none" w:pos="977"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Elections to Receive Payment of Fees in the Form of SARs or Options. </w:t>
      </w:r>
      <w:r>
        <w:rPr>
          <w:rFonts w:ascii="Arial" w:cs="Arial" w:eastAsia="Arial" w:hAnsi="Arial"/>
          <w:sz w:val="17"/>
          <w:szCs w:val="17"/>
          <w:color w:val="auto"/>
        </w:rPr>
        <w:t>A Non-Employee Director may elect to receive payment of all or any part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 or her cash retainer in the form of Director SARs or Options, as determined by the Committee, in lieu of cash. Each such election must be made in writing on a form prescribed by the Committee and delivered to the Company in the calendar year preceding the calendar year in which occurs the Annual Meeting that marks the commencement of the annual period of service during which such Fees are earned. Each election is irrevocable for that annual period. Elections under this Article 10.5 may not be made with respect to Fees deferred under Article 10.3.</w:t>
      </w:r>
    </w:p>
    <w:p>
      <w:pPr>
        <w:spacing w:after="0" w:line="174" w:lineRule="exact"/>
        <w:rPr>
          <w:rFonts w:ascii="Arial" w:cs="Arial" w:eastAsia="Arial" w:hAnsi="Arial"/>
          <w:sz w:val="17"/>
          <w:szCs w:val="17"/>
          <w:color w:val="auto"/>
        </w:rPr>
      </w:pPr>
    </w:p>
    <w:p>
      <w:pPr>
        <w:ind w:firstLine="619"/>
        <w:spacing w:after="0" w:line="284" w:lineRule="auto"/>
        <w:tabs>
          <w:tab w:leader="none" w:pos="986" w:val="left"/>
        </w:tabs>
        <w:numPr>
          <w:ilvl w:val="0"/>
          <w:numId w:val="4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Grant of Director SARs and Options. </w:t>
      </w:r>
      <w:r>
        <w:rPr>
          <w:rFonts w:ascii="Arial" w:cs="Arial" w:eastAsia="Arial" w:hAnsi="Arial"/>
          <w:sz w:val="15"/>
          <w:szCs w:val="15"/>
          <w:color w:val="auto"/>
        </w:rPr>
        <w:t>On the first (1</w:t>
      </w:r>
      <w:r>
        <w:rPr>
          <w:rFonts w:ascii="Arial" w:cs="Arial" w:eastAsia="Arial" w:hAnsi="Arial"/>
          <w:sz w:val="19"/>
          <w:szCs w:val="19"/>
          <w:color w:val="auto"/>
          <w:vertAlign w:val="superscript"/>
        </w:rPr>
        <w:t>st</w:t>
      </w:r>
      <w:r>
        <w:rPr>
          <w:rFonts w:ascii="Arial" w:cs="Arial" w:eastAsia="Arial" w:hAnsi="Arial"/>
          <w:sz w:val="15"/>
          <w:szCs w:val="15"/>
          <w:color w:val="auto"/>
        </w:rPr>
        <w:t>) full trading day immediately following each Annual Meeting, each Non- Employee Director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who has filed an election under Article 10.5(a) for the annual period of service that commences with such Annual Meeting shall be granted Director SARs or Options that have a value on the date of grant substantially equal to the amount of Fees otherwise payable to the Non-Employee Director in cash but for the election to receive Director SARs or Options. The value of Director SARs or Options shall be determined by the Committee in its sole discretion, at a meeting held prior to the Annual Meeting, based on a Black-Scholes option pricing model or other valuation model that the Committee determines to be appropriate in its sole discretion.</w:t>
      </w:r>
    </w:p>
    <w:p>
      <w:pPr>
        <w:spacing w:after="0" w:line="163" w:lineRule="exact"/>
        <w:rPr>
          <w:rFonts w:ascii="Arial" w:cs="Arial" w:eastAsia="Arial" w:hAnsi="Arial"/>
          <w:sz w:val="15"/>
          <w:szCs w:val="15"/>
          <w:color w:val="auto"/>
        </w:rPr>
      </w:pPr>
    </w:p>
    <w:p>
      <w:pPr>
        <w:ind w:right="80" w:firstLine="619"/>
        <w:spacing w:after="0"/>
        <w:tabs>
          <w:tab w:leader="none" w:pos="977"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Terms of Director SARs and Options. </w:t>
      </w:r>
      <w:r>
        <w:rPr>
          <w:rFonts w:ascii="Arial" w:cs="Arial" w:eastAsia="Arial" w:hAnsi="Arial"/>
          <w:sz w:val="17"/>
          <w:szCs w:val="17"/>
          <w:color w:val="auto"/>
        </w:rPr>
        <w:t>Each Director SAR and Option shall be evidenced by an Award Agreement that shall specify the Exercise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the duration of the SAR or Option, and the number of Shares to which the SAR or Option pertains. Each Director SAR and Option shall (i) have an Exercise Price equal to or greater than the Fair Market Value of a Share on the date the Award is granted; (ii) be immediately vested and exercisable; (iii) expire on the tenth (10</w:t>
      </w:r>
      <w:r>
        <w:rPr>
          <w:rFonts w:ascii="Arial" w:cs="Arial" w:eastAsia="Arial" w:hAnsi="Arial"/>
          <w:sz w:val="22"/>
          <w:szCs w:val="22"/>
          <w:color w:val="auto"/>
          <w:vertAlign w:val="superscript"/>
        </w:rPr>
        <w:t>th</w:t>
      </w:r>
      <w:r>
        <w:rPr>
          <w:rFonts w:ascii="Arial" w:cs="Arial" w:eastAsia="Arial" w:hAnsi="Arial"/>
          <w:sz w:val="17"/>
          <w:szCs w:val="17"/>
          <w:color w:val="auto"/>
        </w:rPr>
        <w:t>) anniversary of the date of its grant; and (iv) be nontransferable unless otherwise specified by the Committee. No dividends or dividend equivalent rights may be granted with respect to SARs or Options.</w:t>
      </w:r>
    </w:p>
    <w:p>
      <w:pPr>
        <w:spacing w:after="0" w:line="197" w:lineRule="exact"/>
        <w:rPr>
          <w:rFonts w:ascii="Arial" w:cs="Arial" w:eastAsia="Arial" w:hAnsi="Arial"/>
          <w:sz w:val="17"/>
          <w:szCs w:val="17"/>
          <w:color w:val="auto"/>
        </w:rPr>
      </w:pPr>
    </w:p>
    <w:p>
      <w:pPr>
        <w:ind w:firstLine="619"/>
        <w:spacing w:after="0" w:line="274" w:lineRule="auto"/>
        <w:tabs>
          <w:tab w:leader="none" w:pos="986"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w:t>
      </w:r>
      <w:r>
        <w:rPr>
          <w:rFonts w:ascii="Arial" w:cs="Arial" w:eastAsia="Arial" w:hAnsi="Arial"/>
          <w:sz w:val="16"/>
          <w:szCs w:val="16"/>
          <w:color w:val="auto"/>
        </w:rPr>
        <w:t>Director SARs and Options granted under this Article 10 shall be exercised by the delivery of notice of exercise to the Company in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manner as the Committee shall determine, setting forth the number of Shares with respect to which the SAR or Option is to be exercised, accompanied by full payment for the Shares. The Exercise Price upon exercise of any Director SAR or Option shall be payable to the Company in full either: (i) in cash or its equivalent, (ii) by withholding of Shares deliverable upon exercise or tendering (either actually or by attestation) previously acquired Shares, in each case having an aggregate Fair Market Value at the time of exercise equal to the total Exercise Price, or (iii) by a combination of (i) and (ii). 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spacing w:after="0" w:line="166" w:lineRule="exact"/>
        <w:rPr>
          <w:sz w:val="20"/>
          <w:szCs w:val="20"/>
          <w:color w:val="auto"/>
        </w:rPr>
      </w:pPr>
    </w:p>
    <w:p>
      <w:pPr>
        <w:ind w:right="380" w:firstLine="616"/>
        <w:spacing w:after="0" w:line="285" w:lineRule="auto"/>
        <w:rPr>
          <w:sz w:val="20"/>
          <w:szCs w:val="20"/>
          <w:color w:val="auto"/>
        </w:rPr>
      </w:pPr>
      <w:r>
        <w:rPr>
          <w:rFonts w:ascii="Arial" w:cs="Arial" w:eastAsia="Arial" w:hAnsi="Arial"/>
          <w:sz w:val="17"/>
          <w:szCs w:val="17"/>
          <w:b w:val="1"/>
          <w:bCs w:val="1"/>
          <w:color w:val="auto"/>
        </w:rPr>
        <w:t xml:space="preserve">10.6 No Dividends Paid. </w:t>
      </w:r>
      <w:r>
        <w:rPr>
          <w:rFonts w:ascii="Arial" w:cs="Arial" w:eastAsia="Arial" w:hAnsi="Arial"/>
          <w:sz w:val="17"/>
          <w:szCs w:val="17"/>
          <w:color w:val="auto"/>
        </w:rPr>
        <w:t>No dividend or dividend equivalents will be paid with respect to any unvested Non-Employee Director Awards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11 Beneficiary Designation</w:t>
      </w:r>
    </w:p>
    <w:p>
      <w:pPr>
        <w:spacing w:after="0" w:line="221" w:lineRule="exact"/>
        <w:rPr>
          <w:sz w:val="20"/>
          <w:szCs w:val="20"/>
          <w:color w:val="auto"/>
        </w:rPr>
      </w:pPr>
    </w:p>
    <w:p>
      <w:pPr>
        <w:ind w:right="40" w:firstLine="616"/>
        <w:spacing w:after="0" w:line="258" w:lineRule="auto"/>
        <w:rPr>
          <w:sz w:val="20"/>
          <w:szCs w:val="20"/>
          <w:color w:val="auto"/>
        </w:rPr>
      </w:pPr>
      <w:r>
        <w:rPr>
          <w:rFonts w:ascii="Arial" w:cs="Arial" w:eastAsia="Arial" w:hAnsi="Arial"/>
          <w:sz w:val="17"/>
          <w:szCs w:val="17"/>
          <w:color w:val="auto"/>
        </w:rPr>
        <w:t>Each Participant under the Plan may, from time to time, name any beneficiary or beneficiaries (who may be named contingently or successively) to whom any benefit under the Plan is to be paid in case of the Participant’s death before the Participant has received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12 Change in Control</w:t>
      </w:r>
    </w:p>
    <w:p>
      <w:pPr>
        <w:spacing w:after="0" w:line="215" w:lineRule="exact"/>
        <w:rPr>
          <w:sz w:val="20"/>
          <w:szCs w:val="20"/>
          <w:color w:val="auto"/>
        </w:rPr>
      </w:pPr>
    </w:p>
    <w:p>
      <w:pPr>
        <w:ind w:right="60" w:firstLine="616"/>
        <w:spacing w:after="0" w:line="258" w:lineRule="auto"/>
        <w:rPr>
          <w:sz w:val="20"/>
          <w:szCs w:val="20"/>
          <w:color w:val="auto"/>
        </w:rPr>
      </w:pPr>
      <w:r>
        <w:rPr>
          <w:rFonts w:ascii="Arial" w:cs="Arial" w:eastAsia="Arial" w:hAnsi="Arial"/>
          <w:sz w:val="17"/>
          <w:szCs w:val="17"/>
          <w:b w:val="1"/>
          <w:bCs w:val="1"/>
          <w:color w:val="auto"/>
        </w:rPr>
        <w:t xml:space="preserve">12.1 Treatment of Awards. </w:t>
      </w:r>
      <w:r>
        <w:rPr>
          <w:rFonts w:ascii="Arial" w:cs="Arial" w:eastAsia="Arial" w:hAnsi="Arial"/>
          <w:sz w:val="17"/>
          <w:szCs w:val="17"/>
          <w:color w:val="auto"/>
        </w:rPr>
        <w:t>If an Award Agreement specifies the treatment of an Award in connection with a Change in Control, then the terms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Award Agreement shall apply in lieu of the provisions of this Article 12.1. In the absence of such provisions in an Award Agreement, and unless otherwise determined by the Committee in its sole discretion prior to a Change in Control, if a Participant who is actively employed by the Company incurs a Covered Termination of Employment (as defined in Article 12.2 below) on or within twelve (12) months following a Change in Control (as defined in Article 12.3 below), or if a Change in Control occurs in connection with which no Awards, publicly-traded Shares or substitute equity interests are available, then the following shall occur:</w:t>
      </w:r>
    </w:p>
    <w:p>
      <w:pPr>
        <w:spacing w:after="0" w:line="183" w:lineRule="exact"/>
        <w:rPr>
          <w:sz w:val="20"/>
          <w:szCs w:val="20"/>
          <w:color w:val="auto"/>
        </w:rPr>
      </w:pPr>
    </w:p>
    <w:p>
      <w:pPr>
        <w:ind w:right="20" w:firstLine="619"/>
        <w:spacing w:after="0" w:line="290" w:lineRule="auto"/>
        <w:tabs>
          <w:tab w:leader="none" w:pos="977" w:val="left"/>
        </w:tabs>
        <w:numPr>
          <w:ilvl w:val="1"/>
          <w:numId w:val="4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Restricted Stock and RSUs. </w:t>
      </w:r>
      <w:r>
        <w:rPr>
          <w:rFonts w:ascii="Arial" w:cs="Arial" w:eastAsia="Arial" w:hAnsi="Arial"/>
          <w:sz w:val="15"/>
          <w:szCs w:val="15"/>
          <w:color w:val="auto"/>
        </w:rPr>
        <w:t>With respect to any Restricted Stock, RSUs or any Other Share-Based Awards taking a form substantially the same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Restricted Stock or RSUs, the restrictions, forfeiture conditions, deferral of settlement and conditions on distribution other than those imposed by law applicable to such Awards shall lapse, and all such Awards shall be deemed fully vested, as of the date of the Participant’s Covered Termination of Employment, and the subject Shares, or equity interests that are substituted for the subject Shares as a result of the Change in Control, shall be distributed to the Participant immediately following such Covered Termination of Employment.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Restricted Stock, RSU and Other Share-Based Awards shall lapse, and all such Awards shall be deemed fully vested, as of the date of the Change in Control, and the Awards shall be distributed to the Participant immediately following the Change in Control. In the Committee’s discretion, the distribution of Awards as described in this Article 12.1(a) may be made in the form of a cash payment equal to the product of (i) the per Share value, which shall be (I) in the case of a payment made immediately following a Covered Termination of Employment, the Fair Market Value per Share as of the date of the Covered Termination of Employment, or (II) in the case of a payment made immediately after the Change in Control, the Change in Control Price per Share in connection with the transaction resulting in the Change in Control, and (ii) the number of subject Shares or substitute equity awards that otherwise would be distributed to the Participant if available and the Committee had not determined to pay cash.</w:t>
      </w:r>
    </w:p>
    <w:p>
      <w:pPr>
        <w:spacing w:after="0" w:line="165" w:lineRule="exact"/>
        <w:rPr>
          <w:rFonts w:ascii="Arial" w:cs="Arial" w:eastAsia="Arial" w:hAnsi="Arial"/>
          <w:sz w:val="15"/>
          <w:szCs w:val="15"/>
          <w:color w:val="auto"/>
        </w:rPr>
      </w:pPr>
    </w:p>
    <w:p>
      <w:pPr>
        <w:ind w:firstLine="619"/>
        <w:spacing w:after="0" w:line="287" w:lineRule="auto"/>
        <w:tabs>
          <w:tab w:leader="none" w:pos="986" w:val="left"/>
        </w:tabs>
        <w:numPr>
          <w:ilvl w:val="1"/>
          <w:numId w:val="4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Options and SARs. </w:t>
      </w:r>
      <w:r>
        <w:rPr>
          <w:rFonts w:ascii="Arial" w:cs="Arial" w:eastAsia="Arial" w:hAnsi="Arial"/>
          <w:sz w:val="15"/>
          <w:szCs w:val="15"/>
          <w:color w:val="auto"/>
        </w:rPr>
        <w:t>As of the date of the Participant’s Covered Termination of Employment, all of the unvested or unexercisable Options, SARs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Share-Based Awards taking a form substantially the same as Options or SARs held by the Participant shall be deemed to be fully vested and exercisable with respect to the subject Shares, or other equity interests that are substituted for the Shares as a result of the Change in Control, and any other conditions on such Awards shall lapse, other than those imposed by law. Such Awards shall remain exercisable until the earlier of (i) the end of their original term, or (ii) twelve (12) months (or in the case of an Approved Retiree, five (5) years) following the Participant’s Covered Termination of Employment.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Options, SARs and Other Share-Based Awards shall lapse, and all such Awards shall be deemed fully vested, as of the date of the Change in Control. In the Committee’s discretion, a cash payment may be made to the Participant immediately following the Participant’s Covered Termination of Employment or the date of the Change in Control, whichever is the date upon which the Participant is deemed to be fully vested as determined under this Article 12.1(b), in an amount equal to (i) the per Share value, which shall be</w:t>
      </w:r>
    </w:p>
    <w:p>
      <w:pPr>
        <w:spacing w:after="0" w:line="1" w:lineRule="exact"/>
        <w:rPr>
          <w:rFonts w:ascii="Arial" w:cs="Arial" w:eastAsia="Arial" w:hAnsi="Arial"/>
          <w:sz w:val="15"/>
          <w:szCs w:val="15"/>
          <w:color w:val="auto"/>
        </w:rPr>
      </w:pPr>
    </w:p>
    <w:p>
      <w:pPr>
        <w:ind w:right="160" w:firstLine="3"/>
        <w:spacing w:after="0" w:line="258" w:lineRule="auto"/>
        <w:tabs>
          <w:tab w:leader="none" w:pos="214"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the case of a payment made immediately following a Covered Termination of Employment, the Fair Market Value per Share as of the date of the Covered Termination of Employment, or (II) in the case of a payment made immediately after the Change in Control, the Change in Control Price per Share in connection with the transaction resulting in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00"/>
          </w:cols>
          <w:pgMar w:left="320" w:top="1440" w:right="379" w:bottom="1440" w:gutter="0" w:footer="0" w:header="0"/>
        </w:sectPr>
      </w:pPr>
    </w:p>
    <w:bookmarkStart w:id="88" w:name="page89"/>
    <w:bookmarkEnd w:id="88"/>
    <w:p>
      <w:pPr>
        <w:spacing w:after="0" w:line="125" w:lineRule="exact"/>
        <w:rPr>
          <w:sz w:val="20"/>
          <w:szCs w:val="20"/>
          <w:color w:val="auto"/>
        </w:rPr>
      </w:pPr>
    </w:p>
    <w:p>
      <w:pPr>
        <w:ind w:right="140" w:firstLine="3"/>
        <w:spacing w:after="0" w:line="277" w:lineRule="auto"/>
        <w:tabs>
          <w:tab w:leader="none" w:pos="252" w:val="left"/>
        </w:tabs>
        <w:numPr>
          <w:ilvl w:val="0"/>
          <w:numId w:val="51"/>
        </w:numPr>
        <w:rPr>
          <w:rFonts w:ascii="Arial" w:cs="Arial" w:eastAsia="Arial" w:hAnsi="Arial"/>
          <w:sz w:val="17"/>
          <w:szCs w:val="17"/>
          <w:color w:val="auto"/>
        </w:rPr>
      </w:pPr>
      <w:r>
        <w:rPr>
          <w:rFonts w:ascii="Arial" w:cs="Arial" w:eastAsia="Arial" w:hAnsi="Arial"/>
          <w:sz w:val="17"/>
          <w:szCs w:val="17"/>
          <w:color w:val="auto"/>
        </w:rPr>
        <w:t>less the Exercise Price, and (iii) multiplied by the number of subject Shares or substitute equity awards that otherwise would be distributed to the Participant if available and the Committee had not determined to pay cash.</w:t>
      </w:r>
    </w:p>
    <w:p>
      <w:pPr>
        <w:spacing w:after="0" w:line="164" w:lineRule="exact"/>
        <w:rPr>
          <w:rFonts w:ascii="Arial" w:cs="Arial" w:eastAsia="Arial" w:hAnsi="Arial"/>
          <w:sz w:val="17"/>
          <w:szCs w:val="17"/>
          <w:color w:val="auto"/>
        </w:rPr>
      </w:pPr>
    </w:p>
    <w:p>
      <w:pPr>
        <w:ind w:firstLine="619"/>
        <w:spacing w:after="0" w:line="273" w:lineRule="auto"/>
        <w:tabs>
          <w:tab w:leader="none" w:pos="977" w:val="left"/>
        </w:tabs>
        <w:numPr>
          <w:ilvl w:val="1"/>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Share-Based Awards. </w:t>
      </w:r>
      <w:r>
        <w:rPr>
          <w:rFonts w:ascii="Arial" w:cs="Arial" w:eastAsia="Arial" w:hAnsi="Arial"/>
          <w:sz w:val="16"/>
          <w:szCs w:val="16"/>
          <w:color w:val="auto"/>
        </w:rPr>
        <w:t>All of the Participant’s Other Share-Based Awards subject to performance-based vesting for which the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has not expired shall be deemed to be fully vested as of the Participant’s Covered Termination of Employment and be paid out immediately thereafter, where such payment shall be based on a target level of performance, pro-rated for the days of such performance period through the date of the Covered Termination of Employment.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Other Share-Based Awards shall lapse, and all such Awards shall be deemed to be fully vested, as of the date of the Change in Control, in which case payment shall be based on a target level of performance pro rated for the days of such performance period through the date of the Change in Control. Any Other Share-Based Awards other than those described in Articles 12.1(a) and (b), and other than as described above in this Article 12.1(c), shall be treated in a manner similar to that described in Articles 12.1(a) and (b).</w:t>
      </w:r>
    </w:p>
    <w:p>
      <w:pPr>
        <w:spacing w:after="0" w:line="164" w:lineRule="exact"/>
        <w:rPr>
          <w:sz w:val="20"/>
          <w:szCs w:val="20"/>
          <w:color w:val="auto"/>
        </w:rPr>
      </w:pPr>
    </w:p>
    <w:p>
      <w:pPr>
        <w:ind w:right="100" w:firstLine="616"/>
        <w:spacing w:after="0" w:line="268" w:lineRule="auto"/>
        <w:rPr>
          <w:sz w:val="20"/>
          <w:szCs w:val="20"/>
          <w:color w:val="auto"/>
        </w:rPr>
      </w:pPr>
      <w:r>
        <w:rPr>
          <w:rFonts w:ascii="Arial" w:cs="Arial" w:eastAsia="Arial" w:hAnsi="Arial"/>
          <w:sz w:val="17"/>
          <w:szCs w:val="17"/>
          <w:b w:val="1"/>
          <w:bCs w:val="1"/>
          <w:color w:val="auto"/>
        </w:rPr>
        <w:t xml:space="preserve">12.2 Covered Termination of Employment. </w:t>
      </w:r>
      <w:r>
        <w:rPr>
          <w:rFonts w:ascii="Arial" w:cs="Arial" w:eastAsia="Arial" w:hAnsi="Arial"/>
          <w:sz w:val="17"/>
          <w:szCs w:val="17"/>
          <w:color w:val="auto"/>
        </w:rPr>
        <w:t>For purposes of this Article 12, “Covered Termination of Employment” shall mean any involuntary</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employment of a Participant, provided that such termination does not result from the Participant’s serious misconduct within the meaning of Article 3.6.</w:t>
      </w:r>
    </w:p>
    <w:p>
      <w:pPr>
        <w:spacing w:after="0" w:line="167"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12.3</w:t>
      </w:r>
      <w:r>
        <w:rPr>
          <w:sz w:val="20"/>
          <w:szCs w:val="20"/>
          <w:color w:val="auto"/>
        </w:rPr>
        <w:tab/>
      </w:r>
      <w:r>
        <w:rPr>
          <w:rFonts w:ascii="Arial" w:cs="Arial" w:eastAsia="Arial" w:hAnsi="Arial"/>
          <w:sz w:val="15"/>
          <w:szCs w:val="15"/>
          <w:b w:val="1"/>
          <w:bCs w:val="1"/>
          <w:color w:val="auto"/>
        </w:rPr>
        <w:t xml:space="preserve">Change in Control Definition. </w:t>
      </w:r>
      <w:r>
        <w:rPr>
          <w:rFonts w:ascii="Arial" w:cs="Arial" w:eastAsia="Arial" w:hAnsi="Arial"/>
          <w:sz w:val="15"/>
          <w:szCs w:val="15"/>
          <w:color w:val="auto"/>
        </w:rPr>
        <w:t>A Change in Control shall occur if:</w:t>
      </w:r>
    </w:p>
    <w:p>
      <w:pPr>
        <w:spacing w:after="0" w:line="221" w:lineRule="exact"/>
        <w:rPr>
          <w:sz w:val="20"/>
          <w:szCs w:val="20"/>
          <w:color w:val="auto"/>
        </w:rPr>
      </w:pPr>
    </w:p>
    <w:p>
      <w:pPr>
        <w:ind w:right="60" w:firstLine="619"/>
        <w:spacing w:after="0" w:line="301" w:lineRule="auto"/>
        <w:tabs>
          <w:tab w:leader="none" w:pos="977" w:val="left"/>
        </w:tabs>
        <w:numPr>
          <w:ilvl w:val="0"/>
          <w:numId w:val="5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Acquisition of Voting Securities. </w:t>
      </w:r>
      <w:r>
        <w:rPr>
          <w:rFonts w:ascii="Arial" w:cs="Arial" w:eastAsia="Arial" w:hAnsi="Arial"/>
          <w:sz w:val="15"/>
          <w:szCs w:val="15"/>
          <w:color w:val="auto"/>
        </w:rPr>
        <w:t>Any Person directly or indirectly becomes the Beneficial Owner of more than thirty percent (30%)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Company’s then outstanding voting securities (measured on the basis of voting power), provided that the Person (i) has not acquired such voting securities directly from the Company, (ii) is not the Company or any of its Subsidiaries, (iii) is not a trustee or other fiduciary holding voting securities under an employee benefit plan of the Company or any of its Subsidiaries, (iv) is not an underwriter temporarily holding the voting securities in connection with an offering thereof, and (v) is not a corporation owned, directly or indirectly, by the stockholders of the Company in substantially the same proportions as their ownership of Company stock; or</w:t>
      </w:r>
    </w:p>
    <w:p>
      <w:pPr>
        <w:spacing w:after="0" w:line="150" w:lineRule="exact"/>
        <w:rPr>
          <w:rFonts w:ascii="Arial" w:cs="Arial" w:eastAsia="Arial" w:hAnsi="Arial"/>
          <w:sz w:val="15"/>
          <w:szCs w:val="15"/>
          <w:color w:val="auto"/>
        </w:rPr>
      </w:pPr>
    </w:p>
    <w:p>
      <w:pPr>
        <w:ind w:right="200" w:firstLine="619"/>
        <w:spacing w:after="0" w:line="260" w:lineRule="auto"/>
        <w:tabs>
          <w:tab w:leader="none" w:pos="986"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Merger or Consolidation. </w:t>
      </w:r>
      <w:r>
        <w:rPr>
          <w:rFonts w:ascii="Arial" w:cs="Arial" w:eastAsia="Arial" w:hAnsi="Arial"/>
          <w:sz w:val="17"/>
          <w:szCs w:val="17"/>
          <w:color w:val="auto"/>
        </w:rPr>
        <w:t>The Company merges or consolidates with any other corporation, other than a merger or consolidation resulting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voting 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spacing w:after="0" w:line="179" w:lineRule="exact"/>
        <w:rPr>
          <w:rFonts w:ascii="Arial" w:cs="Arial" w:eastAsia="Arial" w:hAnsi="Arial"/>
          <w:sz w:val="17"/>
          <w:szCs w:val="17"/>
          <w:color w:val="auto"/>
        </w:rPr>
      </w:pPr>
    </w:p>
    <w:p>
      <w:pPr>
        <w:ind w:right="200" w:firstLine="619"/>
        <w:spacing w:after="0" w:line="264" w:lineRule="auto"/>
        <w:tabs>
          <w:tab w:leader="none" w:pos="977"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Change in Majority of Board. </w:t>
      </w:r>
      <w:r>
        <w:rPr>
          <w:rFonts w:ascii="Arial" w:cs="Arial" w:eastAsia="Arial" w:hAnsi="Arial"/>
          <w:sz w:val="17"/>
          <w:szCs w:val="17"/>
          <w:color w:val="auto"/>
        </w:rPr>
        <w:t>Continuing Directors cease to represent a majority of the Board, where “Continuing Directors” shall mean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the Board immediately after the Effective Date , and any other director whose appointment, election or nomination for election by the stockholders is approved by at least a majority of the Continuing Directors at such time; or</w:t>
      </w:r>
    </w:p>
    <w:p>
      <w:pPr>
        <w:spacing w:after="0" w:line="176" w:lineRule="exact"/>
        <w:rPr>
          <w:rFonts w:ascii="Arial" w:cs="Arial" w:eastAsia="Arial" w:hAnsi="Arial"/>
          <w:sz w:val="17"/>
          <w:szCs w:val="17"/>
          <w:color w:val="auto"/>
        </w:rPr>
      </w:pPr>
    </w:p>
    <w:p>
      <w:pPr>
        <w:ind w:right="160" w:firstLine="619"/>
        <w:spacing w:after="0" w:line="277" w:lineRule="auto"/>
        <w:tabs>
          <w:tab w:leader="none" w:pos="986"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Sale, Liquidation or Other Disposition. </w:t>
      </w:r>
      <w:r>
        <w:rPr>
          <w:rFonts w:ascii="Arial" w:cs="Arial" w:eastAsia="Arial" w:hAnsi="Arial"/>
          <w:sz w:val="17"/>
          <w:szCs w:val="17"/>
          <w:color w:val="auto"/>
        </w:rPr>
        <w:t>The stockholders of the Company approve a plan of complete liquidation of the Company or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sells or disposes of all or substantially all of its assets.</w:t>
      </w:r>
    </w:p>
    <w:p>
      <w:pPr>
        <w:spacing w:after="0" w:line="165" w:lineRule="exact"/>
        <w:rPr>
          <w:sz w:val="20"/>
          <w:szCs w:val="20"/>
          <w:color w:val="auto"/>
        </w:rPr>
      </w:pPr>
    </w:p>
    <w:p>
      <w:pPr>
        <w:ind w:right="120" w:firstLine="616"/>
        <w:spacing w:after="0" w:line="264" w:lineRule="auto"/>
        <w:rPr>
          <w:sz w:val="20"/>
          <w:szCs w:val="20"/>
          <w:color w:val="auto"/>
        </w:rPr>
      </w:pPr>
      <w:r>
        <w:rPr>
          <w:rFonts w:ascii="Arial" w:cs="Arial" w:eastAsia="Arial" w:hAnsi="Arial"/>
          <w:sz w:val="17"/>
          <w:szCs w:val="17"/>
          <w:color w:val="auto"/>
        </w:rPr>
        <w:t>Notwithstanding the foregoing provisions of Article 12.3, with respect to any Award that is subject to Code Section 409A, in order to be treated as a Change in Control, any event described in this Article 12.3 also must qualify as a “change in control event” within the meaning of Code Section 409A(a)(2)(A)(v) and the regulations thereunder to the extent required for compliance with Code Section 409A.</w:t>
      </w:r>
    </w:p>
    <w:p>
      <w:pPr>
        <w:spacing w:after="0" w:line="170" w:lineRule="exact"/>
        <w:rPr>
          <w:sz w:val="20"/>
          <w:szCs w:val="20"/>
          <w:color w:val="auto"/>
        </w:rPr>
      </w:pPr>
    </w:p>
    <w:p>
      <w:pPr>
        <w:ind w:right="40" w:firstLine="616"/>
        <w:spacing w:after="0" w:line="260" w:lineRule="auto"/>
        <w:rPr>
          <w:sz w:val="20"/>
          <w:szCs w:val="20"/>
          <w:color w:val="auto"/>
        </w:rPr>
      </w:pPr>
      <w:r>
        <w:rPr>
          <w:rFonts w:ascii="Arial" w:cs="Arial" w:eastAsia="Arial" w:hAnsi="Arial"/>
          <w:sz w:val="17"/>
          <w:szCs w:val="17"/>
          <w:b w:val="1"/>
          <w:bCs w:val="1"/>
          <w:color w:val="auto"/>
        </w:rPr>
        <w:t xml:space="preserve">12.4 Section 280G Cut-back in Benefits. </w:t>
      </w:r>
      <w:r>
        <w:rPr>
          <w:rFonts w:ascii="Arial" w:cs="Arial" w:eastAsia="Arial" w:hAnsi="Arial"/>
          <w:sz w:val="17"/>
          <w:szCs w:val="17"/>
          <w:color w:val="auto"/>
        </w:rPr>
        <w:t>Notwithstanding the other provisions of this Plan, unless otherwise specifically provided by the Committee in</w:t>
      </w:r>
      <w:r>
        <w:rPr>
          <w:rFonts w:ascii="Arial" w:cs="Arial" w:eastAsia="Arial" w:hAnsi="Arial"/>
          <w:sz w:val="17"/>
          <w:szCs w:val="17"/>
          <w:b w:val="1"/>
          <w:bCs w:val="1"/>
          <w:color w:val="auto"/>
        </w:rPr>
        <w:t xml:space="preserve"> </w:t>
      </w:r>
      <w:r>
        <w:rPr>
          <w:rFonts w:ascii="Arial" w:cs="Arial" w:eastAsia="Arial" w:hAnsi="Arial"/>
          <w:sz w:val="17"/>
          <w:szCs w:val="17"/>
          <w:color w:val="auto"/>
        </w:rPr>
        <w:t>an Award Agreement, in the event that the amount of payments or other benefits payable to any Participant under this Plan, together with any payments or benefits payable under any other plan, program, arrangement or agreement maintained by the Company or one of its affiliates, would constitute an “excess parachute payment” (within the meaning of Section 280G or the Code), the payments under this Plan shall be reduced in a manner determined by the Company (by the minimum possible amounts) until no amount payable to the Participant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7"/>
          <w:szCs w:val="17"/>
          <w:color w:val="auto"/>
        </w:rPr>
        <w:t>constitutes an “excess parachute payment” (within the meaning of Section 280G of the Code). All determinations required to be made under this Article 12.4, including whether a payment would result in an “excess parachute payment” and the assumptions utilized in arriving at such determination, shall be made by a registered public accounting firm selected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13 Rights of Participants</w:t>
      </w:r>
    </w:p>
    <w:p>
      <w:pPr>
        <w:spacing w:after="0" w:line="215" w:lineRule="exact"/>
        <w:rPr>
          <w:sz w:val="20"/>
          <w:szCs w:val="20"/>
          <w:color w:val="auto"/>
        </w:rPr>
      </w:pPr>
    </w:p>
    <w:p>
      <w:pPr>
        <w:ind w:right="520" w:firstLine="616"/>
        <w:spacing w:after="0" w:line="318" w:lineRule="auto"/>
        <w:rPr>
          <w:sz w:val="20"/>
          <w:szCs w:val="20"/>
          <w:color w:val="auto"/>
        </w:rPr>
      </w:pPr>
      <w:r>
        <w:rPr>
          <w:rFonts w:ascii="Arial" w:cs="Arial" w:eastAsia="Arial" w:hAnsi="Arial"/>
          <w:sz w:val="16"/>
          <w:szCs w:val="16"/>
          <w:b w:val="1"/>
          <w:bCs w:val="1"/>
          <w:color w:val="auto"/>
        </w:rPr>
        <w:t xml:space="preserve">13.1 Employment or Service. </w:t>
      </w:r>
      <w:r>
        <w:rPr>
          <w:rFonts w:ascii="Arial" w:cs="Arial" w:eastAsia="Arial" w:hAnsi="Arial"/>
          <w:sz w:val="16"/>
          <w:szCs w:val="16"/>
          <w:color w:val="auto"/>
        </w:rPr>
        <w:t>Nothing in the Plan shall interfere with or limit in any way the right of the Company to terminate any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or service at any time, nor confer upon any Participant any right to continue in the employ or service of the Company.</w:t>
      </w:r>
    </w:p>
    <w:p>
      <w:pPr>
        <w:spacing w:after="0" w:line="128" w:lineRule="exact"/>
        <w:rPr>
          <w:sz w:val="20"/>
          <w:szCs w:val="20"/>
          <w:color w:val="auto"/>
        </w:rPr>
      </w:pPr>
    </w:p>
    <w:p>
      <w:pPr>
        <w:ind w:right="240" w:firstLine="616"/>
        <w:spacing w:after="0" w:line="285" w:lineRule="auto"/>
        <w:rPr>
          <w:sz w:val="20"/>
          <w:szCs w:val="20"/>
          <w:color w:val="auto"/>
        </w:rPr>
      </w:pPr>
      <w:r>
        <w:rPr>
          <w:rFonts w:ascii="Arial" w:cs="Arial" w:eastAsia="Arial" w:hAnsi="Arial"/>
          <w:sz w:val="17"/>
          <w:szCs w:val="17"/>
          <w:b w:val="1"/>
          <w:bCs w:val="1"/>
          <w:color w:val="auto"/>
        </w:rPr>
        <w:t xml:space="preserve">13.2 Participation. </w:t>
      </w:r>
      <w:r>
        <w:rPr>
          <w:rFonts w:ascii="Arial" w:cs="Arial" w:eastAsia="Arial" w:hAnsi="Arial"/>
          <w:sz w:val="17"/>
          <w:szCs w:val="17"/>
          <w:color w:val="auto"/>
        </w:rPr>
        <w:t>No Employee shall have the right to be selected to receive an Award under this Plan, or, having been so selected, to be selected to</w:t>
      </w:r>
      <w:r>
        <w:rPr>
          <w:rFonts w:ascii="Arial" w:cs="Arial" w:eastAsia="Arial" w:hAnsi="Arial"/>
          <w:sz w:val="17"/>
          <w:szCs w:val="17"/>
          <w:b w:val="1"/>
          <w:bCs w:val="1"/>
          <w:color w:val="auto"/>
        </w:rPr>
        <w:t xml:space="preserve"> </w:t>
      </w:r>
      <w:r>
        <w:rPr>
          <w:rFonts w:ascii="Arial" w:cs="Arial" w:eastAsia="Arial" w:hAnsi="Arial"/>
          <w:sz w:val="17"/>
          <w:szCs w:val="17"/>
          <w:color w:val="auto"/>
        </w:rPr>
        <w:t>receive a future Award.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14 Amendment, Modification, and Termination</w:t>
      </w:r>
    </w:p>
    <w:p>
      <w:pPr>
        <w:spacing w:after="0" w:line="215" w:lineRule="exact"/>
        <w:rPr>
          <w:sz w:val="20"/>
          <w:szCs w:val="20"/>
          <w:color w:val="auto"/>
        </w:rPr>
      </w:pPr>
    </w:p>
    <w:p>
      <w:pPr>
        <w:ind w:right="120" w:firstLine="616"/>
        <w:spacing w:after="0" w:line="263" w:lineRule="auto"/>
        <w:rPr>
          <w:sz w:val="20"/>
          <w:szCs w:val="20"/>
          <w:color w:val="auto"/>
        </w:rPr>
      </w:pPr>
      <w:r>
        <w:rPr>
          <w:rFonts w:ascii="Arial" w:cs="Arial" w:eastAsia="Arial" w:hAnsi="Arial"/>
          <w:sz w:val="17"/>
          <w:szCs w:val="17"/>
          <w:b w:val="1"/>
          <w:bCs w:val="1"/>
          <w:color w:val="auto"/>
        </w:rPr>
        <w:t xml:space="preserve">14.1 Amendment, Modification, and Termination. </w:t>
      </w:r>
      <w:r>
        <w:rPr>
          <w:rFonts w:ascii="Arial" w:cs="Arial" w:eastAsia="Arial" w:hAnsi="Arial"/>
          <w:sz w:val="17"/>
          <w:szCs w:val="17"/>
          <w:color w:val="auto"/>
        </w:rPr>
        <w:t>The Board may at any time and from time to time, alter, amend, suspend or terminate the Plan in</w:t>
      </w:r>
      <w:r>
        <w:rPr>
          <w:rFonts w:ascii="Arial" w:cs="Arial" w:eastAsia="Arial" w:hAnsi="Arial"/>
          <w:sz w:val="17"/>
          <w:szCs w:val="17"/>
          <w:b w:val="1"/>
          <w:bCs w:val="1"/>
          <w:color w:val="auto"/>
        </w:rPr>
        <w:t xml:space="preserve"> </w:t>
      </w:r>
      <w:r>
        <w:rPr>
          <w:rFonts w:ascii="Arial" w:cs="Arial" w:eastAsia="Arial" w:hAnsi="Arial"/>
          <w:sz w:val="17"/>
          <w:szCs w:val="17"/>
          <w:color w:val="auto"/>
        </w:rPr>
        <w:t>whole or in part; provided, however, that the Board may, in its sole discretion, condition the adoption of any amendment of the Plan on the approval thereof by the requisite vote of the shareholders of the Company entitled to vote thereon. The Board shall condition the adoption of an amendment on such a shareholder vote to the</w:t>
      </w:r>
    </w:p>
    <w:p>
      <w:pPr>
        <w:spacing w:after="0" w:line="176" w:lineRule="exact"/>
        <w:rPr>
          <w:sz w:val="20"/>
          <w:szCs w:val="20"/>
          <w:color w:val="auto"/>
        </w:rPr>
      </w:pPr>
    </w:p>
    <w:p>
      <w:pPr>
        <w:ind w:right="460"/>
        <w:spacing w:after="0" w:line="277" w:lineRule="auto"/>
        <w:rPr>
          <w:sz w:val="20"/>
          <w:szCs w:val="20"/>
          <w:color w:val="auto"/>
        </w:rPr>
      </w:pPr>
      <w:r>
        <w:rPr>
          <w:rFonts w:ascii="Arial" w:cs="Arial" w:eastAsia="Arial" w:hAnsi="Arial"/>
          <w:sz w:val="17"/>
          <w:szCs w:val="17"/>
          <w:color w:val="auto"/>
        </w:rPr>
        <w:t>extent required by applicable law or the requirements of the principal securities exchange or market on which the Shares are then traded, or to the extent such amendment would diminish the protections afforded by Article 14.3.</w:t>
      </w:r>
    </w:p>
    <w:p>
      <w:pPr>
        <w:spacing w:after="0" w:line="159" w:lineRule="exact"/>
        <w:rPr>
          <w:sz w:val="20"/>
          <w:szCs w:val="20"/>
          <w:color w:val="auto"/>
        </w:rPr>
      </w:pPr>
    </w:p>
    <w:p>
      <w:pPr>
        <w:ind w:right="80" w:firstLine="616"/>
        <w:spacing w:after="0" w:line="260" w:lineRule="auto"/>
        <w:rPr>
          <w:sz w:val="20"/>
          <w:szCs w:val="20"/>
          <w:color w:val="auto"/>
        </w:rPr>
      </w:pPr>
      <w:r>
        <w:rPr>
          <w:rFonts w:ascii="Arial" w:cs="Arial" w:eastAsia="Arial" w:hAnsi="Arial"/>
          <w:sz w:val="17"/>
          <w:szCs w:val="17"/>
          <w:b w:val="1"/>
          <w:bCs w:val="1"/>
          <w:color w:val="auto"/>
        </w:rPr>
        <w:t xml:space="preserve">14.2 Adjustment of Awards upon the Occurrence of Certain Unusual or Nonrecurring Events. </w:t>
      </w:r>
      <w:r>
        <w:rPr>
          <w:rFonts w:ascii="Arial" w:cs="Arial" w:eastAsia="Arial" w:hAnsi="Arial"/>
          <w:sz w:val="17"/>
          <w:szCs w:val="17"/>
          <w:color w:val="auto"/>
        </w:rPr>
        <w:t>The Committee may make adjustments in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and conditions of, and the criteria included in, Awards in recognition of unusual or nonrecurring events (including, without limitation, the events described in Article 4.2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73"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14.3</w:t>
      </w:r>
      <w:r>
        <w:rPr>
          <w:sz w:val="20"/>
          <w:szCs w:val="20"/>
          <w:color w:val="auto"/>
        </w:rPr>
        <w:tab/>
      </w:r>
      <w:r>
        <w:rPr>
          <w:rFonts w:ascii="Arial" w:cs="Arial" w:eastAsia="Arial" w:hAnsi="Arial"/>
          <w:sz w:val="15"/>
          <w:szCs w:val="15"/>
          <w:b w:val="1"/>
          <w:bCs w:val="1"/>
          <w:color w:val="auto"/>
        </w:rPr>
        <w:t>Awards Previously Granted; No Repricing or Cash Buyouts of Options or SARs.</w:t>
      </w:r>
    </w:p>
    <w:p>
      <w:pPr>
        <w:spacing w:after="0" w:line="215" w:lineRule="exact"/>
        <w:rPr>
          <w:sz w:val="20"/>
          <w:szCs w:val="20"/>
          <w:color w:val="auto"/>
        </w:rPr>
      </w:pPr>
    </w:p>
    <w:p>
      <w:pPr>
        <w:ind w:firstLine="619"/>
        <w:spacing w:after="0" w:line="280" w:lineRule="auto"/>
        <w:tabs>
          <w:tab w:leader="none" w:pos="977"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Awards Previously Granted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termination, amendment, or modification of the Plan or any Award shall adversely affect in any material way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previously granted under the Plan, without the written consent of the Participant holding such Award; provided that Participant consent shall not be required for the termination, amendment or modification of an Award pursuant to the provisions of Article 4.2 or Article 12 or the termination, amendment or modification of an Award to the extent deemed necessary to comply with any applicable law, the listing requirements of any principal securities exchange or market on which the Shares are then traded, or to preserve favorable accounting or tax treatment of any Award for the Company.</w:t>
      </w:r>
    </w:p>
    <w:p>
      <w:pPr>
        <w:spacing w:after="0" w:line="164" w:lineRule="exact"/>
        <w:rPr>
          <w:rFonts w:ascii="Arial" w:cs="Arial" w:eastAsia="Arial" w:hAnsi="Arial"/>
          <w:sz w:val="16"/>
          <w:szCs w:val="16"/>
          <w:color w:val="auto"/>
        </w:rPr>
      </w:pPr>
    </w:p>
    <w:p>
      <w:pPr>
        <w:jc w:val="both"/>
        <w:ind w:right="40" w:firstLine="619"/>
        <w:spacing w:after="0" w:line="260" w:lineRule="auto"/>
        <w:tabs>
          <w:tab w:leader="none" w:pos="986"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Repricing and Cash Buyouts Prohibited</w:t>
      </w:r>
      <w:r>
        <w:rPr>
          <w:rFonts w:ascii="Arial" w:cs="Arial" w:eastAsia="Arial" w:hAnsi="Arial"/>
          <w:sz w:val="17"/>
          <w:szCs w:val="17"/>
          <w:color w:val="auto"/>
        </w:rPr>
        <w:t>. Except as provided under Article 14.2, an outstanding SAR or Option may not be (i) amended to reduce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Exercise Price, (ii) cancelled in exchange for the re-grant of a SAR or Option with a reduced Exercise Price, nor (iii) except in the case of SARs or Options with an Exercise Price above the then-current Share price, cancelled in exchange for other Awards or for a payment made in cash or Shares, unless approved by shareholders.</w:t>
      </w:r>
    </w:p>
    <w:p>
      <w:pPr>
        <w:spacing w:after="0" w:line="174" w:lineRule="exact"/>
        <w:rPr>
          <w:sz w:val="20"/>
          <w:szCs w:val="20"/>
          <w:color w:val="auto"/>
        </w:rPr>
      </w:pPr>
    </w:p>
    <w:p>
      <w:pPr>
        <w:ind w:right="40" w:firstLine="616"/>
        <w:spacing w:after="0" w:line="285" w:lineRule="auto"/>
        <w:rPr>
          <w:sz w:val="20"/>
          <w:szCs w:val="20"/>
          <w:color w:val="auto"/>
        </w:rPr>
      </w:pPr>
      <w:r>
        <w:rPr>
          <w:rFonts w:ascii="Arial" w:cs="Arial" w:eastAsia="Arial" w:hAnsi="Arial"/>
          <w:sz w:val="17"/>
          <w:szCs w:val="17"/>
          <w:b w:val="1"/>
          <w:bCs w:val="1"/>
          <w:color w:val="auto"/>
        </w:rPr>
        <w:t xml:space="preserve">14.4 Substitution of Awards in Mergers and Acquisitions. </w:t>
      </w:r>
      <w:r>
        <w:rPr>
          <w:rFonts w:ascii="Arial" w:cs="Arial" w:eastAsia="Arial" w:hAnsi="Arial"/>
          <w:sz w:val="17"/>
          <w:szCs w:val="17"/>
          <w:color w:val="auto"/>
        </w:rPr>
        <w:t>Awards may be granted under the Plan from time to time in substitution for awards held by</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or directors of entities who become or are about to become employees or</w:t>
      </w:r>
    </w:p>
    <w:p>
      <w:pPr>
        <w:spacing w:after="0" w:line="15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directors of the Company or a Subsidiary as the result of a merger, consolidation or other acquisition of the employing entity or the acquisition by the Company or a Subsidiary of the assets or stock of the employing entity, and such Awards shall not deplete the number of Shares reserved under Article 4.1. The terms and conditions of any substitute awards so granted may vary from the terms and conditions set forth hereof to the extent that the Committee deems appropriate at the time of grant to conform the substitute awards to the provisions of the awards for which they are substituted.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15 Withholding</w:t>
      </w:r>
    </w:p>
    <w:p>
      <w:pPr>
        <w:spacing w:after="0" w:line="215" w:lineRule="exact"/>
        <w:rPr>
          <w:sz w:val="20"/>
          <w:szCs w:val="20"/>
          <w:color w:val="auto"/>
        </w:rPr>
      </w:pPr>
    </w:p>
    <w:p>
      <w:pPr>
        <w:ind w:right="280" w:firstLine="616"/>
        <w:spacing w:after="0" w:line="268" w:lineRule="auto"/>
        <w:rPr>
          <w:sz w:val="20"/>
          <w:szCs w:val="20"/>
          <w:color w:val="auto"/>
        </w:rPr>
      </w:pPr>
      <w:r>
        <w:rPr>
          <w:rFonts w:ascii="Arial" w:cs="Arial" w:eastAsia="Arial" w:hAnsi="Arial"/>
          <w:sz w:val="17"/>
          <w:szCs w:val="17"/>
          <w:b w:val="1"/>
          <w:bCs w:val="1"/>
          <w:color w:val="auto"/>
        </w:rPr>
        <w:t xml:space="preserve">15.1 Tax Withholding. </w:t>
      </w:r>
      <w:r>
        <w:rPr>
          <w:rFonts w:ascii="Arial" w:cs="Arial" w:eastAsia="Arial" w:hAnsi="Arial"/>
          <w:sz w:val="17"/>
          <w:szCs w:val="17"/>
          <w:color w:val="auto"/>
        </w:rPr>
        <w:t>The Company shall have the power and the right to deduct from any amount otherwise due to the Participant, or withhold, or</w:t>
      </w:r>
      <w:r>
        <w:rPr>
          <w:rFonts w:ascii="Arial" w:cs="Arial" w:eastAsia="Arial" w:hAnsi="Arial"/>
          <w:sz w:val="17"/>
          <w:szCs w:val="17"/>
          <w:b w:val="1"/>
          <w:bCs w:val="1"/>
          <w:color w:val="auto"/>
        </w:rPr>
        <w:t xml:space="preserve"> </w:t>
      </w:r>
      <w:r>
        <w:rPr>
          <w:rFonts w:ascii="Arial" w:cs="Arial" w:eastAsia="Arial" w:hAnsi="Arial"/>
          <w:sz w:val="17"/>
          <w:szCs w:val="17"/>
          <w:color w:val="auto"/>
        </w:rPr>
        <w:t>require a Participant to remit to the Company, an amount sufficient to satisfy Federal, state, and local income, employment or other related taxes, domestic or foreign, required by law or regulation to be withheld with respect to any taxable event arising as a result of this Plan.</w:t>
      </w:r>
    </w:p>
    <w:p>
      <w:pPr>
        <w:spacing w:after="0" w:line="167" w:lineRule="exact"/>
        <w:rPr>
          <w:sz w:val="20"/>
          <w:szCs w:val="20"/>
          <w:color w:val="auto"/>
        </w:rPr>
      </w:pPr>
    </w:p>
    <w:p>
      <w:pPr>
        <w:jc w:val="both"/>
        <w:ind w:right="80" w:firstLine="616"/>
        <w:spacing w:after="0" w:line="263" w:lineRule="auto"/>
        <w:rPr>
          <w:sz w:val="20"/>
          <w:szCs w:val="20"/>
          <w:color w:val="auto"/>
        </w:rPr>
      </w:pPr>
      <w:r>
        <w:rPr>
          <w:rFonts w:ascii="Arial" w:cs="Arial" w:eastAsia="Arial" w:hAnsi="Arial"/>
          <w:sz w:val="17"/>
          <w:szCs w:val="17"/>
          <w:b w:val="1"/>
          <w:bCs w:val="1"/>
          <w:color w:val="auto"/>
        </w:rPr>
        <w:t xml:space="preserve">15.2 Share Withholding. </w:t>
      </w:r>
      <w:r>
        <w:rPr>
          <w:rFonts w:ascii="Arial" w:cs="Arial" w:eastAsia="Arial" w:hAnsi="Arial"/>
          <w:sz w:val="17"/>
          <w:szCs w:val="17"/>
          <w:color w:val="auto"/>
        </w:rPr>
        <w:t>With respect to withholding required in connection with any Award, the Company may require, or the Committee may permit</w:t>
      </w:r>
      <w:r>
        <w:rPr>
          <w:rFonts w:ascii="Arial" w:cs="Arial" w:eastAsia="Arial" w:hAnsi="Arial"/>
          <w:sz w:val="17"/>
          <w:szCs w:val="17"/>
          <w:b w:val="1"/>
          <w:bCs w:val="1"/>
          <w:color w:val="auto"/>
        </w:rPr>
        <w:t xml:space="preserve"> </w:t>
      </w:r>
      <w:r>
        <w:rPr>
          <w:rFonts w:ascii="Arial" w:cs="Arial" w:eastAsia="Arial" w:hAnsi="Arial"/>
          <w:sz w:val="17"/>
          <w:szCs w:val="17"/>
          <w:color w:val="auto"/>
        </w:rPr>
        <w:t>a Participant to elect, that the withholding requirement be satisfied, in whole or in part, by having the Company withhold Shares having a Fair Market Value on the date the tax is to be determined up to the maximum statutory total tax which could be withheld on the transaction. Any election by a Participant shall be subject to any restrictions or limitations that the Committee, in its sole discretion, deems appropriate.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16 Indemnification</w:t>
      </w:r>
    </w:p>
    <w:p>
      <w:pPr>
        <w:spacing w:after="0" w:line="221" w:lineRule="exact"/>
        <w:rPr>
          <w:sz w:val="20"/>
          <w:szCs w:val="20"/>
          <w:color w:val="auto"/>
        </w:rPr>
      </w:pPr>
    </w:p>
    <w:p>
      <w:pPr>
        <w:ind w:right="20" w:firstLine="616"/>
        <w:spacing w:after="0" w:line="294" w:lineRule="auto"/>
        <w:rPr>
          <w:sz w:val="20"/>
          <w:szCs w:val="20"/>
          <w:color w:val="auto"/>
        </w:rPr>
      </w:pPr>
      <w:r>
        <w:rPr>
          <w:rFonts w:ascii="Arial" w:cs="Arial" w:eastAsia="Arial" w:hAnsi="Arial"/>
          <w:sz w:val="15"/>
          <w:szCs w:val="15"/>
          <w:color w:val="auto"/>
        </w:rPr>
        <w:t>Except as prohibited by law, 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other than by willful misconduct,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17 Code Section 409A</w:t>
      </w:r>
    </w:p>
    <w:p>
      <w:pPr>
        <w:spacing w:after="0" w:line="215" w:lineRule="exact"/>
        <w:rPr>
          <w:sz w:val="20"/>
          <w:szCs w:val="20"/>
          <w:color w:val="auto"/>
        </w:rPr>
      </w:pPr>
    </w:p>
    <w:p>
      <w:pPr>
        <w:ind w:right="160" w:firstLine="616"/>
        <w:spacing w:after="0" w:line="284" w:lineRule="auto"/>
        <w:rPr>
          <w:sz w:val="20"/>
          <w:szCs w:val="20"/>
          <w:color w:val="auto"/>
        </w:rPr>
      </w:pPr>
      <w:r>
        <w:rPr>
          <w:rFonts w:ascii="Arial" w:cs="Arial" w:eastAsia="Arial" w:hAnsi="Arial"/>
          <w:sz w:val="16"/>
          <w:szCs w:val="16"/>
          <w:b w:val="1"/>
          <w:bCs w:val="1"/>
          <w:color w:val="auto"/>
        </w:rPr>
        <w:t xml:space="preserve">17.1 General. </w:t>
      </w:r>
      <w:r>
        <w:rPr>
          <w:rFonts w:ascii="Arial" w:cs="Arial" w:eastAsia="Arial" w:hAnsi="Arial"/>
          <w:sz w:val="16"/>
          <w:szCs w:val="16"/>
          <w:color w:val="auto"/>
        </w:rPr>
        <w:t>To the extent that Code Section 409A may apply to any Awards under the Plan, it is intended that the terms of the Plan and such Awards</w:t>
      </w:r>
      <w:r>
        <w:rPr>
          <w:rFonts w:ascii="Arial" w:cs="Arial" w:eastAsia="Arial" w:hAnsi="Arial"/>
          <w:sz w:val="16"/>
          <w:szCs w:val="16"/>
          <w:b w:val="1"/>
          <w:bCs w:val="1"/>
          <w:color w:val="auto"/>
        </w:rPr>
        <w:t xml:space="preserve"> </w:t>
      </w:r>
      <w:r>
        <w:rPr>
          <w:rFonts w:ascii="Arial" w:cs="Arial" w:eastAsia="Arial" w:hAnsi="Arial"/>
          <w:sz w:val="16"/>
          <w:szCs w:val="16"/>
          <w:color w:val="auto"/>
        </w:rPr>
        <w:t>meet the applicable requirements of Code Section 409A so that a Participant is not taxed under Code Section 409A with respect to such Awards until such time as Shares or other amounts are distributed to the Participant in accordance with the Plan’s and the Awards’ terms. For this purpose, the Plan and the Awards will be administered and interpreted to comply with Code Section 409A and any applicable Treasury or IRS guidance.</w:t>
      </w:r>
    </w:p>
    <w:p>
      <w:pPr>
        <w:spacing w:after="0" w:line="156" w:lineRule="exact"/>
        <w:rPr>
          <w:sz w:val="20"/>
          <w:szCs w:val="20"/>
          <w:color w:val="auto"/>
        </w:rPr>
      </w:pPr>
    </w:p>
    <w:p>
      <w:pPr>
        <w:ind w:firstLine="616"/>
        <w:spacing w:after="0" w:line="256" w:lineRule="auto"/>
        <w:rPr>
          <w:sz w:val="20"/>
          <w:szCs w:val="20"/>
          <w:color w:val="auto"/>
        </w:rPr>
      </w:pPr>
      <w:r>
        <w:rPr>
          <w:rFonts w:ascii="Arial" w:cs="Arial" w:eastAsia="Arial" w:hAnsi="Arial"/>
          <w:sz w:val="17"/>
          <w:szCs w:val="17"/>
          <w:b w:val="1"/>
          <w:bCs w:val="1"/>
          <w:color w:val="auto"/>
        </w:rPr>
        <w:t xml:space="preserve">17.2 Delay for Specified Employees. </w:t>
      </w:r>
      <w:r>
        <w:rPr>
          <w:rFonts w:ascii="Arial" w:cs="Arial" w:eastAsia="Arial" w:hAnsi="Arial"/>
          <w:sz w:val="17"/>
          <w:szCs w:val="17"/>
          <w:color w:val="auto"/>
        </w:rPr>
        <w:t>To the extent that any Awards under the Plan may be subject to Code Section 409A(a)(2)(B)(i), distributions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or other amounts pursuant to such Awards on account of a termination of employment of a Participant who is a Specified Employee (as defined as follows) shall be made or commence not before the date which is six (6) months following the termination of employment, except in the event of the Participant’s death. Any distribution that is delayed under this Article 17.2 shall be distributed on the first day of the seventh month following the Specified Employee’s termination of employment (without affecting the timing of any subsequent installment that is not within the six-month period following termination of employment). For this purpose, a Specified Employee is a person described under Treasury Regulation section 1.409A-1(i), applying the default rules thereunder, except that the definition of compensation for purposes of identifying Specified Employees is the safe harbor definition of compensation set forth under Treasury Regulation section 1.415(c)- 2(d)(4).</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18 Successors</w:t>
      </w:r>
    </w:p>
    <w:p>
      <w:pPr>
        <w:spacing w:after="0" w:line="221" w:lineRule="exact"/>
        <w:rPr>
          <w:sz w:val="20"/>
          <w:szCs w:val="20"/>
          <w:color w:val="auto"/>
        </w:rPr>
      </w:pPr>
    </w:p>
    <w:p>
      <w:pPr>
        <w:ind w:right="180" w:firstLine="616"/>
        <w:spacing w:after="0" w:line="264" w:lineRule="auto"/>
        <w:rPr>
          <w:sz w:val="20"/>
          <w:szCs w:val="20"/>
          <w:color w:val="auto"/>
        </w:rPr>
      </w:pPr>
      <w:r>
        <w:rPr>
          <w:rFonts w:ascii="Arial" w:cs="Arial" w:eastAsia="Arial" w:hAnsi="Arial"/>
          <w:sz w:val="17"/>
          <w:szCs w:val="17"/>
          <w:color w:val="auto"/>
        </w:rPr>
        <w:t>All obligations of the Company under the Plan with respect to Awards granted hereunder shall be binding on any successor to the Company, whether the existence of such successor is the result of a direct or indirect purchase, of all or substantially all of the business and/or assets of the Company, or a merger, consolidation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19 Legal Construction; Miscellaneous</w:t>
      </w:r>
    </w:p>
    <w:p>
      <w:pPr>
        <w:spacing w:after="0" w:line="215" w:lineRule="exact"/>
        <w:rPr>
          <w:sz w:val="20"/>
          <w:szCs w:val="20"/>
          <w:color w:val="auto"/>
        </w:rPr>
      </w:pPr>
    </w:p>
    <w:p>
      <w:pPr>
        <w:ind w:right="100" w:firstLine="616"/>
        <w:spacing w:after="0" w:line="285" w:lineRule="auto"/>
        <w:rPr>
          <w:sz w:val="20"/>
          <w:szCs w:val="20"/>
          <w:color w:val="auto"/>
        </w:rPr>
      </w:pPr>
      <w:r>
        <w:rPr>
          <w:rFonts w:ascii="Arial" w:cs="Arial" w:eastAsia="Arial" w:hAnsi="Arial"/>
          <w:sz w:val="17"/>
          <w:szCs w:val="17"/>
          <w:b w:val="1"/>
          <w:bCs w:val="1"/>
          <w:color w:val="auto"/>
        </w:rPr>
        <w:t xml:space="preserve">19.1 Gender and Number. </w:t>
      </w:r>
      <w:r>
        <w:rPr>
          <w:rFonts w:ascii="Arial" w:cs="Arial" w:eastAsia="Arial" w:hAnsi="Arial"/>
          <w:sz w:val="17"/>
          <w:szCs w:val="17"/>
          <w:color w:val="auto"/>
        </w:rPr>
        <w:t>Except where otherwise indicated by the context, any masculine term used hereof also shall include the feminine, the plural</w:t>
      </w:r>
      <w:r>
        <w:rPr>
          <w:rFonts w:ascii="Arial" w:cs="Arial" w:eastAsia="Arial" w:hAnsi="Arial"/>
          <w:sz w:val="17"/>
          <w:szCs w:val="17"/>
          <w:b w:val="1"/>
          <w:bCs w:val="1"/>
          <w:color w:val="auto"/>
        </w:rPr>
        <w:t xml:space="preserve"> </w:t>
      </w:r>
      <w:r>
        <w:rPr>
          <w:rFonts w:ascii="Arial" w:cs="Arial" w:eastAsia="Arial" w:hAnsi="Arial"/>
          <w:sz w:val="17"/>
          <w:szCs w:val="17"/>
          <w:color w:val="auto"/>
        </w:rPr>
        <w:t>shall include the singular and the singular shall include the plural.</w:t>
      </w:r>
    </w:p>
    <w:p>
      <w:pPr>
        <w:spacing w:after="0" w:line="152" w:lineRule="exact"/>
        <w:rPr>
          <w:sz w:val="20"/>
          <w:szCs w:val="20"/>
          <w:color w:val="auto"/>
        </w:rPr>
      </w:pPr>
    </w:p>
    <w:p>
      <w:pPr>
        <w:ind w:right="400" w:firstLine="616"/>
        <w:spacing w:after="0" w:line="318" w:lineRule="auto"/>
        <w:rPr>
          <w:sz w:val="20"/>
          <w:szCs w:val="20"/>
          <w:color w:val="auto"/>
        </w:rPr>
      </w:pPr>
      <w:r>
        <w:rPr>
          <w:rFonts w:ascii="Arial" w:cs="Arial" w:eastAsia="Arial" w:hAnsi="Arial"/>
          <w:sz w:val="16"/>
          <w:szCs w:val="16"/>
          <w:b w:val="1"/>
          <w:bCs w:val="1"/>
          <w:color w:val="auto"/>
        </w:rPr>
        <w:t xml:space="preserve">19.2 Severability. </w:t>
      </w:r>
      <w:r>
        <w:rPr>
          <w:rFonts w:ascii="Arial" w:cs="Arial" w:eastAsia="Arial" w:hAnsi="Arial"/>
          <w:sz w:val="16"/>
          <w:szCs w:val="16"/>
          <w:color w:val="auto"/>
        </w:rPr>
        <w:t>In the event any provision of the Plan shall be held illegal or invalid for any reason, the illegality or invalidity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provisions of the Plan, and the Plan shall be construed and enforced as if the illegal or invalid provision had not been included.</w:t>
      </w:r>
    </w:p>
    <w:p>
      <w:pPr>
        <w:spacing w:after="0" w:line="128" w:lineRule="exact"/>
        <w:rPr>
          <w:sz w:val="20"/>
          <w:szCs w:val="20"/>
          <w:color w:val="auto"/>
        </w:rPr>
      </w:pPr>
    </w:p>
    <w:p>
      <w:pPr>
        <w:ind w:right="660" w:firstLine="616"/>
        <w:spacing w:after="0" w:line="285" w:lineRule="auto"/>
        <w:rPr>
          <w:sz w:val="20"/>
          <w:szCs w:val="20"/>
          <w:color w:val="auto"/>
        </w:rPr>
      </w:pPr>
      <w:r>
        <w:rPr>
          <w:rFonts w:ascii="Arial" w:cs="Arial" w:eastAsia="Arial" w:hAnsi="Arial"/>
          <w:sz w:val="17"/>
          <w:szCs w:val="17"/>
          <w:b w:val="1"/>
          <w:bCs w:val="1"/>
          <w:color w:val="auto"/>
        </w:rPr>
        <w:t xml:space="preserve">19.3 Requirements of Law. </w:t>
      </w:r>
      <w:r>
        <w:rPr>
          <w:rFonts w:ascii="Arial" w:cs="Arial" w:eastAsia="Arial" w:hAnsi="Arial"/>
          <w:sz w:val="17"/>
          <w:szCs w:val="17"/>
          <w:color w:val="auto"/>
        </w:rPr>
        <w:t>The granting of Awards and the issuance of Shares under the Plan shall be subject to all applicable laws, rules,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and to such approvals by any governmental agencies or national securities exchanges as may be required.</w:t>
      </w:r>
    </w:p>
    <w:p>
      <w:pPr>
        <w:spacing w:after="0" w:line="152" w:lineRule="exact"/>
        <w:rPr>
          <w:sz w:val="20"/>
          <w:szCs w:val="20"/>
          <w:color w:val="auto"/>
        </w:rPr>
      </w:pPr>
    </w:p>
    <w:p>
      <w:pPr>
        <w:jc w:val="both"/>
        <w:ind w:right="180" w:firstLine="616"/>
        <w:spacing w:after="0" w:line="268" w:lineRule="auto"/>
        <w:rPr>
          <w:sz w:val="20"/>
          <w:szCs w:val="20"/>
          <w:color w:val="auto"/>
        </w:rPr>
      </w:pPr>
      <w:r>
        <w:rPr>
          <w:rFonts w:ascii="Arial" w:cs="Arial" w:eastAsia="Arial" w:hAnsi="Arial"/>
          <w:sz w:val="17"/>
          <w:szCs w:val="17"/>
          <w:b w:val="1"/>
          <w:bCs w:val="1"/>
          <w:color w:val="auto"/>
        </w:rPr>
        <w:t xml:space="preserve">19.4 Securities Law Compliance. </w:t>
      </w:r>
      <w:r>
        <w:rPr>
          <w:rFonts w:ascii="Arial" w:cs="Arial" w:eastAsia="Arial" w:hAnsi="Arial"/>
          <w:sz w:val="17"/>
          <w:szCs w:val="17"/>
          <w:color w:val="auto"/>
        </w:rPr>
        <w:t>With respect to Insiders, transactions under this Plan are intended to comply with all applicable conditions of Rule</w:t>
      </w:r>
      <w:r>
        <w:rPr>
          <w:rFonts w:ascii="Arial" w:cs="Arial" w:eastAsia="Arial" w:hAnsi="Arial"/>
          <w:sz w:val="17"/>
          <w:szCs w:val="17"/>
          <w:b w:val="1"/>
          <w:bCs w:val="1"/>
          <w:color w:val="auto"/>
        </w:rPr>
        <w:t xml:space="preserve"> </w:t>
      </w:r>
      <w:r>
        <w:rPr>
          <w:rFonts w:ascii="Arial" w:cs="Arial" w:eastAsia="Arial" w:hAnsi="Arial"/>
          <w:sz w:val="17"/>
          <w:szCs w:val="17"/>
          <w:color w:val="auto"/>
        </w:rPr>
        <w:t>16b-3 or its successors under the Exchange Act. To the extent any provision of the plan or action by the Committee fails to so comply, it shall be deemed null and void, to the extent permitted by law and deemed advisable by the Committee.</w:t>
      </w:r>
    </w:p>
    <w:p>
      <w:pPr>
        <w:spacing w:after="0" w:line="167" w:lineRule="exact"/>
        <w:rPr>
          <w:sz w:val="20"/>
          <w:szCs w:val="20"/>
          <w:color w:val="auto"/>
        </w:rPr>
      </w:pPr>
    </w:p>
    <w:p>
      <w:pPr>
        <w:ind w:right="300" w:firstLine="616"/>
        <w:spacing w:after="0" w:line="285" w:lineRule="auto"/>
        <w:rPr>
          <w:sz w:val="20"/>
          <w:szCs w:val="20"/>
          <w:color w:val="auto"/>
        </w:rPr>
      </w:pPr>
      <w:r>
        <w:rPr>
          <w:rFonts w:ascii="Arial" w:cs="Arial" w:eastAsia="Arial" w:hAnsi="Arial"/>
          <w:sz w:val="17"/>
          <w:szCs w:val="17"/>
          <w:b w:val="1"/>
          <w:bCs w:val="1"/>
          <w:color w:val="auto"/>
        </w:rPr>
        <w:t xml:space="preserve">19.5 Governing Law. </w:t>
      </w:r>
      <w:r>
        <w:rPr>
          <w:rFonts w:ascii="Arial" w:cs="Arial" w:eastAsia="Arial" w:hAnsi="Arial"/>
          <w:sz w:val="17"/>
          <w:szCs w:val="17"/>
          <w:color w:val="auto"/>
        </w:rPr>
        <w:t>To the extent not preempted by Federal law, the Plan, and all agreements hereunder, shall be construed in accordance with and</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by the laws of the State of Florida.</w:t>
      </w:r>
    </w:p>
    <w:p>
      <w:pPr>
        <w:spacing w:after="0" w:line="152" w:lineRule="exact"/>
        <w:rPr>
          <w:sz w:val="20"/>
          <w:szCs w:val="20"/>
          <w:color w:val="auto"/>
        </w:rPr>
      </w:pPr>
    </w:p>
    <w:p>
      <w:pPr>
        <w:ind w:firstLine="616"/>
        <w:spacing w:after="0" w:line="260" w:lineRule="auto"/>
        <w:rPr>
          <w:sz w:val="20"/>
          <w:szCs w:val="20"/>
          <w:color w:val="auto"/>
        </w:rPr>
      </w:pPr>
      <w:r>
        <w:rPr>
          <w:rFonts w:ascii="Arial" w:cs="Arial" w:eastAsia="Arial" w:hAnsi="Arial"/>
          <w:sz w:val="17"/>
          <w:szCs w:val="17"/>
          <w:b w:val="1"/>
          <w:bCs w:val="1"/>
          <w:color w:val="auto"/>
        </w:rPr>
        <w:t xml:space="preserve">19.6 No Guarantee of Tax Treatment. </w:t>
      </w:r>
      <w:r>
        <w:rPr>
          <w:rFonts w:ascii="Arial" w:cs="Arial" w:eastAsia="Arial" w:hAnsi="Arial"/>
          <w:sz w:val="17"/>
          <w:szCs w:val="17"/>
          <w:color w:val="auto"/>
        </w:rPr>
        <w:t>Notwithstanding any provision of the Plan, the Company does not guarantee to any Participant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person with an interest in an Award that (a) any Award intended to be exempt from Code Section 409A or Code Section 457A shall be so exempt, (b) any Award intended to comply with Code Section 409A or Code Section 422 shall so comply, (c) any Award shall otherwise receive a specific tax treatment under any other applicable tax law, nor in any such case will the Company or any affiliate indemnify, defend or hold harmless any individual with respect to the tax consequences of any Award.</w:t>
      </w:r>
    </w:p>
    <w:p>
      <w:pPr>
        <w:spacing w:after="0" w:line="173" w:lineRule="exact"/>
        <w:rPr>
          <w:sz w:val="20"/>
          <w:szCs w:val="20"/>
          <w:color w:val="auto"/>
        </w:rPr>
      </w:pPr>
    </w:p>
    <w:p>
      <w:pPr>
        <w:ind w:right="20" w:firstLine="616"/>
        <w:spacing w:after="0" w:line="320" w:lineRule="auto"/>
        <w:rPr>
          <w:sz w:val="20"/>
          <w:szCs w:val="20"/>
          <w:color w:val="auto"/>
        </w:rPr>
      </w:pPr>
      <w:r>
        <w:rPr>
          <w:rFonts w:ascii="Arial" w:cs="Arial" w:eastAsia="Arial" w:hAnsi="Arial"/>
          <w:sz w:val="15"/>
          <w:szCs w:val="15"/>
          <w:b w:val="1"/>
          <w:bCs w:val="1"/>
          <w:color w:val="auto"/>
        </w:rPr>
        <w:t xml:space="preserve">19.7 Compensation Recoupment Policies. </w:t>
      </w:r>
      <w:r>
        <w:rPr>
          <w:rFonts w:ascii="Arial" w:cs="Arial" w:eastAsia="Arial" w:hAnsi="Arial"/>
          <w:sz w:val="15"/>
          <w:szCs w:val="15"/>
          <w:color w:val="auto"/>
        </w:rPr>
        <w:t>Any Awards granted pursuant to this Plan, and any Shares issued or cash paid pursuant to an Award,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(a) any recoupment, clawback, equity holding, Share ownership or similar policies adopted by the Company from time to time and (b) any recoupment, clawback, equity holding, Share ownership or similar requirements made applicable to the Company from time to time by law, regulation or listing standards.</w:t>
      </w:r>
    </w:p>
    <w:p>
      <w:pPr>
        <w:spacing w:after="0" w:line="131"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7"/>
          <w:szCs w:val="17"/>
          <w:b w:val="1"/>
          <w:bCs w:val="1"/>
          <w:color w:val="auto"/>
        </w:rPr>
        <w:t>19.8</w:t>
      </w:r>
      <w:r>
        <w:rPr>
          <w:sz w:val="20"/>
          <w:szCs w:val="20"/>
          <w:color w:val="auto"/>
        </w:rPr>
        <w:tab/>
      </w:r>
      <w:r>
        <w:rPr>
          <w:rFonts w:ascii="Arial" w:cs="Arial" w:eastAsia="Arial" w:hAnsi="Arial"/>
          <w:sz w:val="15"/>
          <w:szCs w:val="15"/>
          <w:b w:val="1"/>
          <w:bCs w:val="1"/>
          <w:color w:val="auto"/>
        </w:rPr>
        <w:t xml:space="preserve">Limitations on Actions. </w:t>
      </w:r>
      <w:r>
        <w:rPr>
          <w:rFonts w:ascii="Arial" w:cs="Arial" w:eastAsia="Arial" w:hAnsi="Arial"/>
          <w:sz w:val="15"/>
          <w:szCs w:val="15"/>
          <w:color w:val="auto"/>
        </w:rPr>
        <w:t>Any legal action or proceeding with respect to this Plan, any Award or any award agreement, must be brought within one</w:t>
      </w:r>
    </w:p>
    <w:p>
      <w:pPr>
        <w:spacing w:after="0" w:line="27" w:lineRule="exact"/>
        <w:rPr>
          <w:sz w:val="20"/>
          <w:szCs w:val="20"/>
          <w:color w:val="auto"/>
        </w:rPr>
      </w:pPr>
    </w:p>
    <w:p>
      <w:pPr>
        <w:ind w:left="240" w:hanging="237"/>
        <w:spacing w:after="0"/>
        <w:tabs>
          <w:tab w:leader="none" w:pos="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year (365 days) after the day the complaining party first knew or should have known of the events giving rise to the complaint.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19</w:t>
      </w:r>
    </w:p>
    <w:p>
      <w:pPr>
        <w:sectPr>
          <w:pgSz w:w="11900" w:h="16838" w:orient="portrait"/>
          <w:cols w:equalWidth="0" w:num="1">
            <w:col w:w="11240"/>
          </w:cols>
          <w:pgMar w:left="320" w:top="1440"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certify that:</w:t>
      </w:r>
    </w:p>
    <w:p>
      <w:pPr>
        <w:spacing w:after="0" w:line="113" w:lineRule="exact"/>
        <w:rPr>
          <w:sz w:val="20"/>
          <w:szCs w:val="20"/>
          <w:color w:val="auto"/>
        </w:rPr>
      </w:pPr>
    </w:p>
    <w:p>
      <w:pPr>
        <w:ind w:left="620" w:hanging="617"/>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Marriott Vacations Worldwide Corporation;</w:t>
      </w:r>
    </w:p>
    <w:p>
      <w:pPr>
        <w:spacing w:after="0" w:line="112" w:lineRule="exact"/>
        <w:rPr>
          <w:rFonts w:ascii="Arial" w:cs="Arial" w:eastAsia="Arial" w:hAnsi="Arial"/>
          <w:sz w:val="17"/>
          <w:szCs w:val="17"/>
          <w:color w:val="auto"/>
        </w:rPr>
      </w:pPr>
    </w:p>
    <w:p>
      <w:pPr>
        <w:ind w:left="620" w:right="200" w:hanging="617"/>
        <w:spacing w:after="0" w:line="346" w:lineRule="auto"/>
        <w:tabs>
          <w:tab w:leader="none" w:pos="6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5"/>
          <w:szCs w:val="15"/>
          <w:color w:val="auto"/>
        </w:rPr>
      </w:pPr>
    </w:p>
    <w:p>
      <w:pPr>
        <w:ind w:left="620" w:hanging="617"/>
        <w:spacing w:after="0" w:line="277"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ind w:left="620" w:right="20" w:hanging="617"/>
        <w:spacing w:after="0" w:line="264"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7"/>
          <w:szCs w:val="17"/>
          <w:color w:val="auto"/>
        </w:rPr>
      </w:pPr>
    </w:p>
    <w:p>
      <w:pPr>
        <w:ind w:left="1240" w:right="300" w:hanging="621"/>
        <w:spacing w:after="0" w:line="264" w:lineRule="auto"/>
        <w:tabs>
          <w:tab w:leader="none" w:pos="1237"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7"/>
          <w:szCs w:val="17"/>
          <w:color w:val="auto"/>
        </w:rPr>
      </w:pPr>
    </w:p>
    <w:p>
      <w:pPr>
        <w:ind w:left="1240" w:hanging="621"/>
        <w:spacing w:after="0" w:line="264" w:lineRule="auto"/>
        <w:tabs>
          <w:tab w:leader="none" w:pos="1234"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7"/>
          <w:szCs w:val="17"/>
          <w:color w:val="auto"/>
        </w:rPr>
      </w:pPr>
    </w:p>
    <w:p>
      <w:pPr>
        <w:jc w:val="both"/>
        <w:ind w:left="1240" w:right="760" w:hanging="621"/>
        <w:spacing w:after="0" w:line="346" w:lineRule="auto"/>
        <w:tabs>
          <w:tab w:leader="none" w:pos="1237" w:val="left"/>
        </w:tabs>
        <w:numPr>
          <w:ilvl w:val="1"/>
          <w:numId w:val="5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5"/>
          <w:szCs w:val="15"/>
          <w:color w:val="auto"/>
        </w:rPr>
      </w:pPr>
    </w:p>
    <w:p>
      <w:pPr>
        <w:ind w:left="1240" w:right="20" w:hanging="621"/>
        <w:spacing w:after="0" w:line="264" w:lineRule="auto"/>
        <w:tabs>
          <w:tab w:leader="none" w:pos="1234"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7"/>
          <w:szCs w:val="17"/>
          <w:color w:val="auto"/>
        </w:rPr>
      </w:pPr>
    </w:p>
    <w:p>
      <w:pPr>
        <w:ind w:left="620" w:right="380" w:hanging="617"/>
        <w:spacing w:after="0" w:line="310" w:lineRule="auto"/>
        <w:tabs>
          <w:tab w:leader="none" w:pos="6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6"/>
          <w:szCs w:val="16"/>
          <w:color w:val="auto"/>
        </w:rPr>
      </w:pPr>
    </w:p>
    <w:p>
      <w:pPr>
        <w:ind w:left="1240" w:right="200" w:hanging="621"/>
        <w:spacing w:after="0" w:line="277" w:lineRule="auto"/>
        <w:tabs>
          <w:tab w:leader="none" w:pos="1237"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7"/>
          <w:szCs w:val="17"/>
          <w:color w:val="auto"/>
        </w:rPr>
      </w:pPr>
    </w:p>
    <w:p>
      <w:pPr>
        <w:ind w:left="1240" w:right="180" w:hanging="621"/>
        <w:spacing w:after="0" w:line="277" w:lineRule="auto"/>
        <w:tabs>
          <w:tab w:leader="none" w:pos="1234"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November 3, 2023</w:t>
      </w:r>
    </w:p>
    <w:p>
      <w:pPr>
        <w:spacing w:after="0" w:line="395"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1998345</wp:posOffset>
            </wp:positionH>
            <wp:positionV relativeFrom="paragraph">
              <wp:posOffset>30480</wp:posOffset>
            </wp:positionV>
            <wp:extent cx="32842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3284220" cy="8255"/>
                    </a:xfrm>
                    <a:prstGeom prst="rect">
                      <a:avLst/>
                    </a:prstGeom>
                    <a:noFill/>
                  </pic:spPr>
                </pic:pic>
              </a:graphicData>
            </a:graphic>
          </wp:anchor>
        </w:drawing>
      </w:r>
    </w:p>
    <w:p>
      <w:pPr>
        <w:spacing w:after="0" w:line="41"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John E. Geller, Jr.</w:t>
      </w:r>
    </w:p>
    <w:p>
      <w:pPr>
        <w:spacing w:after="0" w:line="36"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President and Chief Executive Officer</w:t>
      </w:r>
    </w:p>
    <w:p>
      <w:pPr>
        <w:spacing w:after="0" w:line="48" w:lineRule="exact"/>
        <w:rPr>
          <w:sz w:val="20"/>
          <w:szCs w:val="20"/>
          <w:color w:val="auto"/>
        </w:rPr>
      </w:pPr>
    </w:p>
    <w:p>
      <w:pPr>
        <w:ind w:left="316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99"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 Jason P. Marino, certify that:</w:t>
      </w:r>
    </w:p>
    <w:p>
      <w:pPr>
        <w:spacing w:after="0" w:line="113" w:lineRule="exact"/>
        <w:rPr>
          <w:sz w:val="20"/>
          <w:szCs w:val="20"/>
          <w:color w:val="auto"/>
        </w:rPr>
      </w:pPr>
    </w:p>
    <w:p>
      <w:pPr>
        <w:ind w:left="620" w:hanging="61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Marriott Vacations Worldwide Corporation;</w:t>
      </w:r>
    </w:p>
    <w:p>
      <w:pPr>
        <w:spacing w:after="0" w:line="112" w:lineRule="exact"/>
        <w:rPr>
          <w:rFonts w:ascii="Arial" w:cs="Arial" w:eastAsia="Arial" w:hAnsi="Arial"/>
          <w:sz w:val="17"/>
          <w:szCs w:val="17"/>
          <w:color w:val="auto"/>
        </w:rPr>
      </w:pPr>
    </w:p>
    <w:p>
      <w:pPr>
        <w:ind w:left="620" w:right="200" w:hanging="617"/>
        <w:spacing w:after="0" w:line="346" w:lineRule="auto"/>
        <w:tabs>
          <w:tab w:leader="none" w:pos="6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5"/>
          <w:szCs w:val="15"/>
          <w:color w:val="auto"/>
        </w:rPr>
      </w:pPr>
    </w:p>
    <w:p>
      <w:pPr>
        <w:ind w:left="620" w:hanging="617"/>
        <w:spacing w:after="0" w:line="277"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7"/>
          <w:szCs w:val="17"/>
          <w:color w:val="auto"/>
        </w:rPr>
      </w:pPr>
    </w:p>
    <w:p>
      <w:pPr>
        <w:ind w:left="620" w:right="20" w:hanging="617"/>
        <w:spacing w:after="0" w:line="264"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7"/>
          <w:szCs w:val="17"/>
          <w:color w:val="auto"/>
        </w:rPr>
      </w:pPr>
    </w:p>
    <w:p>
      <w:pPr>
        <w:ind w:left="1240" w:right="300" w:hanging="621"/>
        <w:spacing w:after="0" w:line="264" w:lineRule="auto"/>
        <w:tabs>
          <w:tab w:leader="none" w:pos="1237"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7"/>
          <w:szCs w:val="17"/>
          <w:color w:val="auto"/>
        </w:rPr>
      </w:pPr>
    </w:p>
    <w:p>
      <w:pPr>
        <w:ind w:left="1240" w:hanging="621"/>
        <w:spacing w:after="0" w:line="264" w:lineRule="auto"/>
        <w:tabs>
          <w:tab w:leader="none" w:pos="1234"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7"/>
          <w:szCs w:val="17"/>
          <w:color w:val="auto"/>
        </w:rPr>
      </w:pPr>
    </w:p>
    <w:p>
      <w:pPr>
        <w:jc w:val="both"/>
        <w:ind w:left="1240" w:right="760" w:hanging="621"/>
        <w:spacing w:after="0" w:line="346" w:lineRule="auto"/>
        <w:tabs>
          <w:tab w:leader="none" w:pos="1237" w:val="left"/>
        </w:tabs>
        <w:numPr>
          <w:ilvl w:val="1"/>
          <w:numId w:val="5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5"/>
          <w:szCs w:val="15"/>
          <w:color w:val="auto"/>
        </w:rPr>
      </w:pPr>
    </w:p>
    <w:p>
      <w:pPr>
        <w:ind w:left="1240" w:right="20" w:hanging="621"/>
        <w:spacing w:after="0" w:line="264" w:lineRule="auto"/>
        <w:tabs>
          <w:tab w:leader="none" w:pos="1234"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7"/>
          <w:szCs w:val="17"/>
          <w:color w:val="auto"/>
        </w:rPr>
      </w:pPr>
    </w:p>
    <w:p>
      <w:pPr>
        <w:ind w:left="620" w:right="380" w:hanging="617"/>
        <w:spacing w:after="0" w:line="310" w:lineRule="auto"/>
        <w:tabs>
          <w:tab w:leader="none" w:pos="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6"/>
          <w:szCs w:val="16"/>
          <w:color w:val="auto"/>
        </w:rPr>
      </w:pPr>
    </w:p>
    <w:p>
      <w:pPr>
        <w:ind w:left="1240" w:right="200" w:hanging="621"/>
        <w:spacing w:after="0" w:line="277" w:lineRule="auto"/>
        <w:tabs>
          <w:tab w:leader="none" w:pos="1237"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7"/>
          <w:szCs w:val="17"/>
          <w:color w:val="auto"/>
        </w:rPr>
      </w:pPr>
    </w:p>
    <w:p>
      <w:pPr>
        <w:ind w:left="1240" w:right="180" w:hanging="621"/>
        <w:spacing w:after="0" w:line="277" w:lineRule="auto"/>
        <w:tabs>
          <w:tab w:leader="none" w:pos="1234" w:val="left"/>
        </w:tabs>
        <w:numPr>
          <w:ilvl w:val="1"/>
          <w:numId w:val="5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November 3, 2023</w:t>
      </w:r>
    </w:p>
    <w:p>
      <w:pPr>
        <w:spacing w:after="0" w:line="382"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2658745</wp:posOffset>
            </wp:positionH>
            <wp:positionV relativeFrom="paragraph">
              <wp:posOffset>13970</wp:posOffset>
            </wp:positionV>
            <wp:extent cx="44824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4482465" cy="8255"/>
                    </a:xfrm>
                    <a:prstGeom prst="rect">
                      <a:avLst/>
                    </a:prstGeom>
                    <a:noFill/>
                  </pic:spPr>
                </pic:pic>
              </a:graphicData>
            </a:graphic>
          </wp:anchor>
        </w:drawing>
      </w:r>
    </w:p>
    <w:p>
      <w:pPr>
        <w:spacing w:after="0" w:line="16"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Jason P. Marino</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Executive Vice President and Chief Financial Officer</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199"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b w:val="1"/>
          <w:bCs w:val="1"/>
          <w:color w:val="auto"/>
        </w:rPr>
        <w:t>Exhibit 32.1</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President and Chief Executive Officer of Marriott Vacations Worldwide Corporation (the “Company”) certify that:</w:t>
      </w:r>
    </w:p>
    <w:p>
      <w:pPr>
        <w:spacing w:after="0" w:line="113" w:lineRule="exact"/>
        <w:rPr>
          <w:sz w:val="20"/>
          <w:szCs w:val="20"/>
          <w:color w:val="auto"/>
        </w:rPr>
      </w:pPr>
    </w:p>
    <w:p>
      <w:pPr>
        <w:ind w:left="620" w:right="800" w:hanging="617"/>
        <w:spacing w:after="0" w:line="277"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September 30, 2023 (the “Quarterly Report”), fully complies with the requirements of section 13(a) or 15(d) of the Securities Exchange Act of 1934 (15 U.S.C. 78m or 78o(d)); and</w:t>
      </w:r>
    </w:p>
    <w:p>
      <w:pPr>
        <w:spacing w:after="0" w:line="62" w:lineRule="exact"/>
        <w:rPr>
          <w:rFonts w:ascii="Arial" w:cs="Arial" w:eastAsia="Arial" w:hAnsi="Arial"/>
          <w:sz w:val="17"/>
          <w:szCs w:val="17"/>
          <w:color w:val="auto"/>
        </w:rPr>
      </w:pPr>
    </w:p>
    <w:p>
      <w:pPr>
        <w:ind w:left="620" w:hanging="617"/>
        <w:spacing w:after="0"/>
        <w:tabs>
          <w:tab w:leader="none" w:pos="6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information contained in the Quarterly Report fairly presents, in all material respects, the financial condition and results of operations of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Dated: November 3, 2023</w:t>
      </w:r>
    </w:p>
    <w:p>
      <w:pPr>
        <w:spacing w:after="0" w:line="344"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13970</wp:posOffset>
            </wp:positionV>
            <wp:extent cx="32842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3284220" cy="8255"/>
                    </a:xfrm>
                    <a:prstGeom prst="rect">
                      <a:avLst/>
                    </a:prstGeom>
                    <a:noFill/>
                  </pic:spPr>
                </pic:pic>
              </a:graphicData>
            </a:graphic>
          </wp:anchor>
        </w:drawing>
      </w:r>
    </w:p>
    <w:p>
      <w:pPr>
        <w:spacing w:after="0" w:line="4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John E. Geller, Jr.</w:t>
      </w:r>
    </w:p>
    <w:p>
      <w:pPr>
        <w:spacing w:after="0" w:line="6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President and Chief Executive Officer</w:t>
      </w:r>
    </w:p>
    <w:p>
      <w:pPr>
        <w:spacing w:after="0" w:line="6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99"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b w:val="1"/>
          <w:bCs w:val="1"/>
          <w:color w:val="auto"/>
        </w:rPr>
        <w:t>Exhibit 32.2</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 Jason P. Marino, Executive Vice President and Chief Financial Officer of Marriott Vacations Worldwide Corporation (the “Company”) certify that:</w:t>
      </w:r>
    </w:p>
    <w:p>
      <w:pPr>
        <w:spacing w:after="0" w:line="113" w:lineRule="exact"/>
        <w:rPr>
          <w:sz w:val="20"/>
          <w:szCs w:val="20"/>
          <w:color w:val="auto"/>
        </w:rPr>
      </w:pPr>
    </w:p>
    <w:p>
      <w:pPr>
        <w:ind w:left="620" w:right="800" w:hanging="617"/>
        <w:spacing w:after="0" w:line="277"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period ended September 30, 2023 (the “Quarterly Report”), fully complies with the requirements of section 13(a) or 15(d) of the Securities Exchange Act of 1934 (15 U.S.C. 78m or 78o(d)); and</w:t>
      </w:r>
    </w:p>
    <w:p>
      <w:pPr>
        <w:spacing w:after="0" w:line="62" w:lineRule="exact"/>
        <w:rPr>
          <w:rFonts w:ascii="Arial" w:cs="Arial" w:eastAsia="Arial" w:hAnsi="Arial"/>
          <w:sz w:val="17"/>
          <w:szCs w:val="17"/>
          <w:color w:val="auto"/>
        </w:rPr>
      </w:pPr>
    </w:p>
    <w:p>
      <w:pPr>
        <w:ind w:left="620" w:hanging="617"/>
        <w:spacing w:after="0"/>
        <w:tabs>
          <w:tab w:leader="none" w:pos="6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information contained in the Quarterly Report fairly presents, in all material respects, the financial condition and results of operations of the Company.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Dated: November 3, 2023</w:t>
      </w:r>
    </w:p>
    <w:p>
      <w:pPr>
        <w:spacing w:after="0" w:line="200" w:lineRule="exact"/>
        <w:rPr>
          <w:sz w:val="20"/>
          <w:szCs w:val="20"/>
          <w:color w:val="auto"/>
        </w:rPr>
      </w:pPr>
    </w:p>
    <w:p>
      <w:pPr>
        <w:spacing w:after="0" w:line="2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/s/ Jason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2797175</wp:posOffset>
            </wp:positionH>
            <wp:positionV relativeFrom="paragraph">
              <wp:posOffset>13970</wp:posOffset>
            </wp:positionV>
            <wp:extent cx="34143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3414395" cy="8255"/>
                    </a:xfrm>
                    <a:prstGeom prst="rect">
                      <a:avLst/>
                    </a:prstGeom>
                    <a:noFill/>
                  </pic:spPr>
                </pic:pic>
              </a:graphicData>
            </a:graphic>
          </wp:anchor>
        </w:drawing>
      </w:r>
    </w:p>
    <w:p>
      <w:pPr>
        <w:spacing w:after="0" w:line="2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Jason P. Marino</w:t>
      </w:r>
    </w:p>
    <w:p>
      <w:pPr>
        <w:spacing w:after="0" w:line="4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Executive Vice President and Chief Financial Officer</w:t>
      </w:r>
    </w:p>
    <w:p>
      <w:pPr>
        <w:spacing w:after="0" w:line="4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1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407"/>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2"/>
    </w:lvl>
  </w:abstractNum>
  <w:abstractNum w:abstractNumId="5">
    <w:nsid w:val="6CEAF087"/>
    <w:multiLevelType w:val="hybridMultilevel"/>
    <w:lvl w:ilvl="0">
      <w:lvlJc w:val="left"/>
      <w:lvlText w:val="%1."/>
      <w:numFmt w:val="decimal"/>
      <w:start w:val="3"/>
    </w:lvl>
  </w:abstractNum>
  <w:abstractNum w:abstractNumId="6">
    <w:nsid w:val="22221A70"/>
    <w:multiLevelType w:val="hybridMultilevel"/>
    <w:lvl w:ilvl="0">
      <w:lvlJc w:val="left"/>
      <w:lvlText w:val="%1."/>
      <w:numFmt w:val="decimal"/>
      <w:start w:val="5"/>
    </w:lvl>
  </w:abstractNum>
  <w:abstractNum w:abstractNumId="7">
    <w:nsid w:val="4516DDE9"/>
    <w:multiLevelType w:val="hybridMultilevel"/>
    <w:lvl w:ilvl="0">
      <w:lvlJc w:val="left"/>
      <w:lvlText w:val="%1."/>
      <w:numFmt w:val="decimal"/>
      <w:start w:val="6"/>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7"/>
    </w:lvl>
  </w:abstractNum>
  <w:abstractNum w:abstractNumId="12">
    <w:nsid w:val="440BADFC"/>
    <w:multiLevelType w:val="hybridMultilevel"/>
    <w:lvl w:ilvl="0">
      <w:lvlJc w:val="left"/>
      <w:lvlText w:val="%1."/>
      <w:numFmt w:val="decimal"/>
      <w:start w:val="8"/>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9"/>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0"/>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2"/>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decimal"/>
      <w:start w:val="13"/>
    </w:lvl>
  </w:abstractNum>
  <w:abstractNum w:abstractNumId="25">
    <w:nsid w:val="70A64E2A"/>
    <w:multiLevelType w:val="hybridMultilevel"/>
    <w:lvl w:ilvl="0">
      <w:lvlJc w:val="left"/>
      <w:lvlText w:val="%1."/>
      <w:numFmt w:val="decimal"/>
      <w:start w:val="14"/>
    </w:lvl>
  </w:abstractNum>
  <w:abstractNum w:abstractNumId="26">
    <w:nsid w:val="6A2342EC"/>
    <w:multiLevelType w:val="hybridMultilevel"/>
    <w:lvl w:ilvl="0">
      <w:lvlJc w:val="left"/>
      <w:lvlText w:val="%1."/>
      <w:numFmt w:val="decimal"/>
      <w:start w:val="15"/>
    </w:lvl>
  </w:abstractNum>
  <w:abstractNum w:abstractNumId="27">
    <w:nsid w:val="2A487CB0"/>
    <w:multiLevelType w:val="hybridMultilevel"/>
    <w:lvl w:ilvl="0">
      <w:lvlJc w:val="left"/>
      <w:lvlText w:val="%1."/>
      <w:numFmt w:val="decimal"/>
      <w:start w:val="16"/>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lvl w:ilvl="1">
      <w:lvlJc w:val="left"/>
      <w:lvlText w:val="•"/>
      <w:numFmt w:val="bullet"/>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101"/>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lowerLetter"/>
      <w:start w:val="4"/>
    </w:lvl>
  </w:abstractNum>
  <w:abstractNum w:abstractNumId="42">
    <w:nsid w:val="3DC240FB"/>
    <w:multiLevelType w:val="hybridMultilevel"/>
    <w:lvl w:ilvl="0">
      <w:lvlJc w:val="left"/>
      <w:lvlText w:val="(%1)"/>
      <w:numFmt w:val="lowerLetter"/>
      <w:start w:val="3"/>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Letter"/>
      <w:start w:val="5"/>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upperLetter"/>
      <w:start w:val="1"/>
    </w:lvl>
    <w:lvl w:ilvl="1">
      <w:lvlJc w:val="left"/>
      <w:lvlText w:val="(%2)"/>
      <w:numFmt w:val="lowerLetter"/>
      <w:start w:val="1"/>
    </w:lvl>
  </w:abstractNum>
  <w:abstractNum w:abstractNumId="49">
    <w:nsid w:val="374A3FE6"/>
    <w:multiLevelType w:val="hybridMultilevel"/>
    <w:lvl w:ilvl="0">
      <w:lvlJc w:val="left"/>
      <w:lvlText w:val="(%1)"/>
      <w:numFmt w:val="upperLetter"/>
      <w:start w:val="9"/>
    </w:lvl>
    <w:lvl w:ilvl="1">
      <w:lvlJc w:val="left"/>
      <w:lvlText w:val="%2"/>
      <w:numFmt w:val="lowerLetter"/>
      <w:start w:val="1"/>
    </w:lvl>
  </w:abstractNum>
  <w:abstractNum w:abstractNumId="50">
    <w:nsid w:val="4F4EF005"/>
    <w:multiLevelType w:val="hybridMultilevel"/>
    <w:lvl w:ilvl="0">
      <w:lvlJc w:val="left"/>
      <w:lvlText w:val="(%1)"/>
      <w:numFmt w:val="lowerLetter"/>
      <w:start w:val="35"/>
    </w:lvl>
    <w:lvl w:ilvl="1">
      <w:lvlJc w:val="left"/>
      <w:lvlText w:val="(%2)"/>
      <w:numFmt w:val="lowerLetter"/>
      <w:start w:val="3"/>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54" Type="http://schemas.openxmlformats.org/officeDocument/2006/relationships/hyperlink" Target="http://www.sec.gov/Archives/edgar/data/1524358/000119312518144431/d577638dex21.htm" TargetMode="External"/><Relationship Id="rId155" Type="http://schemas.openxmlformats.org/officeDocument/2006/relationships/hyperlink" Target="https://www.sec.gov/Archives/edgar/data/0001524358/000152435821000007/projectchampagne-mergeragr.htm" TargetMode="External"/><Relationship Id="rId156" Type="http://schemas.openxmlformats.org/officeDocument/2006/relationships/hyperlink" Target="https://www.sec.gov/Archives/edgar/data/1524358/000152435823000022/exhibit32secondrestatedcer.htm" TargetMode="External"/><Relationship Id="rId157" Type="http://schemas.openxmlformats.org/officeDocument/2006/relationships/hyperlink" Target="https://www.sec.gov/Archives/edgar/data/1524358/000152435823000031/a2023q2ex33restatedbylawso.htm" TargetMode="External"/><Relationship Id="rId158" Type="http://schemas.openxmlformats.org/officeDocument/2006/relationships/hyperlink" Target="http://www.sec.gov/Archives/edgar/data/1524358/000119312511271851/d197736dex41.htm" TargetMode="External"/><Relationship Id="rId159" Type="http://schemas.openxmlformats.org/officeDocument/2006/relationships/hyperlink" Target="http://www.sec.gov/Archives/edgar/data/1524358/000119312519259964/d812229dex41.htm" TargetMode="External"/><Relationship Id="rId160" Type="http://schemas.openxmlformats.org/officeDocument/2006/relationships/hyperlink" Target="http://www.sec.gov/Archives/edgar/data/1524358/000152435820000011/a201910-kex412suppleme.htm" TargetMode="External"/><Relationship Id="rId161" Type="http://schemas.openxmlformats.org/officeDocument/2006/relationships/hyperlink" Target="http://www.sec.gov/Archives/edgar/data/1524358/000152435820000011/a201910-kex413xseconds.htm" TargetMode="External"/><Relationship Id="rId162" Type="http://schemas.openxmlformats.org/officeDocument/2006/relationships/hyperlink" Target="http://www.sec.gov/Archives/edgar/data/1524358/000119312519259964/d812229dex43.htm" TargetMode="External"/><Relationship Id="rId163" Type="http://schemas.openxmlformats.org/officeDocument/2006/relationships/hyperlink" Target="http://www.sec.gov/Archives/edgar/data/1524358/000119312520143993/d931016dex41.htm" TargetMode="External"/><Relationship Id="rId164" Type="http://schemas.openxmlformats.org/officeDocument/2006/relationships/hyperlink" Target="https://www.sec.gov/Archives/edgar/data/0001524358/000119312521027303/d41256dex41.htm" TargetMode="External"/><Relationship Id="rId165" Type="http://schemas.openxmlformats.org/officeDocument/2006/relationships/hyperlink" Target="https://www.sec.gov/Archives/edgar/data/0001524358/000119312521027303/d41256dex41.htm#exa" TargetMode="External"/><Relationship Id="rId166" Type="http://schemas.openxmlformats.org/officeDocument/2006/relationships/hyperlink" Target="https://www.sec.gov/Archives/edgar/data/0001524358/000119312521195243/d158882dex41.htm" TargetMode="External"/><Relationship Id="rId167" Type="http://schemas.openxmlformats.org/officeDocument/2006/relationships/hyperlink" Target="https://www.sec.gov/Archives/edgar/data/0001524358/000119312521195243/d158882dex41.htm#tx158882_515" TargetMode="External"/><Relationship Id="rId177" Type="http://schemas.openxmlformats.org/officeDocument/2006/relationships/hyperlink" Target="https://www.sec.gov/Archives/edgar/data/1524358/000119312522301061/d433395dex41.htm" TargetMode="External"/><Relationship Id="rId178" Type="http://schemas.openxmlformats.org/officeDocument/2006/relationships/hyperlink" Target="https://www.sec.gov/Archives/edgar/data/1524358/000119312522301061/d433395dex41.htm#tx433395_1" TargetMode="External"/><Relationship Id="rId179" Type="http://schemas.openxmlformats.org/officeDocument/2006/relationships/hyperlink" Target="http://www.sec.gov/Archives/edgar/data/1524358/000152435820000011/a201910-kex416descript.htm" TargetMode="External"/><Relationship Id="rId180" Type="http://schemas.openxmlformats.org/officeDocument/2006/relationships/hyperlink" Target="https://www.sec.gov/Archives/edgar/data/1524358/000152435823000018/exhibit101marriottvacation.htm" TargetMode="External"/><Relationship Id="rId181" Type="http://schemas.openxmlformats.org/officeDocument/2006/relationships/hyperlink" Target="https://www.sec.gov/Archives/edgar/data/1524358/000152435823000031/a2023q2ex102amendmentno2to.htm" TargetMode="External"/><Relationship Id="rId182" Type="http://schemas.openxmlformats.org/officeDocument/2006/relationships/hyperlink" Target="https://www.sec.gov/Archives/edgar/data/1524358/000152435823000031/a2023q2ex103xformofnonxemp.htm" TargetMode="External"/><Relationship Id="rId183" Type="http://schemas.openxmlformats.org/officeDocument/2006/relationships/hyperlink" Target="https://www.sec.gov/Archives/edgar/data/1524358/000152435823000031/a2023q1ex104xformofnonxemp.htm" TargetMode="External"/><Relationship Id="rId184" Type="http://schemas.openxmlformats.org/officeDocument/2006/relationships/hyperlink" Target="https://www.sec.gov/Archives/edgar/data/1524358/000152435823000031/a2023q2ex105xformofdirecto.htm" TargetMode="External"/><Relationship Id="rId185" Type="http://schemas.openxmlformats.org/officeDocument/2006/relationships/hyperlink" Target="https://www.sec.gov/Archives/edgar/data/1524358/000152435823000031/a2023q2ex221xguarantorsub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2023-11-03T10:35:38Z</dcterms:created>
  <dcterms:modified xsi:type="dcterms:W3CDTF">2023-11-03T10:35:38Z</dcterms:modified>
</cp:coreProperties>
</file>