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120"/>
        <w:spacing w:after="0"/>
        <w:rPr>
          <w:sz w:val="20"/>
          <w:szCs w:val="20"/>
          <w:color w:val="auto"/>
        </w:rPr>
      </w:pPr>
      <w:r>
        <w:rPr>
          <w:rFonts w:ascii="Arial" w:cs="Arial" w:eastAsia="Arial" w:hAnsi="Arial"/>
          <w:sz w:val="30"/>
          <w:szCs w:val="30"/>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Washington, D.C. 20549</w:t>
      </w:r>
    </w:p>
    <w:p>
      <w:pPr>
        <w:spacing w:after="0" w:line="72" w:lineRule="exact"/>
        <w:rPr>
          <w:sz w:val="24"/>
          <w:szCs w:val="24"/>
          <w:color w:val="auto"/>
        </w:rPr>
      </w:pPr>
    </w:p>
    <w:p>
      <w:pPr>
        <w:ind w:left="3420"/>
        <w:spacing w:after="0"/>
        <w:rPr>
          <w:sz w:val="20"/>
          <w:szCs w:val="20"/>
          <w:color w:val="auto"/>
        </w:rPr>
      </w:pPr>
      <w:r>
        <w:rPr>
          <w:rFonts w:ascii="Arial" w:cs="Arial" w:eastAsia="Arial" w:hAnsi="Arial"/>
          <w:sz w:val="30"/>
          <w:szCs w:val="30"/>
          <w:b w:val="1"/>
          <w:bCs w:val="1"/>
          <w:color w:val="auto"/>
        </w:rPr>
        <w:t>SCHEDULE 14A INFORMATION</w:t>
      </w:r>
    </w:p>
    <w:p>
      <w:pPr>
        <w:spacing w:after="0" w:line="37" w:lineRule="exact"/>
        <w:rPr>
          <w:sz w:val="24"/>
          <w:szCs w:val="24"/>
          <w:color w:val="auto"/>
        </w:rPr>
      </w:pPr>
    </w:p>
    <w:p>
      <w:pPr>
        <w:jc w:val="center"/>
        <w:ind w:right="-1120"/>
        <w:spacing w:after="0"/>
        <w:rPr>
          <w:sz w:val="20"/>
          <w:szCs w:val="20"/>
          <w:color w:val="auto"/>
        </w:rPr>
      </w:pPr>
      <w:r>
        <w:rPr>
          <w:rFonts w:ascii="Arial" w:cs="Arial" w:eastAsia="Arial" w:hAnsi="Arial"/>
          <w:sz w:val="19"/>
          <w:szCs w:val="19"/>
          <w:b w:val="1"/>
          <w:bCs w:val="1"/>
          <w:color w:val="auto"/>
        </w:rPr>
        <w:t>Proxy Statement Pursuant to Section 14(a) of the</w:t>
      </w:r>
    </w:p>
    <w:p>
      <w:pPr>
        <w:jc w:val="center"/>
        <w:ind w:right="-1120"/>
        <w:spacing w:after="0"/>
        <w:rPr>
          <w:sz w:val="20"/>
          <w:szCs w:val="20"/>
          <w:color w:val="auto"/>
        </w:rPr>
      </w:pPr>
      <w:r>
        <w:rPr>
          <w:rFonts w:ascii="Arial" w:cs="Arial" w:eastAsia="Arial" w:hAnsi="Arial"/>
          <w:sz w:val="19"/>
          <w:szCs w:val="19"/>
          <w:b w:val="1"/>
          <w:bCs w:val="1"/>
          <w:color w:val="auto"/>
        </w:rPr>
        <w:t>Securities Exchange Act of 1934 (Amendment No.    )</w:t>
      </w:r>
    </w:p>
    <w:p>
      <w:pPr>
        <w:spacing w:after="0" w:line="62" w:lineRule="exact"/>
        <w:rPr>
          <w:sz w:val="24"/>
          <w:szCs w:val="24"/>
          <w:color w:val="auto"/>
        </w:rPr>
      </w:pPr>
    </w:p>
    <w:p>
      <w:pPr>
        <w:ind w:left="12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r>
        <w:rPr>
          <w:rFonts w:ascii="Arial" w:cs="Arial" w:eastAsia="Arial" w:hAnsi="Arial"/>
          <w:sz w:val="15"/>
          <w:szCs w:val="15"/>
          <w:color w:val="auto"/>
        </w:rPr>
        <w:t xml:space="preserve">                      Filed by a party other than the Registrant  </w:t>
      </w:r>
      <w:r>
        <w:rPr>
          <w:rFonts w:ascii="MS PGothic" w:cs="MS PGothic" w:eastAsia="MS PGothic" w:hAnsi="MS PGothic"/>
          <w:sz w:val="15"/>
          <w:szCs w:val="15"/>
          <w:color w:val="auto"/>
        </w:rPr>
        <w:t>☐</w:t>
      </w:r>
    </w:p>
    <w:p>
      <w:pPr>
        <w:spacing w:after="0" w:line="147" w:lineRule="exact"/>
        <w:rPr>
          <w:sz w:val="24"/>
          <w:szCs w:val="24"/>
          <w:color w:val="auto"/>
        </w:rPr>
      </w:pPr>
    </w:p>
    <w:p>
      <w:pPr>
        <w:ind w:left="120"/>
        <w:spacing w:after="0"/>
        <w:rPr>
          <w:sz w:val="20"/>
          <w:szCs w:val="20"/>
          <w:color w:val="auto"/>
        </w:rPr>
      </w:pPr>
      <w:r>
        <w:rPr>
          <w:rFonts w:ascii="Arial" w:cs="Arial" w:eastAsia="Arial" w:hAnsi="Arial"/>
          <w:sz w:val="15"/>
          <w:szCs w:val="15"/>
          <w:color w:val="auto"/>
        </w:rPr>
        <w:t>Check the appropriate box:</w:t>
      </w:r>
    </w:p>
    <w:p>
      <w:pPr>
        <w:spacing w:after="0" w:line="133" w:lineRule="exact"/>
        <w:rPr>
          <w:sz w:val="24"/>
          <w:szCs w:val="24"/>
          <w:color w:val="auto"/>
        </w:rPr>
      </w:pPr>
    </w:p>
    <w:p>
      <w:pPr>
        <w:ind w:left="740" w:hanging="552"/>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82" w:lineRule="exact"/>
        <w:rPr>
          <w:rFonts w:ascii="MS PGothic" w:cs="MS PGothic" w:eastAsia="MS PGothic" w:hAnsi="MS PGothic"/>
          <w:sz w:val="14"/>
          <w:szCs w:val="14"/>
          <w:color w:val="auto"/>
        </w:rPr>
      </w:pPr>
    </w:p>
    <w:p>
      <w:pPr>
        <w:ind w:left="740" w:hanging="552"/>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37" w:lineRule="exact"/>
        <w:rPr>
          <w:rFonts w:ascii="MS PGothic" w:cs="MS PGothic" w:eastAsia="MS PGothic" w:hAnsi="MS PGothic"/>
          <w:sz w:val="14"/>
          <w:szCs w:val="14"/>
          <w:color w:val="auto"/>
        </w:rPr>
      </w:pPr>
    </w:p>
    <w:p>
      <w:pPr>
        <w:ind w:left="18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Definitive Proxy Statement</w:t>
      </w:r>
    </w:p>
    <w:p>
      <w:pPr>
        <w:spacing w:after="0" w:line="126" w:lineRule="exact"/>
        <w:rPr>
          <w:rFonts w:ascii="MS PGothic" w:cs="MS PGothic" w:eastAsia="MS PGothic" w:hAnsi="MS PGothic"/>
          <w:sz w:val="14"/>
          <w:szCs w:val="14"/>
          <w:color w:val="auto"/>
        </w:rPr>
      </w:pPr>
    </w:p>
    <w:p>
      <w:pPr>
        <w:ind w:left="740" w:hanging="552"/>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82" w:lineRule="exact"/>
        <w:rPr>
          <w:rFonts w:ascii="MS PGothic" w:cs="MS PGothic" w:eastAsia="MS PGothic" w:hAnsi="MS PGothic"/>
          <w:sz w:val="14"/>
          <w:szCs w:val="14"/>
          <w:color w:val="auto"/>
        </w:rPr>
      </w:pPr>
    </w:p>
    <w:p>
      <w:pPr>
        <w:ind w:left="740" w:hanging="552"/>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pacing w:after="0" w:line="223"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6"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10" w:lineRule="exact"/>
        <w:rPr>
          <w:sz w:val="24"/>
          <w:szCs w:val="24"/>
          <w:color w:val="auto"/>
        </w:rPr>
      </w:pPr>
    </w:p>
    <w:p>
      <w:pPr>
        <w:ind w:left="32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1" w:lineRule="exact"/>
        <w:rPr>
          <w:sz w:val="24"/>
          <w:szCs w:val="24"/>
          <w:color w:val="auto"/>
        </w:rPr>
      </w:pPr>
    </w:p>
    <w:p>
      <w:pPr>
        <w:ind w:left="120"/>
        <w:spacing w:after="0"/>
        <w:rPr>
          <w:sz w:val="20"/>
          <w:szCs w:val="20"/>
          <w:color w:val="auto"/>
        </w:rPr>
      </w:pPr>
      <w:r>
        <w:rPr>
          <w:rFonts w:ascii="Arial" w:cs="Arial" w:eastAsia="Arial" w:hAnsi="Arial"/>
          <w:sz w:val="15"/>
          <w:szCs w:val="15"/>
          <w:color w:val="auto"/>
        </w:rPr>
        <w:t>Payment of Filing Fee (Check all boxes that apply):</w:t>
      </w:r>
    </w:p>
    <w:p>
      <w:pPr>
        <w:spacing w:after="0" w:line="119" w:lineRule="exact"/>
        <w:rPr>
          <w:sz w:val="24"/>
          <w:szCs w:val="24"/>
          <w:color w:val="auto"/>
        </w:rPr>
      </w:pPr>
    </w:p>
    <w:p>
      <w:pPr>
        <w:ind w:left="740" w:hanging="552"/>
        <w:spacing w:after="0"/>
        <w:tabs>
          <w:tab w:leader="none" w:pos="7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740" w:hanging="552"/>
        <w:spacing w:after="0"/>
        <w:tabs>
          <w:tab w:leader="none" w:pos="7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740" w:hanging="552"/>
        <w:spacing w:after="0"/>
        <w:tabs>
          <w:tab w:leader="none" w:pos="7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224155</wp:posOffset>
            </wp:positionV>
            <wp:extent cx="6789420" cy="8846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217170</wp:posOffset>
            </wp:positionV>
            <wp:extent cx="152590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59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Marriott Vacations Worldwide Corporation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7812 Palm Parkway</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Orlando, Florida 32836</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March 26, 2026</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Marriott Vacations Worldwide Stockholders:</w:t>
      </w:r>
    </w:p>
    <w:p>
      <w:pPr>
        <w:spacing w:after="0" w:line="113"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It is our pleasure to inform you that the 2026 Annual Meeting of Stockholders of Marriott Vacations Worldwide Corporation (the “Annual Meeting”) will be conducted online on Friday, May 15, 2026 beginning at 9:00 a.m., Eastern Time. Stockholders of record may attend and vote during the Annual Meeting via the Internet at www.virtualshareholdermeeting.com/VAC2026. You may also attend the meeting by proxy. You may submit questions in advance of the meeting at www.proxyvote.com. Beneficial owners should review their voting instruction form or Notice of Internet Availability for how to vote in advance of and participate in the Annual Meeting online. For further information about the virtual Annual Meeting, please see the Questions and Answers About the Meeting beginning on page 4.</w:t>
      </w:r>
    </w:p>
    <w:p>
      <w:pPr>
        <w:spacing w:after="0" w:line="182"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The following Notice of Annual Meeting of Stockholders and Proxy Statement includes information about the matters to be acted upon by stockholders at the Annual Meeting. We hope that you will exercise your right to vote as promptly as possible. You may vote through the Internet, by telephone or by mailing your completed proxy card (or voting instruction form, if you hold your shares through a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134620</wp:posOffset>
            </wp:positionV>
            <wp:extent cx="5263515"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63515" cy="488950"/>
                    </a:xfrm>
                    <a:prstGeom prst="rect">
                      <a:avLst/>
                    </a:prstGeom>
                    <a:noFill/>
                  </pic:spPr>
                </pic:pic>
              </a:graphicData>
            </a:graphic>
          </wp:anchor>
        </w:drawing>
      </w: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003A70"/>
        </w:rPr>
        <w:t>IMPORTANT NOTICE REGARDING THE AVAILABILITY OF PROXY MATERIALS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003A70"/>
        </w:rPr>
        <w:t>FOR THE 2026 ANNUAL MEETING OF STOCKHOLDERS:</w:t>
      </w:r>
    </w:p>
    <w:p>
      <w:pPr>
        <w:spacing w:after="0" w:line="340"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6"/>
          <w:szCs w:val="16"/>
          <w:color w:val="auto"/>
        </w:rPr>
        <w:t>We are mailing many of our stockholders a Notice Regarding the Availability of Proxy Materials (the “Notice”) rather than a full set of our proxy materials. The Notice contains instructions on how to access our proxy materials on the Internet, as well as instructions on how to obtain a paper copy of the full set of proxy materials if a stockholder so desires. This process is more environmentally friendly and reduces our costs to print and distribute these materials to stockholders. All stockholders of record who do not receive the Notice will receive a full set of our proxy materials.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appreciate your continued support and interest in Marriott Vacations Worldwide.</w:t>
      </w:r>
    </w:p>
    <w:p>
      <w:pPr>
        <w:spacing w:after="0" w:line="127"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80645</wp:posOffset>
            </wp:positionV>
            <wp:extent cx="1834515" cy="45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451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William J. Shaw</w:t>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70485</wp:posOffset>
            </wp:positionV>
            <wp:extent cx="2271395"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713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Matthew E. Avril</w:t>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217170</wp:posOffset>
            </wp:positionV>
            <wp:extent cx="1525905"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59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Marriott Vacations Worldwide Corporation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7812 Palm Parkway</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Orlando, Florida 32836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156210</wp:posOffset>
            </wp:positionV>
            <wp:extent cx="5332095"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32095" cy="488315"/>
                    </a:xfrm>
                    <a:prstGeom prst="rect">
                      <a:avLst/>
                    </a:prstGeom>
                    <a:noFill/>
                  </pic:spPr>
                </pic:pic>
              </a:graphicData>
            </a:graphic>
          </wp:anchor>
        </w:drawing>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003A70"/>
        </w:rPr>
        <w:t>NOTICE OF ANNUAL MEETING OF STOCKHOLDERS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003A70"/>
        </w:rPr>
        <w:t>TO BE HELD FRIDAY, MAY 15, 2026</w:t>
      </w:r>
    </w:p>
    <w:p>
      <w:pPr>
        <w:spacing w:after="0" w:line="332" w:lineRule="exact"/>
        <w:rPr>
          <w:sz w:val="20"/>
          <w:szCs w:val="20"/>
          <w:color w:val="auto"/>
        </w:rPr>
      </w:pPr>
    </w:p>
    <w:p>
      <w:pPr>
        <w:ind w:left="9940"/>
        <w:spacing w:after="0"/>
        <w:rPr>
          <w:sz w:val="20"/>
          <w:szCs w:val="20"/>
          <w:color w:val="auto"/>
        </w:rPr>
      </w:pPr>
      <w:r>
        <w:rPr>
          <w:rFonts w:ascii="Arial" w:cs="Arial" w:eastAsia="Arial" w:hAnsi="Arial"/>
          <w:sz w:val="17"/>
          <w:szCs w:val="17"/>
          <w:color w:val="auto"/>
        </w:rPr>
        <w:t>March 26, 2026</w:t>
      </w:r>
    </w:p>
    <w:p>
      <w:pPr>
        <w:spacing w:after="0" w:line="110"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The 2026 Annual Meeting of Stockholders (the “Annual Meeting”) of Marriott Vacations Worldwide Corporation (the “Company”) will be held at 9:00 a.m., Eastern Time, on Friday, May 15, 2026, virtually, via the Internet at www.virtualshareholdermeeting.com/VAC2026. At the meeting, stockholders will act on the following matters:</w:t>
      </w:r>
    </w:p>
    <w:p>
      <w:pPr>
        <w:spacing w:after="0" w:line="36" w:lineRule="exact"/>
        <w:rPr>
          <w:sz w:val="20"/>
          <w:szCs w:val="20"/>
          <w:color w:val="auto"/>
        </w:rPr>
      </w:pPr>
    </w:p>
    <w:p>
      <w:pPr>
        <w:ind w:left="540" w:hanging="208"/>
        <w:spacing w:after="0"/>
        <w:tabs>
          <w:tab w:leader="none" w:pos="5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Election of the nine director nominees named in the accompanying Proxy Statement;</w:t>
      </w:r>
    </w:p>
    <w:p>
      <w:pPr>
        <w:spacing w:after="0" w:line="86" w:lineRule="exact"/>
        <w:rPr>
          <w:rFonts w:ascii="Arial" w:cs="Arial" w:eastAsia="Arial" w:hAnsi="Arial"/>
          <w:sz w:val="16"/>
          <w:szCs w:val="16"/>
          <w:b w:val="1"/>
          <w:bCs w:val="1"/>
          <w:color w:val="auto"/>
        </w:rPr>
      </w:pPr>
    </w:p>
    <w:p>
      <w:pPr>
        <w:ind w:left="540" w:hanging="208"/>
        <w:spacing w:after="0"/>
        <w:tabs>
          <w:tab w:leader="none" w:pos="5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Ratification of the appointment of Ernst &amp; Young LLP as the Company’s independent registered public accounting firm for its 2026 fiscal year;</w:t>
      </w:r>
    </w:p>
    <w:p>
      <w:pPr>
        <w:spacing w:after="0" w:line="86" w:lineRule="exact"/>
        <w:rPr>
          <w:rFonts w:ascii="Arial" w:cs="Arial" w:eastAsia="Arial" w:hAnsi="Arial"/>
          <w:sz w:val="16"/>
          <w:szCs w:val="16"/>
          <w:b w:val="1"/>
          <w:bCs w:val="1"/>
          <w:color w:val="auto"/>
        </w:rPr>
      </w:pPr>
    </w:p>
    <w:p>
      <w:pPr>
        <w:ind w:left="540" w:hanging="208"/>
        <w:spacing w:after="0"/>
        <w:tabs>
          <w:tab w:leader="none" w:pos="5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Advisory vote to approve named executive officer compensation;</w:t>
      </w:r>
    </w:p>
    <w:p>
      <w:pPr>
        <w:spacing w:after="0" w:line="86" w:lineRule="exact"/>
        <w:rPr>
          <w:rFonts w:ascii="Arial" w:cs="Arial" w:eastAsia="Arial" w:hAnsi="Arial"/>
          <w:sz w:val="16"/>
          <w:szCs w:val="16"/>
          <w:b w:val="1"/>
          <w:bCs w:val="1"/>
          <w:color w:val="auto"/>
        </w:rPr>
      </w:pPr>
    </w:p>
    <w:p>
      <w:pPr>
        <w:ind w:left="540" w:hanging="208"/>
        <w:spacing w:after="0"/>
        <w:tabs>
          <w:tab w:leader="none" w:pos="5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Approval of the Second Amended and Restated Marriott Vacations Worldwide Corporation 2020 Equity Incentive Plan; and</w:t>
      </w:r>
    </w:p>
    <w:p>
      <w:pPr>
        <w:spacing w:after="0" w:line="86" w:lineRule="exact"/>
        <w:rPr>
          <w:rFonts w:ascii="Arial" w:cs="Arial" w:eastAsia="Arial" w:hAnsi="Arial"/>
          <w:sz w:val="16"/>
          <w:szCs w:val="16"/>
          <w:b w:val="1"/>
          <w:bCs w:val="1"/>
          <w:color w:val="auto"/>
        </w:rPr>
      </w:pPr>
    </w:p>
    <w:p>
      <w:pPr>
        <w:ind w:left="540" w:hanging="208"/>
        <w:spacing w:after="0"/>
        <w:tabs>
          <w:tab w:leader="none" w:pos="54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Any other matters that may properly be presented at the meeting or any adjournment or postponement thereof.</w:t>
      </w:r>
    </w:p>
    <w:p>
      <w:pPr>
        <w:spacing w:after="0" w:line="113" w:lineRule="exact"/>
        <w:rPr>
          <w:sz w:val="20"/>
          <w:szCs w:val="20"/>
          <w:color w:val="auto"/>
        </w:rPr>
      </w:pPr>
    </w:p>
    <w:p>
      <w:pPr>
        <w:jc w:val="both"/>
        <w:ind w:left="120" w:right="520"/>
        <w:spacing w:after="0" w:line="266" w:lineRule="auto"/>
        <w:rPr>
          <w:sz w:val="20"/>
          <w:szCs w:val="20"/>
          <w:color w:val="auto"/>
        </w:rPr>
      </w:pPr>
      <w:r>
        <w:rPr>
          <w:rFonts w:ascii="Arial" w:cs="Arial" w:eastAsia="Arial" w:hAnsi="Arial"/>
          <w:sz w:val="16"/>
          <w:szCs w:val="16"/>
          <w:color w:val="auto"/>
        </w:rPr>
        <w:t>Only stockholders of the Company at the close of business on March 16, 2026, the record date, are entitled to notice of, and to vote at, the Annual Meeting. For instructions on voting, please refer to the notice you received in the mail or, if you requested a hard copy of the Proxy Statement, your enclosed proxy card.</w:t>
      </w:r>
    </w:p>
    <w:p>
      <w:pPr>
        <w:spacing w:after="0" w:line="63"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In the event of a technical malfunction in connection with the virtual Annual Meeting, the chair of the meeting will convene the meeting at 9:30 a.m. Eastern Time on the date specified above and at the Company’s address specified above solely for the purpose of adjourning the meeting to reconvene at a date, time and physical or virtual location announced by the chair of the meeting. Under these circumstances, we will post information regarding the announcement on the Investor Relations page of the Company’s website at www.marriottvacationsworldwide.com.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Internet Availability</w:t>
      </w:r>
    </w:p>
    <w:p>
      <w:pPr>
        <w:spacing w:after="0" w:line="110"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We are taking advantage of the U.S. Securities and Exchange Commission rules that allow companies to furnish proxy materials to their stockholders through the Internet. We believe these rules allow us to provide you with the information you need while lowering the costs of delivery and reducing the environmental impact of the Annual Meeting. On or about March 26, 2026, a Notice Regarding the Availability of Proxy Materials (the “Notice”) or the Proxy Statement and form of proxy will be mailed to stockholders as of the record date. If you received a Notice by mail, you will not receive printed copies of the proxy materials, unless you specifically request them. Instead, the Notice instructs you on how to access and review all of the important information contained in the Proxy Statement and in our 2025 Annual Report on Form 10-K, as well as how to submit your proxy over the Internet. If you received the Notice and would still like to receive a printed copy of our proxy materials, you may request a printed copy of the proxy materials by following the instructions in the Notice.</w:t>
      </w:r>
    </w:p>
    <w:p>
      <w:pPr>
        <w:spacing w:after="0" w:line="210"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149225</wp:posOffset>
            </wp:positionV>
            <wp:extent cx="1894205"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420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Andrew T. Marcus</w:t>
      </w:r>
    </w:p>
    <w:p>
      <w:pPr>
        <w:spacing w:after="0" w:line="21"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General Counsel and Secretary</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53"/>
          <w:szCs w:val="53"/>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-350520</wp:posOffset>
            </wp:positionV>
            <wp:extent cx="85725"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445770"/>
                    </a:xfrm>
                    <a:prstGeom prst="rect">
                      <a:avLst/>
                    </a:prstGeom>
                    <a:noFill/>
                  </pic:spPr>
                </pic:pic>
              </a:graphicData>
            </a:graphic>
          </wp:anchor>
        </w:drawing>
      </w:r>
    </w:p>
    <w:p>
      <w:pPr>
        <w:sectPr>
          <w:pgSz w:w="11900" w:h="16838" w:orient="portrait"/>
          <w:cols w:equalWidth="0" w:num="1">
            <w:col w:w="11320"/>
          </w:cols>
          <w:pgMar w:left="320" w:top="48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00" w:hanging="289"/>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17"/>
          <w:szCs w:val="17"/>
          <w:b w:val="1"/>
          <w:bCs w:val="1"/>
          <w:u w:val="single" w:color="auto"/>
          <w:color w:val="0000EE"/>
        </w:rPr>
        <w:t>Proxy Summary</w:t>
      </w:r>
    </w:p>
    <w:p>
      <w:pPr>
        <w:spacing w:after="0" w:line="206" w:lineRule="exact"/>
        <w:rPr>
          <w:sz w:val="20"/>
          <w:szCs w:val="20"/>
          <w:color w:val="auto"/>
        </w:rPr>
      </w:pPr>
    </w:p>
    <w:p>
      <w:pPr>
        <w:ind w:left="600" w:hanging="289"/>
        <w:spacing w:after="0"/>
        <w:tabs>
          <w:tab w:leader="none" w:pos="600" w:val="left"/>
        </w:tabs>
        <w:numPr>
          <w:ilvl w:val="0"/>
          <w:numId w:val="6"/>
        </w:numPr>
        <w:rPr>
          <w:rFonts w:ascii="Arial" w:cs="Arial" w:eastAsia="Arial" w:hAnsi="Arial"/>
          <w:sz w:val="22"/>
          <w:szCs w:val="22"/>
          <w:color w:val="auto"/>
        </w:rPr>
      </w:pPr>
      <w:r>
        <w:rPr>
          <w:rFonts w:ascii="Arial" w:cs="Arial" w:eastAsia="Arial" w:hAnsi="Arial"/>
          <w:sz w:val="17"/>
          <w:szCs w:val="17"/>
          <w:b w:val="1"/>
          <w:bCs w:val="1"/>
          <w:u w:val="single" w:color="auto"/>
          <w:color w:val="0000EE"/>
        </w:rPr>
        <w:t>Questions and Answers About the Meeting</w:t>
      </w:r>
    </w:p>
    <w:p>
      <w:pPr>
        <w:spacing w:after="0" w:line="203" w:lineRule="exact"/>
        <w:rPr>
          <w:sz w:val="20"/>
          <w:szCs w:val="20"/>
          <w:color w:val="auto"/>
        </w:rPr>
      </w:pPr>
    </w:p>
    <w:p>
      <w:pPr>
        <w:ind w:left="600" w:hanging="289"/>
        <w:spacing w:after="0"/>
        <w:tabs>
          <w:tab w:leader="none" w:pos="600" w:val="left"/>
        </w:tabs>
        <w:numPr>
          <w:ilvl w:val="0"/>
          <w:numId w:val="7"/>
        </w:numPr>
        <w:rPr>
          <w:rFonts w:ascii="Arial" w:cs="Arial" w:eastAsia="Arial" w:hAnsi="Arial"/>
          <w:sz w:val="22"/>
          <w:szCs w:val="22"/>
          <w:color w:val="auto"/>
        </w:rPr>
      </w:pPr>
      <w:r>
        <w:rPr>
          <w:rFonts w:ascii="Arial" w:cs="Arial" w:eastAsia="Arial" w:hAnsi="Arial"/>
          <w:sz w:val="17"/>
          <w:szCs w:val="17"/>
          <w:b w:val="1"/>
          <w:bCs w:val="1"/>
          <w:u w:val="single" w:color="auto"/>
          <w:color w:val="0000EE"/>
        </w:rPr>
        <w:t>Proposals for Vote</w:t>
      </w:r>
    </w:p>
    <w:p>
      <w:pPr>
        <w:ind w:left="1000" w:hanging="286"/>
        <w:spacing w:after="0"/>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0000EE"/>
        </w:rPr>
        <w:t xml:space="preserve">Item 1 </w:t>
      </w:r>
      <w:r>
        <w:rPr>
          <w:rFonts w:ascii="Arial" w:cs="Arial" w:eastAsia="Arial" w:hAnsi="Arial"/>
          <w:sz w:val="17"/>
          <w:szCs w:val="17"/>
          <w:u w:val="single" w:color="auto"/>
          <w:color w:val="0000EE"/>
        </w:rPr>
        <w:t>– Election of Directors</w:t>
      </w:r>
    </w:p>
    <w:p>
      <w:pPr>
        <w:spacing w:after="0" w:line="20" w:lineRule="exact"/>
        <w:rPr>
          <w:rFonts w:ascii="Arial" w:cs="Arial" w:eastAsia="Arial" w:hAnsi="Arial"/>
          <w:sz w:val="17"/>
          <w:szCs w:val="17"/>
          <w:color w:val="auto"/>
        </w:rPr>
      </w:pPr>
    </w:p>
    <w:p>
      <w:pPr>
        <w:ind w:left="1000" w:right="400" w:hanging="286"/>
        <w:spacing w:after="0" w:line="244"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0000EE"/>
        </w:rPr>
        <w:t xml:space="preserve">Item 2 </w:t>
      </w:r>
      <w:r>
        <w:rPr>
          <w:rFonts w:ascii="Arial" w:cs="Arial" w:eastAsia="Arial" w:hAnsi="Arial"/>
          <w:sz w:val="17"/>
          <w:szCs w:val="17"/>
          <w:u w:val="single" w:color="auto"/>
          <w:color w:val="0000EE"/>
        </w:rPr>
        <w:t>– Ratification of Appointment of Independent</w:t>
      </w:r>
      <w:r>
        <w:rPr>
          <w:rFonts w:ascii="Arial" w:cs="Arial" w:eastAsia="Arial" w:hAnsi="Arial"/>
          <w:sz w:val="17"/>
          <w:szCs w:val="17"/>
          <w:b w:val="1"/>
          <w:bCs w:val="1"/>
          <w:u w:val="single" w:color="auto"/>
          <w:color w:val="0000EE"/>
        </w:rPr>
        <w:t xml:space="preserve"> </w:t>
      </w:r>
      <w:r>
        <w:rPr>
          <w:rFonts w:ascii="Arial" w:cs="Arial" w:eastAsia="Arial" w:hAnsi="Arial"/>
          <w:sz w:val="17"/>
          <w:szCs w:val="17"/>
          <w:u w:val="single" w:color="auto"/>
          <w:color w:val="0000EE"/>
        </w:rPr>
        <w:t>Registered Public Accounting Firm</w:t>
      </w:r>
    </w:p>
    <w:p>
      <w:pPr>
        <w:ind w:left="1000" w:right="340" w:hanging="286"/>
        <w:spacing w:after="0" w:line="248"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b w:val="1"/>
          <w:bCs w:val="1"/>
          <w:u w:val="single" w:color="auto"/>
          <w:color w:val="0000EE"/>
        </w:rPr>
        <w:t xml:space="preserve">Item 3 </w:t>
      </w:r>
      <w:r>
        <w:rPr>
          <w:rFonts w:ascii="Arial" w:cs="Arial" w:eastAsia="Arial" w:hAnsi="Arial"/>
          <w:sz w:val="17"/>
          <w:szCs w:val="17"/>
          <w:u w:val="single" w:color="auto"/>
          <w:color w:val="0000EE"/>
        </w:rPr>
        <w:t>– Advisory Vote to Approve Named Executive</w:t>
      </w:r>
      <w:r>
        <w:rPr>
          <w:rFonts w:ascii="Arial" w:cs="Arial" w:eastAsia="Arial" w:hAnsi="Arial"/>
          <w:sz w:val="17"/>
          <w:szCs w:val="17"/>
          <w:b w:val="1"/>
          <w:bCs w:val="1"/>
          <w:u w:val="single" w:color="auto"/>
          <w:color w:val="0000EE"/>
        </w:rPr>
        <w:t xml:space="preserve"> </w:t>
      </w:r>
      <w:r>
        <w:rPr>
          <w:rFonts w:ascii="Arial" w:cs="Arial" w:eastAsia="Arial" w:hAnsi="Arial"/>
          <w:sz w:val="17"/>
          <w:szCs w:val="17"/>
          <w:u w:val="single" w:color="auto"/>
          <w:color w:val="0000EE"/>
        </w:rPr>
        <w:t>Officer Compensation</w:t>
      </w:r>
    </w:p>
    <w:p>
      <w:pPr>
        <w:spacing w:after="0" w:line="1" w:lineRule="exact"/>
        <w:rPr>
          <w:sz w:val="20"/>
          <w:szCs w:val="20"/>
          <w:color w:val="auto"/>
        </w:rPr>
      </w:pPr>
    </w:p>
    <w:p>
      <w:pPr>
        <w:ind w:left="1000" w:right="20" w:hanging="286"/>
        <w:spacing w:after="0" w:line="244"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b w:val="1"/>
          <w:bCs w:val="1"/>
          <w:u w:val="single" w:color="auto"/>
          <w:color w:val="0000EE"/>
        </w:rPr>
        <w:t xml:space="preserve">Item 4 </w:t>
      </w:r>
      <w:r>
        <w:rPr>
          <w:rFonts w:ascii="Arial" w:cs="Arial" w:eastAsia="Arial" w:hAnsi="Arial"/>
          <w:sz w:val="17"/>
          <w:szCs w:val="17"/>
          <w:u w:val="single" w:color="auto"/>
          <w:color w:val="0000EE"/>
        </w:rPr>
        <w:t>– Approval of the Second Amended and Restated</w:t>
      </w:r>
      <w:r>
        <w:rPr>
          <w:rFonts w:ascii="Arial" w:cs="Arial" w:eastAsia="Arial" w:hAnsi="Arial"/>
          <w:sz w:val="17"/>
          <w:szCs w:val="17"/>
          <w:b w:val="1"/>
          <w:bCs w:val="1"/>
          <w:u w:val="single" w:color="auto"/>
          <w:color w:val="0000EE"/>
        </w:rPr>
        <w:t xml:space="preserve"> </w:t>
      </w:r>
      <w:r>
        <w:rPr>
          <w:rFonts w:ascii="Arial" w:cs="Arial" w:eastAsia="Arial" w:hAnsi="Arial"/>
          <w:sz w:val="17"/>
          <w:szCs w:val="17"/>
          <w:u w:val="single" w:color="auto"/>
          <w:color w:val="0000EE"/>
        </w:rPr>
        <w:t>Marriott Vacations Worldwide Corporation 2020 Equity Incentive Plan</w:t>
      </w:r>
    </w:p>
    <w:p>
      <w:pPr>
        <w:spacing w:after="0" w:line="232" w:lineRule="exact"/>
        <w:rPr>
          <w:sz w:val="20"/>
          <w:szCs w:val="20"/>
          <w:color w:val="auto"/>
        </w:rPr>
      </w:pPr>
    </w:p>
    <w:p>
      <w:pPr>
        <w:ind w:left="620" w:right="440" w:hanging="429"/>
        <w:spacing w:after="0" w:line="239" w:lineRule="auto"/>
        <w:tabs>
          <w:tab w:leader="none" w:pos="607" w:val="left"/>
        </w:tabs>
        <w:numPr>
          <w:ilvl w:val="0"/>
          <w:numId w:val="11"/>
        </w:numPr>
        <w:rPr>
          <w:rFonts w:ascii="Arial" w:cs="Arial" w:eastAsia="Arial" w:hAnsi="Arial"/>
          <w:sz w:val="22"/>
          <w:szCs w:val="22"/>
          <w:color w:val="auto"/>
        </w:rPr>
      </w:pPr>
      <w:r>
        <w:rPr>
          <w:rFonts w:ascii="Arial" w:cs="Arial" w:eastAsia="Arial" w:hAnsi="Arial"/>
          <w:sz w:val="17"/>
          <w:szCs w:val="17"/>
          <w:b w:val="1"/>
          <w:bCs w:val="1"/>
          <w:u w:val="single" w:color="auto"/>
          <w:color w:val="0000EE"/>
        </w:rPr>
        <w:t xml:space="preserve">Report on the Board of Directors and its Committees </w:t>
      </w:r>
      <w:r>
        <w:rPr>
          <w:rFonts w:ascii="Arial" w:cs="Arial" w:eastAsia="Arial" w:hAnsi="Arial"/>
          <w:sz w:val="17"/>
          <w:szCs w:val="17"/>
          <w:color w:val="000000"/>
        </w:rPr>
        <w:t xml:space="preserve">18 </w:t>
      </w:r>
      <w:r>
        <w:rPr>
          <w:rFonts w:ascii="Arial" w:cs="Arial" w:eastAsia="Arial" w:hAnsi="Arial"/>
          <w:sz w:val="17"/>
          <w:szCs w:val="17"/>
          <w:b w:val="1"/>
          <w:bCs w:val="1"/>
          <w:u w:val="single" w:color="auto"/>
          <w:color w:val="0000EE"/>
        </w:rPr>
        <w:t>Our Board of Directors</w:t>
      </w:r>
    </w:p>
    <w:p>
      <w:pPr>
        <w:spacing w:after="0" w:line="1"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17"/>
          <w:szCs w:val="17"/>
          <w:color w:val="auto"/>
        </w:rPr>
        <w:t xml:space="preserve">18  </w:t>
      </w:r>
      <w:r>
        <w:rPr>
          <w:rFonts w:ascii="Arial" w:cs="Arial" w:eastAsia="Arial" w:hAnsi="Arial"/>
          <w:sz w:val="17"/>
          <w:szCs w:val="17"/>
          <w:b w:val="1"/>
          <w:bCs w:val="1"/>
          <w:u w:val="single" w:color="auto"/>
          <w:color w:val="0000EE"/>
        </w:rPr>
        <w:t>Nominees for Director</w:t>
      </w:r>
    </w:p>
    <w:p>
      <w:pPr>
        <w:spacing w:after="0" w:line="20"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0000EE"/>
        </w:rPr>
        <w:t>Summary of Director Attributes and Skills</w:t>
      </w:r>
    </w:p>
    <w:p>
      <w:pPr>
        <w:spacing w:after="0" w:line="20"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17"/>
          <w:szCs w:val="17"/>
          <w:color w:val="auto"/>
        </w:rPr>
        <w:t xml:space="preserve">24  </w:t>
      </w:r>
      <w:r>
        <w:rPr>
          <w:rFonts w:ascii="Arial" w:cs="Arial" w:eastAsia="Arial" w:hAnsi="Arial"/>
          <w:sz w:val="17"/>
          <w:szCs w:val="17"/>
          <w:b w:val="1"/>
          <w:bCs w:val="1"/>
          <w:u w:val="single" w:color="auto"/>
          <w:color w:val="0000EE"/>
        </w:rPr>
        <w:t>2025 Board and Committee Meetings and Attendance</w:t>
      </w:r>
    </w:p>
    <w:p>
      <w:pPr>
        <w:spacing w:after="0" w:line="20"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17"/>
          <w:szCs w:val="17"/>
          <w:color w:val="auto"/>
        </w:rPr>
        <w:t xml:space="preserve">24  </w:t>
      </w:r>
      <w:r>
        <w:rPr>
          <w:rFonts w:ascii="Arial" w:cs="Arial" w:eastAsia="Arial" w:hAnsi="Arial"/>
          <w:sz w:val="17"/>
          <w:szCs w:val="17"/>
          <w:b w:val="1"/>
          <w:bCs w:val="1"/>
          <w:u w:val="single" w:color="auto"/>
          <w:color w:val="0000EE"/>
        </w:rPr>
        <w:t>Committee Charters</w:t>
      </w:r>
    </w:p>
    <w:p>
      <w:pPr>
        <w:spacing w:after="0" w:line="20" w:lineRule="exact"/>
        <w:rPr>
          <w:rFonts w:ascii="Arial" w:cs="Arial" w:eastAsia="Arial" w:hAnsi="Arial"/>
          <w:sz w:val="22"/>
          <w:szCs w:val="22"/>
          <w:color w:val="auto"/>
        </w:rPr>
      </w:pPr>
    </w:p>
    <w:p>
      <w:pPr>
        <w:ind w:left="620"/>
        <w:spacing w:after="0" w:line="232" w:lineRule="auto"/>
        <w:rPr>
          <w:rFonts w:ascii="Arial" w:cs="Arial" w:eastAsia="Arial" w:hAnsi="Arial"/>
          <w:sz w:val="22"/>
          <w:szCs w:val="22"/>
          <w:color w:val="auto"/>
        </w:rPr>
      </w:pPr>
      <w:r>
        <w:rPr>
          <w:rFonts w:ascii="Arial" w:cs="Arial" w:eastAsia="Arial" w:hAnsi="Arial"/>
          <w:sz w:val="17"/>
          <w:szCs w:val="17"/>
          <w:color w:val="auto"/>
        </w:rPr>
        <w:t xml:space="preserve">25  </w:t>
      </w:r>
      <w:r>
        <w:rPr>
          <w:rFonts w:ascii="Arial" w:cs="Arial" w:eastAsia="Arial" w:hAnsi="Arial"/>
          <w:sz w:val="17"/>
          <w:szCs w:val="17"/>
          <w:b w:val="1"/>
          <w:bCs w:val="1"/>
          <w:u w:val="single" w:color="auto"/>
          <w:color w:val="0000EE"/>
        </w:rPr>
        <w:t>Compensation Committee Interlocks and Insider</w:t>
      </w:r>
    </w:p>
    <w:p>
      <w:pPr>
        <w:ind w:left="100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Participation</w:t>
      </w:r>
    </w:p>
    <w:p>
      <w:pPr>
        <w:spacing w:after="0" w:line="20"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17"/>
          <w:szCs w:val="17"/>
          <w:color w:val="auto"/>
        </w:rPr>
        <w:t xml:space="preserve">25  </w:t>
      </w:r>
      <w:r>
        <w:rPr>
          <w:rFonts w:ascii="Arial" w:cs="Arial" w:eastAsia="Arial" w:hAnsi="Arial"/>
          <w:sz w:val="17"/>
          <w:szCs w:val="17"/>
          <w:b w:val="1"/>
          <w:bCs w:val="1"/>
          <w:u w:val="single" w:color="auto"/>
          <w:color w:val="0000EE"/>
        </w:rPr>
        <w:t>Meetings of Independent Directors</w:t>
      </w:r>
    </w:p>
    <w:p>
      <w:pPr>
        <w:spacing w:after="0" w:line="227" w:lineRule="exact"/>
        <w:rPr>
          <w:sz w:val="20"/>
          <w:szCs w:val="20"/>
          <w:color w:val="auto"/>
        </w:rPr>
      </w:pPr>
    </w:p>
    <w:p>
      <w:pPr>
        <w:ind w:left="600" w:hanging="409"/>
        <w:spacing w:after="0"/>
        <w:tabs>
          <w:tab w:leader="none" w:pos="600" w:val="left"/>
        </w:tabs>
        <w:numPr>
          <w:ilvl w:val="0"/>
          <w:numId w:val="12"/>
        </w:numPr>
        <w:rPr>
          <w:rFonts w:ascii="Arial" w:cs="Arial" w:eastAsia="Arial" w:hAnsi="Arial"/>
          <w:sz w:val="22"/>
          <w:szCs w:val="22"/>
          <w:color w:val="auto"/>
        </w:rPr>
      </w:pPr>
      <w:r>
        <w:rPr>
          <w:rFonts w:ascii="Arial" w:cs="Arial" w:eastAsia="Arial" w:hAnsi="Arial"/>
          <w:sz w:val="17"/>
          <w:szCs w:val="17"/>
          <w:b w:val="1"/>
          <w:bCs w:val="1"/>
          <w:u w:val="single" w:color="auto"/>
          <w:color w:val="0000EE"/>
        </w:rPr>
        <w:t>Corporate Governance</w:t>
      </w:r>
    </w:p>
    <w:p>
      <w:pPr>
        <w:ind w:left="620"/>
        <w:spacing w:after="0" w:line="232" w:lineRule="auto"/>
        <w:rPr>
          <w:rFonts w:ascii="Arial" w:cs="Arial" w:eastAsia="Arial" w:hAnsi="Arial"/>
          <w:sz w:val="22"/>
          <w:szCs w:val="22"/>
          <w:color w:val="auto"/>
        </w:rPr>
      </w:pPr>
      <w:r>
        <w:rPr>
          <w:rFonts w:ascii="Arial" w:cs="Arial" w:eastAsia="Arial" w:hAnsi="Arial"/>
          <w:sz w:val="17"/>
          <w:szCs w:val="17"/>
          <w:color w:val="auto"/>
        </w:rPr>
        <w:t xml:space="preserve">26  </w:t>
      </w:r>
      <w:r>
        <w:rPr>
          <w:rFonts w:ascii="Arial" w:cs="Arial" w:eastAsia="Arial" w:hAnsi="Arial"/>
          <w:sz w:val="17"/>
          <w:szCs w:val="17"/>
          <w:b w:val="1"/>
          <w:bCs w:val="1"/>
          <w:u w:val="single" w:color="auto"/>
          <w:color w:val="0000EE"/>
        </w:rPr>
        <w:t>Separation of Board Chairman and Chief Executive</w:t>
      </w:r>
    </w:p>
    <w:p>
      <w:pPr>
        <w:ind w:left="100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Officer</w:t>
      </w:r>
    </w:p>
    <w:p>
      <w:pPr>
        <w:spacing w:after="0" w:line="20"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17"/>
          <w:szCs w:val="17"/>
          <w:color w:val="auto"/>
        </w:rPr>
        <w:t xml:space="preserve">26  </w:t>
      </w:r>
      <w:r>
        <w:rPr>
          <w:rFonts w:ascii="Arial" w:cs="Arial" w:eastAsia="Arial" w:hAnsi="Arial"/>
          <w:sz w:val="17"/>
          <w:szCs w:val="17"/>
          <w:b w:val="1"/>
          <w:bCs w:val="1"/>
          <w:u w:val="single" w:color="auto"/>
          <w:color w:val="0000EE"/>
        </w:rPr>
        <w:t>Board and Committee Evaluations</w:t>
      </w:r>
    </w:p>
    <w:p>
      <w:pPr>
        <w:spacing w:after="0" w:line="20"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17"/>
          <w:szCs w:val="17"/>
          <w:color w:val="auto"/>
        </w:rPr>
        <w:t xml:space="preserve">26  </w:t>
      </w:r>
      <w:r>
        <w:rPr>
          <w:rFonts w:ascii="Arial" w:cs="Arial" w:eastAsia="Arial" w:hAnsi="Arial"/>
          <w:sz w:val="17"/>
          <w:szCs w:val="17"/>
          <w:b w:val="1"/>
          <w:bCs w:val="1"/>
          <w:u w:val="single" w:color="auto"/>
          <w:color w:val="0000EE"/>
        </w:rPr>
        <w:t>Inclusion</w:t>
      </w:r>
    </w:p>
    <w:p>
      <w:pPr>
        <w:spacing w:after="0" w:line="20"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17"/>
          <w:szCs w:val="17"/>
          <w:color w:val="auto"/>
        </w:rPr>
        <w:t xml:space="preserve">27  </w:t>
      </w:r>
      <w:r>
        <w:rPr>
          <w:rFonts w:ascii="Arial" w:cs="Arial" w:eastAsia="Arial" w:hAnsi="Arial"/>
          <w:sz w:val="17"/>
          <w:szCs w:val="17"/>
          <w:b w:val="1"/>
          <w:bCs w:val="1"/>
          <w:u w:val="single" w:color="auto"/>
          <w:color w:val="0000EE"/>
        </w:rPr>
        <w:t>Selection of Director Nominees</w:t>
      </w:r>
    </w:p>
    <w:p>
      <w:pPr>
        <w:spacing w:after="0" w:line="20"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17"/>
          <w:szCs w:val="17"/>
          <w:color w:val="auto"/>
        </w:rPr>
        <w:t xml:space="preserve">27  </w:t>
      </w:r>
      <w:r>
        <w:rPr>
          <w:rFonts w:ascii="Arial" w:cs="Arial" w:eastAsia="Arial" w:hAnsi="Arial"/>
          <w:sz w:val="17"/>
          <w:szCs w:val="17"/>
          <w:b w:val="1"/>
          <w:bCs w:val="1"/>
          <w:u w:val="single" w:color="auto"/>
          <w:color w:val="0000EE"/>
        </w:rPr>
        <w:t>Director Independence</w:t>
      </w:r>
    </w:p>
    <w:p>
      <w:pPr>
        <w:spacing w:after="0" w:line="20"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17"/>
          <w:szCs w:val="17"/>
          <w:color w:val="auto"/>
        </w:rPr>
        <w:t xml:space="preserve">27  </w:t>
      </w:r>
      <w:r>
        <w:rPr>
          <w:rFonts w:ascii="Arial" w:cs="Arial" w:eastAsia="Arial" w:hAnsi="Arial"/>
          <w:sz w:val="17"/>
          <w:szCs w:val="17"/>
          <w:b w:val="1"/>
          <w:bCs w:val="1"/>
          <w:u w:val="single" w:color="auto"/>
          <w:color w:val="0000EE"/>
        </w:rPr>
        <w:t>Risk Oversight</w:t>
      </w:r>
    </w:p>
    <w:p>
      <w:pPr>
        <w:spacing w:after="0" w:line="20"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17"/>
          <w:szCs w:val="17"/>
          <w:color w:val="auto"/>
        </w:rPr>
        <w:t xml:space="preserve">28  </w:t>
      </w:r>
      <w:r>
        <w:rPr>
          <w:rFonts w:ascii="Arial" w:cs="Arial" w:eastAsia="Arial" w:hAnsi="Arial"/>
          <w:sz w:val="17"/>
          <w:szCs w:val="17"/>
          <w:b w:val="1"/>
          <w:bCs w:val="1"/>
          <w:u w:val="single" w:color="auto"/>
          <w:color w:val="0000EE"/>
        </w:rPr>
        <w:t>Oversight of Cybersecurity</w:t>
      </w:r>
    </w:p>
    <w:p>
      <w:pPr>
        <w:spacing w:after="0" w:line="20" w:lineRule="exact"/>
        <w:rPr>
          <w:rFonts w:ascii="Arial" w:cs="Arial" w:eastAsia="Arial" w:hAnsi="Arial"/>
          <w:sz w:val="22"/>
          <w:szCs w:val="22"/>
          <w:color w:val="auto"/>
        </w:rPr>
      </w:pPr>
    </w:p>
    <w:p>
      <w:pPr>
        <w:ind w:left="620"/>
        <w:spacing w:after="0" w:line="232" w:lineRule="auto"/>
        <w:rPr>
          <w:rFonts w:ascii="Arial" w:cs="Arial" w:eastAsia="Arial" w:hAnsi="Arial"/>
          <w:sz w:val="22"/>
          <w:szCs w:val="22"/>
          <w:color w:val="auto"/>
        </w:rPr>
      </w:pPr>
      <w:r>
        <w:rPr>
          <w:rFonts w:ascii="Arial" w:cs="Arial" w:eastAsia="Arial" w:hAnsi="Arial"/>
          <w:sz w:val="17"/>
          <w:szCs w:val="17"/>
          <w:color w:val="auto"/>
        </w:rPr>
        <w:t xml:space="preserve">28  </w:t>
      </w:r>
      <w:r>
        <w:rPr>
          <w:rFonts w:ascii="Arial" w:cs="Arial" w:eastAsia="Arial" w:hAnsi="Arial"/>
          <w:sz w:val="17"/>
          <w:szCs w:val="17"/>
          <w:b w:val="1"/>
          <w:bCs w:val="1"/>
          <w:u w:val="single" w:color="auto"/>
          <w:color w:val="0000EE"/>
        </w:rPr>
        <w:t>Board and Committee Oversight of Corporate</w:t>
      </w:r>
    </w:p>
    <w:p>
      <w:pPr>
        <w:ind w:left="100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Responsibility</w:t>
      </w:r>
    </w:p>
    <w:p>
      <w:pPr>
        <w:spacing w:after="0" w:line="20"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17"/>
          <w:szCs w:val="17"/>
          <w:color w:val="auto"/>
        </w:rPr>
        <w:t xml:space="preserve">29  </w:t>
      </w:r>
      <w:r>
        <w:rPr>
          <w:rFonts w:ascii="Arial" w:cs="Arial" w:eastAsia="Arial" w:hAnsi="Arial"/>
          <w:sz w:val="17"/>
          <w:szCs w:val="17"/>
          <w:b w:val="1"/>
          <w:bCs w:val="1"/>
          <w:u w:val="single" w:color="auto"/>
          <w:color w:val="0000EE"/>
        </w:rPr>
        <w:t>Communications with the Board</w:t>
      </w:r>
    </w:p>
    <w:p>
      <w:pPr>
        <w:spacing w:after="0" w:line="20"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17"/>
          <w:szCs w:val="17"/>
          <w:color w:val="auto"/>
        </w:rPr>
        <w:t xml:space="preserve">29  </w:t>
      </w:r>
      <w:r>
        <w:rPr>
          <w:rFonts w:ascii="Arial" w:cs="Arial" w:eastAsia="Arial" w:hAnsi="Arial"/>
          <w:sz w:val="17"/>
          <w:szCs w:val="17"/>
          <w:b w:val="1"/>
          <w:bCs w:val="1"/>
          <w:u w:val="single" w:color="auto"/>
          <w:color w:val="0000EE"/>
        </w:rPr>
        <w:t>Other Directorships</w:t>
      </w:r>
    </w:p>
    <w:p>
      <w:pPr>
        <w:spacing w:after="0" w:line="20"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17"/>
          <w:szCs w:val="17"/>
          <w:color w:val="auto"/>
        </w:rPr>
        <w:t xml:space="preserve">29  </w:t>
      </w:r>
      <w:r>
        <w:rPr>
          <w:rFonts w:ascii="Arial" w:cs="Arial" w:eastAsia="Arial" w:hAnsi="Arial"/>
          <w:sz w:val="17"/>
          <w:szCs w:val="17"/>
          <w:b w:val="1"/>
          <w:bCs w:val="1"/>
          <w:u w:val="single" w:color="auto"/>
          <w:color w:val="0000EE"/>
        </w:rPr>
        <w:t>Code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Forward-Looking Statements and Website References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 w:right="540" w:hanging="421"/>
        <w:spacing w:after="0" w:line="239" w:lineRule="auto"/>
        <w:tabs>
          <w:tab w:leader="none" w:pos="507" w:val="left"/>
        </w:tabs>
        <w:numPr>
          <w:ilvl w:val="0"/>
          <w:numId w:val="13"/>
        </w:numPr>
        <w:rPr>
          <w:rFonts w:ascii="Arial" w:cs="Arial" w:eastAsia="Arial" w:hAnsi="Arial"/>
          <w:sz w:val="22"/>
          <w:szCs w:val="22"/>
          <w:color w:val="auto"/>
        </w:rPr>
      </w:pPr>
      <w:r>
        <w:rPr>
          <w:rFonts w:ascii="Arial" w:cs="Arial" w:eastAsia="Arial" w:hAnsi="Arial"/>
          <w:sz w:val="17"/>
          <w:szCs w:val="17"/>
          <w:b w:val="1"/>
          <w:bCs w:val="1"/>
          <w:u w:val="single" w:color="auto"/>
          <w:color w:val="0000EE"/>
        </w:rPr>
        <w:t xml:space="preserve">Audit Committee Report and Independent Auditor Fees </w:t>
      </w:r>
      <w:r>
        <w:rPr>
          <w:rFonts w:ascii="Arial" w:cs="Arial" w:eastAsia="Arial" w:hAnsi="Arial"/>
          <w:sz w:val="17"/>
          <w:szCs w:val="17"/>
          <w:color w:val="000000"/>
        </w:rPr>
        <w:t xml:space="preserve">30 </w:t>
      </w:r>
      <w:r>
        <w:rPr>
          <w:rFonts w:ascii="Arial" w:cs="Arial" w:eastAsia="Arial" w:hAnsi="Arial"/>
          <w:sz w:val="17"/>
          <w:szCs w:val="17"/>
          <w:b w:val="1"/>
          <w:bCs w:val="1"/>
          <w:u w:val="single" w:color="auto"/>
          <w:color w:val="0000EE"/>
        </w:rPr>
        <w:t>Report of the Audit Committee</w:t>
      </w:r>
    </w:p>
    <w:p>
      <w:pPr>
        <w:spacing w:after="0" w:line="1" w:lineRule="exact"/>
        <w:rPr>
          <w:rFonts w:ascii="Arial" w:cs="Arial" w:eastAsia="Arial" w:hAnsi="Arial"/>
          <w:sz w:val="22"/>
          <w:szCs w:val="22"/>
          <w:color w:val="auto"/>
        </w:rPr>
      </w:pPr>
    </w:p>
    <w:p>
      <w:pPr>
        <w:ind w:left="520"/>
        <w:spacing w:after="0" w:line="232" w:lineRule="auto"/>
        <w:rPr>
          <w:rFonts w:ascii="Arial" w:cs="Arial" w:eastAsia="Arial" w:hAnsi="Arial"/>
          <w:sz w:val="22"/>
          <w:szCs w:val="22"/>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0000EE"/>
        </w:rPr>
        <w:t>Pre-Approval of Independent Auditor Fees and Services</w:t>
      </w:r>
    </w:p>
    <w:p>
      <w:pPr>
        <w:ind w:left="82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Policy</w:t>
      </w:r>
    </w:p>
    <w:p>
      <w:pPr>
        <w:spacing w:after="0" w:line="20" w:lineRule="exact"/>
        <w:rPr>
          <w:rFonts w:ascii="Arial" w:cs="Arial" w:eastAsia="Arial" w:hAnsi="Arial"/>
          <w:sz w:val="22"/>
          <w:szCs w:val="22"/>
          <w:color w:val="auto"/>
        </w:rPr>
      </w:pPr>
    </w:p>
    <w:p>
      <w:pPr>
        <w:ind w:left="520"/>
        <w:spacing w:after="0" w:line="232" w:lineRule="auto"/>
        <w:rPr>
          <w:rFonts w:ascii="Arial" w:cs="Arial" w:eastAsia="Arial" w:hAnsi="Arial"/>
          <w:sz w:val="22"/>
          <w:szCs w:val="22"/>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0000EE"/>
        </w:rPr>
        <w:t>Independent Registered Public Accounting Firm Fee</w:t>
      </w:r>
    </w:p>
    <w:p>
      <w:pPr>
        <w:ind w:left="82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Disclosure</w:t>
      </w:r>
    </w:p>
    <w:p>
      <w:pPr>
        <w:spacing w:after="0" w:line="227" w:lineRule="exact"/>
        <w:rPr>
          <w:sz w:val="20"/>
          <w:szCs w:val="20"/>
          <w:color w:val="auto"/>
        </w:rPr>
      </w:pPr>
    </w:p>
    <w:p>
      <w:pPr>
        <w:ind w:left="520" w:hanging="421"/>
        <w:spacing w:after="0"/>
        <w:tabs>
          <w:tab w:leader="none" w:pos="520" w:val="left"/>
        </w:tabs>
        <w:numPr>
          <w:ilvl w:val="0"/>
          <w:numId w:val="14"/>
        </w:numPr>
        <w:rPr>
          <w:rFonts w:ascii="Arial" w:cs="Arial" w:eastAsia="Arial" w:hAnsi="Arial"/>
          <w:sz w:val="22"/>
          <w:szCs w:val="22"/>
          <w:color w:val="auto"/>
        </w:rPr>
      </w:pPr>
      <w:r>
        <w:rPr>
          <w:rFonts w:ascii="Arial" w:cs="Arial" w:eastAsia="Arial" w:hAnsi="Arial"/>
          <w:sz w:val="17"/>
          <w:szCs w:val="17"/>
          <w:b w:val="1"/>
          <w:bCs w:val="1"/>
          <w:u w:val="single" w:color="auto"/>
          <w:color w:val="0000EE"/>
        </w:rPr>
        <w:t>Executive and Director Compensation</w:t>
      </w: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32 </w:t>
      </w:r>
      <w:r>
        <w:rPr>
          <w:rFonts w:ascii="Arial" w:cs="Arial" w:eastAsia="Arial" w:hAnsi="Arial"/>
          <w:sz w:val="17"/>
          <w:szCs w:val="17"/>
          <w:b w:val="1"/>
          <w:bCs w:val="1"/>
          <w:u w:val="single" w:color="auto"/>
          <w:color w:val="0000EE"/>
        </w:rPr>
        <w:t>Compensation Discussion and Analysis</w:t>
      </w:r>
    </w:p>
    <w:p>
      <w:pPr>
        <w:spacing w:after="0" w:line="20"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0000EE"/>
        </w:rPr>
        <w:t>Philosophy</w:t>
      </w:r>
    </w:p>
    <w:p>
      <w:pPr>
        <w:spacing w:after="0" w:line="20"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0000EE"/>
        </w:rPr>
        <w:t>Compensation Program Principles and Governance</w:t>
      </w:r>
    </w:p>
    <w:p>
      <w:pPr>
        <w:spacing w:after="0" w:line="20"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0000EE"/>
        </w:rPr>
        <w:t>Compensation Process</w:t>
      </w:r>
    </w:p>
    <w:p>
      <w:pPr>
        <w:spacing w:after="0" w:line="20"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36 </w:t>
      </w:r>
      <w:r>
        <w:rPr>
          <w:rFonts w:ascii="Arial" w:cs="Arial" w:eastAsia="Arial" w:hAnsi="Arial"/>
          <w:sz w:val="17"/>
          <w:szCs w:val="17"/>
          <w:b w:val="1"/>
          <w:bCs w:val="1"/>
          <w:u w:val="single" w:color="auto"/>
          <w:color w:val="0000EE"/>
        </w:rPr>
        <w:t>Analysis of Each Compensation Element</w:t>
      </w:r>
    </w:p>
    <w:p>
      <w:pPr>
        <w:spacing w:after="0" w:line="20"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43 </w:t>
      </w:r>
      <w:r>
        <w:rPr>
          <w:rFonts w:ascii="Arial" w:cs="Arial" w:eastAsia="Arial" w:hAnsi="Arial"/>
          <w:sz w:val="17"/>
          <w:szCs w:val="17"/>
          <w:b w:val="1"/>
          <w:bCs w:val="1"/>
          <w:u w:val="single" w:color="auto"/>
          <w:color w:val="0000EE"/>
        </w:rPr>
        <w:t>Report of the Compensation Policy Committee</w:t>
      </w:r>
    </w:p>
    <w:p>
      <w:pPr>
        <w:spacing w:after="0" w:line="20"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0000EE"/>
        </w:rPr>
        <w:t>Executive Compensation Tables and Discussion</w:t>
      </w:r>
    </w:p>
    <w:p>
      <w:pPr>
        <w:spacing w:after="0" w:line="20" w:lineRule="exact"/>
        <w:rPr>
          <w:rFonts w:ascii="Arial" w:cs="Arial" w:eastAsia="Arial" w:hAnsi="Arial"/>
          <w:sz w:val="22"/>
          <w:szCs w:val="22"/>
          <w:color w:val="auto"/>
        </w:rPr>
      </w:pPr>
    </w:p>
    <w:p>
      <w:pPr>
        <w:ind w:left="820"/>
        <w:spacing w:after="0"/>
        <w:rPr>
          <w:rFonts w:ascii="Arial" w:cs="Arial" w:eastAsia="Arial" w:hAnsi="Arial"/>
          <w:sz w:val="22"/>
          <w:szCs w:val="22"/>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0000EE"/>
        </w:rPr>
        <w:t>Summary Compensation Table</w:t>
      </w:r>
    </w:p>
    <w:p>
      <w:pPr>
        <w:spacing w:after="0" w:line="20" w:lineRule="exact"/>
        <w:rPr>
          <w:rFonts w:ascii="Arial" w:cs="Arial" w:eastAsia="Arial" w:hAnsi="Arial"/>
          <w:sz w:val="22"/>
          <w:szCs w:val="22"/>
          <w:color w:val="auto"/>
        </w:rPr>
      </w:pPr>
    </w:p>
    <w:p>
      <w:pPr>
        <w:ind w:left="820"/>
        <w:spacing w:after="0"/>
        <w:rPr>
          <w:rFonts w:ascii="Arial" w:cs="Arial" w:eastAsia="Arial" w:hAnsi="Arial"/>
          <w:sz w:val="22"/>
          <w:szCs w:val="22"/>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0000EE"/>
        </w:rPr>
        <w:t>CEO Pay Ratio</w:t>
      </w:r>
    </w:p>
    <w:p>
      <w:pPr>
        <w:spacing w:after="0" w:line="20" w:lineRule="exact"/>
        <w:rPr>
          <w:rFonts w:ascii="Arial" w:cs="Arial" w:eastAsia="Arial" w:hAnsi="Arial"/>
          <w:sz w:val="22"/>
          <w:szCs w:val="22"/>
          <w:color w:val="auto"/>
        </w:rPr>
      </w:pPr>
    </w:p>
    <w:p>
      <w:pPr>
        <w:ind w:left="820"/>
        <w:spacing w:after="0"/>
        <w:rPr>
          <w:rFonts w:ascii="Arial" w:cs="Arial" w:eastAsia="Arial" w:hAnsi="Arial"/>
          <w:sz w:val="22"/>
          <w:szCs w:val="22"/>
          <w:color w:val="auto"/>
        </w:rPr>
      </w:pPr>
      <w:r>
        <w:rPr>
          <w:rFonts w:ascii="Arial" w:cs="Arial" w:eastAsia="Arial" w:hAnsi="Arial"/>
          <w:sz w:val="17"/>
          <w:szCs w:val="17"/>
          <w:color w:val="auto"/>
        </w:rPr>
        <w:t xml:space="preserve">54  </w:t>
      </w:r>
      <w:r>
        <w:rPr>
          <w:rFonts w:ascii="Arial" w:cs="Arial" w:eastAsia="Arial" w:hAnsi="Arial"/>
          <w:sz w:val="17"/>
          <w:szCs w:val="17"/>
          <w:b w:val="1"/>
          <w:bCs w:val="1"/>
          <w:u w:val="single" w:color="auto"/>
          <w:color w:val="0000EE"/>
        </w:rPr>
        <w:t>Pay vs. Performance</w:t>
      </w:r>
    </w:p>
    <w:p>
      <w:pPr>
        <w:spacing w:after="0" w:line="20" w:lineRule="exact"/>
        <w:rPr>
          <w:rFonts w:ascii="Arial" w:cs="Arial" w:eastAsia="Arial" w:hAnsi="Arial"/>
          <w:sz w:val="22"/>
          <w:szCs w:val="22"/>
          <w:color w:val="auto"/>
        </w:rPr>
      </w:pPr>
    </w:p>
    <w:p>
      <w:pPr>
        <w:ind w:left="820"/>
        <w:spacing w:after="0" w:line="232" w:lineRule="auto"/>
        <w:rPr>
          <w:rFonts w:ascii="Arial" w:cs="Arial" w:eastAsia="Arial" w:hAnsi="Arial"/>
          <w:sz w:val="22"/>
          <w:szCs w:val="22"/>
          <w:color w:val="auto"/>
        </w:rPr>
      </w:pPr>
      <w:r>
        <w:rPr>
          <w:rFonts w:ascii="Arial" w:cs="Arial" w:eastAsia="Arial" w:hAnsi="Arial"/>
          <w:sz w:val="17"/>
          <w:szCs w:val="17"/>
          <w:color w:val="auto"/>
        </w:rPr>
        <w:t xml:space="preserve">57  </w:t>
      </w:r>
      <w:r>
        <w:rPr>
          <w:rFonts w:ascii="Arial" w:cs="Arial" w:eastAsia="Arial" w:hAnsi="Arial"/>
          <w:sz w:val="17"/>
          <w:szCs w:val="17"/>
          <w:b w:val="1"/>
          <w:bCs w:val="1"/>
          <w:u w:val="single" w:color="auto"/>
          <w:color w:val="0000EE"/>
        </w:rPr>
        <w:t>Compensation Arrangements for Non-Employee</w:t>
      </w:r>
    </w:p>
    <w:p>
      <w:pPr>
        <w:ind w:left="118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Directors</w:t>
      </w:r>
    </w:p>
    <w:p>
      <w:pPr>
        <w:spacing w:after="0" w:line="227" w:lineRule="exact"/>
        <w:rPr>
          <w:sz w:val="20"/>
          <w:szCs w:val="20"/>
          <w:color w:val="auto"/>
        </w:rPr>
      </w:pPr>
    </w:p>
    <w:p>
      <w:pPr>
        <w:ind w:left="520" w:hanging="421"/>
        <w:spacing w:after="0"/>
        <w:tabs>
          <w:tab w:leader="none" w:pos="520" w:val="left"/>
        </w:tabs>
        <w:numPr>
          <w:ilvl w:val="0"/>
          <w:numId w:val="15"/>
        </w:numPr>
        <w:rPr>
          <w:rFonts w:ascii="Arial" w:cs="Arial" w:eastAsia="Arial" w:hAnsi="Arial"/>
          <w:sz w:val="22"/>
          <w:szCs w:val="22"/>
          <w:color w:val="auto"/>
        </w:rPr>
      </w:pPr>
      <w:r>
        <w:rPr>
          <w:rFonts w:ascii="Arial" w:cs="Arial" w:eastAsia="Arial" w:hAnsi="Arial"/>
          <w:sz w:val="17"/>
          <w:szCs w:val="17"/>
          <w:b w:val="1"/>
          <w:bCs w:val="1"/>
          <w:u w:val="single" w:color="auto"/>
          <w:color w:val="0000EE"/>
        </w:rPr>
        <w:t>Stock Ownership</w:t>
      </w:r>
    </w:p>
    <w:p>
      <w:pPr>
        <w:ind w:left="520"/>
        <w:spacing w:after="0" w:line="232" w:lineRule="auto"/>
        <w:rPr>
          <w:rFonts w:ascii="Arial" w:cs="Arial" w:eastAsia="Arial" w:hAnsi="Arial"/>
          <w:sz w:val="22"/>
          <w:szCs w:val="22"/>
          <w:color w:val="auto"/>
        </w:rPr>
      </w:pPr>
      <w:r>
        <w:rPr>
          <w:rFonts w:ascii="Arial" w:cs="Arial" w:eastAsia="Arial" w:hAnsi="Arial"/>
          <w:sz w:val="17"/>
          <w:szCs w:val="17"/>
          <w:color w:val="auto"/>
        </w:rPr>
        <w:t xml:space="preserve">59 </w:t>
      </w:r>
      <w:r>
        <w:rPr>
          <w:rFonts w:ascii="Arial" w:cs="Arial" w:eastAsia="Arial" w:hAnsi="Arial"/>
          <w:sz w:val="17"/>
          <w:szCs w:val="17"/>
          <w:b w:val="1"/>
          <w:bCs w:val="1"/>
          <w:u w:val="single" w:color="auto"/>
          <w:color w:val="0000EE"/>
        </w:rPr>
        <w:t>Stock Ownership of Our Directors, Executive Officers and</w:t>
      </w:r>
    </w:p>
    <w:p>
      <w:pPr>
        <w:ind w:left="82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Certain Beneficial Owners</w:t>
      </w:r>
    </w:p>
    <w:p>
      <w:pPr>
        <w:spacing w:after="0" w:line="227" w:lineRule="exact"/>
        <w:rPr>
          <w:sz w:val="20"/>
          <w:szCs w:val="20"/>
          <w:color w:val="auto"/>
        </w:rPr>
      </w:pPr>
    </w:p>
    <w:p>
      <w:pPr>
        <w:ind w:left="520" w:hanging="421"/>
        <w:spacing w:after="0"/>
        <w:tabs>
          <w:tab w:leader="none" w:pos="520" w:val="left"/>
        </w:tabs>
        <w:numPr>
          <w:ilvl w:val="0"/>
          <w:numId w:val="16"/>
        </w:numPr>
        <w:rPr>
          <w:rFonts w:ascii="Arial" w:cs="Arial" w:eastAsia="Arial" w:hAnsi="Arial"/>
          <w:sz w:val="22"/>
          <w:szCs w:val="22"/>
          <w:color w:val="auto"/>
        </w:rPr>
      </w:pPr>
      <w:r>
        <w:rPr>
          <w:rFonts w:ascii="Arial" w:cs="Arial" w:eastAsia="Arial" w:hAnsi="Arial"/>
          <w:sz w:val="17"/>
          <w:szCs w:val="17"/>
          <w:b w:val="1"/>
          <w:bCs w:val="1"/>
          <w:u w:val="single" w:color="auto"/>
          <w:color w:val="0000EE"/>
        </w:rPr>
        <w:t>Transactions with Related Persons</w:t>
      </w:r>
    </w:p>
    <w:p>
      <w:pPr>
        <w:ind w:left="520"/>
        <w:spacing w:after="0" w:line="232" w:lineRule="auto"/>
        <w:rPr>
          <w:rFonts w:ascii="Arial" w:cs="Arial" w:eastAsia="Arial" w:hAnsi="Arial"/>
          <w:sz w:val="22"/>
          <w:szCs w:val="22"/>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0000EE"/>
        </w:rPr>
        <w:t>Policy on Transactions and Arrangements with Related</w:t>
      </w:r>
    </w:p>
    <w:p>
      <w:pPr>
        <w:ind w:left="820"/>
        <w:spacing w:after="0"/>
        <w:rPr>
          <w:rFonts w:ascii="Arial" w:cs="Arial" w:eastAsia="Arial" w:hAnsi="Arial"/>
          <w:sz w:val="22"/>
          <w:szCs w:val="22"/>
          <w:color w:val="auto"/>
        </w:rPr>
      </w:pPr>
      <w:r>
        <w:rPr>
          <w:rFonts w:ascii="Arial" w:cs="Arial" w:eastAsia="Arial" w:hAnsi="Arial"/>
          <w:sz w:val="17"/>
          <w:szCs w:val="17"/>
          <w:b w:val="1"/>
          <w:bCs w:val="1"/>
          <w:u w:val="single" w:color="auto"/>
          <w:color w:val="0000EE"/>
        </w:rPr>
        <w:t>Persons</w:t>
      </w:r>
    </w:p>
    <w:p>
      <w:pPr>
        <w:spacing w:after="0" w:line="20"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0000EE"/>
        </w:rPr>
        <w:t>Transactions with Certain Stockholders</w:t>
      </w:r>
    </w:p>
    <w:p>
      <w:pPr>
        <w:spacing w:after="0" w:line="20" w:lineRule="exact"/>
        <w:rPr>
          <w:rFonts w:ascii="Arial" w:cs="Arial" w:eastAsia="Arial" w:hAnsi="Arial"/>
          <w:sz w:val="22"/>
          <w:szCs w:val="22"/>
          <w:color w:val="auto"/>
        </w:rPr>
      </w:pPr>
    </w:p>
    <w:p>
      <w:pPr>
        <w:ind w:left="520"/>
        <w:spacing w:after="0"/>
        <w:rPr>
          <w:rFonts w:ascii="Arial" w:cs="Arial" w:eastAsia="Arial" w:hAnsi="Arial"/>
          <w:sz w:val="22"/>
          <w:szCs w:val="22"/>
          <w:color w:val="auto"/>
        </w:rPr>
      </w:pPr>
      <w:r>
        <w:rPr>
          <w:rFonts w:ascii="Arial" w:cs="Arial" w:eastAsia="Arial" w:hAnsi="Arial"/>
          <w:sz w:val="17"/>
          <w:szCs w:val="17"/>
          <w:color w:val="auto"/>
        </w:rPr>
        <w:t xml:space="preserve">63 </w:t>
      </w:r>
      <w:r>
        <w:rPr>
          <w:rFonts w:ascii="Arial" w:cs="Arial" w:eastAsia="Arial" w:hAnsi="Arial"/>
          <w:sz w:val="17"/>
          <w:szCs w:val="17"/>
          <w:b w:val="1"/>
          <w:bCs w:val="1"/>
          <w:u w:val="single" w:color="auto"/>
          <w:color w:val="0000EE"/>
        </w:rPr>
        <w:t>Delinquent Section 16 (a) Filings</w:t>
      </w:r>
    </w:p>
    <w:p>
      <w:pPr>
        <w:spacing w:after="0" w:line="16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20" w:type="dxa"/>
            <w:vAlign w:val="bottom"/>
            <w:vMerge w:val="restart"/>
          </w:tcPr>
          <w:p>
            <w:pPr>
              <w:jc w:val="right"/>
              <w:ind w:right="72"/>
              <w:spacing w:after="0"/>
              <w:rPr>
                <w:sz w:val="20"/>
                <w:szCs w:val="20"/>
                <w:color w:val="auto"/>
              </w:rPr>
            </w:pPr>
            <w:r>
              <w:rPr>
                <w:rFonts w:ascii="Arial" w:cs="Arial" w:eastAsia="Arial" w:hAnsi="Arial"/>
                <w:sz w:val="22"/>
                <w:szCs w:val="22"/>
                <w:color w:val="auto"/>
                <w:w w:val="89"/>
              </w:rPr>
              <w:t>64</w:t>
            </w:r>
          </w:p>
        </w:tc>
        <w:tc>
          <w:tcPr>
            <w:tcW w:w="468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b w:val="1"/>
                <w:bCs w:val="1"/>
                <w:color w:val="0000EE"/>
                <w:w w:val="99"/>
              </w:rPr>
              <w:t>Stockholder Proposals and Nominations for Directors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20" w:type="dxa"/>
            <w:vAlign w:val="bottom"/>
            <w:vMerge w:val="continue"/>
          </w:tcPr>
          <w:p>
            <w:pPr>
              <w:spacing w:after="0"/>
              <w:rPr>
                <w:sz w:val="6"/>
                <w:szCs w:val="6"/>
                <w:color w:val="auto"/>
              </w:rPr>
            </w:pPr>
          </w:p>
        </w:tc>
        <w:tc>
          <w:tcPr>
            <w:tcW w:w="260" w:type="dxa"/>
            <w:vAlign w:val="bottom"/>
            <w:vMerge w:val="restart"/>
          </w:tcPr>
          <w:p>
            <w:pPr>
              <w:spacing w:after="0" w:line="169" w:lineRule="exact"/>
              <w:rPr>
                <w:sz w:val="20"/>
                <w:szCs w:val="20"/>
                <w:color w:val="auto"/>
              </w:rPr>
            </w:pPr>
            <w:r>
              <w:rPr>
                <w:rFonts w:ascii="Arial" w:cs="Arial" w:eastAsia="Arial" w:hAnsi="Arial"/>
                <w:sz w:val="17"/>
                <w:szCs w:val="17"/>
                <w:b w:val="1"/>
                <w:bCs w:val="1"/>
                <w:color w:val="0000EE"/>
                <w:w w:val="93"/>
              </w:rPr>
              <w:t>the</w:t>
            </w:r>
          </w:p>
        </w:tc>
        <w:tc>
          <w:tcPr>
            <w:tcW w:w="444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20" w:type="dxa"/>
            <w:vAlign w:val="bottom"/>
          </w:tcPr>
          <w:p>
            <w:pPr>
              <w:spacing w:after="0"/>
              <w:rPr>
                <w:sz w:val="8"/>
                <w:szCs w:val="8"/>
                <w:color w:val="auto"/>
              </w:rPr>
            </w:pPr>
          </w:p>
        </w:tc>
        <w:tc>
          <w:tcPr>
            <w:tcW w:w="260" w:type="dxa"/>
            <w:vAlign w:val="bottom"/>
            <w:tcBorders>
              <w:bottom w:val="single" w:sz="8" w:color="0000EE"/>
            </w:tcBorders>
            <w:vMerge w:val="continue"/>
          </w:tcPr>
          <w:p>
            <w:pPr>
              <w:spacing w:after="0"/>
              <w:rPr>
                <w:sz w:val="8"/>
                <w:szCs w:val="8"/>
                <w:color w:val="auto"/>
              </w:rPr>
            </w:pPr>
          </w:p>
        </w:tc>
        <w:tc>
          <w:tcPr>
            <w:tcW w:w="44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520"/>
        <w:spacing w:after="0"/>
        <w:rPr>
          <w:sz w:val="20"/>
          <w:szCs w:val="20"/>
          <w:color w:val="auto"/>
        </w:rPr>
      </w:pPr>
      <w:r>
        <w:rPr>
          <w:rFonts w:ascii="Arial" w:cs="Arial" w:eastAsia="Arial" w:hAnsi="Arial"/>
          <w:sz w:val="17"/>
          <w:szCs w:val="17"/>
          <w:b w:val="1"/>
          <w:bCs w:val="1"/>
          <w:u w:val="single" w:color="auto"/>
          <w:color w:val="0000EE"/>
        </w:rPr>
        <w:t>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-12065</wp:posOffset>
            </wp:positionV>
            <wp:extent cx="298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845" cy="8890"/>
                    </a:xfrm>
                    <a:prstGeom prst="rect">
                      <a:avLst/>
                    </a:prstGeom>
                    <a:noFill/>
                  </pic:spPr>
                </pic:pic>
              </a:graphicData>
            </a:graphic>
          </wp:anchor>
        </w:drawing>
      </w:r>
    </w:p>
    <w:p>
      <w:pPr>
        <w:spacing w:after="0" w:line="217" w:lineRule="exact"/>
        <w:rPr>
          <w:sz w:val="20"/>
          <w:szCs w:val="20"/>
          <w:color w:val="auto"/>
        </w:rPr>
      </w:pPr>
    </w:p>
    <w:p>
      <w:pPr>
        <w:ind w:left="520" w:hanging="421"/>
        <w:spacing w:after="0"/>
        <w:tabs>
          <w:tab w:leader="none" w:pos="520" w:val="left"/>
        </w:tabs>
        <w:numPr>
          <w:ilvl w:val="0"/>
          <w:numId w:val="17"/>
        </w:numPr>
        <w:rPr>
          <w:rFonts w:ascii="Arial" w:cs="Arial" w:eastAsia="Arial" w:hAnsi="Arial"/>
          <w:sz w:val="22"/>
          <w:szCs w:val="22"/>
          <w:color w:val="auto"/>
        </w:rPr>
      </w:pPr>
      <w:r>
        <w:rPr>
          <w:rFonts w:ascii="Arial" w:cs="Arial" w:eastAsia="Arial" w:hAnsi="Arial"/>
          <w:sz w:val="17"/>
          <w:szCs w:val="17"/>
          <w:b w:val="1"/>
          <w:bCs w:val="1"/>
          <w:u w:val="single" w:color="auto"/>
          <w:color w:val="0000EE"/>
        </w:rPr>
        <w:t>Other Information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 w:type="dxa"/>
            <w:vAlign w:val="bottom"/>
            <w:vMerge w:val="restart"/>
          </w:tcPr>
          <w:p>
            <w:pPr>
              <w:spacing w:after="0"/>
              <w:rPr>
                <w:sz w:val="20"/>
                <w:szCs w:val="20"/>
                <w:color w:val="auto"/>
              </w:rPr>
            </w:pPr>
            <w:r>
              <w:rPr>
                <w:rFonts w:ascii="Arial" w:cs="Arial" w:eastAsia="Arial" w:hAnsi="Arial"/>
                <w:sz w:val="22"/>
                <w:szCs w:val="22"/>
                <w:color w:val="auto"/>
              </w:rPr>
              <w:t>A-1</w:t>
            </w:r>
          </w:p>
        </w:tc>
        <w:tc>
          <w:tcPr>
            <w:tcW w:w="448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b w:val="1"/>
                <w:bCs w:val="1"/>
                <w:color w:val="0000EE"/>
                <w:w w:val="99"/>
              </w:rPr>
              <w:t>Appendix A – Reconciliation of Non-GAAP Measures to</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20" w:type="dxa"/>
            <w:vAlign w:val="bottom"/>
            <w:vMerge w:val="continue"/>
          </w:tcPr>
          <w:p>
            <w:pPr>
              <w:spacing w:after="0"/>
              <w:rPr>
                <w:sz w:val="6"/>
                <w:szCs w:val="6"/>
                <w:color w:val="auto"/>
              </w:rPr>
            </w:pPr>
          </w:p>
        </w:tc>
        <w:tc>
          <w:tcPr>
            <w:tcW w:w="4920" w:type="dxa"/>
            <w:vAlign w:val="bottom"/>
            <w:gridSpan w:val="5"/>
            <w:vMerge w:val="restart"/>
          </w:tcPr>
          <w:p>
            <w:pPr>
              <w:spacing w:after="0" w:line="169" w:lineRule="exact"/>
              <w:rPr>
                <w:sz w:val="20"/>
                <w:szCs w:val="20"/>
                <w:color w:val="auto"/>
              </w:rPr>
            </w:pPr>
            <w:r>
              <w:rPr>
                <w:rFonts w:ascii="Arial" w:cs="Arial" w:eastAsia="Arial" w:hAnsi="Arial"/>
                <w:sz w:val="17"/>
                <w:szCs w:val="17"/>
                <w:b w:val="1"/>
                <w:bCs w:val="1"/>
                <w:color w:val="0000EE"/>
              </w:rPr>
              <w:t>GAAP</w:t>
            </w:r>
          </w:p>
        </w:tc>
        <w:tc>
          <w:tcPr>
            <w:tcW w:w="0" w:type="dxa"/>
            <w:vAlign w:val="bottom"/>
          </w:tcPr>
          <w:p>
            <w:pPr>
              <w:spacing w:after="0"/>
              <w:rPr>
                <w:sz w:val="1"/>
                <w:szCs w:val="1"/>
                <w:color w:val="auto"/>
              </w:rPr>
            </w:pPr>
          </w:p>
        </w:tc>
      </w:tr>
      <w:tr>
        <w:trPr>
          <w:trHeight w:val="94"/>
        </w:trPr>
        <w:tc>
          <w:tcPr>
            <w:tcW w:w="520" w:type="dxa"/>
            <w:vAlign w:val="bottom"/>
          </w:tcPr>
          <w:p>
            <w:pPr>
              <w:spacing w:after="0"/>
              <w:rPr>
                <w:sz w:val="8"/>
                <w:szCs w:val="8"/>
                <w:color w:val="auto"/>
              </w:rPr>
            </w:pPr>
          </w:p>
        </w:tc>
        <w:tc>
          <w:tcPr>
            <w:tcW w:w="49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178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7"/>
                <w:szCs w:val="17"/>
                <w:b w:val="1"/>
                <w:bCs w:val="1"/>
                <w:color w:val="0000EE"/>
                <w:w w:val="99"/>
              </w:rPr>
              <w:t>Measures (Unaudited)</w:t>
            </w:r>
          </w:p>
        </w:tc>
        <w:tc>
          <w:tcPr>
            <w:tcW w:w="3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20" w:type="dxa"/>
            <w:vAlign w:val="bottom"/>
            <w:vMerge w:val="restart"/>
          </w:tcPr>
          <w:p>
            <w:pPr>
              <w:spacing w:after="0"/>
              <w:rPr>
                <w:sz w:val="20"/>
                <w:szCs w:val="20"/>
                <w:color w:val="auto"/>
              </w:rPr>
            </w:pPr>
            <w:r>
              <w:rPr>
                <w:rFonts w:ascii="Arial" w:cs="Arial" w:eastAsia="Arial" w:hAnsi="Arial"/>
                <w:sz w:val="22"/>
                <w:szCs w:val="22"/>
                <w:color w:val="auto"/>
              </w:rPr>
              <w:t>B-1</w:t>
            </w:r>
          </w:p>
        </w:tc>
        <w:tc>
          <w:tcPr>
            <w:tcW w:w="438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b w:val="1"/>
                <w:bCs w:val="1"/>
                <w:color w:val="0000EE"/>
                <w:w w:val="99"/>
              </w:rPr>
              <w:t>Appendix B – Second Amended and Restated Marriott</w:t>
            </w:r>
          </w:p>
        </w:tc>
        <w:tc>
          <w:tcPr>
            <w:tcW w:w="5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520" w:type="dxa"/>
            <w:vAlign w:val="bottom"/>
            <w:vMerge w:val="continue"/>
          </w:tcPr>
          <w:p>
            <w:pPr>
              <w:spacing w:after="0"/>
              <w:rPr>
                <w:sz w:val="6"/>
                <w:szCs w:val="6"/>
                <w:color w:val="auto"/>
              </w:rPr>
            </w:pPr>
          </w:p>
        </w:tc>
        <w:tc>
          <w:tcPr>
            <w:tcW w:w="4920" w:type="dxa"/>
            <w:vAlign w:val="bottom"/>
            <w:gridSpan w:val="5"/>
            <w:vMerge w:val="restart"/>
          </w:tcPr>
          <w:p>
            <w:pPr>
              <w:spacing w:after="0" w:line="169" w:lineRule="exact"/>
              <w:rPr>
                <w:sz w:val="20"/>
                <w:szCs w:val="20"/>
                <w:color w:val="auto"/>
              </w:rPr>
            </w:pPr>
            <w:r>
              <w:rPr>
                <w:rFonts w:ascii="Arial" w:cs="Arial" w:eastAsia="Arial" w:hAnsi="Arial"/>
                <w:sz w:val="17"/>
                <w:szCs w:val="17"/>
                <w:b w:val="1"/>
                <w:bCs w:val="1"/>
                <w:color w:val="0000EE"/>
                <w:w w:val="99"/>
              </w:rPr>
              <w:t>Vacations Worldwide Corporation 2020 Equity Incentive Plan</w:t>
            </w:r>
          </w:p>
        </w:tc>
        <w:tc>
          <w:tcPr>
            <w:tcW w:w="0" w:type="dxa"/>
            <w:vAlign w:val="bottom"/>
          </w:tcPr>
          <w:p>
            <w:pPr>
              <w:spacing w:after="0"/>
              <w:rPr>
                <w:sz w:val="1"/>
                <w:szCs w:val="1"/>
                <w:color w:val="auto"/>
              </w:rPr>
            </w:pPr>
          </w:p>
        </w:tc>
      </w:tr>
      <w:tr>
        <w:trPr>
          <w:trHeight w:val="99"/>
        </w:trPr>
        <w:tc>
          <w:tcPr>
            <w:tcW w:w="520" w:type="dxa"/>
            <w:vAlign w:val="bottom"/>
          </w:tcPr>
          <w:p>
            <w:pPr>
              <w:spacing w:after="0"/>
              <w:rPr>
                <w:sz w:val="8"/>
                <w:szCs w:val="8"/>
                <w:color w:val="auto"/>
              </w:rPr>
            </w:pPr>
          </w:p>
        </w:tc>
        <w:tc>
          <w:tcPr>
            <w:tcW w:w="4920" w:type="dxa"/>
            <w:vAlign w:val="bottom"/>
            <w:tcBorders>
              <w:bottom w:val="single" w:sz="8" w:color="0000EE"/>
            </w:tcBorders>
            <w:gridSpan w:val="5"/>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-385445</wp:posOffset>
            </wp:positionV>
            <wp:extent cx="298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845" cy="825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-8255</wp:posOffset>
            </wp:positionV>
            <wp:extent cx="298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845" cy="8890"/>
                    </a:xfrm>
                    <a:prstGeom prst="rect">
                      <a:avLst/>
                    </a:prstGeom>
                    <a:noFill/>
                  </pic:spPr>
                </pic:pic>
              </a:graphicData>
            </a:graphic>
          </wp:anchor>
        </w:drawing>
      </w:r>
    </w:p>
    <w:p>
      <w:pPr>
        <w:spacing w:after="0" w:line="823" w:lineRule="exact"/>
        <w:rPr>
          <w:sz w:val="20"/>
          <w:szCs w:val="20"/>
          <w:color w:val="auto"/>
        </w:rPr>
      </w:pPr>
    </w:p>
    <w:p>
      <w:pPr>
        <w:sectPr>
          <w:pgSz w:w="11900" w:h="16838" w:orient="portrait"/>
          <w:cols w:equalWidth="0" w:num="2">
            <w:col w:w="5320" w:space="480"/>
            <w:col w:w="5520"/>
          </w:cols>
          <w:pgMar w:left="320" w:top="482" w:right="259" w:bottom="1440" w:gutter="0" w:footer="0" w:header="0"/>
          <w:type w:val="continuous"/>
        </w:sectPr>
      </w:pPr>
    </w:p>
    <w:p>
      <w:pPr>
        <w:ind w:left="120" w:right="200"/>
        <w:spacing w:after="0" w:line="252" w:lineRule="auto"/>
        <w:rPr>
          <w:sz w:val="20"/>
          <w:szCs w:val="20"/>
          <w:color w:val="auto"/>
        </w:rPr>
      </w:pPr>
      <w:r>
        <w:rPr>
          <w:rFonts w:ascii="Arial" w:cs="Arial" w:eastAsia="Arial" w:hAnsi="Arial"/>
          <w:sz w:val="16"/>
          <w:szCs w:val="16"/>
          <w:color w:val="auto"/>
        </w:rPr>
        <w:t>This document includes forward-looking statements within the meaning of the Private Securities Litigation Reform Act of 1995. All statements other than statements of historical or current fact, including statements regarding our goals and commitments, such as those relating to compensation objectives and corporate responsibility strategy and matters,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Annual Report on Form 10-K for the fiscal year ended December 31, 2025. Website references throughout this document are provided for convenience only, and the content on the referenced websites is not incorporated by reference into this document.</w:t>
      </w:r>
    </w:p>
    <w:p>
      <w:pPr>
        <w:sectPr>
          <w:pgSz w:w="11900" w:h="16838" w:orient="portrait"/>
          <w:cols w:equalWidth="0" w:num="1">
            <w:col w:w="11320"/>
          </w:cols>
          <w:pgMar w:left="320" w:top="482" w:right="2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219075</wp:posOffset>
            </wp:positionV>
            <wp:extent cx="6990715" cy="7573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0715" cy="75736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800"/>
        <w:spacing w:after="0"/>
        <w:rPr>
          <w:sz w:val="20"/>
          <w:szCs w:val="20"/>
          <w:color w:val="auto"/>
        </w:rPr>
      </w:pPr>
      <w:r>
        <w:rPr>
          <w:rFonts w:ascii="Arial" w:cs="Arial" w:eastAsia="Arial" w:hAnsi="Arial"/>
          <w:sz w:val="54"/>
          <w:szCs w:val="54"/>
          <w:b w:val="1"/>
          <w:bCs w:val="1"/>
          <w:color w:val="auto"/>
        </w:rPr>
        <w:t>PROXY SUMMARY</w:t>
      </w:r>
    </w:p>
    <w:p>
      <w:pPr>
        <w:spacing w:after="0" w:line="200" w:lineRule="exact"/>
        <w:rPr>
          <w:sz w:val="20"/>
          <w:szCs w:val="20"/>
          <w:color w:val="auto"/>
        </w:rPr>
      </w:pPr>
    </w:p>
    <w:p>
      <w:pPr>
        <w:spacing w:after="0" w:line="358" w:lineRule="exact"/>
        <w:rPr>
          <w:sz w:val="20"/>
          <w:szCs w:val="20"/>
          <w:color w:val="auto"/>
        </w:rPr>
      </w:pPr>
    </w:p>
    <w:p>
      <w:pPr>
        <w:ind w:left="300" w:right="280"/>
        <w:spacing w:after="0" w:line="266" w:lineRule="auto"/>
        <w:rPr>
          <w:sz w:val="20"/>
          <w:szCs w:val="20"/>
          <w:color w:val="auto"/>
        </w:rPr>
      </w:pPr>
      <w:r>
        <w:rPr>
          <w:rFonts w:ascii="Arial" w:cs="Arial" w:eastAsia="Arial" w:hAnsi="Arial"/>
          <w:sz w:val="16"/>
          <w:szCs w:val="16"/>
          <w:color w:val="auto"/>
        </w:rPr>
        <w:t>This summary highlights information contained elsewhere in this Proxy Statement. It does not contain all of the information that you should consider in voting your shares. You should read the entire Proxy Statement as well as our Annual Report on Form 10-K for the fiscal year ended December 31, 2025 (the “2025 Annual Report”) carefully before voting.</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3A70"/>
        </w:rPr>
        <w:t>VOTING MATTERS AND BOARD RECOMMENDATIONS</w:t>
      </w:r>
    </w:p>
    <w:p>
      <w:pPr>
        <w:spacing w:after="0" w:line="252" w:lineRule="exact"/>
        <w:rPr>
          <w:sz w:val="20"/>
          <w:szCs w:val="20"/>
          <w:color w:val="auto"/>
        </w:rPr>
      </w:pPr>
    </w:p>
    <w:tbl>
      <w:tblPr>
        <w:tblLayout w:type="fixed"/>
        <w:tblInd w:w="300" w:type="dxa"/>
        <w:tblCellMar>
          <w:top w:w="0" w:type="dxa"/>
          <w:left w:w="0" w:type="dxa"/>
          <w:bottom w:w="0" w:type="dxa"/>
          <w:right w:w="0" w:type="dxa"/>
        </w:tblCellMar>
      </w:tblPr>
      <w:tr>
        <w:trPr>
          <w:trHeight w:val="178"/>
        </w:trPr>
        <w:tc>
          <w:tcPr>
            <w:tcW w:w="7080" w:type="dxa"/>
            <w:vAlign w:val="bottom"/>
            <w:tcBorders>
              <w:bottom w:val="single" w:sz="8" w:color="003A70"/>
            </w:tcBorders>
          </w:tcPr>
          <w:p>
            <w:pPr>
              <w:ind w:left="20"/>
              <w:spacing w:after="0"/>
              <w:rPr>
                <w:sz w:val="20"/>
                <w:szCs w:val="20"/>
                <w:color w:val="auto"/>
              </w:rPr>
            </w:pPr>
            <w:r>
              <w:rPr>
                <w:rFonts w:ascii="Arial" w:cs="Arial" w:eastAsia="Arial" w:hAnsi="Arial"/>
                <w:sz w:val="14"/>
                <w:szCs w:val="14"/>
                <w:color w:val="003A70"/>
              </w:rPr>
              <w:t>Proposal</w:t>
            </w:r>
          </w:p>
        </w:tc>
        <w:tc>
          <w:tcPr>
            <w:tcW w:w="2260" w:type="dxa"/>
            <w:vAlign w:val="bottom"/>
            <w:tcBorders>
              <w:bottom w:val="single" w:sz="8" w:color="003A70"/>
            </w:tcBorders>
          </w:tcPr>
          <w:p>
            <w:pPr>
              <w:jc w:val="center"/>
              <w:ind w:left="101"/>
              <w:spacing w:after="0"/>
              <w:rPr>
                <w:sz w:val="20"/>
                <w:szCs w:val="20"/>
                <w:color w:val="auto"/>
              </w:rPr>
            </w:pPr>
            <w:r>
              <w:rPr>
                <w:rFonts w:ascii="Arial" w:cs="Arial" w:eastAsia="Arial" w:hAnsi="Arial"/>
                <w:sz w:val="14"/>
                <w:szCs w:val="14"/>
                <w:color w:val="003A70"/>
              </w:rPr>
              <w:t>Voting Recommendation</w:t>
            </w:r>
          </w:p>
        </w:tc>
        <w:tc>
          <w:tcPr>
            <w:tcW w:w="1280" w:type="dxa"/>
            <w:vAlign w:val="bottom"/>
            <w:tcBorders>
              <w:bottom w:val="single" w:sz="8" w:color="003A70"/>
            </w:tcBorders>
          </w:tcPr>
          <w:p>
            <w:pPr>
              <w:jc w:val="center"/>
              <w:ind w:left="161"/>
              <w:spacing w:after="0"/>
              <w:rPr>
                <w:sz w:val="20"/>
                <w:szCs w:val="20"/>
                <w:color w:val="auto"/>
              </w:rPr>
            </w:pPr>
            <w:r>
              <w:rPr>
                <w:rFonts w:ascii="Arial" w:cs="Arial" w:eastAsia="Arial" w:hAnsi="Arial"/>
                <w:sz w:val="14"/>
                <w:szCs w:val="14"/>
                <w:color w:val="003A70"/>
              </w:rPr>
              <w:t>Page Reference</w:t>
            </w:r>
          </w:p>
        </w:tc>
      </w:tr>
      <w:tr>
        <w:trPr>
          <w:trHeight w:val="189"/>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16"/>
                <w:szCs w:val="16"/>
                <w:color w:val="auto"/>
              </w:rPr>
              <w:t xml:space="preserve">  Election of nine director nominees</w:t>
            </w:r>
          </w:p>
        </w:tc>
        <w:tc>
          <w:tcPr>
            <w:tcW w:w="2260" w:type="dxa"/>
            <w:vAlign w:val="bottom"/>
            <w:tcBorders>
              <w:bottom w:val="single" w:sz="8" w:color="auto"/>
            </w:tcBorders>
          </w:tcPr>
          <w:p>
            <w:pPr>
              <w:jc w:val="center"/>
              <w:ind w:left="101"/>
              <w:spacing w:after="0"/>
              <w:rPr>
                <w:sz w:val="20"/>
                <w:szCs w:val="20"/>
                <w:color w:val="auto"/>
              </w:rPr>
            </w:pPr>
            <w:r>
              <w:rPr>
                <w:rFonts w:ascii="Arial" w:cs="Arial" w:eastAsia="Arial" w:hAnsi="Arial"/>
                <w:sz w:val="16"/>
                <w:szCs w:val="16"/>
                <w:b w:val="1"/>
                <w:bCs w:val="1"/>
                <w:color w:val="003A70"/>
              </w:rPr>
              <w:t>FOR each nominee</w:t>
            </w:r>
          </w:p>
        </w:tc>
        <w:tc>
          <w:tcPr>
            <w:tcW w:w="1280" w:type="dxa"/>
            <w:vAlign w:val="bottom"/>
            <w:tcBorders>
              <w:bottom w:val="single" w:sz="8" w:color="auto"/>
            </w:tcBorders>
          </w:tcPr>
          <w:p>
            <w:pPr>
              <w:jc w:val="center"/>
              <w:ind w:left="181"/>
              <w:spacing w:after="0"/>
              <w:rPr>
                <w:sz w:val="20"/>
                <w:szCs w:val="20"/>
                <w:color w:val="auto"/>
              </w:rPr>
            </w:pPr>
            <w:r>
              <w:rPr>
                <w:rFonts w:ascii="Arial" w:cs="Arial" w:eastAsia="Arial" w:hAnsi="Arial"/>
                <w:sz w:val="16"/>
                <w:szCs w:val="16"/>
                <w:b w:val="1"/>
                <w:bCs w:val="1"/>
                <w:color w:val="auto"/>
              </w:rPr>
              <w:t>7</w:t>
            </w:r>
          </w:p>
        </w:tc>
      </w:tr>
      <w:tr>
        <w:trPr>
          <w:trHeight w:val="183"/>
        </w:trPr>
        <w:tc>
          <w:tcPr>
            <w:tcW w:w="70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2</w:t>
            </w:r>
            <w:r>
              <w:rPr>
                <w:rFonts w:ascii="Arial" w:cs="Arial" w:eastAsia="Arial" w:hAnsi="Arial"/>
                <w:sz w:val="16"/>
                <w:szCs w:val="16"/>
                <w:color w:val="auto"/>
              </w:rPr>
              <w:t xml:space="preserve">  Ratification of appointment of independent registered public accounting firm</w:t>
            </w:r>
          </w:p>
        </w:tc>
        <w:tc>
          <w:tcPr>
            <w:tcW w:w="2260" w:type="dxa"/>
            <w:vAlign w:val="bottom"/>
            <w:tcBorders>
              <w:bottom w:val="single" w:sz="8" w:color="auto"/>
            </w:tcBorders>
          </w:tcPr>
          <w:p>
            <w:pPr>
              <w:jc w:val="center"/>
              <w:ind w:left="101"/>
              <w:spacing w:after="0" w:line="183" w:lineRule="exact"/>
              <w:rPr>
                <w:sz w:val="20"/>
                <w:szCs w:val="20"/>
                <w:color w:val="auto"/>
              </w:rPr>
            </w:pPr>
            <w:r>
              <w:rPr>
                <w:rFonts w:ascii="Arial" w:cs="Arial" w:eastAsia="Arial" w:hAnsi="Arial"/>
                <w:sz w:val="16"/>
                <w:szCs w:val="16"/>
                <w:b w:val="1"/>
                <w:bCs w:val="1"/>
                <w:color w:val="003A70"/>
              </w:rPr>
              <w:t>FOR</w:t>
            </w:r>
          </w:p>
        </w:tc>
        <w:tc>
          <w:tcPr>
            <w:tcW w:w="1280" w:type="dxa"/>
            <w:vAlign w:val="bottom"/>
            <w:tcBorders>
              <w:bottom w:val="single" w:sz="8" w:color="auto"/>
            </w:tcBorders>
          </w:tcPr>
          <w:p>
            <w:pPr>
              <w:jc w:val="center"/>
              <w:ind w:left="181"/>
              <w:spacing w:after="0" w:line="183" w:lineRule="exact"/>
              <w:rPr>
                <w:sz w:val="20"/>
                <w:szCs w:val="20"/>
                <w:color w:val="auto"/>
              </w:rPr>
            </w:pPr>
            <w:r>
              <w:rPr>
                <w:rFonts w:ascii="Arial" w:cs="Arial" w:eastAsia="Arial" w:hAnsi="Arial"/>
                <w:sz w:val="16"/>
                <w:szCs w:val="16"/>
                <w:b w:val="1"/>
                <w:bCs w:val="1"/>
                <w:color w:val="auto"/>
              </w:rPr>
              <w:t>7</w:t>
            </w:r>
          </w:p>
        </w:tc>
      </w:tr>
      <w:tr>
        <w:trPr>
          <w:trHeight w:val="183"/>
        </w:trPr>
        <w:tc>
          <w:tcPr>
            <w:tcW w:w="70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3</w:t>
            </w:r>
            <w:r>
              <w:rPr>
                <w:rFonts w:ascii="Arial" w:cs="Arial" w:eastAsia="Arial" w:hAnsi="Arial"/>
                <w:sz w:val="16"/>
                <w:szCs w:val="16"/>
                <w:color w:val="auto"/>
              </w:rPr>
              <w:t xml:space="preserve">  Advisory vote to approve named executive officer compensation</w:t>
            </w:r>
          </w:p>
        </w:tc>
        <w:tc>
          <w:tcPr>
            <w:tcW w:w="2260" w:type="dxa"/>
            <w:vAlign w:val="bottom"/>
            <w:tcBorders>
              <w:bottom w:val="single" w:sz="8" w:color="auto"/>
            </w:tcBorders>
          </w:tcPr>
          <w:p>
            <w:pPr>
              <w:jc w:val="center"/>
              <w:ind w:left="101"/>
              <w:spacing w:after="0" w:line="183" w:lineRule="exact"/>
              <w:rPr>
                <w:sz w:val="20"/>
                <w:szCs w:val="20"/>
                <w:color w:val="auto"/>
              </w:rPr>
            </w:pPr>
            <w:r>
              <w:rPr>
                <w:rFonts w:ascii="Arial" w:cs="Arial" w:eastAsia="Arial" w:hAnsi="Arial"/>
                <w:sz w:val="16"/>
                <w:szCs w:val="16"/>
                <w:b w:val="1"/>
                <w:bCs w:val="1"/>
                <w:color w:val="003A70"/>
              </w:rPr>
              <w:t>FOR</w:t>
            </w:r>
          </w:p>
        </w:tc>
        <w:tc>
          <w:tcPr>
            <w:tcW w:w="1280" w:type="dxa"/>
            <w:vAlign w:val="bottom"/>
            <w:tcBorders>
              <w:bottom w:val="single" w:sz="8" w:color="auto"/>
            </w:tcBorders>
          </w:tcPr>
          <w:p>
            <w:pPr>
              <w:jc w:val="center"/>
              <w:ind w:left="181"/>
              <w:spacing w:after="0" w:line="183" w:lineRule="exact"/>
              <w:rPr>
                <w:sz w:val="20"/>
                <w:szCs w:val="20"/>
                <w:color w:val="auto"/>
              </w:rPr>
            </w:pPr>
            <w:r>
              <w:rPr>
                <w:rFonts w:ascii="Arial" w:cs="Arial" w:eastAsia="Arial" w:hAnsi="Arial"/>
                <w:sz w:val="16"/>
                <w:szCs w:val="16"/>
                <w:b w:val="1"/>
                <w:bCs w:val="1"/>
                <w:color w:val="auto"/>
              </w:rPr>
              <w:t>8</w:t>
            </w:r>
          </w:p>
        </w:tc>
      </w:tr>
      <w:tr>
        <w:trPr>
          <w:trHeight w:val="168"/>
        </w:trPr>
        <w:tc>
          <w:tcPr>
            <w:tcW w:w="7080" w:type="dxa"/>
            <w:vAlign w:val="bottom"/>
          </w:tcPr>
          <w:p>
            <w:pPr>
              <w:ind w:left="20"/>
              <w:spacing w:after="0" w:line="168" w:lineRule="exact"/>
              <w:rPr>
                <w:sz w:val="20"/>
                <w:szCs w:val="20"/>
                <w:color w:val="auto"/>
              </w:rPr>
            </w:pPr>
            <w:r>
              <w:rPr>
                <w:rFonts w:ascii="Arial" w:cs="Arial" w:eastAsia="Arial" w:hAnsi="Arial"/>
                <w:sz w:val="16"/>
                <w:szCs w:val="16"/>
                <w:b w:val="1"/>
                <w:bCs w:val="1"/>
                <w:color w:val="auto"/>
              </w:rPr>
              <w:t>4</w:t>
            </w:r>
            <w:r>
              <w:rPr>
                <w:rFonts w:ascii="Arial" w:cs="Arial" w:eastAsia="Arial" w:hAnsi="Arial"/>
                <w:sz w:val="16"/>
                <w:szCs w:val="16"/>
                <w:color w:val="auto"/>
              </w:rPr>
              <w:t xml:space="preserve">  Approval of the Second Amended and Restated Marriott Vacations Worldwide Corporation</w:t>
            </w:r>
          </w:p>
        </w:tc>
        <w:tc>
          <w:tcPr>
            <w:tcW w:w="2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3"/>
        </w:trPr>
        <w:tc>
          <w:tcPr>
            <w:tcW w:w="7080" w:type="dxa"/>
            <w:vAlign w:val="bottom"/>
            <w:tcBorders>
              <w:bottom w:val="single" w:sz="8" w:color="003A70"/>
            </w:tcBorders>
          </w:tcPr>
          <w:p>
            <w:pPr>
              <w:ind w:left="180"/>
              <w:spacing w:after="0"/>
              <w:rPr>
                <w:sz w:val="20"/>
                <w:szCs w:val="20"/>
                <w:color w:val="auto"/>
              </w:rPr>
            </w:pPr>
            <w:r>
              <w:rPr>
                <w:rFonts w:ascii="Arial" w:cs="Arial" w:eastAsia="Arial" w:hAnsi="Arial"/>
                <w:sz w:val="16"/>
                <w:szCs w:val="16"/>
                <w:color w:val="auto"/>
              </w:rPr>
              <w:t>2020 Equity Incentive Plan</w:t>
            </w:r>
          </w:p>
        </w:tc>
        <w:tc>
          <w:tcPr>
            <w:tcW w:w="2260" w:type="dxa"/>
            <w:vAlign w:val="bottom"/>
            <w:tcBorders>
              <w:bottom w:val="single" w:sz="8" w:color="003A70"/>
            </w:tcBorders>
          </w:tcPr>
          <w:p>
            <w:pPr>
              <w:jc w:val="center"/>
              <w:ind w:left="101"/>
              <w:spacing w:after="0"/>
              <w:rPr>
                <w:sz w:val="20"/>
                <w:szCs w:val="20"/>
                <w:color w:val="auto"/>
              </w:rPr>
            </w:pPr>
            <w:r>
              <w:rPr>
                <w:rFonts w:ascii="Arial" w:cs="Arial" w:eastAsia="Arial" w:hAnsi="Arial"/>
                <w:sz w:val="16"/>
                <w:szCs w:val="16"/>
                <w:b w:val="1"/>
                <w:bCs w:val="1"/>
                <w:color w:val="003A70"/>
              </w:rPr>
              <w:t>FOR</w:t>
            </w:r>
          </w:p>
        </w:tc>
        <w:tc>
          <w:tcPr>
            <w:tcW w:w="1280" w:type="dxa"/>
            <w:vAlign w:val="bottom"/>
            <w:tcBorders>
              <w:bottom w:val="single" w:sz="8" w:color="003A70"/>
            </w:tcBorders>
          </w:tcPr>
          <w:p>
            <w:pPr>
              <w:jc w:val="center"/>
              <w:ind w:left="181"/>
              <w:spacing w:after="0"/>
              <w:rPr>
                <w:sz w:val="20"/>
                <w:szCs w:val="20"/>
                <w:color w:val="auto"/>
              </w:rPr>
            </w:pPr>
            <w:r>
              <w:rPr>
                <w:rFonts w:ascii="Arial" w:cs="Arial" w:eastAsia="Arial" w:hAnsi="Arial"/>
                <w:sz w:val="16"/>
                <w:szCs w:val="16"/>
                <w:b w:val="1"/>
                <w:bCs w:val="1"/>
                <w:color w:val="auto"/>
              </w:rPr>
              <w:t>9</w:t>
            </w:r>
          </w:p>
        </w:tc>
      </w:tr>
    </w:tbl>
    <w:p>
      <w:pPr>
        <w:spacing w:after="0" w:line="29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3A70"/>
        </w:rPr>
        <w:t>CORPORATE GOVERNANCE HIGHLIGHTS</w:t>
      </w:r>
    </w:p>
    <w:p>
      <w:pPr>
        <w:spacing w:after="0" w:line="112" w:lineRule="exact"/>
        <w:rPr>
          <w:sz w:val="20"/>
          <w:szCs w:val="20"/>
          <w:color w:val="auto"/>
        </w:rPr>
      </w:pPr>
    </w:p>
    <w:p>
      <w:pPr>
        <w:ind w:left="300" w:right="380"/>
        <w:spacing w:after="0" w:line="266" w:lineRule="auto"/>
        <w:rPr>
          <w:sz w:val="20"/>
          <w:szCs w:val="20"/>
          <w:color w:val="auto"/>
        </w:rPr>
      </w:pPr>
      <w:r>
        <w:rPr>
          <w:rFonts w:ascii="Arial" w:cs="Arial" w:eastAsia="Arial" w:hAnsi="Arial"/>
          <w:sz w:val="16"/>
          <w:szCs w:val="16"/>
          <w:color w:val="auto"/>
        </w:rPr>
        <w:t>We believe that good corporate governance is integral to our business, and the Board of Directors (the “Board”) monitors developments in governance best practices to assure that it continues to meet its commitment to representation of stockholder interests. Below are some highlights of our corporate governance practices:</w:t>
      </w:r>
    </w:p>
    <w:p>
      <w:pPr>
        <w:sectPr>
          <w:pgSz w:w="11900" w:h="16838" w:orient="portrait"/>
          <w:cols w:equalWidth="0" w:num="1">
            <w:col w:w="11140"/>
          </w:cols>
          <w:pgMar w:left="320" w:top="482" w:right="439" w:bottom="1440" w:gutter="0" w:footer="0" w:header="0"/>
        </w:sectPr>
      </w:pPr>
    </w:p>
    <w:p>
      <w:pPr>
        <w:spacing w:after="0" w:line="239" w:lineRule="exact"/>
        <w:rPr>
          <w:sz w:val="20"/>
          <w:szCs w:val="20"/>
          <w:color w:val="auto"/>
        </w:rPr>
      </w:pPr>
    </w:p>
    <w:p>
      <w:pPr>
        <w:ind w:left="720" w:hanging="197"/>
        <w:spacing w:after="0"/>
        <w:tabs>
          <w:tab w:leader="none" w:pos="72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Independent Chairman of the Board</w:t>
      </w:r>
    </w:p>
    <w:p>
      <w:pPr>
        <w:spacing w:after="0" w:line="45" w:lineRule="exact"/>
        <w:rPr>
          <w:rFonts w:ascii="Arial" w:cs="Arial" w:eastAsia="Arial" w:hAnsi="Arial"/>
          <w:sz w:val="16"/>
          <w:szCs w:val="16"/>
          <w:color w:val="003A70"/>
        </w:rPr>
      </w:pPr>
    </w:p>
    <w:p>
      <w:pPr>
        <w:ind w:left="720" w:right="560" w:hanging="197"/>
        <w:spacing w:after="0" w:line="272" w:lineRule="auto"/>
        <w:tabs>
          <w:tab w:leader="none" w:pos="72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Separate Chairman and Chief Executive Officer (“CEO”) positions</w:t>
      </w:r>
    </w:p>
    <w:p>
      <w:pPr>
        <w:spacing w:after="0" w:line="1" w:lineRule="exact"/>
        <w:rPr>
          <w:rFonts w:ascii="Arial" w:cs="Arial" w:eastAsia="Arial" w:hAnsi="Arial"/>
          <w:sz w:val="16"/>
          <w:szCs w:val="16"/>
          <w:color w:val="003A70"/>
        </w:rPr>
      </w:pPr>
    </w:p>
    <w:p>
      <w:pPr>
        <w:ind w:left="720" w:right="320" w:hanging="197"/>
        <w:spacing w:after="0" w:line="272" w:lineRule="auto"/>
        <w:tabs>
          <w:tab w:leader="none" w:pos="72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Standing committees composed exclusively of independent directors</w:t>
      </w:r>
    </w:p>
    <w:p>
      <w:pPr>
        <w:spacing w:after="0" w:line="1" w:lineRule="exact"/>
        <w:rPr>
          <w:rFonts w:ascii="Arial" w:cs="Arial" w:eastAsia="Arial" w:hAnsi="Arial"/>
          <w:sz w:val="16"/>
          <w:szCs w:val="16"/>
          <w:color w:val="003A70"/>
        </w:rPr>
      </w:pPr>
    </w:p>
    <w:p>
      <w:pPr>
        <w:ind w:left="720" w:hanging="197"/>
        <w:spacing w:after="0"/>
        <w:tabs>
          <w:tab w:leader="none" w:pos="72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Annual Board and committee evaluations</w:t>
      </w:r>
    </w:p>
    <w:p>
      <w:pPr>
        <w:spacing w:after="0" w:line="45" w:lineRule="exact"/>
        <w:rPr>
          <w:rFonts w:ascii="Arial" w:cs="Arial" w:eastAsia="Arial" w:hAnsi="Arial"/>
          <w:sz w:val="16"/>
          <w:szCs w:val="16"/>
          <w:color w:val="003A70"/>
        </w:rPr>
      </w:pPr>
    </w:p>
    <w:p>
      <w:pPr>
        <w:ind w:left="720" w:hanging="197"/>
        <w:spacing w:after="0"/>
        <w:tabs>
          <w:tab w:leader="none" w:pos="72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Regular executive sessions of the Board and Board committees</w:t>
      </w:r>
    </w:p>
    <w:p>
      <w:pPr>
        <w:spacing w:after="0" w:line="45" w:lineRule="exact"/>
        <w:rPr>
          <w:rFonts w:ascii="Arial" w:cs="Arial" w:eastAsia="Arial" w:hAnsi="Arial"/>
          <w:sz w:val="16"/>
          <w:szCs w:val="16"/>
          <w:color w:val="003A70"/>
        </w:rPr>
      </w:pPr>
    </w:p>
    <w:p>
      <w:pPr>
        <w:ind w:left="720" w:hanging="197"/>
        <w:spacing w:after="0"/>
        <w:tabs>
          <w:tab w:leader="none" w:pos="72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Global ethics and corporate compliance program</w:t>
      </w:r>
    </w:p>
    <w:p>
      <w:pPr>
        <w:spacing w:after="0" w:line="45" w:lineRule="exact"/>
        <w:rPr>
          <w:rFonts w:ascii="Arial" w:cs="Arial" w:eastAsia="Arial" w:hAnsi="Arial"/>
          <w:sz w:val="16"/>
          <w:szCs w:val="16"/>
          <w:color w:val="003A70"/>
        </w:rPr>
      </w:pPr>
    </w:p>
    <w:p>
      <w:pPr>
        <w:ind w:left="720" w:right="440" w:hanging="197"/>
        <w:spacing w:after="0" w:line="286" w:lineRule="auto"/>
        <w:tabs>
          <w:tab w:leader="none" w:pos="72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Board and committee oversight of corporate responsibility matters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94" w:right="380" w:hanging="194"/>
        <w:spacing w:after="0" w:line="272" w:lineRule="auto"/>
        <w:tabs>
          <w:tab w:leader="none" w:pos="194"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Commitment to seeking a range of candidates for the Board with diverse backgrounds, perspectives, and experiences</w:t>
      </w:r>
    </w:p>
    <w:p>
      <w:pPr>
        <w:spacing w:after="0" w:line="1" w:lineRule="exact"/>
        <w:rPr>
          <w:rFonts w:ascii="Arial" w:cs="Arial" w:eastAsia="Arial" w:hAnsi="Arial"/>
          <w:sz w:val="16"/>
          <w:szCs w:val="16"/>
          <w:color w:val="003A70"/>
        </w:rPr>
      </w:pPr>
    </w:p>
    <w:p>
      <w:pPr>
        <w:ind w:left="194" w:hanging="194"/>
        <w:spacing w:after="0"/>
        <w:tabs>
          <w:tab w:leader="none" w:pos="194"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Stock ownership guidelines for our executive officers and directors</w:t>
      </w:r>
    </w:p>
    <w:p>
      <w:pPr>
        <w:spacing w:after="0" w:line="45" w:lineRule="exact"/>
        <w:rPr>
          <w:rFonts w:ascii="Arial" w:cs="Arial" w:eastAsia="Arial" w:hAnsi="Arial"/>
          <w:sz w:val="16"/>
          <w:szCs w:val="16"/>
          <w:color w:val="003A70"/>
        </w:rPr>
      </w:pPr>
    </w:p>
    <w:p>
      <w:pPr>
        <w:ind w:left="194" w:hanging="194"/>
        <w:spacing w:after="0"/>
        <w:tabs>
          <w:tab w:leader="none" w:pos="194"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Active Board oversight of Company strategy and risk management</w:t>
      </w:r>
    </w:p>
    <w:p>
      <w:pPr>
        <w:spacing w:after="0" w:line="45" w:lineRule="exact"/>
        <w:rPr>
          <w:rFonts w:ascii="Arial" w:cs="Arial" w:eastAsia="Arial" w:hAnsi="Arial"/>
          <w:sz w:val="16"/>
          <w:szCs w:val="16"/>
          <w:color w:val="003A70"/>
        </w:rPr>
      </w:pPr>
    </w:p>
    <w:p>
      <w:pPr>
        <w:ind w:left="194" w:hanging="194"/>
        <w:spacing w:after="0"/>
        <w:tabs>
          <w:tab w:leader="none" w:pos="194"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Strong risk management program</w:t>
      </w:r>
    </w:p>
    <w:p>
      <w:pPr>
        <w:spacing w:after="0" w:line="45" w:lineRule="exact"/>
        <w:rPr>
          <w:rFonts w:ascii="Arial" w:cs="Arial" w:eastAsia="Arial" w:hAnsi="Arial"/>
          <w:sz w:val="16"/>
          <w:szCs w:val="16"/>
          <w:color w:val="003A70"/>
        </w:rPr>
      </w:pPr>
    </w:p>
    <w:p>
      <w:pPr>
        <w:ind w:left="194" w:right="820" w:hanging="194"/>
        <w:spacing w:after="0" w:line="272" w:lineRule="auto"/>
        <w:tabs>
          <w:tab w:leader="none" w:pos="194"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Comprehensive Code of Business Conduct and Corporate Governance Principles</w:t>
      </w:r>
    </w:p>
    <w:p>
      <w:pPr>
        <w:spacing w:after="0" w:line="1" w:lineRule="exact"/>
        <w:rPr>
          <w:rFonts w:ascii="Arial" w:cs="Arial" w:eastAsia="Arial" w:hAnsi="Arial"/>
          <w:sz w:val="16"/>
          <w:szCs w:val="16"/>
          <w:color w:val="003A70"/>
        </w:rPr>
      </w:pPr>
    </w:p>
    <w:p>
      <w:pPr>
        <w:ind w:left="194" w:hanging="194"/>
        <w:spacing w:after="0"/>
        <w:tabs>
          <w:tab w:leader="none" w:pos="194"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Robust executive succession planning process</w:t>
      </w:r>
    </w:p>
    <w:p>
      <w:pPr>
        <w:spacing w:after="0" w:line="45" w:lineRule="exact"/>
        <w:rPr>
          <w:rFonts w:ascii="Arial" w:cs="Arial" w:eastAsia="Arial" w:hAnsi="Arial"/>
          <w:sz w:val="16"/>
          <w:szCs w:val="16"/>
          <w:color w:val="003A70"/>
        </w:rPr>
      </w:pPr>
    </w:p>
    <w:p>
      <w:pPr>
        <w:ind w:left="194" w:hanging="194"/>
        <w:spacing w:after="0"/>
        <w:tabs>
          <w:tab w:leader="none" w:pos="194"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Mixture of short-, medium-, and long-tenured directors</w:t>
      </w:r>
    </w:p>
    <w:p>
      <w:pPr>
        <w:spacing w:after="0" w:line="454" w:lineRule="exact"/>
        <w:rPr>
          <w:sz w:val="20"/>
          <w:szCs w:val="20"/>
          <w:color w:val="auto"/>
        </w:rPr>
      </w:pPr>
    </w:p>
    <w:p>
      <w:pPr>
        <w:sectPr>
          <w:pgSz w:w="11900" w:h="16838" w:orient="portrait"/>
          <w:cols w:equalWidth="0" w:num="2">
            <w:col w:w="5300" w:space="646"/>
            <w:col w:w="5194"/>
          </w:cols>
          <w:pgMar w:left="320" w:top="482" w:right="439" w:bottom="1440" w:gutter="0" w:footer="0" w:header="0"/>
          <w:type w:val="continuous"/>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3A70"/>
        </w:rPr>
        <w:t>CORPORATE RESPONSIBILITY INITIATIVES</w:t>
      </w:r>
    </w:p>
    <w:p>
      <w:pPr>
        <w:spacing w:after="0" w:line="112" w:lineRule="exact"/>
        <w:rPr>
          <w:sz w:val="20"/>
          <w:szCs w:val="20"/>
          <w:color w:val="auto"/>
        </w:rPr>
      </w:pPr>
    </w:p>
    <w:p>
      <w:pPr>
        <w:ind w:left="300" w:right="220"/>
        <w:spacing w:after="0" w:line="251" w:lineRule="auto"/>
        <w:rPr>
          <w:sz w:val="20"/>
          <w:szCs w:val="20"/>
          <w:color w:val="auto"/>
        </w:rPr>
      </w:pPr>
      <w:r>
        <w:rPr>
          <w:rFonts w:ascii="Arial" w:cs="Arial" w:eastAsia="Arial" w:hAnsi="Arial"/>
          <w:sz w:val="16"/>
          <w:szCs w:val="16"/>
          <w:color w:val="auto"/>
        </w:rPr>
        <w:t>As a leader and innovator in the vacation industry, the Company strives to uphold the highest standards of excellence in serving its customers, investors, and associates while maintaining exclusive, long-term relationships with Marriott International, Inc. (“Marriott International”) and an affiliate of Hyatt Hotels Corporation for the development, sales, and marketing of vacation ownership products and services, operating exchange networks and membership programs, and providing management services to other resorts and lodging properties. Our core values help drive and inspire us and provide the framework to live fulfilling lives, both professionally and personally. Our core values and culture embody a commitment to ethical business practices and good corporate citizenship. As we work toward this goal, we are committed to managing the risks and opportunities that arise from corporate responsibility issues, providing transparency of our corporate responsibility performance and enabling strong executive and Board oversight of our overall corporate responsibility strategy. Our 2024 Corporate Responsibility Report is available on our website at www.marriottvacationsworldwide.com under the “Our Values” tab and the “Investor Relations” tab.</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3A70"/>
        </w:rPr>
        <w:t>STOCKHOLDER ENGAGEMENT</w:t>
      </w:r>
    </w:p>
    <w:p>
      <w:pPr>
        <w:spacing w:after="0" w:line="112" w:lineRule="exact"/>
        <w:rPr>
          <w:sz w:val="20"/>
          <w:szCs w:val="20"/>
          <w:color w:val="auto"/>
        </w:rPr>
      </w:pPr>
    </w:p>
    <w:p>
      <w:pPr>
        <w:ind w:left="300" w:right="240"/>
        <w:spacing w:after="0" w:line="256" w:lineRule="auto"/>
        <w:rPr>
          <w:sz w:val="20"/>
          <w:szCs w:val="20"/>
          <w:color w:val="auto"/>
        </w:rPr>
      </w:pPr>
      <w:r>
        <w:rPr>
          <w:rFonts w:ascii="Arial" w:cs="Arial" w:eastAsia="Arial" w:hAnsi="Arial"/>
          <w:sz w:val="16"/>
          <w:szCs w:val="16"/>
          <w:color w:val="auto"/>
        </w:rPr>
        <w:t>We value our stockholders’ perspective on our business and each year engage with them through a variety of activities to stay informed on the evolving perspectives of the investor community. We engage with stockholders on various matters, including industry trends, company performance, investor perceptions of the Company, corporate governance and executive compensation. In 2025, our key stockholder engagement activities included numerous virtual meetings and calls, eight non-deal investor road show days, six investor conferences and our 2025 Annual Meeting of Stockholders.</w:t>
      </w:r>
    </w:p>
    <w:p>
      <w:pPr>
        <w:spacing w:after="0" w:line="302" w:lineRule="exact"/>
        <w:rPr>
          <w:sz w:val="20"/>
          <w:szCs w:val="20"/>
          <w:color w:val="auto"/>
        </w:rPr>
      </w:pPr>
    </w:p>
    <w:p>
      <w:pPr>
        <w:ind w:left="120"/>
        <w:spacing w:after="0"/>
        <w:tabs>
          <w:tab w:leader="none" w:pos="5240" w:val="left"/>
          <w:tab w:leader="none" w:pos="1106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Proxy Summary</w:t>
      </w:r>
      <w:r>
        <w:rPr>
          <w:sz w:val="20"/>
          <w:szCs w:val="20"/>
          <w:color w:val="auto"/>
        </w:rPr>
        <w:tab/>
      </w:r>
      <w:r>
        <w:rPr>
          <w:rFonts w:ascii="Arial" w:cs="Arial" w:eastAsia="Arial" w:hAnsi="Arial"/>
          <w:sz w:val="10"/>
          <w:szCs w:val="10"/>
          <w:b w:val="1"/>
          <w:bCs w:val="1"/>
          <w:color w:val="003A7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219075</wp:posOffset>
            </wp:positionV>
            <wp:extent cx="6990715" cy="6827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0715" cy="68275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3A70"/>
        </w:rPr>
        <w:t>SELECT PERFORMANCE AND BUSINESS HIGHLIGHTS FOR FULL YEAR 2025</w:t>
      </w:r>
    </w:p>
    <w:p>
      <w:pPr>
        <w:spacing w:after="0" w:line="45" w:lineRule="exact"/>
        <w:rPr>
          <w:sz w:val="20"/>
          <w:szCs w:val="20"/>
          <w:color w:val="auto"/>
        </w:rPr>
      </w:pPr>
    </w:p>
    <w:p>
      <w:pPr>
        <w:ind w:left="500" w:hanging="193"/>
        <w:spacing w:after="0"/>
        <w:tabs>
          <w:tab w:leader="none" w:pos="500" w:val="left"/>
        </w:tabs>
        <w:numPr>
          <w:ilvl w:val="0"/>
          <w:numId w:val="20"/>
        </w:numPr>
        <w:rPr>
          <w:rFonts w:ascii="Arial" w:cs="Arial" w:eastAsia="Arial" w:hAnsi="Arial"/>
          <w:sz w:val="16"/>
          <w:szCs w:val="16"/>
          <w:color w:val="003A70"/>
        </w:rPr>
      </w:pPr>
      <w:r>
        <w:rPr>
          <w:rFonts w:ascii="Arial" w:cs="Arial" w:eastAsia="Arial" w:hAnsi="Arial"/>
          <w:sz w:val="16"/>
          <w:szCs w:val="16"/>
          <w:color w:val="auto"/>
        </w:rPr>
        <w:t>Consolidated Vacation Ownership contract sales were $1.8 billion.</w:t>
      </w:r>
    </w:p>
    <w:p>
      <w:pPr>
        <w:spacing w:after="0" w:line="45" w:lineRule="exact"/>
        <w:rPr>
          <w:rFonts w:ascii="Arial" w:cs="Arial" w:eastAsia="Arial" w:hAnsi="Arial"/>
          <w:sz w:val="16"/>
          <w:szCs w:val="16"/>
          <w:color w:val="003A70"/>
        </w:rPr>
      </w:pPr>
    </w:p>
    <w:p>
      <w:pPr>
        <w:ind w:left="500" w:hanging="193"/>
        <w:spacing w:after="0"/>
        <w:tabs>
          <w:tab w:leader="none" w:pos="500" w:val="left"/>
        </w:tabs>
        <w:numPr>
          <w:ilvl w:val="0"/>
          <w:numId w:val="20"/>
        </w:numPr>
        <w:rPr>
          <w:rFonts w:ascii="Arial" w:cs="Arial" w:eastAsia="Arial" w:hAnsi="Arial"/>
          <w:sz w:val="16"/>
          <w:szCs w:val="16"/>
          <w:color w:val="003A70"/>
        </w:rPr>
      </w:pPr>
      <w:r>
        <w:rPr>
          <w:rFonts w:ascii="Arial" w:cs="Arial" w:eastAsia="Arial" w:hAnsi="Arial"/>
          <w:sz w:val="16"/>
          <w:szCs w:val="16"/>
          <w:color w:val="auto"/>
        </w:rPr>
        <w:t>Net loss attributable to common stockholders was $308 million, and net loss per share was $8.84.</w:t>
      </w:r>
    </w:p>
    <w:p>
      <w:pPr>
        <w:spacing w:after="0" w:line="45" w:lineRule="exact"/>
        <w:rPr>
          <w:rFonts w:ascii="Arial" w:cs="Arial" w:eastAsia="Arial" w:hAnsi="Arial"/>
          <w:sz w:val="16"/>
          <w:szCs w:val="16"/>
          <w:color w:val="003A70"/>
        </w:rPr>
      </w:pPr>
    </w:p>
    <w:p>
      <w:pPr>
        <w:ind w:left="500" w:hanging="193"/>
        <w:spacing w:after="0"/>
        <w:tabs>
          <w:tab w:leader="none" w:pos="500" w:val="left"/>
        </w:tabs>
        <w:numPr>
          <w:ilvl w:val="0"/>
          <w:numId w:val="20"/>
        </w:numPr>
        <w:rPr>
          <w:rFonts w:ascii="Arial" w:cs="Arial" w:eastAsia="Arial" w:hAnsi="Arial"/>
          <w:sz w:val="16"/>
          <w:szCs w:val="16"/>
          <w:color w:val="003A70"/>
        </w:rPr>
      </w:pPr>
      <w:r>
        <w:rPr>
          <w:rFonts w:ascii="Arial" w:cs="Arial" w:eastAsia="Arial" w:hAnsi="Arial"/>
          <w:sz w:val="16"/>
          <w:szCs w:val="16"/>
          <w:color w:val="auto"/>
        </w:rPr>
        <w:t>Adjusted net income attributable to common stockholders was $276 million, and adjusted diluted earnings per share was $7.16.</w:t>
      </w:r>
    </w:p>
    <w:p>
      <w:pPr>
        <w:spacing w:after="0" w:line="45" w:lineRule="exact"/>
        <w:rPr>
          <w:rFonts w:ascii="Arial" w:cs="Arial" w:eastAsia="Arial" w:hAnsi="Arial"/>
          <w:sz w:val="16"/>
          <w:szCs w:val="16"/>
          <w:color w:val="003A70"/>
        </w:rPr>
      </w:pPr>
    </w:p>
    <w:p>
      <w:pPr>
        <w:ind w:left="500" w:hanging="193"/>
        <w:spacing w:after="0"/>
        <w:tabs>
          <w:tab w:leader="none" w:pos="500" w:val="left"/>
        </w:tabs>
        <w:numPr>
          <w:ilvl w:val="0"/>
          <w:numId w:val="20"/>
        </w:numPr>
        <w:rPr>
          <w:rFonts w:ascii="Arial" w:cs="Arial" w:eastAsia="Arial" w:hAnsi="Arial"/>
          <w:sz w:val="16"/>
          <w:szCs w:val="16"/>
          <w:color w:val="003A70"/>
        </w:rPr>
      </w:pPr>
      <w:r>
        <w:rPr>
          <w:rFonts w:ascii="Arial" w:cs="Arial" w:eastAsia="Arial" w:hAnsi="Arial"/>
          <w:sz w:val="16"/>
          <w:szCs w:val="16"/>
          <w:color w:val="auto"/>
        </w:rPr>
        <w:t>Adjusted EBITDA was $751 million.</w:t>
      </w:r>
    </w:p>
    <w:p>
      <w:pPr>
        <w:spacing w:after="0" w:line="45" w:lineRule="exact"/>
        <w:rPr>
          <w:rFonts w:ascii="Arial" w:cs="Arial" w:eastAsia="Arial" w:hAnsi="Arial"/>
          <w:sz w:val="16"/>
          <w:szCs w:val="16"/>
          <w:color w:val="003A70"/>
        </w:rPr>
      </w:pPr>
    </w:p>
    <w:p>
      <w:pPr>
        <w:ind w:left="500" w:hanging="193"/>
        <w:spacing w:after="0"/>
        <w:tabs>
          <w:tab w:leader="none" w:pos="500" w:val="left"/>
        </w:tabs>
        <w:numPr>
          <w:ilvl w:val="0"/>
          <w:numId w:val="20"/>
        </w:numPr>
        <w:rPr>
          <w:rFonts w:ascii="Arial" w:cs="Arial" w:eastAsia="Arial" w:hAnsi="Arial"/>
          <w:sz w:val="16"/>
          <w:szCs w:val="16"/>
          <w:color w:val="003A70"/>
        </w:rPr>
      </w:pPr>
      <w:r>
        <w:rPr>
          <w:rFonts w:ascii="Arial" w:cs="Arial" w:eastAsia="Arial" w:hAnsi="Arial"/>
          <w:sz w:val="16"/>
          <w:szCs w:val="16"/>
          <w:color w:val="auto"/>
        </w:rPr>
        <w:t>Returned $171 million to stockholders in dividends and share repurchases.</w:t>
      </w:r>
    </w:p>
    <w:p>
      <w:pPr>
        <w:spacing w:after="0" w:line="221" w:lineRule="exact"/>
        <w:rPr>
          <w:sz w:val="20"/>
          <w:szCs w:val="20"/>
          <w:color w:val="auto"/>
        </w:rPr>
      </w:pPr>
    </w:p>
    <w:p>
      <w:pPr>
        <w:ind w:left="300" w:right="300"/>
        <w:spacing w:after="0" w:line="259" w:lineRule="auto"/>
        <w:rPr>
          <w:sz w:val="20"/>
          <w:szCs w:val="20"/>
          <w:color w:val="auto"/>
        </w:rPr>
      </w:pPr>
      <w:r>
        <w:rPr>
          <w:rFonts w:ascii="Arial" w:cs="Arial" w:eastAsia="Arial" w:hAnsi="Arial"/>
          <w:sz w:val="16"/>
          <w:szCs w:val="16"/>
          <w:color w:val="auto"/>
        </w:rPr>
        <w:t>Adjusted net income attributable to common stockholders, Adjusted diluted earnings per share, and Adjusted EBITDA are financial measures that are not prescribed by United States generally accepted accounting principles (“GAAP”). Please refer to Appendix A for a reconciliation of these non-GAAP financial measures to the most directly comparable financial measures prescribed by GAAP, as well as our reasons for presenting these measures.</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3A70"/>
        </w:rPr>
        <w:t>EXECUTIVE COMPENSATION HIGHLIGHTS</w:t>
      </w:r>
    </w:p>
    <w:p>
      <w:pPr>
        <w:spacing w:after="0" w:line="112" w:lineRule="exact"/>
        <w:rPr>
          <w:sz w:val="20"/>
          <w:szCs w:val="20"/>
          <w:color w:val="auto"/>
        </w:rPr>
      </w:pPr>
    </w:p>
    <w:p>
      <w:pPr>
        <w:ind w:left="300" w:right="240"/>
        <w:spacing w:after="0" w:line="272" w:lineRule="auto"/>
        <w:rPr>
          <w:sz w:val="20"/>
          <w:szCs w:val="20"/>
          <w:color w:val="auto"/>
        </w:rPr>
      </w:pPr>
      <w:r>
        <w:rPr>
          <w:rFonts w:ascii="Arial" w:cs="Arial" w:eastAsia="Arial" w:hAnsi="Arial"/>
          <w:sz w:val="16"/>
          <w:szCs w:val="16"/>
          <w:color w:val="auto"/>
        </w:rPr>
        <w:t>We seek to align the interests of our named executive officers (“NEOs”) with the interests of the Company’s stockholders. Certain important features of our executive compensation program include:</w:t>
      </w:r>
    </w:p>
    <w:p>
      <w:pPr>
        <w:spacing w:after="0" w:line="1" w:lineRule="exact"/>
        <w:rPr>
          <w:sz w:val="20"/>
          <w:szCs w:val="20"/>
          <w:color w:val="auto"/>
        </w:rPr>
      </w:pPr>
    </w:p>
    <w:p>
      <w:pPr>
        <w:ind w:left="500" w:hanging="193"/>
        <w:spacing w:after="0"/>
        <w:tabs>
          <w:tab w:leader="none" w:pos="500" w:val="left"/>
        </w:tabs>
        <w:numPr>
          <w:ilvl w:val="0"/>
          <w:numId w:val="21"/>
        </w:numPr>
        <w:rPr>
          <w:rFonts w:ascii="Arial" w:cs="Arial" w:eastAsia="Arial" w:hAnsi="Arial"/>
          <w:sz w:val="16"/>
          <w:szCs w:val="16"/>
          <w:color w:val="003A70"/>
        </w:rPr>
      </w:pPr>
      <w:r>
        <w:rPr>
          <w:rFonts w:ascii="Arial" w:cs="Arial" w:eastAsia="Arial" w:hAnsi="Arial"/>
          <w:sz w:val="16"/>
          <w:szCs w:val="16"/>
          <w:color w:val="auto"/>
        </w:rPr>
        <w:t>The program is designed to align financial results and sustainable stockholder value creation with the compensation of our executives.</w:t>
      </w:r>
    </w:p>
    <w:p>
      <w:pPr>
        <w:spacing w:after="0" w:line="45" w:lineRule="exact"/>
        <w:rPr>
          <w:rFonts w:ascii="Arial" w:cs="Arial" w:eastAsia="Arial" w:hAnsi="Arial"/>
          <w:sz w:val="16"/>
          <w:szCs w:val="16"/>
          <w:color w:val="003A70"/>
        </w:rPr>
      </w:pPr>
    </w:p>
    <w:p>
      <w:pPr>
        <w:ind w:left="500" w:right="340" w:hanging="193"/>
        <w:spacing w:after="0" w:line="264" w:lineRule="auto"/>
        <w:tabs>
          <w:tab w:leader="none" w:pos="500" w:val="left"/>
        </w:tabs>
        <w:numPr>
          <w:ilvl w:val="0"/>
          <w:numId w:val="21"/>
        </w:numPr>
        <w:rPr>
          <w:rFonts w:ascii="Arial" w:cs="Arial" w:eastAsia="Arial" w:hAnsi="Arial"/>
          <w:sz w:val="16"/>
          <w:szCs w:val="16"/>
          <w:color w:val="003A70"/>
        </w:rPr>
      </w:pPr>
      <w:r>
        <w:rPr>
          <w:rFonts w:ascii="Arial" w:cs="Arial" w:eastAsia="Arial" w:hAnsi="Arial"/>
          <w:sz w:val="16"/>
          <w:szCs w:val="16"/>
          <w:color w:val="auto"/>
        </w:rPr>
        <w:t>Pay is tied to performance. Approximately 68% of our former CEO’s and approximately 61%, on average, of the other NEOs’ (excluding Mr. Avril for whom 2025 compensation was approved at the time of his appointment as interim President and CEO in November 2025 and consisted of 80% equity-based awards and 20% base salary) fiscal 2025 total target compensation was performance based.</w:t>
      </w:r>
    </w:p>
    <w:p>
      <w:pPr>
        <w:ind w:left="800" w:right="300" w:hanging="182"/>
        <w:spacing w:after="0" w:line="286" w:lineRule="auto"/>
        <w:tabs>
          <w:tab w:leader="none" w:pos="800" w:val="left"/>
        </w:tabs>
        <w:numPr>
          <w:ilvl w:val="1"/>
          <w:numId w:val="21"/>
        </w:numPr>
        <w:rPr>
          <w:rFonts w:ascii="Arial" w:cs="Arial" w:eastAsia="Arial" w:hAnsi="Arial"/>
          <w:sz w:val="16"/>
          <w:szCs w:val="16"/>
          <w:color w:val="003A70"/>
        </w:rPr>
      </w:pPr>
      <w:r>
        <w:rPr>
          <w:rFonts w:ascii="Arial" w:cs="Arial" w:eastAsia="Arial" w:hAnsi="Arial"/>
          <w:sz w:val="16"/>
          <w:szCs w:val="16"/>
          <w:color w:val="auto"/>
        </w:rPr>
        <w:t>Approximately 74% of our former CEO’s and approximately 56%, on average, of the other NEOs’ (excluding Mr. Avril) fiscal 2025 total target compensation was equity based.</w:t>
      </w:r>
    </w:p>
    <w:p>
      <w:pPr>
        <w:spacing w:after="0" w:line="174" w:lineRule="exact"/>
        <w:rPr>
          <w:sz w:val="20"/>
          <w:szCs w:val="20"/>
          <w:color w:val="auto"/>
        </w:rPr>
      </w:pPr>
    </w:p>
    <w:p>
      <w:pPr>
        <w:ind w:left="1500"/>
        <w:spacing w:after="0"/>
        <w:tabs>
          <w:tab w:leader="none" w:pos="6440" w:val="left"/>
        </w:tabs>
        <w:rPr>
          <w:sz w:val="20"/>
          <w:szCs w:val="20"/>
          <w:color w:val="auto"/>
        </w:rPr>
      </w:pPr>
      <w:r>
        <w:rPr>
          <w:rFonts w:ascii="Arial" w:cs="Arial" w:eastAsia="Arial" w:hAnsi="Arial"/>
          <w:sz w:val="17"/>
          <w:szCs w:val="17"/>
          <w:b w:val="1"/>
          <w:bCs w:val="1"/>
          <w:color w:val="003A70"/>
        </w:rPr>
        <w:t>2025 TARGET PAY MIX – Former CEO</w:t>
      </w:r>
      <w:r>
        <w:rPr>
          <w:sz w:val="20"/>
          <w:szCs w:val="20"/>
          <w:color w:val="auto"/>
        </w:rPr>
        <w:tab/>
      </w:r>
      <w:r>
        <w:rPr>
          <w:rFonts w:ascii="Arial" w:cs="Arial" w:eastAsia="Arial" w:hAnsi="Arial"/>
          <w:sz w:val="16"/>
          <w:szCs w:val="16"/>
          <w:b w:val="1"/>
          <w:bCs w:val="1"/>
          <w:color w:val="003A70"/>
        </w:rPr>
        <w:t>2025 TARGET PAY MIX – OTHER NEOs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00" w:hanging="193"/>
        <w:spacing w:after="0"/>
        <w:tabs>
          <w:tab w:leader="none" w:pos="500" w:val="left"/>
        </w:tabs>
        <w:numPr>
          <w:ilvl w:val="0"/>
          <w:numId w:val="22"/>
        </w:numPr>
        <w:rPr>
          <w:rFonts w:ascii="Arial" w:cs="Arial" w:eastAsia="Arial" w:hAnsi="Arial"/>
          <w:sz w:val="16"/>
          <w:szCs w:val="16"/>
          <w:color w:val="003A70"/>
        </w:rPr>
      </w:pPr>
      <w:r>
        <w:rPr>
          <w:rFonts w:ascii="Arial" w:cs="Arial" w:eastAsia="Arial" w:hAnsi="Arial"/>
          <w:sz w:val="16"/>
          <w:szCs w:val="16"/>
          <w:color w:val="auto"/>
        </w:rPr>
        <w:t>The Company maintains stock ownership guidelines that apply to all executive officers and directors.</w:t>
      </w:r>
    </w:p>
    <w:p>
      <w:pPr>
        <w:spacing w:after="0" w:line="45" w:lineRule="exact"/>
        <w:rPr>
          <w:rFonts w:ascii="Arial" w:cs="Arial" w:eastAsia="Arial" w:hAnsi="Arial"/>
          <w:sz w:val="16"/>
          <w:szCs w:val="16"/>
          <w:color w:val="003A70"/>
        </w:rPr>
      </w:pPr>
    </w:p>
    <w:p>
      <w:pPr>
        <w:ind w:left="500" w:right="720" w:hanging="193"/>
        <w:spacing w:after="0" w:line="286" w:lineRule="auto"/>
        <w:tabs>
          <w:tab w:leader="none" w:pos="500" w:val="left"/>
        </w:tabs>
        <w:numPr>
          <w:ilvl w:val="0"/>
          <w:numId w:val="22"/>
        </w:numPr>
        <w:rPr>
          <w:rFonts w:ascii="Arial" w:cs="Arial" w:eastAsia="Arial" w:hAnsi="Arial"/>
          <w:sz w:val="16"/>
          <w:szCs w:val="16"/>
          <w:color w:val="003A70"/>
        </w:rPr>
      </w:pPr>
      <w:r>
        <w:rPr>
          <w:rFonts w:ascii="Arial" w:cs="Arial" w:eastAsia="Arial" w:hAnsi="Arial"/>
          <w:sz w:val="16"/>
          <w:szCs w:val="16"/>
          <w:color w:val="auto"/>
        </w:rPr>
        <w:t>The Company has strong governance policies related to executive compensation, and we employ appropriate compensation risk mitigating features.</w:t>
      </w:r>
    </w:p>
    <w:p>
      <w:pPr>
        <w:spacing w:after="0" w:line="278" w:lineRule="exact"/>
        <w:rPr>
          <w:sz w:val="20"/>
          <w:szCs w:val="20"/>
          <w:color w:val="auto"/>
        </w:rPr>
      </w:pPr>
    </w:p>
    <w:p>
      <w:pPr>
        <w:ind w:left="120"/>
        <w:spacing w:after="0"/>
        <w:tabs>
          <w:tab w:leader="none" w:pos="5240" w:val="left"/>
          <w:tab w:leader="none" w:pos="7820" w:val="left"/>
        </w:tabs>
        <w:rPr>
          <w:sz w:val="20"/>
          <w:szCs w:val="20"/>
          <w:color w:val="auto"/>
        </w:rPr>
      </w:pPr>
      <w:r>
        <w:rPr>
          <w:rFonts w:ascii="Arial" w:cs="Arial" w:eastAsia="Arial" w:hAnsi="Arial"/>
          <w:sz w:val="11"/>
          <w:szCs w:val="11"/>
          <w:b w:val="1"/>
          <w:bCs w:val="1"/>
          <w:color w:val="003A70"/>
        </w:rPr>
        <w:t>2</w:t>
      </w:r>
      <w:r>
        <w:rPr>
          <w:sz w:val="20"/>
          <w:szCs w:val="20"/>
          <w:color w:val="auto"/>
        </w:rPr>
        <w:tab/>
      </w:r>
      <w:r>
        <w:rPr>
          <w:rFonts w:ascii="Arial" w:cs="Arial" w:eastAsia="Arial" w:hAnsi="Arial"/>
          <w:sz w:val="11"/>
          <w:szCs w:val="11"/>
          <w:color w:val="auto"/>
        </w:rPr>
        <w:t>Proxy Summary</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219075</wp:posOffset>
            </wp:positionV>
            <wp:extent cx="6990715" cy="55333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0715" cy="55333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003A70"/>
        </w:rPr>
        <w:t>DIRECTOR NOMINEES</w:t>
      </w:r>
    </w:p>
    <w:p>
      <w:pPr>
        <w:spacing w:after="0" w:line="112" w:lineRule="exact"/>
        <w:rPr>
          <w:sz w:val="20"/>
          <w:szCs w:val="20"/>
          <w:color w:val="auto"/>
        </w:rPr>
      </w:pPr>
    </w:p>
    <w:p>
      <w:pPr>
        <w:ind w:left="300" w:right="300"/>
        <w:spacing w:after="0" w:line="266" w:lineRule="auto"/>
        <w:rPr>
          <w:sz w:val="20"/>
          <w:szCs w:val="20"/>
          <w:color w:val="auto"/>
        </w:rPr>
      </w:pPr>
      <w:r>
        <w:rPr>
          <w:rFonts w:ascii="Arial" w:cs="Arial" w:eastAsia="Arial" w:hAnsi="Arial"/>
          <w:sz w:val="16"/>
          <w:szCs w:val="16"/>
          <w:color w:val="auto"/>
        </w:rPr>
        <w:t>Our Board currently consists of eleven members. Under our Certificate of Incorporation, as amended, directors are elected on an annual basis. The Board does not intend to fill the vacancies created by the expiration of Mr. McCarten’s and Ms. Galligan’s terms at the 2026 Annual Meeting; instead, the number of directors will be reduced to nine, effective as of the 2026 Annual Meeting.</w:t>
      </w:r>
    </w:p>
    <w:p>
      <w:pPr>
        <w:spacing w:after="0" w:line="171" w:lineRule="exact"/>
        <w:rPr>
          <w:sz w:val="20"/>
          <w:szCs w:val="20"/>
          <w:color w:val="auto"/>
        </w:rPr>
      </w:pPr>
    </w:p>
    <w:p>
      <w:pPr>
        <w:ind w:left="300" w:right="240"/>
        <w:spacing w:after="0" w:line="286" w:lineRule="auto"/>
        <w:rPr>
          <w:sz w:val="20"/>
          <w:szCs w:val="20"/>
          <w:color w:val="auto"/>
        </w:rPr>
      </w:pPr>
      <w:r>
        <w:rPr>
          <w:rFonts w:ascii="Arial" w:cs="Arial" w:eastAsia="Arial" w:hAnsi="Arial"/>
          <w:sz w:val="16"/>
          <w:szCs w:val="16"/>
          <w:color w:val="auto"/>
        </w:rPr>
        <w:t>The following table provides summary information regarding each nominee to the Board. Information about each director’s experience, qualifications and skills can be found in the Report on the Board of Directors and its Committees.</w:t>
      </w:r>
    </w:p>
    <w:p>
      <w:pPr>
        <w:spacing w:after="0" w:line="2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color w:val="003A70"/>
              </w:rPr>
              <w:t>STANDING COMMITTEE</w:t>
            </w: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003A70"/>
              </w:rPr>
              <w:t>DIRECTOR</w:t>
            </w:r>
          </w:p>
        </w:tc>
        <w:tc>
          <w:tcPr>
            <w:tcW w:w="198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color w:val="003A70"/>
              </w:rPr>
              <w:t>INDE-</w:t>
            </w:r>
          </w:p>
        </w:tc>
        <w:tc>
          <w:tcPr>
            <w:tcW w:w="360" w:type="dxa"/>
            <w:vAlign w:val="bottom"/>
          </w:tcPr>
          <w:p>
            <w:pPr>
              <w:spacing w:after="0"/>
              <w:rPr>
                <w:sz w:val="15"/>
                <w:szCs w:val="15"/>
                <w:color w:val="auto"/>
              </w:rPr>
            </w:pPr>
          </w:p>
        </w:tc>
        <w:tc>
          <w:tcPr>
            <w:tcW w:w="1540" w:type="dxa"/>
            <w:vAlign w:val="bottom"/>
            <w:gridSpan w:val="2"/>
          </w:tcPr>
          <w:p>
            <w:pPr>
              <w:jc w:val="center"/>
              <w:ind w:right="301"/>
              <w:spacing w:after="0" w:line="175" w:lineRule="exact"/>
              <w:rPr>
                <w:sz w:val="20"/>
                <w:szCs w:val="20"/>
                <w:color w:val="auto"/>
              </w:rPr>
            </w:pPr>
            <w:r>
              <w:rPr>
                <w:rFonts w:ascii="Arial" w:cs="Arial" w:eastAsia="Arial" w:hAnsi="Arial"/>
                <w:sz w:val="14"/>
                <w:szCs w:val="14"/>
                <w:color w:val="003A70"/>
              </w:rPr>
              <w:t>MEMBERSHIPS</w:t>
            </w:r>
            <w:r>
              <w:rPr>
                <w:rFonts w:ascii="Arial" w:cs="Arial" w:eastAsia="Arial" w:hAnsi="Arial"/>
                <w:sz w:val="20"/>
                <w:szCs w:val="20"/>
                <w:color w:val="003A70"/>
                <w:vertAlign w:val="superscript"/>
              </w:rPr>
              <w:t>2</w:t>
            </w:r>
          </w:p>
        </w:tc>
        <w:tc>
          <w:tcPr>
            <w:tcW w:w="2380" w:type="dxa"/>
            <w:vAlign w:val="bottom"/>
            <w:gridSpan w:val="2"/>
          </w:tcPr>
          <w:p>
            <w:pPr>
              <w:jc w:val="center"/>
              <w:ind w:left="2"/>
              <w:spacing w:after="0"/>
              <w:rPr>
                <w:sz w:val="20"/>
                <w:szCs w:val="20"/>
                <w:color w:val="auto"/>
              </w:rPr>
            </w:pPr>
            <w:r>
              <w:rPr>
                <w:rFonts w:ascii="Arial" w:cs="Arial" w:eastAsia="Arial" w:hAnsi="Arial"/>
                <w:sz w:val="14"/>
                <w:szCs w:val="14"/>
                <w:color w:val="003A70"/>
              </w:rPr>
              <w:t>CURRENT OTHER</w:t>
            </w:r>
          </w:p>
        </w:tc>
        <w:tc>
          <w:tcPr>
            <w:tcW w:w="0" w:type="dxa"/>
            <w:vAlign w:val="bottom"/>
          </w:tcPr>
          <w:p>
            <w:pPr>
              <w:spacing w:after="0"/>
              <w:rPr>
                <w:sz w:val="1"/>
                <w:szCs w:val="1"/>
                <w:color w:val="auto"/>
              </w:rPr>
            </w:pPr>
          </w:p>
        </w:tc>
      </w:tr>
      <w:tr>
        <w:trPr>
          <w:trHeight w:val="163"/>
        </w:trPr>
        <w:tc>
          <w:tcPr>
            <w:tcW w:w="2100" w:type="dxa"/>
            <w:vAlign w:val="bottom"/>
          </w:tcPr>
          <w:p>
            <w:pPr>
              <w:ind w:left="20"/>
              <w:spacing w:after="0" w:line="155" w:lineRule="exact"/>
              <w:rPr>
                <w:sz w:val="20"/>
                <w:szCs w:val="20"/>
                <w:color w:val="auto"/>
              </w:rPr>
            </w:pPr>
            <w:r>
              <w:rPr>
                <w:rFonts w:ascii="Arial" w:cs="Arial" w:eastAsia="Arial" w:hAnsi="Arial"/>
                <w:sz w:val="14"/>
                <w:szCs w:val="14"/>
                <w:color w:val="003A70"/>
              </w:rPr>
              <w:t>NAME</w:t>
            </w:r>
          </w:p>
        </w:tc>
        <w:tc>
          <w:tcPr>
            <w:tcW w:w="600" w:type="dxa"/>
            <w:vAlign w:val="bottom"/>
          </w:tcPr>
          <w:p>
            <w:pPr>
              <w:jc w:val="center"/>
              <w:ind w:left="81"/>
              <w:spacing w:after="0" w:line="156" w:lineRule="exact"/>
              <w:rPr>
                <w:sz w:val="20"/>
                <w:szCs w:val="20"/>
                <w:color w:val="auto"/>
              </w:rPr>
            </w:pPr>
            <w:r>
              <w:rPr>
                <w:rFonts w:ascii="Arial" w:cs="Arial" w:eastAsia="Arial" w:hAnsi="Arial"/>
                <w:sz w:val="13"/>
                <w:szCs w:val="13"/>
                <w:color w:val="003A70"/>
              </w:rPr>
              <w:t>AGE</w:t>
            </w:r>
            <w:r>
              <w:rPr>
                <w:rFonts w:ascii="Arial" w:cs="Arial" w:eastAsia="Arial" w:hAnsi="Arial"/>
                <w:sz w:val="18"/>
                <w:szCs w:val="18"/>
                <w:color w:val="003A70"/>
                <w:vertAlign w:val="superscript"/>
              </w:rPr>
              <w:t>1</w:t>
            </w:r>
          </w:p>
        </w:tc>
        <w:tc>
          <w:tcPr>
            <w:tcW w:w="840" w:type="dxa"/>
            <w:vAlign w:val="bottom"/>
          </w:tcPr>
          <w:p>
            <w:pPr>
              <w:jc w:val="center"/>
              <w:spacing w:after="0" w:line="155" w:lineRule="exact"/>
              <w:rPr>
                <w:sz w:val="20"/>
                <w:szCs w:val="20"/>
                <w:color w:val="auto"/>
              </w:rPr>
            </w:pPr>
            <w:r>
              <w:rPr>
                <w:rFonts w:ascii="Arial" w:cs="Arial" w:eastAsia="Arial" w:hAnsi="Arial"/>
                <w:sz w:val="14"/>
                <w:szCs w:val="14"/>
                <w:color w:val="003A70"/>
              </w:rPr>
              <w:t>SINCE</w:t>
            </w:r>
          </w:p>
        </w:tc>
        <w:tc>
          <w:tcPr>
            <w:tcW w:w="1980" w:type="dxa"/>
            <w:vAlign w:val="bottom"/>
          </w:tcPr>
          <w:p>
            <w:pPr>
              <w:jc w:val="center"/>
              <w:spacing w:after="0" w:line="155" w:lineRule="exact"/>
              <w:rPr>
                <w:sz w:val="20"/>
                <w:szCs w:val="20"/>
                <w:color w:val="auto"/>
              </w:rPr>
            </w:pPr>
            <w:r>
              <w:rPr>
                <w:rFonts w:ascii="Arial" w:cs="Arial" w:eastAsia="Arial" w:hAnsi="Arial"/>
                <w:sz w:val="14"/>
                <w:szCs w:val="14"/>
                <w:color w:val="003A70"/>
              </w:rPr>
              <w:t>PRINCIPAL OCCUPATION</w:t>
            </w:r>
          </w:p>
        </w:tc>
        <w:tc>
          <w:tcPr>
            <w:tcW w:w="720" w:type="dxa"/>
            <w:vAlign w:val="bottom"/>
          </w:tcPr>
          <w:p>
            <w:pPr>
              <w:jc w:val="center"/>
              <w:spacing w:after="0" w:line="155" w:lineRule="exact"/>
              <w:rPr>
                <w:sz w:val="20"/>
                <w:szCs w:val="20"/>
                <w:color w:val="auto"/>
              </w:rPr>
            </w:pPr>
            <w:r>
              <w:rPr>
                <w:rFonts w:ascii="Arial" w:cs="Arial" w:eastAsia="Arial" w:hAnsi="Arial"/>
                <w:sz w:val="14"/>
                <w:szCs w:val="14"/>
                <w:color w:val="003A70"/>
              </w:rPr>
              <w:t>PENDENT</w:t>
            </w:r>
          </w:p>
        </w:tc>
        <w:tc>
          <w:tcPr>
            <w:tcW w:w="120" w:type="dxa"/>
            <w:vAlign w:val="bottom"/>
            <w:tcBorders>
              <w:top w:val="single" w:sz="8" w:color="003A70"/>
            </w:tcBorders>
          </w:tcPr>
          <w:p>
            <w:pPr>
              <w:spacing w:after="0"/>
              <w:rPr>
                <w:sz w:val="14"/>
                <w:szCs w:val="14"/>
                <w:color w:val="auto"/>
              </w:rPr>
            </w:pPr>
          </w:p>
        </w:tc>
        <w:tc>
          <w:tcPr>
            <w:tcW w:w="360" w:type="dxa"/>
            <w:vAlign w:val="bottom"/>
            <w:tcBorders>
              <w:top w:val="single" w:sz="8" w:color="003A70"/>
            </w:tcBorders>
          </w:tcPr>
          <w:p>
            <w:pPr>
              <w:jc w:val="center"/>
              <w:ind w:left="83"/>
              <w:spacing w:after="0" w:line="155" w:lineRule="exact"/>
              <w:rPr>
                <w:sz w:val="20"/>
                <w:szCs w:val="20"/>
                <w:color w:val="auto"/>
              </w:rPr>
            </w:pPr>
            <w:r>
              <w:rPr>
                <w:rFonts w:ascii="Arial" w:cs="Arial" w:eastAsia="Arial" w:hAnsi="Arial"/>
                <w:sz w:val="14"/>
                <w:szCs w:val="14"/>
                <w:color w:val="003A70"/>
              </w:rPr>
              <w:t>AC</w:t>
            </w:r>
          </w:p>
        </w:tc>
        <w:tc>
          <w:tcPr>
            <w:tcW w:w="900" w:type="dxa"/>
            <w:vAlign w:val="bottom"/>
            <w:tcBorders>
              <w:top w:val="single" w:sz="8" w:color="003A70"/>
            </w:tcBorders>
          </w:tcPr>
          <w:p>
            <w:pPr>
              <w:jc w:val="center"/>
              <w:ind w:left="163"/>
              <w:spacing w:after="0" w:line="155" w:lineRule="exact"/>
              <w:rPr>
                <w:sz w:val="20"/>
                <w:szCs w:val="20"/>
                <w:color w:val="auto"/>
              </w:rPr>
            </w:pPr>
            <w:r>
              <w:rPr>
                <w:rFonts w:ascii="Arial" w:cs="Arial" w:eastAsia="Arial" w:hAnsi="Arial"/>
                <w:sz w:val="14"/>
                <w:szCs w:val="14"/>
                <w:color w:val="003A70"/>
              </w:rPr>
              <w:t>CPC</w:t>
            </w:r>
          </w:p>
        </w:tc>
        <w:tc>
          <w:tcPr>
            <w:tcW w:w="640" w:type="dxa"/>
            <w:vAlign w:val="bottom"/>
            <w:tcBorders>
              <w:top w:val="single" w:sz="8" w:color="003A70"/>
            </w:tcBorders>
          </w:tcPr>
          <w:p>
            <w:pPr>
              <w:jc w:val="center"/>
              <w:spacing w:after="0" w:line="155" w:lineRule="exact"/>
              <w:rPr>
                <w:sz w:val="20"/>
                <w:szCs w:val="20"/>
                <w:color w:val="auto"/>
              </w:rPr>
            </w:pPr>
            <w:r>
              <w:rPr>
                <w:rFonts w:ascii="Arial" w:cs="Arial" w:eastAsia="Arial" w:hAnsi="Arial"/>
                <w:sz w:val="14"/>
                <w:szCs w:val="14"/>
                <w:color w:val="003A70"/>
              </w:rPr>
              <w:t>NCG</w:t>
            </w:r>
          </w:p>
        </w:tc>
        <w:tc>
          <w:tcPr>
            <w:tcW w:w="2380" w:type="dxa"/>
            <w:vAlign w:val="bottom"/>
            <w:gridSpan w:val="2"/>
          </w:tcPr>
          <w:p>
            <w:pPr>
              <w:jc w:val="center"/>
              <w:ind w:left="2"/>
              <w:spacing w:after="0" w:line="155" w:lineRule="exact"/>
              <w:rPr>
                <w:sz w:val="20"/>
                <w:szCs w:val="20"/>
                <w:color w:val="auto"/>
              </w:rPr>
            </w:pPr>
            <w:r>
              <w:rPr>
                <w:rFonts w:ascii="Arial" w:cs="Arial" w:eastAsia="Arial" w:hAnsi="Arial"/>
                <w:sz w:val="14"/>
                <w:szCs w:val="14"/>
                <w:color w:val="003A70"/>
              </w:rPr>
              <w:t>PUBLIC CO. BOARDS</w:t>
            </w:r>
          </w:p>
        </w:tc>
        <w:tc>
          <w:tcPr>
            <w:tcW w:w="0" w:type="dxa"/>
            <w:vAlign w:val="bottom"/>
          </w:tcPr>
          <w:p>
            <w:pPr>
              <w:spacing w:after="0"/>
              <w:rPr>
                <w:sz w:val="1"/>
                <w:szCs w:val="1"/>
                <w:color w:val="auto"/>
              </w:rPr>
            </w:pPr>
          </w:p>
        </w:tc>
      </w:tr>
      <w:tr>
        <w:trPr>
          <w:trHeight w:val="175"/>
        </w:trPr>
        <w:tc>
          <w:tcPr>
            <w:tcW w:w="2100" w:type="dxa"/>
            <w:vAlign w:val="bottom"/>
            <w:tcBorders>
              <w:top w:val="single" w:sz="8" w:color="003A70"/>
            </w:tcBorders>
          </w:tcPr>
          <w:p>
            <w:pPr>
              <w:spacing w:after="0"/>
              <w:rPr>
                <w:sz w:val="15"/>
                <w:szCs w:val="15"/>
                <w:color w:val="auto"/>
              </w:rPr>
            </w:pPr>
          </w:p>
        </w:tc>
        <w:tc>
          <w:tcPr>
            <w:tcW w:w="600" w:type="dxa"/>
            <w:vAlign w:val="bottom"/>
            <w:tcBorders>
              <w:top w:val="single" w:sz="8" w:color="003A70"/>
            </w:tcBorders>
          </w:tcPr>
          <w:p>
            <w:pPr>
              <w:spacing w:after="0"/>
              <w:rPr>
                <w:sz w:val="15"/>
                <w:szCs w:val="15"/>
                <w:color w:val="auto"/>
              </w:rPr>
            </w:pPr>
          </w:p>
        </w:tc>
        <w:tc>
          <w:tcPr>
            <w:tcW w:w="840" w:type="dxa"/>
            <w:vAlign w:val="bottom"/>
            <w:tcBorders>
              <w:top w:val="single" w:sz="8" w:color="003A70"/>
            </w:tcBorders>
          </w:tcPr>
          <w:p>
            <w:pPr>
              <w:spacing w:after="0"/>
              <w:rPr>
                <w:sz w:val="15"/>
                <w:szCs w:val="15"/>
                <w:color w:val="auto"/>
              </w:rPr>
            </w:pPr>
          </w:p>
        </w:tc>
        <w:tc>
          <w:tcPr>
            <w:tcW w:w="1980" w:type="dxa"/>
            <w:vAlign w:val="bottom"/>
            <w:tcBorders>
              <w:top w:val="single" w:sz="8" w:color="003A70"/>
            </w:tcBorders>
          </w:tcPr>
          <w:p>
            <w:pPr>
              <w:jc w:val="center"/>
              <w:spacing w:after="0" w:line="175" w:lineRule="exact"/>
              <w:rPr>
                <w:sz w:val="20"/>
                <w:szCs w:val="20"/>
                <w:color w:val="auto"/>
              </w:rPr>
            </w:pPr>
            <w:r>
              <w:rPr>
                <w:rFonts w:ascii="Arial" w:cs="Arial" w:eastAsia="Arial" w:hAnsi="Arial"/>
                <w:sz w:val="16"/>
                <w:szCs w:val="16"/>
                <w:color w:val="auto"/>
              </w:rPr>
              <w:t>Former Member of the</w:t>
            </w:r>
          </w:p>
        </w:tc>
        <w:tc>
          <w:tcPr>
            <w:tcW w:w="720" w:type="dxa"/>
            <w:vAlign w:val="bottom"/>
            <w:tcBorders>
              <w:top w:val="single" w:sz="8" w:color="003A70"/>
            </w:tcBorders>
          </w:tcPr>
          <w:p>
            <w:pPr>
              <w:spacing w:after="0"/>
              <w:rPr>
                <w:sz w:val="15"/>
                <w:szCs w:val="15"/>
                <w:color w:val="auto"/>
              </w:rPr>
            </w:pPr>
          </w:p>
        </w:tc>
        <w:tc>
          <w:tcPr>
            <w:tcW w:w="120" w:type="dxa"/>
            <w:vAlign w:val="bottom"/>
            <w:tcBorders>
              <w:top w:val="single" w:sz="8" w:color="003A70"/>
            </w:tcBorders>
          </w:tcPr>
          <w:p>
            <w:pPr>
              <w:spacing w:after="0"/>
              <w:rPr>
                <w:sz w:val="15"/>
                <w:szCs w:val="15"/>
                <w:color w:val="auto"/>
              </w:rPr>
            </w:pPr>
          </w:p>
        </w:tc>
        <w:tc>
          <w:tcPr>
            <w:tcW w:w="360" w:type="dxa"/>
            <w:vAlign w:val="bottom"/>
            <w:tcBorders>
              <w:top w:val="single" w:sz="8" w:color="003A70"/>
            </w:tcBorders>
          </w:tcPr>
          <w:p>
            <w:pPr>
              <w:spacing w:after="0"/>
              <w:rPr>
                <w:sz w:val="15"/>
                <w:szCs w:val="15"/>
                <w:color w:val="auto"/>
              </w:rPr>
            </w:pPr>
          </w:p>
        </w:tc>
        <w:tc>
          <w:tcPr>
            <w:tcW w:w="900" w:type="dxa"/>
            <w:vAlign w:val="bottom"/>
            <w:tcBorders>
              <w:top w:val="single" w:sz="8" w:color="003A70"/>
            </w:tcBorders>
          </w:tcPr>
          <w:p>
            <w:pPr>
              <w:spacing w:after="0"/>
              <w:rPr>
                <w:sz w:val="15"/>
                <w:szCs w:val="15"/>
                <w:color w:val="auto"/>
              </w:rPr>
            </w:pPr>
          </w:p>
        </w:tc>
        <w:tc>
          <w:tcPr>
            <w:tcW w:w="640" w:type="dxa"/>
            <w:vAlign w:val="bottom"/>
            <w:tcBorders>
              <w:top w:val="single" w:sz="8" w:color="003A70"/>
            </w:tcBorders>
          </w:tcPr>
          <w:p>
            <w:pPr>
              <w:spacing w:after="0"/>
              <w:rPr>
                <w:sz w:val="15"/>
                <w:szCs w:val="15"/>
                <w:color w:val="auto"/>
              </w:rPr>
            </w:pPr>
          </w:p>
        </w:tc>
        <w:tc>
          <w:tcPr>
            <w:tcW w:w="2360" w:type="dxa"/>
            <w:vAlign w:val="bottom"/>
            <w:tcBorders>
              <w:top w:val="single" w:sz="8" w:color="003A70"/>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100" w:type="dxa"/>
            <w:vAlign w:val="bottom"/>
          </w:tcPr>
          <w:p>
            <w:pPr>
              <w:ind w:left="20"/>
              <w:spacing w:after="0"/>
              <w:rPr>
                <w:sz w:val="20"/>
                <w:szCs w:val="20"/>
                <w:color w:val="auto"/>
              </w:rPr>
            </w:pPr>
            <w:r>
              <w:rPr>
                <w:rFonts w:ascii="Arial" w:cs="Arial" w:eastAsia="Arial" w:hAnsi="Arial"/>
                <w:sz w:val="16"/>
                <w:szCs w:val="16"/>
                <w:color w:val="auto"/>
              </w:rPr>
              <w:t>Charles E. “C.E.” Andrews</w:t>
            </w:r>
          </w:p>
        </w:tc>
        <w:tc>
          <w:tcPr>
            <w:tcW w:w="600" w:type="dxa"/>
            <w:vAlign w:val="bottom"/>
          </w:tcPr>
          <w:p>
            <w:pPr>
              <w:jc w:val="center"/>
              <w:ind w:left="61"/>
              <w:spacing w:after="0"/>
              <w:rPr>
                <w:sz w:val="20"/>
                <w:szCs w:val="20"/>
                <w:color w:val="auto"/>
              </w:rPr>
            </w:pPr>
            <w:r>
              <w:rPr>
                <w:rFonts w:ascii="Arial" w:cs="Arial" w:eastAsia="Arial" w:hAnsi="Arial"/>
                <w:sz w:val="16"/>
                <w:szCs w:val="16"/>
                <w:color w:val="auto"/>
              </w:rPr>
              <w:t>74</w:t>
            </w:r>
          </w:p>
        </w:tc>
        <w:tc>
          <w:tcPr>
            <w:tcW w:w="840" w:type="dxa"/>
            <w:vAlign w:val="bottom"/>
          </w:tcPr>
          <w:p>
            <w:pPr>
              <w:jc w:val="center"/>
              <w:spacing w:after="0"/>
              <w:rPr>
                <w:sz w:val="20"/>
                <w:szCs w:val="20"/>
                <w:color w:val="auto"/>
              </w:rPr>
            </w:pPr>
            <w:r>
              <w:rPr>
                <w:rFonts w:ascii="Arial" w:cs="Arial" w:eastAsia="Arial" w:hAnsi="Arial"/>
                <w:sz w:val="16"/>
                <w:szCs w:val="16"/>
                <w:color w:val="auto"/>
              </w:rPr>
              <w:t>2013</w:t>
            </w:r>
          </w:p>
        </w:tc>
        <w:tc>
          <w:tcPr>
            <w:tcW w:w="1980" w:type="dxa"/>
            <w:vAlign w:val="bottom"/>
          </w:tcPr>
          <w:p>
            <w:pPr>
              <w:jc w:val="center"/>
              <w:spacing w:after="0"/>
              <w:rPr>
                <w:sz w:val="20"/>
                <w:szCs w:val="20"/>
                <w:color w:val="auto"/>
              </w:rPr>
            </w:pPr>
            <w:r>
              <w:rPr>
                <w:rFonts w:ascii="Arial" w:cs="Arial" w:eastAsia="Arial" w:hAnsi="Arial"/>
                <w:sz w:val="16"/>
                <w:szCs w:val="16"/>
                <w:color w:val="auto"/>
              </w:rPr>
              <w:t>Board of Directors and</w:t>
            </w:r>
          </w:p>
        </w:tc>
        <w:tc>
          <w:tcPr>
            <w:tcW w:w="840" w:type="dxa"/>
            <w:vAlign w:val="bottom"/>
            <w:gridSpan w:val="2"/>
          </w:tcPr>
          <w:p>
            <w:pPr>
              <w:jc w:val="center"/>
              <w:ind w:right="60"/>
              <w:spacing w:after="0" w:line="161" w:lineRule="exact"/>
              <w:rPr>
                <w:sz w:val="20"/>
                <w:szCs w:val="20"/>
                <w:color w:val="auto"/>
              </w:rPr>
            </w:pPr>
            <w:r>
              <w:rPr>
                <w:rFonts w:ascii="MS PGothic" w:cs="MS PGothic" w:eastAsia="MS PGothic" w:hAnsi="MS PGothic"/>
                <w:sz w:val="16"/>
                <w:szCs w:val="16"/>
                <w:color w:val="auto"/>
                <w:w w:val="87"/>
              </w:rPr>
              <w:t>✓</w:t>
            </w:r>
          </w:p>
        </w:tc>
        <w:tc>
          <w:tcPr>
            <w:tcW w:w="360" w:type="dxa"/>
            <w:vAlign w:val="bottom"/>
          </w:tcPr>
          <w:p>
            <w:pPr>
              <w:jc w:val="center"/>
              <w:ind w:left="83"/>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Pr>
          <w:p>
            <w:pPr>
              <w:spacing w:after="0"/>
              <w:rPr>
                <w:sz w:val="22"/>
                <w:szCs w:val="22"/>
                <w:color w:val="auto"/>
              </w:rPr>
            </w:pPr>
          </w:p>
        </w:tc>
        <w:tc>
          <w:tcPr>
            <w:tcW w:w="6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380" w:type="dxa"/>
            <w:vAlign w:val="bottom"/>
            <w:gridSpan w:val="2"/>
          </w:tcPr>
          <w:p>
            <w:pPr>
              <w:jc w:val="center"/>
              <w:ind w:left="2"/>
              <w:spacing w:after="0"/>
              <w:rPr>
                <w:sz w:val="20"/>
                <w:szCs w:val="20"/>
                <w:color w:val="auto"/>
              </w:rPr>
            </w:pPr>
            <w:r>
              <w:rPr>
                <w:rFonts w:ascii="Arial" w:cs="Arial" w:eastAsia="Arial" w:hAnsi="Arial"/>
                <w:sz w:val="16"/>
                <w:szCs w:val="16"/>
                <w:color w:val="auto"/>
              </w:rPr>
              <w:t>NVR, Inc., Washington Mutual</w:t>
            </w: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jc w:val="center"/>
              <w:spacing w:after="0" w:line="121" w:lineRule="exact"/>
              <w:rPr>
                <w:sz w:val="20"/>
                <w:szCs w:val="20"/>
                <w:color w:val="auto"/>
              </w:rPr>
            </w:pPr>
            <w:r>
              <w:rPr>
                <w:rFonts w:ascii="Arial" w:cs="Arial" w:eastAsia="Arial" w:hAnsi="Arial"/>
                <w:sz w:val="14"/>
                <w:szCs w:val="14"/>
                <w:color w:val="auto"/>
              </w:rPr>
              <w:t>Advisor, MorganFranklin</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380" w:type="dxa"/>
            <w:vAlign w:val="bottom"/>
            <w:gridSpan w:val="2"/>
          </w:tcPr>
          <w:p>
            <w:pPr>
              <w:jc w:val="center"/>
              <w:ind w:left="2"/>
              <w:spacing w:after="0" w:line="121" w:lineRule="exact"/>
              <w:rPr>
                <w:sz w:val="20"/>
                <w:szCs w:val="20"/>
                <w:color w:val="auto"/>
              </w:rPr>
            </w:pPr>
            <w:r>
              <w:rPr>
                <w:rFonts w:ascii="Arial" w:cs="Arial" w:eastAsia="Arial" w:hAnsi="Arial"/>
                <w:sz w:val="14"/>
                <w:szCs w:val="14"/>
                <w:color w:val="auto"/>
              </w:rPr>
              <w:t>Investors Fund</w:t>
            </w:r>
          </w:p>
        </w:tc>
        <w:tc>
          <w:tcPr>
            <w:tcW w:w="0" w:type="dxa"/>
            <w:vAlign w:val="bottom"/>
          </w:tcPr>
          <w:p>
            <w:pPr>
              <w:spacing w:after="0"/>
              <w:rPr>
                <w:sz w:val="1"/>
                <w:szCs w:val="1"/>
                <w:color w:val="auto"/>
              </w:rPr>
            </w:pPr>
          </w:p>
        </w:tc>
      </w:tr>
      <w:tr>
        <w:trPr>
          <w:trHeight w:val="203"/>
        </w:trPr>
        <w:tc>
          <w:tcPr>
            <w:tcW w:w="2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Consulting</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jc w:val="center"/>
              <w:spacing w:after="0" w:line="168" w:lineRule="exact"/>
              <w:rPr>
                <w:sz w:val="20"/>
                <w:szCs w:val="20"/>
                <w:color w:val="auto"/>
              </w:rPr>
            </w:pPr>
            <w:r>
              <w:rPr>
                <w:rFonts w:ascii="Arial" w:cs="Arial" w:eastAsia="Arial" w:hAnsi="Arial"/>
                <w:sz w:val="16"/>
                <w:szCs w:val="16"/>
                <w:color w:val="auto"/>
              </w:rPr>
              <w:t>Co-Founder and</w:t>
            </w:r>
          </w:p>
        </w:tc>
        <w:tc>
          <w:tcPr>
            <w:tcW w:w="840" w:type="dxa"/>
            <w:vAlign w:val="bottom"/>
            <w:gridSpan w:val="2"/>
            <w:vMerge w:val="restart"/>
          </w:tcPr>
          <w:p>
            <w:pPr>
              <w:jc w:val="center"/>
              <w:ind w:right="60"/>
              <w:spacing w:after="0" w:line="161" w:lineRule="exact"/>
              <w:rPr>
                <w:sz w:val="20"/>
                <w:szCs w:val="20"/>
                <w:color w:val="auto"/>
              </w:rPr>
            </w:pPr>
            <w:r>
              <w:rPr>
                <w:rFonts w:ascii="MS PGothic" w:cs="MS PGothic" w:eastAsia="MS PGothic" w:hAnsi="MS PGothic"/>
                <w:sz w:val="16"/>
                <w:szCs w:val="16"/>
                <w:color w:val="auto"/>
                <w:w w:val="87"/>
              </w:rPr>
              <w:t>✓</w:t>
            </w:r>
          </w:p>
        </w:tc>
        <w:tc>
          <w:tcPr>
            <w:tcW w:w="360" w:type="dxa"/>
            <w:vAlign w:val="bottom"/>
          </w:tcPr>
          <w:p>
            <w:pPr>
              <w:spacing w:after="0"/>
              <w:rPr>
                <w:sz w:val="14"/>
                <w:szCs w:val="14"/>
                <w:color w:val="auto"/>
              </w:rPr>
            </w:pPr>
          </w:p>
        </w:tc>
        <w:tc>
          <w:tcPr>
            <w:tcW w:w="900" w:type="dxa"/>
            <w:vAlign w:val="bottom"/>
            <w:vMerge w:val="restart"/>
          </w:tcPr>
          <w:p>
            <w:pPr>
              <w:jc w:val="center"/>
              <w:ind w:left="163"/>
              <w:spacing w:after="0" w:line="161" w:lineRule="exact"/>
              <w:rPr>
                <w:sz w:val="20"/>
                <w:szCs w:val="20"/>
                <w:color w:val="auto"/>
              </w:rPr>
            </w:pPr>
            <w:r>
              <w:rPr>
                <w:rFonts w:ascii="MS PGothic" w:cs="MS PGothic" w:eastAsia="MS PGothic" w:hAnsi="MS PGothic"/>
                <w:sz w:val="16"/>
                <w:szCs w:val="16"/>
                <w:color w:val="auto"/>
                <w:w w:val="87"/>
              </w:rPr>
              <w:t>✓</w:t>
            </w:r>
          </w:p>
        </w:tc>
        <w:tc>
          <w:tcPr>
            <w:tcW w:w="6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6"/>
                <w:szCs w:val="16"/>
                <w:color w:val="auto"/>
              </w:rPr>
              <w:t>Christian A. Asmar</w:t>
            </w:r>
          </w:p>
        </w:tc>
        <w:tc>
          <w:tcPr>
            <w:tcW w:w="600" w:type="dxa"/>
            <w:vAlign w:val="bottom"/>
          </w:tcPr>
          <w:p>
            <w:pPr>
              <w:jc w:val="center"/>
              <w:ind w:left="61"/>
              <w:spacing w:after="0"/>
              <w:rPr>
                <w:sz w:val="20"/>
                <w:szCs w:val="20"/>
                <w:color w:val="auto"/>
              </w:rPr>
            </w:pPr>
            <w:r>
              <w:rPr>
                <w:rFonts w:ascii="Arial" w:cs="Arial" w:eastAsia="Arial" w:hAnsi="Arial"/>
                <w:sz w:val="16"/>
                <w:szCs w:val="16"/>
                <w:color w:val="auto"/>
              </w:rPr>
              <w:t>42</w:t>
            </w:r>
          </w:p>
        </w:tc>
        <w:tc>
          <w:tcPr>
            <w:tcW w:w="840" w:type="dxa"/>
            <w:vAlign w:val="bottom"/>
          </w:tcPr>
          <w:p>
            <w:pPr>
              <w:jc w:val="center"/>
              <w:spacing w:after="0"/>
              <w:rPr>
                <w:sz w:val="20"/>
                <w:szCs w:val="20"/>
                <w:color w:val="auto"/>
              </w:rPr>
            </w:pPr>
            <w:r>
              <w:rPr>
                <w:rFonts w:ascii="Arial" w:cs="Arial" w:eastAsia="Arial" w:hAnsi="Arial"/>
                <w:sz w:val="16"/>
                <w:szCs w:val="16"/>
                <w:color w:val="auto"/>
              </w:rPr>
              <w:t>2025</w:t>
            </w:r>
          </w:p>
        </w:tc>
        <w:tc>
          <w:tcPr>
            <w:tcW w:w="1980" w:type="dxa"/>
            <w:vAlign w:val="bottom"/>
          </w:tcPr>
          <w:p>
            <w:pPr>
              <w:jc w:val="center"/>
              <w:spacing w:after="0"/>
              <w:rPr>
                <w:sz w:val="20"/>
                <w:szCs w:val="20"/>
                <w:color w:val="auto"/>
              </w:rPr>
            </w:pPr>
            <w:r>
              <w:rPr>
                <w:rFonts w:ascii="Arial" w:cs="Arial" w:eastAsia="Arial" w:hAnsi="Arial"/>
                <w:sz w:val="16"/>
                <w:szCs w:val="16"/>
                <w:color w:val="auto"/>
              </w:rPr>
              <w:t>Managing Partner,</w:t>
            </w:r>
          </w:p>
        </w:tc>
        <w:tc>
          <w:tcPr>
            <w:tcW w:w="8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Impactive Capital LLC</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jc w:val="center"/>
              <w:spacing w:after="0" w:line="168" w:lineRule="exact"/>
              <w:rPr>
                <w:sz w:val="20"/>
                <w:szCs w:val="20"/>
                <w:color w:val="auto"/>
              </w:rPr>
            </w:pPr>
            <w:r>
              <w:rPr>
                <w:rFonts w:ascii="Arial" w:cs="Arial" w:eastAsia="Arial" w:hAnsi="Arial"/>
                <w:sz w:val="16"/>
                <w:szCs w:val="16"/>
                <w:color w:val="auto"/>
              </w:rPr>
              <w:t>Chief Executive Officer,</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6"/>
                <w:szCs w:val="16"/>
                <w:color w:val="auto"/>
              </w:rPr>
              <w:t>Matthew E. Avril</w:t>
            </w:r>
          </w:p>
        </w:tc>
        <w:tc>
          <w:tcPr>
            <w:tcW w:w="600" w:type="dxa"/>
            <w:vAlign w:val="bottom"/>
          </w:tcPr>
          <w:p>
            <w:pPr>
              <w:jc w:val="center"/>
              <w:ind w:left="61"/>
              <w:spacing w:after="0"/>
              <w:rPr>
                <w:sz w:val="20"/>
                <w:szCs w:val="20"/>
                <w:color w:val="auto"/>
              </w:rPr>
            </w:pPr>
            <w:r>
              <w:rPr>
                <w:rFonts w:ascii="Arial" w:cs="Arial" w:eastAsia="Arial" w:hAnsi="Arial"/>
                <w:sz w:val="16"/>
                <w:szCs w:val="16"/>
                <w:color w:val="auto"/>
              </w:rPr>
              <w:t>65</w:t>
            </w:r>
          </w:p>
        </w:tc>
        <w:tc>
          <w:tcPr>
            <w:tcW w:w="840" w:type="dxa"/>
            <w:vAlign w:val="bottom"/>
          </w:tcPr>
          <w:p>
            <w:pPr>
              <w:jc w:val="center"/>
              <w:spacing w:after="0"/>
              <w:rPr>
                <w:sz w:val="20"/>
                <w:szCs w:val="20"/>
                <w:color w:val="auto"/>
              </w:rPr>
            </w:pPr>
            <w:r>
              <w:rPr>
                <w:rFonts w:ascii="Arial" w:cs="Arial" w:eastAsia="Arial" w:hAnsi="Arial"/>
                <w:sz w:val="16"/>
                <w:szCs w:val="16"/>
                <w:color w:val="auto"/>
              </w:rPr>
              <w:t>2025</w:t>
            </w:r>
          </w:p>
        </w:tc>
        <w:tc>
          <w:tcPr>
            <w:tcW w:w="1980" w:type="dxa"/>
            <w:vAlign w:val="bottom"/>
          </w:tcPr>
          <w:p>
            <w:pPr>
              <w:jc w:val="center"/>
              <w:spacing w:after="0"/>
              <w:rPr>
                <w:sz w:val="20"/>
                <w:szCs w:val="20"/>
                <w:color w:val="auto"/>
              </w:rPr>
            </w:pPr>
            <w:r>
              <w:rPr>
                <w:rFonts w:ascii="Arial" w:cs="Arial" w:eastAsia="Arial" w:hAnsi="Arial"/>
                <w:sz w:val="16"/>
                <w:szCs w:val="16"/>
                <w:color w:val="auto"/>
              </w:rPr>
              <w:t>Marriott Vacations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Worldwide Corporation</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jc w:val="center"/>
              <w:spacing w:after="0" w:line="168" w:lineRule="exact"/>
              <w:rPr>
                <w:sz w:val="20"/>
                <w:szCs w:val="20"/>
                <w:color w:val="auto"/>
              </w:rPr>
            </w:pPr>
            <w:r>
              <w:rPr>
                <w:rFonts w:ascii="Arial" w:cs="Arial" w:eastAsia="Arial" w:hAnsi="Arial"/>
                <w:sz w:val="16"/>
                <w:szCs w:val="16"/>
                <w:color w:val="auto"/>
              </w:rPr>
              <w:t>Global Chief Digital and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100" w:type="dxa"/>
            <w:vAlign w:val="bottom"/>
          </w:tcPr>
          <w:p>
            <w:pPr>
              <w:ind w:left="20"/>
              <w:spacing w:after="0"/>
              <w:rPr>
                <w:sz w:val="20"/>
                <w:szCs w:val="20"/>
                <w:color w:val="auto"/>
              </w:rPr>
            </w:pPr>
            <w:r>
              <w:rPr>
                <w:rFonts w:ascii="Arial" w:cs="Arial" w:eastAsia="Arial" w:hAnsi="Arial"/>
                <w:sz w:val="16"/>
                <w:szCs w:val="16"/>
                <w:color w:val="auto"/>
              </w:rPr>
              <w:t>James A. Dausch</w:t>
            </w:r>
          </w:p>
        </w:tc>
        <w:tc>
          <w:tcPr>
            <w:tcW w:w="600" w:type="dxa"/>
            <w:vAlign w:val="bottom"/>
          </w:tcPr>
          <w:p>
            <w:pPr>
              <w:jc w:val="center"/>
              <w:ind w:left="61"/>
              <w:spacing w:after="0"/>
              <w:rPr>
                <w:sz w:val="20"/>
                <w:szCs w:val="20"/>
                <w:color w:val="auto"/>
              </w:rPr>
            </w:pPr>
            <w:r>
              <w:rPr>
                <w:rFonts w:ascii="Arial" w:cs="Arial" w:eastAsia="Arial" w:hAnsi="Arial"/>
                <w:sz w:val="16"/>
                <w:szCs w:val="16"/>
                <w:color w:val="auto"/>
              </w:rPr>
              <w:t>50</w:t>
            </w:r>
          </w:p>
        </w:tc>
        <w:tc>
          <w:tcPr>
            <w:tcW w:w="840" w:type="dxa"/>
            <w:vAlign w:val="bottom"/>
          </w:tcPr>
          <w:p>
            <w:pPr>
              <w:jc w:val="center"/>
              <w:spacing w:after="0"/>
              <w:rPr>
                <w:sz w:val="20"/>
                <w:szCs w:val="20"/>
                <w:color w:val="auto"/>
              </w:rPr>
            </w:pPr>
            <w:r>
              <w:rPr>
                <w:rFonts w:ascii="Arial" w:cs="Arial" w:eastAsia="Arial" w:hAnsi="Arial"/>
                <w:sz w:val="16"/>
                <w:szCs w:val="16"/>
                <w:color w:val="auto"/>
              </w:rPr>
              <w:t>2025</w:t>
            </w:r>
          </w:p>
        </w:tc>
        <w:tc>
          <w:tcPr>
            <w:tcW w:w="1980" w:type="dxa"/>
            <w:vAlign w:val="bottom"/>
          </w:tcPr>
          <w:p>
            <w:pPr>
              <w:jc w:val="center"/>
              <w:spacing w:after="0"/>
              <w:rPr>
                <w:sz w:val="20"/>
                <w:szCs w:val="20"/>
                <w:color w:val="auto"/>
              </w:rPr>
            </w:pPr>
            <w:r>
              <w:rPr>
                <w:rFonts w:ascii="Arial" w:cs="Arial" w:eastAsia="Arial" w:hAnsi="Arial"/>
                <w:sz w:val="16"/>
                <w:szCs w:val="16"/>
                <w:color w:val="auto"/>
                <w:w w:val="98"/>
              </w:rPr>
              <w:t>Technology Officer, Yum!</w:t>
            </w:r>
          </w:p>
        </w:tc>
        <w:tc>
          <w:tcPr>
            <w:tcW w:w="840" w:type="dxa"/>
            <w:vAlign w:val="bottom"/>
            <w:gridSpan w:val="2"/>
          </w:tcPr>
          <w:p>
            <w:pPr>
              <w:jc w:val="center"/>
              <w:ind w:right="60"/>
              <w:spacing w:after="0" w:line="161" w:lineRule="exact"/>
              <w:rPr>
                <w:sz w:val="20"/>
                <w:szCs w:val="20"/>
                <w:color w:val="auto"/>
              </w:rPr>
            </w:pPr>
            <w:r>
              <w:rPr>
                <w:rFonts w:ascii="MS PGothic" w:cs="MS PGothic" w:eastAsia="MS PGothic" w:hAnsi="MS PGothic"/>
                <w:sz w:val="16"/>
                <w:szCs w:val="16"/>
                <w:color w:val="auto"/>
                <w:w w:val="87"/>
              </w:rPr>
              <w:t>✓</w:t>
            </w:r>
          </w:p>
        </w:tc>
        <w:tc>
          <w:tcPr>
            <w:tcW w:w="360" w:type="dxa"/>
            <w:vAlign w:val="bottom"/>
          </w:tcPr>
          <w:p>
            <w:pPr>
              <w:spacing w:after="0"/>
              <w:rPr>
                <w:sz w:val="22"/>
                <w:szCs w:val="22"/>
                <w:color w:val="auto"/>
              </w:rPr>
            </w:pPr>
          </w:p>
        </w:tc>
        <w:tc>
          <w:tcPr>
            <w:tcW w:w="900" w:type="dxa"/>
            <w:vAlign w:val="bottom"/>
          </w:tcPr>
          <w:p>
            <w:pPr>
              <w:jc w:val="center"/>
              <w:ind w:left="163"/>
              <w:spacing w:after="0" w:line="161" w:lineRule="exact"/>
              <w:rPr>
                <w:sz w:val="20"/>
                <w:szCs w:val="20"/>
                <w:color w:val="auto"/>
              </w:rPr>
            </w:pPr>
            <w:r>
              <w:rPr>
                <w:rFonts w:ascii="MS PGothic" w:cs="MS PGothic" w:eastAsia="MS PGothic" w:hAnsi="MS PGothic"/>
                <w:sz w:val="16"/>
                <w:szCs w:val="16"/>
                <w:color w:val="auto"/>
                <w:w w:val="87"/>
              </w:rPr>
              <w:t>✓</w:t>
            </w:r>
          </w:p>
        </w:tc>
        <w:tc>
          <w:tcPr>
            <w:tcW w:w="6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jc w:val="center"/>
              <w:spacing w:after="0" w:line="121" w:lineRule="exact"/>
              <w:rPr>
                <w:sz w:val="20"/>
                <w:szCs w:val="20"/>
                <w:color w:val="auto"/>
              </w:rPr>
            </w:pPr>
            <w:r>
              <w:rPr>
                <w:rFonts w:ascii="Arial" w:cs="Arial" w:eastAsia="Arial" w:hAnsi="Arial"/>
                <w:sz w:val="14"/>
                <w:szCs w:val="14"/>
                <w:color w:val="auto"/>
              </w:rPr>
              <w:t>Brands, Inc. and</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President of Byte by Yum!</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00" w:type="dxa"/>
            <w:vAlign w:val="bottom"/>
          </w:tcPr>
          <w:p>
            <w:pPr>
              <w:ind w:left="20"/>
              <w:spacing w:after="0"/>
              <w:rPr>
                <w:sz w:val="20"/>
                <w:szCs w:val="20"/>
                <w:color w:val="auto"/>
              </w:rPr>
            </w:pPr>
            <w:r>
              <w:rPr>
                <w:rFonts w:ascii="Arial" w:cs="Arial" w:eastAsia="Arial" w:hAnsi="Arial"/>
                <w:sz w:val="16"/>
                <w:szCs w:val="16"/>
                <w:color w:val="auto"/>
              </w:rPr>
              <w:t>Lizanne Galbreath</w:t>
            </w:r>
          </w:p>
        </w:tc>
        <w:tc>
          <w:tcPr>
            <w:tcW w:w="600" w:type="dxa"/>
            <w:vAlign w:val="bottom"/>
          </w:tcPr>
          <w:p>
            <w:pPr>
              <w:jc w:val="center"/>
              <w:ind w:left="61"/>
              <w:spacing w:after="0"/>
              <w:rPr>
                <w:sz w:val="20"/>
                <w:szCs w:val="20"/>
                <w:color w:val="auto"/>
              </w:rPr>
            </w:pPr>
            <w:r>
              <w:rPr>
                <w:rFonts w:ascii="Arial" w:cs="Arial" w:eastAsia="Arial" w:hAnsi="Arial"/>
                <w:sz w:val="16"/>
                <w:szCs w:val="16"/>
                <w:color w:val="auto"/>
              </w:rPr>
              <w:t>68</w:t>
            </w:r>
          </w:p>
        </w:tc>
        <w:tc>
          <w:tcPr>
            <w:tcW w:w="840" w:type="dxa"/>
            <w:vAlign w:val="bottom"/>
          </w:tcPr>
          <w:p>
            <w:pPr>
              <w:jc w:val="center"/>
              <w:spacing w:after="0"/>
              <w:rPr>
                <w:sz w:val="20"/>
                <w:szCs w:val="20"/>
                <w:color w:val="auto"/>
              </w:rPr>
            </w:pPr>
            <w:r>
              <w:rPr>
                <w:rFonts w:ascii="Arial" w:cs="Arial" w:eastAsia="Arial" w:hAnsi="Arial"/>
                <w:sz w:val="16"/>
                <w:szCs w:val="16"/>
                <w:color w:val="auto"/>
              </w:rPr>
              <w:t>2018</w:t>
            </w:r>
          </w:p>
        </w:tc>
        <w:tc>
          <w:tcPr>
            <w:tcW w:w="1980" w:type="dxa"/>
            <w:vAlign w:val="bottom"/>
          </w:tcPr>
          <w:p>
            <w:pPr>
              <w:jc w:val="center"/>
              <w:spacing w:after="0"/>
              <w:rPr>
                <w:sz w:val="20"/>
                <w:szCs w:val="20"/>
                <w:color w:val="auto"/>
              </w:rPr>
            </w:pPr>
            <w:r>
              <w:rPr>
                <w:rFonts w:ascii="Arial" w:cs="Arial" w:eastAsia="Arial" w:hAnsi="Arial"/>
                <w:sz w:val="16"/>
                <w:szCs w:val="16"/>
                <w:color w:val="auto"/>
              </w:rPr>
              <w:t>Managing Partner,</w:t>
            </w:r>
          </w:p>
        </w:tc>
        <w:tc>
          <w:tcPr>
            <w:tcW w:w="840" w:type="dxa"/>
            <w:vAlign w:val="bottom"/>
            <w:gridSpan w:val="2"/>
          </w:tcPr>
          <w:p>
            <w:pPr>
              <w:jc w:val="center"/>
              <w:ind w:right="60"/>
              <w:spacing w:after="0" w:line="161" w:lineRule="exact"/>
              <w:rPr>
                <w:sz w:val="20"/>
                <w:szCs w:val="20"/>
                <w:color w:val="auto"/>
              </w:rPr>
            </w:pPr>
            <w:r>
              <w:rPr>
                <w:rFonts w:ascii="MS PGothic" w:cs="MS PGothic" w:eastAsia="MS PGothic" w:hAnsi="MS PGothic"/>
                <w:sz w:val="16"/>
                <w:szCs w:val="16"/>
                <w:color w:val="auto"/>
                <w:w w:val="87"/>
              </w:rPr>
              <w:t>✓</w:t>
            </w:r>
          </w:p>
        </w:tc>
        <w:tc>
          <w:tcPr>
            <w:tcW w:w="360" w:type="dxa"/>
            <w:vAlign w:val="bottom"/>
          </w:tcPr>
          <w:p>
            <w:pPr>
              <w:spacing w:after="0"/>
              <w:rPr>
                <w:sz w:val="20"/>
                <w:szCs w:val="20"/>
                <w:color w:val="auto"/>
              </w:rPr>
            </w:pPr>
          </w:p>
        </w:tc>
        <w:tc>
          <w:tcPr>
            <w:tcW w:w="900" w:type="dxa"/>
            <w:vAlign w:val="bottom"/>
          </w:tcPr>
          <w:p>
            <w:pPr>
              <w:jc w:val="center"/>
              <w:ind w:left="163"/>
              <w:spacing w:after="0" w:line="161" w:lineRule="exact"/>
              <w:rPr>
                <w:sz w:val="20"/>
                <w:szCs w:val="20"/>
                <w:color w:val="auto"/>
              </w:rPr>
            </w:pPr>
            <w:r>
              <w:rPr>
                <w:rFonts w:ascii="MS PGothic" w:cs="MS PGothic" w:eastAsia="MS PGothic" w:hAnsi="MS PGothic"/>
                <w:sz w:val="16"/>
                <w:szCs w:val="16"/>
                <w:color w:val="auto"/>
                <w:w w:val="87"/>
              </w:rPr>
              <w:t>✓</w:t>
            </w:r>
          </w:p>
        </w:tc>
        <w:tc>
          <w:tcPr>
            <w:tcW w:w="6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360" w:type="dxa"/>
            <w:vAlign w:val="bottom"/>
          </w:tcPr>
          <w:p>
            <w:pPr>
              <w:jc w:val="center"/>
              <w:ind w:left="22"/>
              <w:spacing w:after="0"/>
              <w:rPr>
                <w:sz w:val="20"/>
                <w:szCs w:val="20"/>
                <w:color w:val="auto"/>
              </w:rPr>
            </w:pPr>
            <w:r>
              <w:rPr>
                <w:rFonts w:ascii="Arial" w:cs="Arial" w:eastAsia="Arial" w:hAnsi="Arial"/>
                <w:sz w:val="16"/>
                <w:szCs w:val="16"/>
                <w:color w:val="auto"/>
              </w:rPr>
              <w:t>BGO Industrial Real Estate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Arial" w:cs="Arial" w:eastAsia="Arial" w:hAnsi="Arial"/>
                <w:sz w:val="15"/>
                <w:szCs w:val="15"/>
                <w:color w:val="auto"/>
              </w:rPr>
              <w:t>Galbreath &amp; Company</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380" w:type="dxa"/>
            <w:vAlign w:val="bottom"/>
            <w:gridSpan w:val="2"/>
          </w:tcPr>
          <w:p>
            <w:pPr>
              <w:jc w:val="center"/>
              <w:ind w:left="2"/>
              <w:spacing w:after="0" w:line="135" w:lineRule="exact"/>
              <w:rPr>
                <w:sz w:val="20"/>
                <w:szCs w:val="20"/>
                <w:color w:val="auto"/>
              </w:rPr>
            </w:pPr>
            <w:r>
              <w:rPr>
                <w:rFonts w:ascii="Arial" w:cs="Arial" w:eastAsia="Arial" w:hAnsi="Arial"/>
                <w:sz w:val="15"/>
                <w:szCs w:val="15"/>
                <w:color w:val="auto"/>
              </w:rPr>
              <w:t>Income Trust, Inc.</w:t>
            </w:r>
          </w:p>
        </w:tc>
        <w:tc>
          <w:tcPr>
            <w:tcW w:w="0" w:type="dxa"/>
            <w:vAlign w:val="bottom"/>
          </w:tcPr>
          <w:p>
            <w:pPr>
              <w:spacing w:after="0"/>
              <w:rPr>
                <w:sz w:val="1"/>
                <w:szCs w:val="1"/>
                <w:color w:val="auto"/>
              </w:rPr>
            </w:pPr>
          </w:p>
        </w:tc>
      </w:tr>
      <w:tr>
        <w:trPr>
          <w:trHeight w:val="236"/>
        </w:trPr>
        <w:tc>
          <w:tcPr>
            <w:tcW w:w="21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Jonice M. Gray</w:t>
            </w:r>
          </w:p>
        </w:tc>
        <w:tc>
          <w:tcPr>
            <w:tcW w:w="600" w:type="dxa"/>
            <w:vAlign w:val="bottom"/>
            <w:tcBorders>
              <w:top w:val="single" w:sz="8" w:color="auto"/>
            </w:tcBorders>
          </w:tcPr>
          <w:p>
            <w:pPr>
              <w:jc w:val="center"/>
              <w:ind w:left="61"/>
              <w:spacing w:after="0"/>
              <w:rPr>
                <w:sz w:val="20"/>
                <w:szCs w:val="20"/>
                <w:color w:val="auto"/>
              </w:rPr>
            </w:pPr>
            <w:r>
              <w:rPr>
                <w:rFonts w:ascii="Arial" w:cs="Arial" w:eastAsia="Arial" w:hAnsi="Arial"/>
                <w:sz w:val="16"/>
                <w:szCs w:val="16"/>
                <w:color w:val="auto"/>
              </w:rPr>
              <w:t>51</w:t>
            </w: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2021</w:t>
            </w: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Partner, Paul Hastings,</w:t>
            </w:r>
          </w:p>
        </w:tc>
        <w:tc>
          <w:tcPr>
            <w:tcW w:w="840" w:type="dxa"/>
            <w:vAlign w:val="bottom"/>
            <w:tcBorders>
              <w:top w:val="single" w:sz="8" w:color="auto"/>
            </w:tcBorders>
            <w:gridSpan w:val="2"/>
          </w:tcPr>
          <w:p>
            <w:pPr>
              <w:jc w:val="center"/>
              <w:ind w:right="60"/>
              <w:spacing w:after="0" w:line="161" w:lineRule="exact"/>
              <w:rPr>
                <w:sz w:val="20"/>
                <w:szCs w:val="20"/>
                <w:color w:val="auto"/>
              </w:rPr>
            </w:pPr>
            <w:r>
              <w:rPr>
                <w:rFonts w:ascii="MS PGothic" w:cs="MS PGothic" w:eastAsia="MS PGothic" w:hAnsi="MS PGothic"/>
                <w:sz w:val="16"/>
                <w:szCs w:val="16"/>
                <w:color w:val="auto"/>
                <w:w w:val="87"/>
              </w:rPr>
              <w:t>✓</w:t>
            </w:r>
          </w:p>
        </w:tc>
        <w:tc>
          <w:tcPr>
            <w:tcW w:w="360" w:type="dxa"/>
            <w:vAlign w:val="bottom"/>
            <w:tcBorders>
              <w:top w:val="single" w:sz="8" w:color="auto"/>
            </w:tcBorders>
          </w:tcPr>
          <w:p>
            <w:pPr>
              <w:jc w:val="center"/>
              <w:ind w:left="83"/>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5"/>
                <w:szCs w:val="15"/>
                <w:color w:val="auto"/>
              </w:rPr>
              <w:t>LLP</w:t>
            </w: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jc w:val="center"/>
              <w:spacing w:after="0" w:line="168" w:lineRule="exact"/>
              <w:rPr>
                <w:sz w:val="20"/>
                <w:szCs w:val="20"/>
                <w:color w:val="auto"/>
              </w:rPr>
            </w:pPr>
            <w:r>
              <w:rPr>
                <w:rFonts w:ascii="Arial" w:cs="Arial" w:eastAsia="Arial" w:hAnsi="Arial"/>
                <w:sz w:val="16"/>
                <w:szCs w:val="16"/>
                <w:color w:val="auto"/>
              </w:rPr>
              <w:t>Former Senior Vice</w:t>
            </w:r>
          </w:p>
        </w:tc>
        <w:tc>
          <w:tcPr>
            <w:tcW w:w="840" w:type="dxa"/>
            <w:vAlign w:val="bottom"/>
            <w:gridSpan w:val="2"/>
            <w:vMerge w:val="restart"/>
          </w:tcPr>
          <w:p>
            <w:pPr>
              <w:jc w:val="center"/>
              <w:ind w:right="60"/>
              <w:spacing w:after="0" w:line="161" w:lineRule="exact"/>
              <w:rPr>
                <w:sz w:val="20"/>
                <w:szCs w:val="20"/>
                <w:color w:val="auto"/>
              </w:rPr>
            </w:pPr>
            <w:r>
              <w:rPr>
                <w:rFonts w:ascii="MS PGothic" w:cs="MS PGothic" w:eastAsia="MS PGothic" w:hAnsi="MS PGothic"/>
                <w:sz w:val="16"/>
                <w:szCs w:val="16"/>
                <w:color w:val="auto"/>
                <w:w w:val="87"/>
              </w:rPr>
              <w:t>✓</w:t>
            </w:r>
          </w:p>
        </w:tc>
        <w:tc>
          <w:tcPr>
            <w:tcW w:w="360" w:type="dxa"/>
            <w:vAlign w:val="bottom"/>
          </w:tcPr>
          <w:p>
            <w:pPr>
              <w:spacing w:after="0"/>
              <w:rPr>
                <w:sz w:val="14"/>
                <w:szCs w:val="14"/>
                <w:color w:val="auto"/>
              </w:rPr>
            </w:pPr>
          </w:p>
        </w:tc>
        <w:tc>
          <w:tcPr>
            <w:tcW w:w="900" w:type="dxa"/>
            <w:vAlign w:val="bottom"/>
            <w:vMerge w:val="restart"/>
          </w:tcPr>
          <w:p>
            <w:pPr>
              <w:jc w:val="center"/>
              <w:ind w:left="163"/>
              <w:spacing w:after="0" w:line="161" w:lineRule="exact"/>
              <w:rPr>
                <w:sz w:val="20"/>
                <w:szCs w:val="20"/>
                <w:color w:val="auto"/>
              </w:rPr>
            </w:pPr>
            <w:r>
              <w:rPr>
                <w:rFonts w:ascii="MS PGothic" w:cs="MS PGothic" w:eastAsia="MS PGothic" w:hAnsi="MS PGothic"/>
                <w:sz w:val="16"/>
                <w:szCs w:val="16"/>
                <w:color w:val="auto"/>
                <w:w w:val="87"/>
              </w:rPr>
              <w:t>✓</w:t>
            </w:r>
          </w:p>
        </w:tc>
        <w:tc>
          <w:tcPr>
            <w:tcW w:w="6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6"/>
                <w:szCs w:val="16"/>
                <w:color w:val="auto"/>
              </w:rPr>
              <w:t>Dianna F. Morgan</w:t>
            </w:r>
          </w:p>
        </w:tc>
        <w:tc>
          <w:tcPr>
            <w:tcW w:w="600" w:type="dxa"/>
            <w:vAlign w:val="bottom"/>
          </w:tcPr>
          <w:p>
            <w:pPr>
              <w:jc w:val="center"/>
              <w:ind w:left="61"/>
              <w:spacing w:after="0"/>
              <w:rPr>
                <w:sz w:val="20"/>
                <w:szCs w:val="20"/>
                <w:color w:val="auto"/>
              </w:rPr>
            </w:pPr>
            <w:r>
              <w:rPr>
                <w:rFonts w:ascii="Arial" w:cs="Arial" w:eastAsia="Arial" w:hAnsi="Arial"/>
                <w:sz w:val="16"/>
                <w:szCs w:val="16"/>
                <w:color w:val="auto"/>
              </w:rPr>
              <w:t>74</w:t>
            </w:r>
          </w:p>
        </w:tc>
        <w:tc>
          <w:tcPr>
            <w:tcW w:w="840" w:type="dxa"/>
            <w:vAlign w:val="bottom"/>
          </w:tcPr>
          <w:p>
            <w:pPr>
              <w:jc w:val="center"/>
              <w:spacing w:after="0"/>
              <w:rPr>
                <w:sz w:val="20"/>
                <w:szCs w:val="20"/>
                <w:color w:val="auto"/>
              </w:rPr>
            </w:pPr>
            <w:r>
              <w:rPr>
                <w:rFonts w:ascii="Arial" w:cs="Arial" w:eastAsia="Arial" w:hAnsi="Arial"/>
                <w:sz w:val="16"/>
                <w:szCs w:val="16"/>
                <w:color w:val="auto"/>
              </w:rPr>
              <w:t>2013</w:t>
            </w:r>
          </w:p>
        </w:tc>
        <w:tc>
          <w:tcPr>
            <w:tcW w:w="1980" w:type="dxa"/>
            <w:vAlign w:val="bottom"/>
          </w:tcPr>
          <w:p>
            <w:pPr>
              <w:jc w:val="center"/>
              <w:spacing w:after="0"/>
              <w:rPr>
                <w:sz w:val="20"/>
                <w:szCs w:val="20"/>
                <w:color w:val="auto"/>
              </w:rPr>
            </w:pPr>
            <w:r>
              <w:rPr>
                <w:rFonts w:ascii="Arial" w:cs="Arial" w:eastAsia="Arial" w:hAnsi="Arial"/>
                <w:sz w:val="16"/>
                <w:szCs w:val="16"/>
                <w:color w:val="auto"/>
              </w:rPr>
              <w:t>President, Walt Disney</w:t>
            </w:r>
          </w:p>
        </w:tc>
        <w:tc>
          <w:tcPr>
            <w:tcW w:w="8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World Company</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jc w:val="center"/>
              <w:spacing w:after="0" w:line="168" w:lineRule="exact"/>
              <w:rPr>
                <w:sz w:val="20"/>
                <w:szCs w:val="20"/>
                <w:color w:val="auto"/>
              </w:rPr>
            </w:pPr>
            <w:r>
              <w:rPr>
                <w:rFonts w:ascii="Arial" w:cs="Arial" w:eastAsia="Arial" w:hAnsi="Arial"/>
                <w:sz w:val="16"/>
                <w:szCs w:val="16"/>
                <w:color w:val="auto"/>
              </w:rPr>
              <w:t>Chief Executive Officer,</w:t>
            </w:r>
          </w:p>
        </w:tc>
        <w:tc>
          <w:tcPr>
            <w:tcW w:w="840" w:type="dxa"/>
            <w:vAlign w:val="bottom"/>
            <w:gridSpan w:val="2"/>
            <w:vMerge w:val="restart"/>
          </w:tcPr>
          <w:p>
            <w:pPr>
              <w:jc w:val="center"/>
              <w:ind w:right="60"/>
              <w:spacing w:after="0" w:line="161" w:lineRule="exact"/>
              <w:rPr>
                <w:sz w:val="20"/>
                <w:szCs w:val="20"/>
                <w:color w:val="auto"/>
              </w:rPr>
            </w:pPr>
            <w:r>
              <w:rPr>
                <w:rFonts w:ascii="MS PGothic" w:cs="MS PGothic" w:eastAsia="MS PGothic" w:hAnsi="MS PGothic"/>
                <w:sz w:val="16"/>
                <w:szCs w:val="16"/>
                <w:color w:val="auto"/>
                <w:w w:val="87"/>
              </w:rPr>
              <w:t>✓</w:t>
            </w:r>
          </w:p>
        </w:tc>
        <w:tc>
          <w:tcPr>
            <w:tcW w:w="360" w:type="dxa"/>
            <w:vAlign w:val="bottom"/>
            <w:vMerge w:val="restart"/>
          </w:tcPr>
          <w:p>
            <w:pPr>
              <w:jc w:val="center"/>
              <w:ind w:left="83"/>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Pr>
          <w:p>
            <w:pPr>
              <w:spacing w:after="0"/>
              <w:rPr>
                <w:sz w:val="14"/>
                <w:szCs w:val="14"/>
                <w:color w:val="auto"/>
              </w:rPr>
            </w:pPr>
          </w:p>
        </w:tc>
        <w:tc>
          <w:tcPr>
            <w:tcW w:w="6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6"/>
                <w:szCs w:val="16"/>
                <w:color w:val="auto"/>
              </w:rPr>
              <w:t>Stephen R. Quazzo</w:t>
            </w:r>
          </w:p>
        </w:tc>
        <w:tc>
          <w:tcPr>
            <w:tcW w:w="600" w:type="dxa"/>
            <w:vAlign w:val="bottom"/>
          </w:tcPr>
          <w:p>
            <w:pPr>
              <w:jc w:val="center"/>
              <w:ind w:left="61"/>
              <w:spacing w:after="0"/>
              <w:rPr>
                <w:sz w:val="20"/>
                <w:szCs w:val="20"/>
                <w:color w:val="auto"/>
              </w:rPr>
            </w:pPr>
            <w:r>
              <w:rPr>
                <w:rFonts w:ascii="Arial" w:cs="Arial" w:eastAsia="Arial" w:hAnsi="Arial"/>
                <w:sz w:val="16"/>
                <w:szCs w:val="16"/>
                <w:color w:val="auto"/>
              </w:rPr>
              <w:t>66</w:t>
            </w:r>
          </w:p>
        </w:tc>
        <w:tc>
          <w:tcPr>
            <w:tcW w:w="840" w:type="dxa"/>
            <w:vAlign w:val="bottom"/>
          </w:tcPr>
          <w:p>
            <w:pPr>
              <w:jc w:val="center"/>
              <w:spacing w:after="0"/>
              <w:rPr>
                <w:sz w:val="20"/>
                <w:szCs w:val="20"/>
                <w:color w:val="auto"/>
              </w:rPr>
            </w:pPr>
            <w:r>
              <w:rPr>
                <w:rFonts w:ascii="Arial" w:cs="Arial" w:eastAsia="Arial" w:hAnsi="Arial"/>
                <w:sz w:val="16"/>
                <w:szCs w:val="16"/>
                <w:color w:val="auto"/>
              </w:rPr>
              <w:t>2018</w:t>
            </w:r>
          </w:p>
        </w:tc>
        <w:tc>
          <w:tcPr>
            <w:tcW w:w="1980" w:type="dxa"/>
            <w:vAlign w:val="bottom"/>
          </w:tcPr>
          <w:p>
            <w:pPr>
              <w:jc w:val="center"/>
              <w:spacing w:after="0"/>
              <w:rPr>
                <w:sz w:val="20"/>
                <w:szCs w:val="20"/>
                <w:color w:val="auto"/>
              </w:rPr>
            </w:pPr>
            <w:r>
              <w:rPr>
                <w:rFonts w:ascii="Arial" w:cs="Arial" w:eastAsia="Arial" w:hAnsi="Arial"/>
                <w:sz w:val="16"/>
                <w:szCs w:val="16"/>
                <w:color w:val="auto"/>
              </w:rPr>
              <w:t>Pearlmark Real Estate,</w:t>
            </w:r>
          </w:p>
        </w:tc>
        <w:tc>
          <w:tcPr>
            <w:tcW w:w="840" w:type="dxa"/>
            <w:vAlign w:val="bottom"/>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380" w:type="dxa"/>
            <w:vAlign w:val="bottom"/>
            <w:gridSpan w:val="2"/>
          </w:tcPr>
          <w:p>
            <w:pPr>
              <w:jc w:val="center"/>
              <w:ind w:left="2"/>
              <w:spacing w:after="0"/>
              <w:rPr>
                <w:sz w:val="20"/>
                <w:szCs w:val="20"/>
                <w:color w:val="auto"/>
              </w:rPr>
            </w:pPr>
            <w:r>
              <w:rPr>
                <w:rFonts w:ascii="Arial" w:cs="Arial" w:eastAsia="Arial" w:hAnsi="Arial"/>
                <w:sz w:val="16"/>
                <w:szCs w:val="16"/>
                <w:color w:val="auto"/>
              </w:rPr>
              <w:t>Phillips Edison &amp; Company, Inc.</w:t>
            </w:r>
          </w:p>
        </w:tc>
        <w:tc>
          <w:tcPr>
            <w:tcW w:w="0" w:type="dxa"/>
            <w:vAlign w:val="bottom"/>
          </w:tcPr>
          <w:p>
            <w:pPr>
              <w:spacing w:after="0"/>
              <w:rPr>
                <w:sz w:val="1"/>
                <w:szCs w:val="1"/>
                <w:color w:val="auto"/>
              </w:rPr>
            </w:pPr>
          </w:p>
        </w:tc>
      </w:tr>
      <w:tr>
        <w:trPr>
          <w:trHeight w:val="203"/>
        </w:trPr>
        <w:tc>
          <w:tcPr>
            <w:tcW w:w="2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LLC</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vMerge w:val="restart"/>
          </w:tcPr>
          <w:p>
            <w:pPr>
              <w:jc w:val="center"/>
              <w:spacing w:after="0"/>
              <w:rPr>
                <w:sz w:val="20"/>
                <w:szCs w:val="20"/>
                <w:color w:val="auto"/>
              </w:rPr>
            </w:pPr>
            <w:r>
              <w:rPr>
                <w:rFonts w:ascii="Arial" w:cs="Arial" w:eastAsia="Arial" w:hAnsi="Arial"/>
                <w:sz w:val="16"/>
                <w:szCs w:val="16"/>
                <w:color w:val="auto"/>
              </w:rPr>
              <w:t>Former Vice Chairman,</w:t>
            </w:r>
          </w:p>
        </w:tc>
        <w:tc>
          <w:tcPr>
            <w:tcW w:w="840" w:type="dxa"/>
            <w:vAlign w:val="bottom"/>
            <w:gridSpan w:val="2"/>
            <w:vMerge w:val="restart"/>
          </w:tcPr>
          <w:p>
            <w:pPr>
              <w:jc w:val="center"/>
              <w:ind w:right="60"/>
              <w:spacing w:after="0" w:line="161" w:lineRule="exact"/>
              <w:rPr>
                <w:sz w:val="20"/>
                <w:szCs w:val="20"/>
                <w:color w:val="auto"/>
              </w:rPr>
            </w:pPr>
            <w:r>
              <w:rPr>
                <w:rFonts w:ascii="MS PGothic" w:cs="MS PGothic" w:eastAsia="MS PGothic" w:hAnsi="MS PGothic"/>
                <w:sz w:val="16"/>
                <w:szCs w:val="16"/>
                <w:color w:val="auto"/>
                <w:w w:val="87"/>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60" w:type="dxa"/>
            <w:vAlign w:val="bottom"/>
          </w:tcPr>
          <w:p>
            <w:pPr>
              <w:jc w:val="center"/>
              <w:ind w:left="22"/>
              <w:spacing w:after="0" w:line="168" w:lineRule="exact"/>
              <w:rPr>
                <w:sz w:val="20"/>
                <w:szCs w:val="20"/>
                <w:color w:val="auto"/>
              </w:rPr>
            </w:pPr>
            <w:r>
              <w:rPr>
                <w:rFonts w:ascii="Arial" w:cs="Arial" w:eastAsia="Arial" w:hAnsi="Arial"/>
                <w:sz w:val="16"/>
                <w:szCs w:val="16"/>
                <w:color w:val="auto"/>
              </w:rPr>
              <w:t>The Carlyle Group Inc.,</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00" w:type="dxa"/>
            <w:vAlign w:val="bottom"/>
          </w:tcPr>
          <w:p>
            <w:pPr>
              <w:ind w:left="20"/>
              <w:spacing w:after="0" w:line="163" w:lineRule="exact"/>
              <w:rPr>
                <w:sz w:val="20"/>
                <w:szCs w:val="20"/>
                <w:color w:val="auto"/>
              </w:rPr>
            </w:pPr>
            <w:r>
              <w:rPr>
                <w:rFonts w:ascii="Arial" w:cs="Arial" w:eastAsia="Arial" w:hAnsi="Arial"/>
                <w:sz w:val="16"/>
                <w:szCs w:val="16"/>
                <w:color w:val="auto"/>
              </w:rPr>
              <w:t>William J. Shaw</w:t>
            </w:r>
          </w:p>
        </w:tc>
        <w:tc>
          <w:tcPr>
            <w:tcW w:w="600" w:type="dxa"/>
            <w:vAlign w:val="bottom"/>
          </w:tcPr>
          <w:p>
            <w:pPr>
              <w:jc w:val="center"/>
              <w:ind w:left="61"/>
              <w:spacing w:after="0" w:line="163" w:lineRule="exact"/>
              <w:rPr>
                <w:sz w:val="20"/>
                <w:szCs w:val="20"/>
                <w:color w:val="auto"/>
              </w:rPr>
            </w:pPr>
            <w:r>
              <w:rPr>
                <w:rFonts w:ascii="Arial" w:cs="Arial" w:eastAsia="Arial" w:hAnsi="Arial"/>
                <w:sz w:val="16"/>
                <w:szCs w:val="16"/>
                <w:color w:val="auto"/>
              </w:rPr>
              <w:t>80</w:t>
            </w:r>
          </w:p>
        </w:tc>
        <w:tc>
          <w:tcPr>
            <w:tcW w:w="840" w:type="dxa"/>
            <w:vAlign w:val="bottom"/>
          </w:tcPr>
          <w:p>
            <w:pPr>
              <w:jc w:val="center"/>
              <w:spacing w:after="0" w:line="163" w:lineRule="exact"/>
              <w:rPr>
                <w:sz w:val="20"/>
                <w:szCs w:val="20"/>
                <w:color w:val="auto"/>
              </w:rPr>
            </w:pPr>
            <w:r>
              <w:rPr>
                <w:rFonts w:ascii="Arial" w:cs="Arial" w:eastAsia="Arial" w:hAnsi="Arial"/>
                <w:sz w:val="16"/>
                <w:szCs w:val="16"/>
                <w:color w:val="auto"/>
              </w:rPr>
              <w:t>2011</w:t>
            </w:r>
          </w:p>
        </w:tc>
        <w:tc>
          <w:tcPr>
            <w:tcW w:w="19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80" w:type="dxa"/>
            <w:vAlign w:val="bottom"/>
            <w:gridSpan w:val="2"/>
          </w:tcPr>
          <w:p>
            <w:pPr>
              <w:jc w:val="center"/>
              <w:ind w:left="2"/>
              <w:spacing w:after="0" w:line="163" w:lineRule="exact"/>
              <w:rPr>
                <w:sz w:val="20"/>
                <w:szCs w:val="20"/>
                <w:color w:val="auto"/>
              </w:rPr>
            </w:pPr>
            <w:r>
              <w:rPr>
                <w:rFonts w:ascii="Arial" w:cs="Arial" w:eastAsia="Arial" w:hAnsi="Arial"/>
                <w:sz w:val="16"/>
                <w:szCs w:val="16"/>
                <w:color w:val="auto"/>
              </w:rPr>
              <w:t>DiamondRock Hospitality</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rPr>
              <w:t>Marriott International, Inc.</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60" w:type="dxa"/>
            <w:vAlign w:val="bottom"/>
            <w:vMerge w:val="restart"/>
          </w:tcPr>
          <w:p>
            <w:pPr>
              <w:jc w:val="center"/>
              <w:ind w:left="22"/>
              <w:spacing w:after="0"/>
              <w:rPr>
                <w:sz w:val="20"/>
                <w:szCs w:val="20"/>
                <w:color w:val="auto"/>
              </w:rPr>
            </w:pPr>
            <w:r>
              <w:rPr>
                <w:rFonts w:ascii="Arial" w:cs="Arial" w:eastAsia="Arial" w:hAnsi="Arial"/>
                <w:sz w:val="16"/>
                <w:szCs w:val="16"/>
                <w:color w:val="auto"/>
              </w:rPr>
              <w:t>Company</w:t>
            </w: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100" w:type="dxa"/>
            <w:vAlign w:val="bottom"/>
            <w:tcBorders>
              <w:bottom w:val="single" w:sz="8" w:color="003A70"/>
            </w:tcBorders>
          </w:tcPr>
          <w:p>
            <w:pPr>
              <w:spacing w:after="0"/>
              <w:rPr>
                <w:sz w:val="3"/>
                <w:szCs w:val="3"/>
                <w:color w:val="auto"/>
              </w:rPr>
            </w:pPr>
          </w:p>
        </w:tc>
        <w:tc>
          <w:tcPr>
            <w:tcW w:w="600" w:type="dxa"/>
            <w:vAlign w:val="bottom"/>
            <w:tcBorders>
              <w:bottom w:val="single" w:sz="8" w:color="003A70"/>
            </w:tcBorders>
          </w:tcPr>
          <w:p>
            <w:pPr>
              <w:spacing w:after="0"/>
              <w:rPr>
                <w:sz w:val="3"/>
                <w:szCs w:val="3"/>
                <w:color w:val="auto"/>
              </w:rPr>
            </w:pPr>
          </w:p>
        </w:tc>
        <w:tc>
          <w:tcPr>
            <w:tcW w:w="840" w:type="dxa"/>
            <w:vAlign w:val="bottom"/>
            <w:tcBorders>
              <w:bottom w:val="single" w:sz="8" w:color="003A70"/>
            </w:tcBorders>
          </w:tcPr>
          <w:p>
            <w:pPr>
              <w:spacing w:after="0"/>
              <w:rPr>
                <w:sz w:val="3"/>
                <w:szCs w:val="3"/>
                <w:color w:val="auto"/>
              </w:rPr>
            </w:pPr>
          </w:p>
        </w:tc>
        <w:tc>
          <w:tcPr>
            <w:tcW w:w="1980" w:type="dxa"/>
            <w:vAlign w:val="bottom"/>
            <w:tcBorders>
              <w:bottom w:val="single" w:sz="8" w:color="003A70"/>
            </w:tcBorders>
          </w:tcPr>
          <w:p>
            <w:pPr>
              <w:spacing w:after="0"/>
              <w:rPr>
                <w:sz w:val="3"/>
                <w:szCs w:val="3"/>
                <w:color w:val="auto"/>
              </w:rPr>
            </w:pPr>
          </w:p>
        </w:tc>
        <w:tc>
          <w:tcPr>
            <w:tcW w:w="720" w:type="dxa"/>
            <w:vAlign w:val="bottom"/>
            <w:tcBorders>
              <w:bottom w:val="single" w:sz="8" w:color="003A70"/>
            </w:tcBorders>
          </w:tcPr>
          <w:p>
            <w:pPr>
              <w:spacing w:after="0"/>
              <w:rPr>
                <w:sz w:val="3"/>
                <w:szCs w:val="3"/>
                <w:color w:val="auto"/>
              </w:rPr>
            </w:pPr>
          </w:p>
        </w:tc>
        <w:tc>
          <w:tcPr>
            <w:tcW w:w="120" w:type="dxa"/>
            <w:vAlign w:val="bottom"/>
            <w:tcBorders>
              <w:bottom w:val="single" w:sz="8" w:color="003A70"/>
            </w:tcBorders>
          </w:tcPr>
          <w:p>
            <w:pPr>
              <w:spacing w:after="0"/>
              <w:rPr>
                <w:sz w:val="3"/>
                <w:szCs w:val="3"/>
                <w:color w:val="auto"/>
              </w:rPr>
            </w:pPr>
          </w:p>
        </w:tc>
        <w:tc>
          <w:tcPr>
            <w:tcW w:w="360" w:type="dxa"/>
            <w:vAlign w:val="bottom"/>
            <w:tcBorders>
              <w:bottom w:val="single" w:sz="8" w:color="003A70"/>
            </w:tcBorders>
          </w:tcPr>
          <w:p>
            <w:pPr>
              <w:spacing w:after="0"/>
              <w:rPr>
                <w:sz w:val="3"/>
                <w:szCs w:val="3"/>
                <w:color w:val="auto"/>
              </w:rPr>
            </w:pPr>
          </w:p>
        </w:tc>
        <w:tc>
          <w:tcPr>
            <w:tcW w:w="900" w:type="dxa"/>
            <w:vAlign w:val="bottom"/>
            <w:tcBorders>
              <w:bottom w:val="single" w:sz="8" w:color="003A70"/>
            </w:tcBorders>
          </w:tcPr>
          <w:p>
            <w:pPr>
              <w:spacing w:after="0"/>
              <w:rPr>
                <w:sz w:val="3"/>
                <w:szCs w:val="3"/>
                <w:color w:val="auto"/>
              </w:rPr>
            </w:pPr>
          </w:p>
        </w:tc>
        <w:tc>
          <w:tcPr>
            <w:tcW w:w="640" w:type="dxa"/>
            <w:vAlign w:val="bottom"/>
            <w:tcBorders>
              <w:bottom w:val="single" w:sz="8" w:color="003A70"/>
            </w:tcBorders>
          </w:tcPr>
          <w:p>
            <w:pPr>
              <w:spacing w:after="0"/>
              <w:rPr>
                <w:sz w:val="3"/>
                <w:szCs w:val="3"/>
                <w:color w:val="auto"/>
              </w:rPr>
            </w:pPr>
          </w:p>
        </w:tc>
        <w:tc>
          <w:tcPr>
            <w:tcW w:w="2360" w:type="dxa"/>
            <w:vAlign w:val="bottom"/>
            <w:tcBorders>
              <w:bottom w:val="single" w:sz="8" w:color="003A70"/>
            </w:tcBorders>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20" w:hanging="313"/>
        <w:spacing w:after="0"/>
        <w:tabs>
          <w:tab w:leader="none" w:pos="620" w:val="left"/>
        </w:tabs>
        <w:numPr>
          <w:ilvl w:val="0"/>
          <w:numId w:val="23"/>
        </w:numPr>
        <w:rPr>
          <w:rFonts w:ascii="Arial" w:cs="Arial" w:eastAsia="Arial" w:hAnsi="Arial"/>
          <w:sz w:val="22"/>
          <w:szCs w:val="22"/>
          <w:color w:val="auto"/>
          <w:vertAlign w:val="superscript"/>
        </w:rPr>
      </w:pPr>
      <w:r>
        <w:rPr>
          <w:rFonts w:ascii="Arial" w:cs="Arial" w:eastAsia="Arial" w:hAnsi="Arial"/>
          <w:sz w:val="14"/>
          <w:szCs w:val="14"/>
          <w:color w:val="auto"/>
        </w:rPr>
        <w:t>Age as of the date of the Annual Meeting.</w:t>
      </w:r>
    </w:p>
    <w:p>
      <w:pPr>
        <w:spacing w:after="0" w:line="94" w:lineRule="exact"/>
        <w:rPr>
          <w:sz w:val="20"/>
          <w:szCs w:val="20"/>
          <w:color w:val="auto"/>
        </w:rPr>
      </w:pPr>
    </w:p>
    <w:p>
      <w:pPr>
        <w:ind w:left="620" w:right="740" w:hanging="313"/>
        <w:spacing w:after="0" w:line="203" w:lineRule="auto"/>
        <w:tabs>
          <w:tab w:leader="none" w:pos="62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Audit Committee (“AC”), Compensation Policy Committee (“CPC”), Nominating and Corporate Governance Committee (“NCG”) Please refer to Committee Charters on page 24 for information regarding the composition of the ad hoc committees of the Board of Directors.</w:t>
      </w:r>
    </w:p>
    <w:p>
      <w:pPr>
        <w:spacing w:after="0" w:line="307" w:lineRule="exact"/>
        <w:rPr>
          <w:sz w:val="20"/>
          <w:szCs w:val="20"/>
          <w:color w:val="auto"/>
        </w:rPr>
      </w:pPr>
    </w:p>
    <w:p>
      <w:pPr>
        <w:ind w:left="120"/>
        <w:spacing w:after="0"/>
        <w:tabs>
          <w:tab w:leader="none" w:pos="5240" w:val="left"/>
          <w:tab w:leader="none" w:pos="1106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Proxy Summary</w:t>
      </w:r>
      <w:r>
        <w:rPr>
          <w:sz w:val="20"/>
          <w:szCs w:val="20"/>
          <w:color w:val="auto"/>
        </w:rPr>
        <w:tab/>
      </w:r>
      <w:r>
        <w:rPr>
          <w:rFonts w:ascii="Arial" w:cs="Arial" w:eastAsia="Arial" w:hAnsi="Arial"/>
          <w:sz w:val="10"/>
          <w:szCs w:val="10"/>
          <w:b w:val="1"/>
          <w:bCs w:val="1"/>
          <w:color w:val="003A7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65"/>
          <w:szCs w:val="65"/>
          <w:color w:val="003A70"/>
        </w:rPr>
        <w:t>PROXY STATEMENT</w:t>
      </w:r>
    </w:p>
    <w:p>
      <w:pPr>
        <w:spacing w:after="0" w:line="200" w:lineRule="exact"/>
        <w:rPr>
          <w:sz w:val="20"/>
          <w:szCs w:val="20"/>
          <w:color w:val="auto"/>
        </w:rPr>
      </w:pPr>
    </w:p>
    <w:p>
      <w:pPr>
        <w:spacing w:after="0" w:line="269"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The Board of Directors (the “Board”) of Marriott Vacations Worldwide Corporation (“we,” “us,” “Marriott Vacations Worldwide,” “MVW” or the “Company”) is soliciting stockholders’ proxies in connection with the 2026 Annual Meeting of Stockholders of the Company, and at any adjournment or postponement thereof (the “Annual Meeting” or the “2026 Annual Meeting”). The mailing to stockholders of the Notice Regarding the Availability of Proxy Materials (the “Notice”) will take place on or about 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139065</wp:posOffset>
            </wp:positionV>
            <wp:extent cx="4911725" cy="805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11725" cy="805815"/>
                    </a:xfrm>
                    <a:prstGeom prst="rect">
                      <a:avLst/>
                    </a:prstGeom>
                    <a:noFill/>
                  </pic:spPr>
                </pic:pic>
              </a:graphicData>
            </a:graphic>
          </wp:anchor>
        </w:drawing>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003A70"/>
        </w:rPr>
        <w:t>IMPORTANT NOTICE REGARDING THE AVAILABILITY OF PROXY MATERIALS FOR THE</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003A70"/>
        </w:rPr>
        <w:t>ANNUAL MEETING OF STOCKHOLDERS TO BE HELD ON MAY 15, 2026</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003A70"/>
        </w:rPr>
        <w:t>The Notice of Annual Meeting and Proxy Statement and our</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003A70"/>
        </w:rPr>
        <w:t>2025 Annual Report to stockholders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0" w:right="3140"/>
        <w:spacing w:after="0" w:line="293" w:lineRule="auto"/>
        <w:rPr>
          <w:sz w:val="20"/>
          <w:szCs w:val="20"/>
          <w:color w:val="auto"/>
        </w:rPr>
      </w:pPr>
      <w:r>
        <w:rPr>
          <w:rFonts w:ascii="Arial" w:cs="Arial" w:eastAsia="Arial" w:hAnsi="Arial"/>
          <w:sz w:val="53"/>
          <w:szCs w:val="53"/>
          <w:b w:val="1"/>
          <w:bCs w:val="1"/>
          <w:color w:val="auto"/>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-906780</wp:posOffset>
            </wp:positionV>
            <wp:extent cx="85725" cy="831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31215"/>
                    </a:xfrm>
                    <a:prstGeom prst="rect">
                      <a:avLst/>
                    </a:prstGeom>
                    <a:noFill/>
                  </pic:spPr>
                </pic:pic>
              </a:graphicData>
            </a:graphic>
          </wp:anchor>
        </w:drawing>
      </w: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Why am I receiving these materials?</w:t>
      </w:r>
    </w:p>
    <w:p>
      <w:pPr>
        <w:spacing w:after="0" w:line="182"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Marriott Vacations Worldwide has made these materials available to you on the Internet or has delivered printed versions of these materials to you by mail in connection with the solicitation of proxies on behalf of the Board for use at our Annual Meeting. This Proxy Statement describes the matters on which you, as a stockholder, are entitled to vote. It also gives you information on these matters so that you can make an informed decision.</w:t>
      </w: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How do I attend the virtual Annual Meeting?</w:t>
      </w:r>
    </w:p>
    <w:p>
      <w:pPr>
        <w:spacing w:after="0" w:line="68"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You may attend the Annual Meeting online, including to vote, by logging in at www.virtualshareholdermeeting.com/VAC2026. The Annual Meeting will begin at approximately 9:00 a.m., Eastern Time, with log-in beginning at 8:45 a.m. on Friday, May 15, 2026.</w:t>
      </w:r>
    </w:p>
    <w:p>
      <w:pPr>
        <w:spacing w:after="0" w:line="48" w:lineRule="exact"/>
        <w:rPr>
          <w:sz w:val="20"/>
          <w:szCs w:val="20"/>
          <w:color w:val="auto"/>
        </w:rPr>
      </w:pPr>
    </w:p>
    <w:p>
      <w:pPr>
        <w:ind w:left="120" w:right="180"/>
        <w:spacing w:after="0" w:line="263" w:lineRule="auto"/>
        <w:rPr>
          <w:sz w:val="20"/>
          <w:szCs w:val="20"/>
          <w:color w:val="auto"/>
        </w:rPr>
      </w:pPr>
      <w:r>
        <w:rPr>
          <w:rFonts w:ascii="Arial" w:cs="Arial" w:eastAsia="Arial" w:hAnsi="Arial"/>
          <w:sz w:val="16"/>
          <w:szCs w:val="16"/>
          <w:color w:val="auto"/>
        </w:rPr>
        <w:t>You may attend and vote during the Annual Meeting via the Internet at www.virtualshareholdermeeting.com/VAC2026. You may also attend the meeting by proxy. You may submit questions in advance of the meeting at www.proxyvote.com.</w:t>
      </w: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How do I gain admission to the virtual Annual Meeting?</w:t>
      </w:r>
    </w:p>
    <w:p>
      <w:pPr>
        <w:spacing w:after="0" w:line="69"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You are entitled to participate in the virtual Annual Meeting only if you were a stockholder of record who owned the Company’s common stock, par value of $0.01 per share (“Common Stock”) at the close of business on March 16, 2026. Each holder of record is entitled to one vote per share. There were 34,306,797 shares of Common Stock outstanding and entitled to vote on March 16, 2026.</w:t>
      </w:r>
    </w:p>
    <w:p>
      <w:pPr>
        <w:spacing w:after="0" w:line="63"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To attend online and participate in the Annual Meeting, stockholders of record will need to use their control number on their Notice or proxy card to log into www.virtualshareholdermeeting.com/VAC2026; beneficial owners who do not have a control number may gain access to the meeting by logging into their brokerage firm’s website and selecting the stockholder communications mailbox to link through to the virtual Annual Meeting. Instructions should also be provided on the voting instruction card provided by their broker, bank, or other nominee.</w:t>
      </w:r>
    </w:p>
    <w:p>
      <w:pPr>
        <w:spacing w:after="0" w:line="70" w:lineRule="exact"/>
        <w:rPr>
          <w:sz w:val="20"/>
          <w:szCs w:val="20"/>
          <w:color w:val="auto"/>
        </w:rPr>
      </w:pPr>
    </w:p>
    <w:p>
      <w:pPr>
        <w:jc w:val="both"/>
        <w:ind w:left="120" w:right="140"/>
        <w:spacing w:after="0" w:line="257" w:lineRule="auto"/>
        <w:rPr>
          <w:sz w:val="20"/>
          <w:szCs w:val="20"/>
          <w:color w:val="auto"/>
        </w:rPr>
      </w:pPr>
      <w:r>
        <w:rPr>
          <w:rFonts w:ascii="Arial" w:cs="Arial" w:eastAsia="Arial" w:hAnsi="Arial"/>
          <w:sz w:val="16"/>
          <w:szCs w:val="16"/>
          <w:color w:val="auto"/>
        </w:rPr>
        <w:t>We encourage you to access the meeting prior to the start time. Please allow time for online check-in, which will begin at 8:45 a.m. Eastern Time. If you encounter any difficulties accessing the Annual Meeting during the check-in or meeting time, please call the technical support number that will be posted on the virtual Annual Meeting landing page at www.virtualshareholdermeeting.com/VAC2026.</w:t>
      </w: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How do I ask questions?</w:t>
      </w:r>
    </w:p>
    <w:p>
      <w:pPr>
        <w:spacing w:after="0" w:line="68"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You may submit a question in advance of the meeting at www.proxyvote.com. The Company will try to answer as many questions as possible during the time scheduled. Answers to appropriate investor questions received before the Annual Meeting will be posted on the Investor Relations page of the Company’s website as soon as practicable after the Annual Meeting to the extent such questions were not answered at the Annual Meeting. Additional information regarding the question and answer process, including the types of questions permitted, the time allotted for the question and answer session, and how questions will be addressed and disclosed, will be available in the Annual Meeting Rules of Conduct, which will be posted at the virtual Annual Meeting website during the Annual Meeting.</w:t>
      </w:r>
    </w:p>
    <w:p>
      <w:pPr>
        <w:sectPr>
          <w:pgSz w:w="11900" w:h="16838" w:orient="portrait"/>
          <w:cols w:equalWidth="0" w:num="1">
            <w:col w:w="11140"/>
          </w:cols>
          <w:pgMar w:left="320" w:top="482" w:right="439" w:bottom="1440" w:gutter="0" w:footer="0" w:header="0"/>
        </w:sectPr>
      </w:pPr>
    </w:p>
    <w:p>
      <w:pPr>
        <w:spacing w:after="0" w:line="115" w:lineRule="exact"/>
        <w:rPr>
          <w:sz w:val="20"/>
          <w:szCs w:val="20"/>
          <w:color w:val="auto"/>
        </w:rPr>
      </w:pPr>
    </w:p>
    <w:p>
      <w:pPr>
        <w:ind w:left="120"/>
        <w:spacing w:after="0"/>
        <w:tabs>
          <w:tab w:leader="none" w:pos="4600" w:val="left"/>
          <w:tab w:leader="none" w:pos="7820" w:val="left"/>
        </w:tabs>
        <w:rPr>
          <w:sz w:val="20"/>
          <w:szCs w:val="20"/>
          <w:color w:val="auto"/>
        </w:rPr>
      </w:pPr>
      <w:r>
        <w:rPr>
          <w:rFonts w:ascii="Arial" w:cs="Arial" w:eastAsia="Arial" w:hAnsi="Arial"/>
          <w:sz w:val="11"/>
          <w:szCs w:val="11"/>
          <w:b w:val="1"/>
          <w:bCs w:val="1"/>
          <w:color w:val="003A70"/>
        </w:rPr>
        <w:t>4</w:t>
      </w:r>
      <w:r>
        <w:rPr>
          <w:sz w:val="20"/>
          <w:szCs w:val="20"/>
          <w:color w:val="auto"/>
        </w:rPr>
        <w:tab/>
      </w:r>
      <w:r>
        <w:rPr>
          <w:rFonts w:ascii="Arial" w:cs="Arial" w:eastAsia="Arial" w:hAnsi="Arial"/>
          <w:sz w:val="11"/>
          <w:szCs w:val="11"/>
          <w:color w:val="auto"/>
        </w:rPr>
        <w:t>Questions and Answers about the Meeting</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Why did I receive a one-page notice in the mail regarding the Internet availability of proxy materials instead of printed proxy materials?</w:t>
      </w:r>
    </w:p>
    <w:p>
      <w:pPr>
        <w:spacing w:after="0" w:line="126"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The U.S. Securities and Exchange Commission (the “SEC”) permits companies to furnish proxy materials to stockholders by providing access to these documents over the Internet instead of mailing a printed copy. Accordingly, we mailed a Notice to stockholders who elected to receive proxy materials by email. These stockholders have the ability to access, view and print the proxy materials on the website referred to in the Notice and request a printed set of proxy materials.</w:t>
      </w: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Can I get electronic access to the proxy materials if I received printed materials?</w:t>
      </w:r>
    </w:p>
    <w:p>
      <w:pPr>
        <w:spacing w:after="0" w:line="69"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If you received a printed copy of our proxy materials, you can also view the proxy materials for the meeting electronically at proxyvote.com. You may also choose to receive future proxy materials by email. Choosing to receive your future proxy materials by email will lower our costs of delivery and reduce the environmental impact of our Annual Meeting. If you choose to receive our future proxy materials by email, you will receive an email next year with instructions containing a link to view those proxy materials and a link to the proxy voting site. Your election to receive proxy materials by email will remain in effect until you terminate it or for so long as the email address provided by you is valid.</w:t>
      </w: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What items will be voted on at the Annual Meeting?</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Stockholders will vote on the following items at the Annual Meeting, if each is properly presented at the meeting:</w:t>
      </w:r>
    </w:p>
    <w:p>
      <w:pPr>
        <w:spacing w:after="0" w:line="127" w:lineRule="exact"/>
        <w:rPr>
          <w:sz w:val="20"/>
          <w:szCs w:val="20"/>
          <w:color w:val="auto"/>
        </w:rPr>
      </w:pPr>
    </w:p>
    <w:p>
      <w:pPr>
        <w:ind w:left="540" w:hanging="208"/>
        <w:spacing w:after="0"/>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Election of the nine director nominees named in this Proxy Statement;</w:t>
      </w:r>
    </w:p>
    <w:p>
      <w:pPr>
        <w:spacing w:after="0" w:line="126" w:lineRule="exact"/>
        <w:rPr>
          <w:rFonts w:ascii="Arial" w:cs="Arial" w:eastAsia="Arial" w:hAnsi="Arial"/>
          <w:sz w:val="16"/>
          <w:szCs w:val="16"/>
          <w:color w:val="auto"/>
        </w:rPr>
      </w:pPr>
    </w:p>
    <w:p>
      <w:pPr>
        <w:ind w:left="540" w:right="20" w:hanging="208"/>
        <w:spacing w:after="0" w:line="286"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Ratification of the appointment of Ernst &amp; Young LLP (“Ernst &amp; Young”) as the Company’s independent registered public accounting firm for its 2026 fiscal year;</w:t>
      </w:r>
    </w:p>
    <w:p>
      <w:pPr>
        <w:spacing w:after="0" w:line="61" w:lineRule="exact"/>
        <w:rPr>
          <w:rFonts w:ascii="Arial" w:cs="Arial" w:eastAsia="Arial" w:hAnsi="Arial"/>
          <w:sz w:val="16"/>
          <w:szCs w:val="16"/>
          <w:color w:val="auto"/>
        </w:rPr>
      </w:pPr>
    </w:p>
    <w:p>
      <w:pPr>
        <w:ind w:left="540" w:hanging="208"/>
        <w:spacing w:after="0"/>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Advisory vote to approve named executive officer compensation;</w:t>
      </w:r>
    </w:p>
    <w:p>
      <w:pPr>
        <w:spacing w:after="0" w:line="126" w:lineRule="exact"/>
        <w:rPr>
          <w:rFonts w:ascii="Arial" w:cs="Arial" w:eastAsia="Arial" w:hAnsi="Arial"/>
          <w:sz w:val="16"/>
          <w:szCs w:val="16"/>
          <w:color w:val="auto"/>
        </w:rPr>
      </w:pPr>
    </w:p>
    <w:p>
      <w:pPr>
        <w:ind w:left="540" w:hanging="208"/>
        <w:spacing w:after="0"/>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Approval of the Second Amended and Restated Marriott Vacations Worldwide Corporation 2020 Equity Incentive Plan; and</w:t>
      </w:r>
    </w:p>
    <w:p>
      <w:pPr>
        <w:spacing w:after="0" w:line="126" w:lineRule="exact"/>
        <w:rPr>
          <w:rFonts w:ascii="Arial" w:cs="Arial" w:eastAsia="Arial" w:hAnsi="Arial"/>
          <w:sz w:val="16"/>
          <w:szCs w:val="16"/>
          <w:color w:val="auto"/>
        </w:rPr>
      </w:pPr>
    </w:p>
    <w:p>
      <w:pPr>
        <w:ind w:left="540" w:hanging="208"/>
        <w:spacing w:after="0"/>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other matters that may properly be presented at the meeting.</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management will respond to appropriate questions from stockholders submitted in advance of the meeting.</w:t>
      </w:r>
    </w:p>
    <w:p>
      <w:pPr>
        <w:spacing w:after="0" w:line="1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What are the Board’s voting recommendations?</w:t>
      </w:r>
    </w:p>
    <w:p>
      <w:pPr>
        <w:spacing w:after="0" w:line="67" w:lineRule="exact"/>
        <w:rPr>
          <w:sz w:val="20"/>
          <w:szCs w:val="20"/>
          <w:color w:val="auto"/>
        </w:rPr>
      </w:pPr>
    </w:p>
    <w:p>
      <w:pPr>
        <w:ind w:left="120" w:right="300"/>
        <w:spacing w:after="0" w:line="268" w:lineRule="auto"/>
        <w:rPr>
          <w:sz w:val="20"/>
          <w:szCs w:val="20"/>
          <w:color w:val="auto"/>
        </w:rPr>
      </w:pPr>
      <w:r>
        <w:rPr>
          <w:rFonts w:ascii="Arial" w:cs="Arial" w:eastAsia="Arial" w:hAnsi="Arial"/>
          <w:sz w:val="16"/>
          <w:szCs w:val="16"/>
          <w:color w:val="auto"/>
        </w:rPr>
        <w:t xml:space="preserve">The Board’s recommendation is set forth together with the description of each Item in this Proxy Statement. The Board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 nominee for director in Item 1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Items 2, 3 and 4.</w:t>
      </w: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What is the difference between being a record holder and a beneficial owner of shares held in street name?</w:t>
      </w:r>
    </w:p>
    <w:p>
      <w:pPr>
        <w:spacing w:after="0" w:line="69"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auto"/>
        </w:rPr>
        <w:t>A record holder holds shares directly in his, her or its own name with the Company’s transfer agent. Shares held in “street name” refer to shares that are held in the name of a bank or broker on a person’s behalf. Many stockholders hold their shares in street name. For such shares, the bank or broker is considered the record holder for purposes of voting at the Annual Meeting. As a beneficial owner, you have the right to direct that organization how to vote the shares held in your account.</w:t>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636"/>
        </w:trPr>
        <w:tc>
          <w:tcPr>
            <w:tcW w:w="1940" w:type="dxa"/>
            <w:vAlign w:val="bottom"/>
          </w:tcPr>
          <w:p>
            <w:pPr>
              <w:spacing w:after="0"/>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 xml:space="preserve">  How do I vote?</w:t>
            </w: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94"/>
        </w:trPr>
        <w:tc>
          <w:tcPr>
            <w:tcW w:w="1940" w:type="dxa"/>
            <w:vAlign w:val="bottom"/>
          </w:tcPr>
          <w:p>
            <w:pPr>
              <w:ind w:left="640"/>
              <w:spacing w:after="0"/>
              <w:rPr>
                <w:sz w:val="20"/>
                <w:szCs w:val="20"/>
                <w:color w:val="auto"/>
              </w:rPr>
            </w:pPr>
            <w:r>
              <w:rPr>
                <w:rFonts w:ascii="Arial" w:cs="Arial" w:eastAsia="Arial" w:hAnsi="Arial"/>
                <w:sz w:val="16"/>
                <w:szCs w:val="16"/>
                <w:b w:val="1"/>
                <w:bCs w:val="1"/>
                <w:color w:val="003A70"/>
              </w:rPr>
              <w:t>BY TELEPHONE</w:t>
            </w:r>
          </w:p>
        </w:tc>
        <w:tc>
          <w:tcPr>
            <w:tcW w:w="500" w:type="dxa"/>
            <w:vAlign w:val="bottom"/>
          </w:tcPr>
          <w:p>
            <w:pPr>
              <w:spacing w:after="0"/>
              <w:rPr>
                <w:sz w:val="16"/>
                <w:szCs w:val="16"/>
                <w:color w:val="auto"/>
              </w:rPr>
            </w:pPr>
          </w:p>
        </w:tc>
        <w:tc>
          <w:tcPr>
            <w:tcW w:w="1720" w:type="dxa"/>
            <w:vAlign w:val="bottom"/>
          </w:tcPr>
          <w:p>
            <w:pPr>
              <w:ind w:left="320"/>
              <w:spacing w:after="0"/>
              <w:rPr>
                <w:sz w:val="20"/>
                <w:szCs w:val="20"/>
                <w:color w:val="auto"/>
              </w:rPr>
            </w:pPr>
            <w:r>
              <w:rPr>
                <w:rFonts w:ascii="Arial" w:cs="Arial" w:eastAsia="Arial" w:hAnsi="Arial"/>
                <w:sz w:val="16"/>
                <w:szCs w:val="16"/>
                <w:b w:val="1"/>
                <w:bCs w:val="1"/>
                <w:color w:val="003A70"/>
              </w:rPr>
              <w:t>BY INTERNET</w:t>
            </w:r>
          </w:p>
        </w:tc>
        <w:tc>
          <w:tcPr>
            <w:tcW w:w="3520" w:type="dxa"/>
            <w:vAlign w:val="bottom"/>
          </w:tcPr>
          <w:p>
            <w:pPr>
              <w:ind w:left="860"/>
              <w:spacing w:after="0"/>
              <w:rPr>
                <w:sz w:val="20"/>
                <w:szCs w:val="20"/>
                <w:color w:val="auto"/>
              </w:rPr>
            </w:pPr>
            <w:r>
              <w:rPr>
                <w:rFonts w:ascii="Arial" w:cs="Arial" w:eastAsia="Arial" w:hAnsi="Arial"/>
                <w:sz w:val="16"/>
                <w:szCs w:val="16"/>
                <w:b w:val="1"/>
                <w:bCs w:val="1"/>
                <w:color w:val="003A70"/>
              </w:rPr>
              <w:t>BY MAIL</w:t>
            </w:r>
          </w:p>
        </w:tc>
        <w:tc>
          <w:tcPr>
            <w:tcW w:w="3300" w:type="dxa"/>
            <w:vAlign w:val="bottom"/>
          </w:tcPr>
          <w:p>
            <w:pPr>
              <w:ind w:left="800"/>
              <w:spacing w:after="0"/>
              <w:rPr>
                <w:sz w:val="20"/>
                <w:szCs w:val="20"/>
                <w:color w:val="auto"/>
              </w:rPr>
            </w:pPr>
            <w:r>
              <w:rPr>
                <w:rFonts w:ascii="Arial" w:cs="Arial" w:eastAsia="Arial" w:hAnsi="Arial"/>
                <w:sz w:val="16"/>
                <w:szCs w:val="16"/>
                <w:b w:val="1"/>
                <w:bCs w:val="1"/>
                <w:color w:val="003A70"/>
              </w:rPr>
              <w:t>AT THE VIRTUAL MEETING</w:t>
            </w:r>
          </w:p>
        </w:tc>
      </w:tr>
      <w:tr>
        <w:trPr>
          <w:trHeight w:val="162"/>
        </w:trPr>
        <w:tc>
          <w:tcPr>
            <w:tcW w:w="1940" w:type="dxa"/>
            <w:vAlign w:val="bottom"/>
          </w:tcPr>
          <w:p>
            <w:pPr>
              <w:ind w:left="640"/>
              <w:spacing w:after="0"/>
              <w:rPr>
                <w:sz w:val="20"/>
                <w:szCs w:val="20"/>
                <w:color w:val="auto"/>
              </w:rPr>
            </w:pPr>
            <w:r>
              <w:rPr>
                <w:rFonts w:ascii="Arial" w:cs="Arial" w:eastAsia="Arial" w:hAnsi="Arial"/>
                <w:sz w:val="14"/>
                <w:szCs w:val="14"/>
                <w:color w:val="auto"/>
              </w:rPr>
              <w:t>800-690-6903</w:t>
            </w:r>
          </w:p>
        </w:tc>
        <w:tc>
          <w:tcPr>
            <w:tcW w:w="500" w:type="dxa"/>
            <w:vAlign w:val="bottom"/>
          </w:tcPr>
          <w:p>
            <w:pPr>
              <w:spacing w:after="0"/>
              <w:rPr>
                <w:sz w:val="14"/>
                <w:szCs w:val="14"/>
                <w:color w:val="auto"/>
              </w:rPr>
            </w:pPr>
          </w:p>
        </w:tc>
        <w:tc>
          <w:tcPr>
            <w:tcW w:w="1720" w:type="dxa"/>
            <w:vAlign w:val="bottom"/>
          </w:tcPr>
          <w:p>
            <w:pPr>
              <w:ind w:left="320"/>
              <w:spacing w:after="0"/>
              <w:rPr>
                <w:sz w:val="20"/>
                <w:szCs w:val="20"/>
                <w:color w:val="auto"/>
              </w:rPr>
            </w:pPr>
            <w:r>
              <w:rPr>
                <w:rFonts w:ascii="Arial" w:cs="Arial" w:eastAsia="Arial" w:hAnsi="Arial"/>
                <w:sz w:val="14"/>
                <w:szCs w:val="14"/>
                <w:color w:val="auto"/>
              </w:rPr>
              <w:t>www.proxyvote.com</w:t>
            </w:r>
          </w:p>
        </w:tc>
        <w:tc>
          <w:tcPr>
            <w:tcW w:w="3520" w:type="dxa"/>
            <w:vAlign w:val="bottom"/>
          </w:tcPr>
          <w:p>
            <w:pPr>
              <w:ind w:left="860"/>
              <w:spacing w:after="0"/>
              <w:rPr>
                <w:sz w:val="20"/>
                <w:szCs w:val="20"/>
                <w:color w:val="auto"/>
              </w:rPr>
            </w:pPr>
            <w:r>
              <w:rPr>
                <w:rFonts w:ascii="Arial" w:cs="Arial" w:eastAsia="Arial" w:hAnsi="Arial"/>
                <w:sz w:val="14"/>
                <w:szCs w:val="14"/>
                <w:color w:val="auto"/>
              </w:rPr>
              <w:t>completing and returning your proxy card</w:t>
            </w:r>
          </w:p>
        </w:tc>
        <w:tc>
          <w:tcPr>
            <w:tcW w:w="3300" w:type="dxa"/>
            <w:vAlign w:val="bottom"/>
          </w:tcPr>
          <w:p>
            <w:pPr>
              <w:ind w:left="800"/>
              <w:spacing w:after="0"/>
              <w:rPr>
                <w:sz w:val="20"/>
                <w:szCs w:val="20"/>
                <w:color w:val="auto"/>
              </w:rPr>
            </w:pPr>
            <w:r>
              <w:rPr>
                <w:rFonts w:ascii="Arial" w:cs="Arial" w:eastAsia="Arial" w:hAnsi="Arial"/>
                <w:sz w:val="14"/>
                <w:szCs w:val="14"/>
                <w:color w:val="auto"/>
              </w:rPr>
              <w:t>by electronic vote at the virtual meeting</w:t>
            </w:r>
          </w:p>
        </w:tc>
      </w:tr>
      <w:tr>
        <w:trPr>
          <w:trHeight w:val="250"/>
        </w:trPr>
        <w:tc>
          <w:tcPr>
            <w:tcW w:w="1940" w:type="dxa"/>
            <w:vAlign w:val="bottom"/>
          </w:tcPr>
          <w:p>
            <w:pPr>
              <w:ind w:left="640"/>
              <w:spacing w:after="0"/>
              <w:rPr>
                <w:sz w:val="20"/>
                <w:szCs w:val="20"/>
                <w:color w:val="auto"/>
              </w:rPr>
            </w:pPr>
            <w:r>
              <w:rPr>
                <w:rFonts w:ascii="Arial" w:cs="Arial" w:eastAsia="Arial" w:hAnsi="Arial"/>
                <w:sz w:val="14"/>
                <w:szCs w:val="14"/>
                <w:color w:val="auto"/>
              </w:rPr>
              <w:t>(record holders)</w:t>
            </w:r>
          </w:p>
        </w:tc>
        <w:tc>
          <w:tcPr>
            <w:tcW w:w="500" w:type="dxa"/>
            <w:vAlign w:val="bottom"/>
          </w:tcPr>
          <w:p>
            <w:pPr>
              <w:ind w:left="60"/>
              <w:spacing w:after="0"/>
              <w:rPr>
                <w:sz w:val="20"/>
                <w:szCs w:val="20"/>
                <w:color w:val="auto"/>
              </w:rPr>
            </w:pPr>
            <w:r>
              <w:rPr>
                <w:rFonts w:ascii="Arial" w:cs="Arial" w:eastAsia="Arial" w:hAnsi="Arial"/>
                <w:sz w:val="16"/>
                <w:szCs w:val="16"/>
                <w:color w:val="auto"/>
              </w:rPr>
              <w:t xml:space="preserve">   </w:t>
            </w:r>
          </w:p>
        </w:tc>
        <w:tc>
          <w:tcPr>
            <w:tcW w:w="1720" w:type="dxa"/>
            <w:vAlign w:val="bottom"/>
          </w:tcPr>
          <w:p>
            <w:pPr>
              <w:spacing w:after="0"/>
              <w:rPr>
                <w:sz w:val="21"/>
                <w:szCs w:val="21"/>
                <w:color w:val="auto"/>
              </w:rPr>
            </w:pPr>
          </w:p>
        </w:tc>
        <w:tc>
          <w:tcPr>
            <w:tcW w:w="3520" w:type="dxa"/>
            <w:vAlign w:val="bottom"/>
          </w:tcPr>
          <w:p>
            <w:pPr>
              <w:ind w:left="120"/>
              <w:spacing w:after="0"/>
              <w:rPr>
                <w:sz w:val="20"/>
                <w:szCs w:val="20"/>
                <w:color w:val="auto"/>
              </w:rPr>
            </w:pPr>
            <w:r>
              <w:rPr>
                <w:rFonts w:ascii="Arial" w:cs="Arial" w:eastAsia="Arial" w:hAnsi="Arial"/>
                <w:sz w:val="16"/>
                <w:szCs w:val="16"/>
                <w:color w:val="auto"/>
              </w:rPr>
              <w:t xml:space="preserve">   </w:t>
            </w:r>
          </w:p>
        </w:tc>
        <w:tc>
          <w:tcPr>
            <w:tcW w:w="3300" w:type="dxa"/>
            <w:vAlign w:val="bottom"/>
          </w:tcPr>
          <w:p>
            <w:pPr>
              <w:ind w:left="40"/>
              <w:spacing w:after="0"/>
              <w:rPr>
                <w:sz w:val="20"/>
                <w:szCs w:val="20"/>
                <w:color w:val="auto"/>
              </w:rPr>
            </w:pPr>
            <w:r>
              <w:rPr>
                <w:rFonts w:ascii="Arial" w:cs="Arial" w:eastAsia="Arial" w:hAnsi="Arial"/>
                <w:sz w:val="16"/>
                <w:szCs w:val="16"/>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-375285</wp:posOffset>
            </wp:positionV>
            <wp:extent cx="342900"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-375285</wp:posOffset>
            </wp:positionV>
            <wp:extent cx="342900"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-375285</wp:posOffset>
            </wp:positionV>
            <wp:extent cx="342900" cy="3429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-375285</wp:posOffset>
            </wp:positionV>
            <wp:extent cx="351155" cy="342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1155" cy="342900"/>
                    </a:xfrm>
                    <a:prstGeom prst="rect">
                      <a:avLst/>
                    </a:prstGeom>
                    <a:noFill/>
                  </pic:spPr>
                </pic:pic>
              </a:graphicData>
            </a:graphic>
          </wp:anchor>
        </w:drawing>
      </w:r>
    </w:p>
    <w:p>
      <w:pPr>
        <w:spacing w:after="0" w:line="33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Whether you are a stockholder of record or a beneficial stockholder, you may direct how your shares are voted without participating in the Annual Meeting. We encourage stockholders to vote well before the Annual Meeting even if they plan to attend the virtual meeting, by completing proxies online or by telephone, or, if they received printed copies of materials, by mailing their proxy cards. Stockholders can vote via the Internet in advance of or during the Annual Meeting.</w:t>
      </w:r>
    </w:p>
    <w:p>
      <w:pPr>
        <w:spacing w:after="0" w:line="70"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Stockholders who attend the virtual Annual Meeting should follow the instructions at www.virtualshareholdermeeting.com/VAC2026 to vote during the meeting. Voting online during the meeting will replace any previous votes.</w:t>
      </w:r>
    </w:p>
    <w:p>
      <w:pPr>
        <w:spacing w:after="0" w:line="48"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Record holders who received a copy of this Proxy Statement and accompanying proxy card in the mail can vote by filling out the proxy card, signing it and returning it in the postage paid return envelope. Record holders can also vote by telephone (800-690-6903) or by Internet (www.proxyvote.com). Voting instructions are provided on the proxy card.</w:t>
      </w:r>
    </w:p>
    <w:p>
      <w:pPr>
        <w:spacing w:after="0" w:line="63"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If you are a beneficial owner, you must vote by giving instructions to your bank or broker. You should follow the voting instructions on the form that you receive from your bank or broker.</w:t>
      </w:r>
    </w:p>
    <w:p>
      <w:pPr>
        <w:spacing w:after="0" w:line="89" w:lineRule="exact"/>
        <w:rPr>
          <w:sz w:val="20"/>
          <w:szCs w:val="20"/>
          <w:color w:val="auto"/>
        </w:rPr>
      </w:pPr>
    </w:p>
    <w:p>
      <w:pPr>
        <w:ind w:left="120"/>
        <w:spacing w:after="0"/>
        <w:tabs>
          <w:tab w:leader="none" w:pos="4600" w:val="left"/>
          <w:tab w:leader="none" w:pos="1106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Questions and Answers about the Meeting</w:t>
      </w:r>
      <w:r>
        <w:rPr>
          <w:sz w:val="20"/>
          <w:szCs w:val="20"/>
          <w:color w:val="auto"/>
        </w:rPr>
        <w:tab/>
      </w:r>
      <w:r>
        <w:rPr>
          <w:rFonts w:ascii="Arial" w:cs="Arial" w:eastAsia="Arial" w:hAnsi="Arial"/>
          <w:sz w:val="10"/>
          <w:szCs w:val="10"/>
          <w:b w:val="1"/>
          <w:bCs w:val="1"/>
          <w:color w:val="003A7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How will my proxy be voted?</w:t>
      </w:r>
    </w:p>
    <w:p>
      <w:pPr>
        <w:spacing w:after="0" w:line="126" w:lineRule="exact"/>
        <w:rPr>
          <w:sz w:val="20"/>
          <w:szCs w:val="20"/>
          <w:color w:val="auto"/>
        </w:rPr>
      </w:pPr>
    </w:p>
    <w:p>
      <w:pPr>
        <w:ind w:left="120" w:right="320"/>
        <w:spacing w:after="0" w:line="266" w:lineRule="auto"/>
        <w:rPr>
          <w:sz w:val="20"/>
          <w:szCs w:val="20"/>
          <w:color w:val="auto"/>
        </w:rPr>
      </w:pPr>
      <w:r>
        <w:rPr>
          <w:rFonts w:ascii="Arial" w:cs="Arial" w:eastAsia="Arial" w:hAnsi="Arial"/>
          <w:sz w:val="16"/>
          <w:szCs w:val="16"/>
          <w:color w:val="auto"/>
        </w:rPr>
        <w:t>Your proxy card, when properly signed and returned to us, or processed by telephone or via the Internet, and not revoked, will be voted in accordance with your instructions. We are not aware of any other matter that may be properly presented other than those described above. If any other matter is properly presented, the persons named in the enclosed proxy card will have discretion to vote on such matter in their best judgment.</w:t>
      </w:r>
    </w:p>
    <w:p>
      <w:pPr>
        <w:spacing w:after="0" w:line="63"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If you are a beneficial owner, your bank or broker must vote according to specific instructions they receive from you, the beneficial owner. If your bank or broker does not receive specific instructions, they may in some cases vote the shares in their discretion, but are not permitted to vote on certain proposals and may elect not to vote on any of the proposals unless you provide voting instructions as to how to vote the shares. Therefore, we urge you to give voting instructions to your broker on all four voting items. Voting your shares will help to ensure that your interests are represented at the meeting. If you do not provide voting instructions and your bank or broker elects to vote your shares on some but not all matters, it will result in a ‘broker non-vote’ for the matters on which the bank or broker does not vote. Broker non-votes will be considered as present for quorum purposes, but they will not be considered entitled to vote on the matters on which the bank or broker does not vote and will not be counted in determining the outcome of the vote on any such matters.</w:t>
      </w:r>
    </w:p>
    <w:p>
      <w:pPr>
        <w:spacing w:after="0" w:line="16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What if I don’t mark the boxes on my proxy?</w:t>
      </w:r>
    </w:p>
    <w:p>
      <w:pPr>
        <w:spacing w:after="0" w:line="6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6"/>
          <w:szCs w:val="16"/>
          <w:color w:val="auto"/>
        </w:rPr>
        <w:t>If you just sign and submit your proxy card without providing voting instructions, your shares will be voted “FOR” each director nominee listed in this Proxy Statement and “FOR” Items 2, 3 and 4 as recommended by the Board and at the discretion of the persons named in the enclosed proxy card with respect to any other matters that are properly presented.</w:t>
      </w: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How many votes are needed to approve an item?</w:t>
      </w:r>
    </w:p>
    <w:p>
      <w:pPr>
        <w:spacing w:after="0" w:line="68"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Directors will be elected by a plurality of all the votes cast at the Annual Meeting, either online or represented by a properly completed or authorized proxy. This means that the nine nominees who receive the highest number of “FOR” votes cast will be elected as directors. Stockholders cannot cumulate votes in the election of directors. Votes that are withheld will not be counted as votes cast on the matter and will have no effect on the outcome of the election. Broker non-votes, if any, will have no effect on the outcome of the matter.</w:t>
      </w:r>
    </w:p>
    <w:p>
      <w:pPr>
        <w:spacing w:after="0" w:line="70" w:lineRule="exact"/>
        <w:rPr>
          <w:sz w:val="20"/>
          <w:szCs w:val="20"/>
          <w:color w:val="auto"/>
        </w:rPr>
      </w:pPr>
    </w:p>
    <w:p>
      <w:pPr>
        <w:ind w:left="120" w:right="140"/>
        <w:spacing w:after="0" w:line="257" w:lineRule="auto"/>
        <w:rPr>
          <w:sz w:val="20"/>
          <w:szCs w:val="20"/>
          <w:color w:val="auto"/>
        </w:rPr>
      </w:pPr>
      <w:r>
        <w:rPr>
          <w:rFonts w:ascii="Arial" w:cs="Arial" w:eastAsia="Arial" w:hAnsi="Arial"/>
          <w:sz w:val="16"/>
          <w:szCs w:val="16"/>
          <w:color w:val="auto"/>
        </w:rPr>
        <w:t>The affirmative vote of holders of shares representing a majority in voting power, present online or represented by proxy and entitled to vote on the proposal, is necessary for approval of Items 2, 3 and 4. Proxy cards marked as abstentions on Items 2, 3 and 4 will count as present and entitled to vote and therefore will have the effect of a negative vote. Broker non-votes, if any, will have no effect on the outcome of the matter.</w:t>
      </w: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What constitutes a quorum?</w:t>
      </w:r>
    </w:p>
    <w:p>
      <w:pPr>
        <w:spacing w:after="0" w:line="68" w:lineRule="exact"/>
        <w:rPr>
          <w:sz w:val="20"/>
          <w:szCs w:val="20"/>
          <w:color w:val="auto"/>
        </w:rPr>
      </w:pPr>
    </w:p>
    <w:p>
      <w:pPr>
        <w:ind w:left="120" w:right="160"/>
        <w:spacing w:after="0" w:line="257" w:lineRule="auto"/>
        <w:rPr>
          <w:sz w:val="20"/>
          <w:szCs w:val="20"/>
          <w:color w:val="auto"/>
        </w:rPr>
      </w:pPr>
      <w:r>
        <w:rPr>
          <w:rFonts w:ascii="Arial" w:cs="Arial" w:eastAsia="Arial" w:hAnsi="Arial"/>
          <w:sz w:val="16"/>
          <w:szCs w:val="16"/>
          <w:color w:val="auto"/>
        </w:rPr>
        <w:t>The presence at the meeting, online or by proxy, of the holders of a majority in voting power of the issued and outstanding shares of Common Stock entitled to vote at the Annual Meeting will constitute a quorum. Proxies received will be included in the calculation of the number of shares considered to be present at the meeting, even if marked as broker non-votes or with abstentions on certain items.</w:t>
      </w: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Who can attend the Annual Meeting?</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Only stockholders as of the record date, their proxy holders and our invited guests may attend the Annual Meeting.</w:t>
      </w:r>
    </w:p>
    <w:p>
      <w:pPr>
        <w:spacing w:after="0" w:line="1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Can I attend and participate in the Annual Meeting online if I vote by proxy?</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Yes. Attending the Annual Meeting online does not revoke your proxy.</w:t>
      </w:r>
    </w:p>
    <w:p>
      <w:pPr>
        <w:spacing w:after="0" w:line="1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50"/>
          <w:szCs w:val="50"/>
          <w:b w:val="1"/>
          <w:bCs w:val="1"/>
          <w:color w:val="003A70"/>
          <w:vertAlign w:val="subscript"/>
        </w:rPr>
        <w:t>Q</w:t>
      </w:r>
      <w:r>
        <w:rPr>
          <w:rFonts w:ascii="Arial" w:cs="Arial" w:eastAsia="Arial" w:hAnsi="Arial"/>
          <w:sz w:val="32"/>
          <w:szCs w:val="32"/>
          <w:b w:val="1"/>
          <w:bCs w:val="1"/>
          <w:color w:val="003A70"/>
          <w:vertAlign w:val="subscript"/>
        </w:rPr>
        <w:t>.</w:t>
      </w:r>
      <w:r>
        <w:rPr>
          <w:rFonts w:ascii="Arial" w:cs="Arial" w:eastAsia="Arial" w:hAnsi="Arial"/>
          <w:sz w:val="16"/>
          <w:szCs w:val="16"/>
          <w:b w:val="1"/>
          <w:bCs w:val="1"/>
          <w:color w:val="003A70"/>
        </w:rPr>
        <w:tab/>
        <w:t>Can I change my vote or revoke my proxy after I return my proxy card, or after I vote by telephone or electronically?</w:t>
      </w:r>
    </w:p>
    <w:p>
      <w:pPr>
        <w:spacing w:after="0" w:line="67" w:lineRule="exact"/>
        <w:rPr>
          <w:sz w:val="20"/>
          <w:szCs w:val="20"/>
          <w:color w:val="auto"/>
        </w:rPr>
      </w:pPr>
    </w:p>
    <w:p>
      <w:pPr>
        <w:ind w:left="120" w:right="40"/>
        <w:spacing w:after="0" w:line="272" w:lineRule="auto"/>
        <w:rPr>
          <w:sz w:val="20"/>
          <w:szCs w:val="20"/>
          <w:color w:val="auto"/>
        </w:rPr>
      </w:pPr>
      <w:r>
        <w:rPr>
          <w:rFonts w:ascii="Arial" w:cs="Arial" w:eastAsia="Arial" w:hAnsi="Arial"/>
          <w:sz w:val="16"/>
          <w:szCs w:val="16"/>
          <w:color w:val="auto"/>
        </w:rPr>
        <w:t>Yes. Even after you have submitted your proxy, you may change your vote at any time before the proxy is exercised at the Annual Meeting. Regardless of the way in which you submitted your original proxy, you may change it by:</w:t>
      </w:r>
    </w:p>
    <w:p>
      <w:pPr>
        <w:spacing w:after="0" w:line="1" w:lineRule="exact"/>
        <w:rPr>
          <w:sz w:val="20"/>
          <w:szCs w:val="20"/>
          <w:color w:val="auto"/>
        </w:rPr>
      </w:pPr>
    </w:p>
    <w:p>
      <w:pPr>
        <w:ind w:left="340" w:hanging="224"/>
        <w:spacing w:after="0"/>
        <w:tabs>
          <w:tab w:leader="none" w:pos="340" w:val="left"/>
        </w:tabs>
        <w:numPr>
          <w:ilvl w:val="0"/>
          <w:numId w:val="26"/>
        </w:numPr>
        <w:rPr>
          <w:rFonts w:ascii="Arial" w:cs="Arial" w:eastAsia="Arial" w:hAnsi="Arial"/>
          <w:sz w:val="16"/>
          <w:szCs w:val="16"/>
          <w:color w:val="003A70"/>
        </w:rPr>
      </w:pPr>
      <w:r>
        <w:rPr>
          <w:rFonts w:ascii="Arial" w:cs="Arial" w:eastAsia="Arial" w:hAnsi="Arial"/>
          <w:sz w:val="16"/>
          <w:szCs w:val="16"/>
          <w:color w:val="auto"/>
        </w:rPr>
        <w:t>returning a later-dated signed proxy card;</w:t>
      </w:r>
    </w:p>
    <w:p>
      <w:pPr>
        <w:spacing w:after="0" w:line="45" w:lineRule="exact"/>
        <w:rPr>
          <w:rFonts w:ascii="Arial" w:cs="Arial" w:eastAsia="Arial" w:hAnsi="Arial"/>
          <w:sz w:val="16"/>
          <w:szCs w:val="16"/>
          <w:color w:val="003A70"/>
        </w:rPr>
      </w:pPr>
    </w:p>
    <w:p>
      <w:pPr>
        <w:ind w:left="340" w:right="720" w:hanging="224"/>
        <w:spacing w:after="0" w:line="272" w:lineRule="auto"/>
        <w:tabs>
          <w:tab w:leader="none" w:pos="340" w:val="left"/>
        </w:tabs>
        <w:numPr>
          <w:ilvl w:val="0"/>
          <w:numId w:val="26"/>
        </w:numPr>
        <w:rPr>
          <w:rFonts w:ascii="Arial" w:cs="Arial" w:eastAsia="Arial" w:hAnsi="Arial"/>
          <w:sz w:val="16"/>
          <w:szCs w:val="16"/>
          <w:color w:val="003A70"/>
        </w:rPr>
      </w:pPr>
      <w:r>
        <w:rPr>
          <w:rFonts w:ascii="Arial" w:cs="Arial" w:eastAsia="Arial" w:hAnsi="Arial"/>
          <w:sz w:val="16"/>
          <w:szCs w:val="16"/>
          <w:color w:val="auto"/>
        </w:rPr>
        <w:t>delivering a written notice of revocation to Marriott Vacations Worldwide Corporation, 7812 Palm Parkway, Orlando, Florida, 32836, Attention: Corporate Secretary;</w:t>
      </w:r>
    </w:p>
    <w:p>
      <w:pPr>
        <w:spacing w:after="0" w:line="1" w:lineRule="exact"/>
        <w:rPr>
          <w:rFonts w:ascii="Arial" w:cs="Arial" w:eastAsia="Arial" w:hAnsi="Arial"/>
          <w:sz w:val="16"/>
          <w:szCs w:val="16"/>
          <w:color w:val="003A70"/>
        </w:rPr>
      </w:pPr>
    </w:p>
    <w:p>
      <w:pPr>
        <w:ind w:left="340" w:hanging="224"/>
        <w:spacing w:after="0"/>
        <w:tabs>
          <w:tab w:leader="none" w:pos="340" w:val="left"/>
        </w:tabs>
        <w:numPr>
          <w:ilvl w:val="0"/>
          <w:numId w:val="26"/>
        </w:numPr>
        <w:rPr>
          <w:rFonts w:ascii="Arial" w:cs="Arial" w:eastAsia="Arial" w:hAnsi="Arial"/>
          <w:sz w:val="16"/>
          <w:szCs w:val="16"/>
          <w:color w:val="003A70"/>
        </w:rPr>
      </w:pPr>
      <w:r>
        <w:rPr>
          <w:rFonts w:ascii="Arial" w:cs="Arial" w:eastAsia="Arial" w:hAnsi="Arial"/>
          <w:sz w:val="16"/>
          <w:szCs w:val="16"/>
          <w:color w:val="auto"/>
        </w:rPr>
        <w:t>voting by telephone or the Internet at www.proxyvote.com until 11:59 p.m., Eastern Time, on May 14, 2026; or</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26"/>
        </w:numPr>
        <w:rPr>
          <w:rFonts w:ascii="Arial" w:cs="Arial" w:eastAsia="Arial" w:hAnsi="Arial"/>
          <w:sz w:val="16"/>
          <w:szCs w:val="16"/>
          <w:color w:val="003A70"/>
        </w:rPr>
      </w:pPr>
      <w:r>
        <w:rPr>
          <w:rFonts w:ascii="Arial" w:cs="Arial" w:eastAsia="Arial" w:hAnsi="Arial"/>
          <w:sz w:val="16"/>
          <w:szCs w:val="16"/>
          <w:color w:val="auto"/>
        </w:rPr>
        <w:t>submitting a later-dated vote during the virtual Annual Meeting (www.virtualshareholdermeeting.com/VAC2026).</w:t>
      </w:r>
    </w:p>
    <w:p>
      <w:pPr>
        <w:spacing w:after="0" w:line="221"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If your shares are held through a broker or other nominee, and you are not provided a 16-digit control number, you will need to contact that institution if you wish to change your voting instructions.</w:t>
      </w:r>
    </w:p>
    <w:p>
      <w:pPr>
        <w:spacing w:after="0" w:line="89" w:lineRule="exact"/>
        <w:rPr>
          <w:sz w:val="20"/>
          <w:szCs w:val="20"/>
          <w:color w:val="auto"/>
        </w:rPr>
      </w:pPr>
    </w:p>
    <w:p>
      <w:pPr>
        <w:ind w:left="120"/>
        <w:spacing w:after="0"/>
        <w:tabs>
          <w:tab w:leader="none" w:pos="4600" w:val="left"/>
          <w:tab w:leader="none" w:pos="7820" w:val="left"/>
        </w:tabs>
        <w:rPr>
          <w:sz w:val="20"/>
          <w:szCs w:val="20"/>
          <w:color w:val="auto"/>
        </w:rPr>
      </w:pPr>
      <w:r>
        <w:rPr>
          <w:rFonts w:ascii="Arial" w:cs="Arial" w:eastAsia="Arial" w:hAnsi="Arial"/>
          <w:sz w:val="11"/>
          <w:szCs w:val="11"/>
          <w:b w:val="1"/>
          <w:bCs w:val="1"/>
          <w:color w:val="003A70"/>
        </w:rPr>
        <w:t>6</w:t>
      </w:r>
      <w:r>
        <w:rPr>
          <w:sz w:val="20"/>
          <w:szCs w:val="20"/>
          <w:color w:val="auto"/>
        </w:rPr>
        <w:tab/>
      </w:r>
      <w:r>
        <w:rPr>
          <w:rFonts w:ascii="Arial" w:cs="Arial" w:eastAsia="Arial" w:hAnsi="Arial"/>
          <w:sz w:val="11"/>
          <w:szCs w:val="11"/>
          <w:color w:val="auto"/>
        </w:rPr>
        <w:t>Questions and Answers about the Meeting</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54"/>
          <w:szCs w:val="54"/>
          <w:b w:val="1"/>
          <w:bCs w:val="1"/>
          <w:color w:val="auto"/>
        </w:rPr>
        <w:t>PROPOSALS FOR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-356235</wp:posOffset>
            </wp:positionV>
            <wp:extent cx="85725" cy="445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44577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 – ELECTION OF DIRECTORS</w:t>
      </w:r>
    </w:p>
    <w:p>
      <w:pPr>
        <w:spacing w:after="0" w:line="112"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The Board currently consists of eleven members, each with a term expiring at the Annual Meeting. Commencing with the 2026 Annual Meeting of Stockholders, the entire Board will be subject to election on an annual basis. The Board proposes that Charles E. “C.E.” Andrews, Christian A. Asmar, Matthew E. Avril, James A. Dausch, Lizanne Galbreath, Jonice M. Gray, Dianna F. Morgan, Stephen R. Quazzo and William J. Shaw be elected for a term expiring at the 2027 Annual Meeting of Stockholders and until their successors are duly elected and qualified. The Board does not intend to fill the vacancies created by the expiration of Mr. McCarten’s and Ms. Galligan’s terms; instead, the number of directors will be reduced to nine, effective as of the 2026 Annual Meeting. Mr. Asmar was appointed to the Board pursuant to a Support Agreement dated May 27, 2025 (the “Support Agreement”) between the Company and Impactive Capital LP and certain of its affiliates (collectively, “Impactive Capital”). The Support Agreement also includes, among other provisions, certain standstill and voting commitments by Impactive Capital.</w:t>
      </w:r>
    </w:p>
    <w:p>
      <w:pPr>
        <w:spacing w:after="0" w:line="75" w:lineRule="exact"/>
        <w:rPr>
          <w:sz w:val="20"/>
          <w:szCs w:val="20"/>
          <w:color w:val="auto"/>
        </w:rPr>
      </w:pPr>
    </w:p>
    <w:p>
      <w:pPr>
        <w:jc w:val="both"/>
        <w:ind w:left="120" w:right="120"/>
        <w:spacing w:after="0" w:line="266" w:lineRule="auto"/>
        <w:rPr>
          <w:sz w:val="20"/>
          <w:szCs w:val="20"/>
          <w:color w:val="auto"/>
        </w:rPr>
      </w:pPr>
      <w:r>
        <w:rPr>
          <w:rFonts w:ascii="Arial" w:cs="Arial" w:eastAsia="Arial" w:hAnsi="Arial"/>
          <w:sz w:val="16"/>
          <w:szCs w:val="16"/>
          <w:color w:val="auto"/>
        </w:rPr>
        <w:t>Each of the nominees has consented to be named as a nominee and to serve as a director if elected. If any of them should become unavailable to serve as a director, the Board may designate a substitute nominee. In that case, the persons named as proxies will vote for the substitute nominee designated by the Board.</w:t>
      </w:r>
    </w:p>
    <w:p>
      <w:pPr>
        <w:spacing w:after="0" w:line="63"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Information about the nominees, as well as directors with terms expiring at the 2026 Annual Meeting of Stockholders, is set forth below in the section titled “Report on the Board of Directors and its Committees” beginning on page 18.</w:t>
      </w:r>
    </w:p>
    <w:p>
      <w:pPr>
        <w:spacing w:after="0" w:line="330" w:lineRule="exact"/>
        <w:rPr>
          <w:sz w:val="20"/>
          <w:szCs w:val="20"/>
          <w:color w:val="auto"/>
        </w:rPr>
      </w:pPr>
    </w:p>
    <w:p>
      <w:pPr>
        <w:ind w:left="3020" w:right="2480" w:hanging="656"/>
        <w:spacing w:after="0" w:line="187" w:lineRule="auto"/>
        <w:tabs>
          <w:tab w:leader="none" w:pos="3020" w:val="left"/>
        </w:tabs>
        <w:numPr>
          <w:ilvl w:val="0"/>
          <w:numId w:val="27"/>
        </w:numPr>
        <w:rPr>
          <w:rFonts w:ascii="MS PGothic" w:cs="MS PGothic" w:eastAsia="MS PGothic" w:hAnsi="MS PGothic"/>
          <w:sz w:val="43"/>
          <w:szCs w:val="43"/>
          <w:color w:val="003A70"/>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21"/>
          <w:szCs w:val="21"/>
          <w:b w:val="1"/>
          <w:bCs w:val="1"/>
          <w:color w:val="003A70"/>
        </w:rPr>
        <w:t>FOR</w:t>
      </w:r>
      <w:r>
        <w:rPr>
          <w:rFonts w:ascii="Arial" w:cs="Arial" w:eastAsia="Arial" w:hAnsi="Arial"/>
          <w:sz w:val="16"/>
          <w:szCs w:val="16"/>
          <w:b w:val="1"/>
          <w:bCs w:val="1"/>
          <w:color w:val="auto"/>
        </w:rPr>
        <w:t xml:space="preserve"> each of the nine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-310515</wp:posOffset>
            </wp:positionV>
            <wp:extent cx="4191635" cy="386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91635" cy="386080"/>
                    </a:xfrm>
                    <a:prstGeom prst="rect">
                      <a:avLst/>
                    </a:prstGeom>
                    <a:noFill/>
                  </pic:spPr>
                </pic:pic>
              </a:graphicData>
            </a:graphic>
          </wp:anchor>
        </w:drawing>
      </w:r>
    </w:p>
    <w:p>
      <w:pPr>
        <w:spacing w:after="0" w:line="393"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ITEM 2 – RATIFICATION OF APPOINTMENT OF INDEPENDENT REGISTERED PUBLIC ACCOUNTING FIRM</w:t>
      </w:r>
    </w:p>
    <w:p>
      <w:pPr>
        <w:spacing w:after="0" w:line="124"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The Audit Committee of the Board (the “Audit Committee”) has appointed Ernst &amp; Young as the Company’s independent registered public accounting firm for the Company’s 2026 fiscal year. Although the Audit Committee has discretionary authority to appoint the independent auditor, the Board is seeking stockholder ratification of the appointment as a matter of good corporate governance. The Board and the Audit Committee believe that the continued retention of Ernst &amp; Young as the Company’s independent auditor is in the best interests of the Company and its stockholders. If the appointment of Ernst &amp; Young is not ratified by stockholders, the Audit Committee will take that into consideration when determining whether to continue the firm’s engagement. Even if the appointment is ratified, the Audit Committee at its discretion may direct the appointment of a different independent registered public accounting firm at any time during the year if it determines that such a change would be in the best interests of the Company.</w:t>
      </w:r>
    </w:p>
    <w:p>
      <w:pPr>
        <w:spacing w:after="0" w:line="73" w:lineRule="exact"/>
        <w:rPr>
          <w:sz w:val="20"/>
          <w:szCs w:val="20"/>
          <w:color w:val="auto"/>
        </w:rPr>
      </w:pPr>
    </w:p>
    <w:p>
      <w:pPr>
        <w:ind w:left="120" w:right="540"/>
        <w:spacing w:after="0" w:line="286" w:lineRule="auto"/>
        <w:rPr>
          <w:sz w:val="20"/>
          <w:szCs w:val="20"/>
          <w:color w:val="auto"/>
        </w:rPr>
      </w:pPr>
      <w:r>
        <w:rPr>
          <w:rFonts w:ascii="Arial" w:cs="Arial" w:eastAsia="Arial" w:hAnsi="Arial"/>
          <w:sz w:val="16"/>
          <w:szCs w:val="16"/>
          <w:color w:val="auto"/>
        </w:rPr>
        <w:t>Representatives of Ernst &amp; Young are expected to be present at the Annual Meeting online, will have an opportunity to make a statement if they so desire, and are expected to be available to respond to appropriate questions.</w:t>
      </w:r>
    </w:p>
    <w:p>
      <w:pPr>
        <w:spacing w:after="0" w:line="330" w:lineRule="exact"/>
        <w:rPr>
          <w:sz w:val="20"/>
          <w:szCs w:val="20"/>
          <w:color w:val="auto"/>
        </w:rPr>
      </w:pPr>
    </w:p>
    <w:p>
      <w:pPr>
        <w:ind w:left="3020" w:right="2400" w:hanging="656"/>
        <w:spacing w:after="0" w:line="201" w:lineRule="auto"/>
        <w:tabs>
          <w:tab w:leader="none" w:pos="3020" w:val="left"/>
        </w:tabs>
        <w:numPr>
          <w:ilvl w:val="0"/>
          <w:numId w:val="28"/>
        </w:numPr>
        <w:rPr>
          <w:rFonts w:ascii="MS PGothic" w:cs="MS PGothic" w:eastAsia="MS PGothic" w:hAnsi="MS PGothic"/>
          <w:sz w:val="43"/>
          <w:szCs w:val="43"/>
          <w:color w:val="003A70"/>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21"/>
          <w:szCs w:val="21"/>
          <w:b w:val="1"/>
          <w:bCs w:val="1"/>
          <w:color w:val="003A70"/>
        </w:rPr>
        <w:t>FOR</w:t>
      </w:r>
      <w:r>
        <w:rPr>
          <w:rFonts w:ascii="Arial" w:cs="Arial" w:eastAsia="Arial" w:hAnsi="Arial"/>
          <w:sz w:val="16"/>
          <w:szCs w:val="16"/>
          <w:b w:val="1"/>
          <w:bCs w:val="1"/>
          <w:color w:val="auto"/>
        </w:rPr>
        <w:t xml:space="preserve"> ratification of the appointment of Ernst &amp; Young as the Company’s independent registered public accounting firm for its 2026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-431165</wp:posOffset>
            </wp:positionV>
            <wp:extent cx="4191635" cy="5054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91635" cy="5054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0"/>
        <w:spacing w:after="0"/>
        <w:tabs>
          <w:tab w:leader="none" w:pos="5180" w:val="left"/>
          <w:tab w:leader="none" w:pos="1106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b w:val="1"/>
          <w:bCs w:val="1"/>
          <w:color w:val="003A7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3 – ADVISORY VOTE TO APPROVE NAMED EXECUTIVE OFFICER COMPENSATION</w:t>
      </w:r>
    </w:p>
    <w:p>
      <w:pPr>
        <w:spacing w:after="0" w:line="112" w:lineRule="exact"/>
        <w:rPr>
          <w:sz w:val="20"/>
          <w:szCs w:val="20"/>
          <w:color w:val="auto"/>
        </w:rPr>
      </w:pPr>
    </w:p>
    <w:p>
      <w:pPr>
        <w:ind w:left="120" w:right="60"/>
        <w:spacing w:after="0" w:line="264" w:lineRule="auto"/>
        <w:rPr>
          <w:sz w:val="20"/>
          <w:szCs w:val="20"/>
          <w:color w:val="auto"/>
        </w:rPr>
      </w:pPr>
      <w:r>
        <w:rPr>
          <w:rFonts w:ascii="Arial" w:cs="Arial" w:eastAsia="Arial" w:hAnsi="Arial"/>
          <w:sz w:val="16"/>
          <w:szCs w:val="16"/>
          <w:color w:val="auto"/>
        </w:rPr>
        <w:t>We are asking stockholders to approve an advisory resolution on the Company’s named executive officer compensation as reported in this Proxy Statement. As described below in “Compensation Discussion and Analysis” beginning on page 32, the Compensation Policy Committee of the Board (the “CPC”) has structured our executive compensation program to achieve the following key objectives:</w:t>
      </w:r>
    </w:p>
    <w:p>
      <w:pPr>
        <w:ind w:left="340" w:hanging="224"/>
        <w:spacing w:after="0"/>
        <w:tabs>
          <w:tab w:leader="none" w:pos="340" w:val="left"/>
        </w:tabs>
        <w:numPr>
          <w:ilvl w:val="0"/>
          <w:numId w:val="29"/>
        </w:numPr>
        <w:rPr>
          <w:rFonts w:ascii="Arial" w:cs="Arial" w:eastAsia="Arial" w:hAnsi="Arial"/>
          <w:sz w:val="16"/>
          <w:szCs w:val="16"/>
          <w:color w:val="003A70"/>
        </w:rPr>
      </w:pPr>
      <w:r>
        <w:rPr>
          <w:rFonts w:ascii="Arial" w:cs="Arial" w:eastAsia="Arial" w:hAnsi="Arial"/>
          <w:sz w:val="16"/>
          <w:szCs w:val="16"/>
          <w:color w:val="auto"/>
        </w:rPr>
        <w:t xml:space="preserve">Executive officers should be paid in a manner that is primarily focused on </w:t>
      </w:r>
      <w:r>
        <w:rPr>
          <w:rFonts w:ascii="Arial" w:cs="Arial" w:eastAsia="Arial" w:hAnsi="Arial"/>
          <w:sz w:val="16"/>
          <w:szCs w:val="16"/>
          <w:b w:val="1"/>
          <w:bCs w:val="1"/>
          <w:color w:val="003A70"/>
        </w:rPr>
        <w:t>driving stockholder value</w:t>
      </w:r>
      <w:r>
        <w:rPr>
          <w:rFonts w:ascii="Arial" w:cs="Arial" w:eastAsia="Arial" w:hAnsi="Arial"/>
          <w:sz w:val="16"/>
          <w:szCs w:val="16"/>
          <w:color w:val="auto"/>
        </w:rPr>
        <w:t>;</w:t>
      </w:r>
    </w:p>
    <w:p>
      <w:pPr>
        <w:spacing w:after="0" w:line="45" w:lineRule="exact"/>
        <w:rPr>
          <w:rFonts w:ascii="Arial" w:cs="Arial" w:eastAsia="Arial" w:hAnsi="Arial"/>
          <w:sz w:val="16"/>
          <w:szCs w:val="16"/>
          <w:color w:val="003A70"/>
        </w:rPr>
      </w:pPr>
    </w:p>
    <w:p>
      <w:pPr>
        <w:ind w:left="340" w:right="380" w:hanging="224"/>
        <w:spacing w:after="0" w:line="272" w:lineRule="auto"/>
        <w:tabs>
          <w:tab w:leader="none" w:pos="340" w:val="left"/>
        </w:tabs>
        <w:numPr>
          <w:ilvl w:val="0"/>
          <w:numId w:val="29"/>
        </w:numPr>
        <w:rPr>
          <w:rFonts w:ascii="Arial" w:cs="Arial" w:eastAsia="Arial" w:hAnsi="Arial"/>
          <w:sz w:val="16"/>
          <w:szCs w:val="16"/>
          <w:color w:val="003A70"/>
        </w:rPr>
      </w:pPr>
      <w:r>
        <w:rPr>
          <w:rFonts w:ascii="Arial" w:cs="Arial" w:eastAsia="Arial" w:hAnsi="Arial"/>
          <w:sz w:val="16"/>
          <w:szCs w:val="16"/>
          <w:color w:val="auto"/>
        </w:rPr>
        <w:t xml:space="preserve">Compensation should be designed to </w:t>
      </w:r>
      <w:r>
        <w:rPr>
          <w:rFonts w:ascii="Arial" w:cs="Arial" w:eastAsia="Arial" w:hAnsi="Arial"/>
          <w:sz w:val="16"/>
          <w:szCs w:val="16"/>
          <w:b w:val="1"/>
          <w:bCs w:val="1"/>
          <w:color w:val="003A70"/>
        </w:rPr>
        <w:t>motivate executive officers</w:t>
      </w:r>
      <w:r>
        <w:rPr>
          <w:rFonts w:ascii="Arial" w:cs="Arial" w:eastAsia="Arial" w:hAnsi="Arial"/>
          <w:sz w:val="16"/>
          <w:szCs w:val="16"/>
          <w:color w:val="auto"/>
        </w:rPr>
        <w:t xml:space="preserve"> to perform their duties in ways that would help achieve shorter-term as well as longer-term objectives; and</w:t>
      </w:r>
    </w:p>
    <w:p>
      <w:pPr>
        <w:spacing w:after="0" w:line="1" w:lineRule="exact"/>
        <w:rPr>
          <w:rFonts w:ascii="Arial" w:cs="Arial" w:eastAsia="Arial" w:hAnsi="Arial"/>
          <w:sz w:val="16"/>
          <w:szCs w:val="16"/>
          <w:color w:val="003A70"/>
        </w:rPr>
      </w:pPr>
    </w:p>
    <w:p>
      <w:pPr>
        <w:ind w:left="340" w:right="260" w:hanging="224"/>
        <w:spacing w:after="0" w:line="286" w:lineRule="auto"/>
        <w:tabs>
          <w:tab w:leader="none" w:pos="340" w:val="left"/>
        </w:tabs>
        <w:numPr>
          <w:ilvl w:val="0"/>
          <w:numId w:val="29"/>
        </w:numPr>
        <w:rPr>
          <w:rFonts w:ascii="Arial" w:cs="Arial" w:eastAsia="Arial" w:hAnsi="Arial"/>
          <w:sz w:val="16"/>
          <w:szCs w:val="16"/>
          <w:color w:val="003A70"/>
        </w:rPr>
      </w:pPr>
      <w:r>
        <w:rPr>
          <w:rFonts w:ascii="Arial" w:cs="Arial" w:eastAsia="Arial" w:hAnsi="Arial"/>
          <w:sz w:val="16"/>
          <w:szCs w:val="16"/>
          <w:color w:val="auto"/>
        </w:rPr>
        <w:t xml:space="preserve">The compensation program must be competitive in order to </w:t>
      </w:r>
      <w:r>
        <w:rPr>
          <w:rFonts w:ascii="Arial" w:cs="Arial" w:eastAsia="Arial" w:hAnsi="Arial"/>
          <w:sz w:val="16"/>
          <w:szCs w:val="16"/>
          <w:b w:val="1"/>
          <w:bCs w:val="1"/>
          <w:color w:val="003A70"/>
        </w:rPr>
        <w:t>attract key talent</w:t>
      </w:r>
      <w:r>
        <w:rPr>
          <w:rFonts w:ascii="Arial" w:cs="Arial" w:eastAsia="Arial" w:hAnsi="Arial"/>
          <w:sz w:val="16"/>
          <w:szCs w:val="16"/>
          <w:color w:val="auto"/>
        </w:rPr>
        <w:t xml:space="preserve"> from within and outside of our industry and </w:t>
      </w:r>
      <w:r>
        <w:rPr>
          <w:rFonts w:ascii="Arial" w:cs="Arial" w:eastAsia="Arial" w:hAnsi="Arial"/>
          <w:sz w:val="16"/>
          <w:szCs w:val="16"/>
          <w:b w:val="1"/>
          <w:bCs w:val="1"/>
          <w:color w:val="003A70"/>
        </w:rPr>
        <w:t>retain key talent</w:t>
      </w:r>
      <w:r>
        <w:rPr>
          <w:rFonts w:ascii="Arial" w:cs="Arial" w:eastAsia="Arial" w:hAnsi="Arial"/>
          <w:sz w:val="16"/>
          <w:szCs w:val="16"/>
          <w:color w:val="auto"/>
        </w:rPr>
        <w:t xml:space="preserve"> at costs consistent with market practice.</w:t>
      </w:r>
    </w:p>
    <w:p>
      <w:pPr>
        <w:spacing w:after="0" w:line="48"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auto"/>
        </w:rPr>
        <w:t>We urge stockholders to read the “Compensation Discussion and Analysis” section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about the compensation of our NEOs. The CPC and the Board believe that the policies and procedures articulated in the “Compensation Discussion and Analysis” section below are effective in achieving our goals and that the compensation of our NEOs reported in this Proxy Statement reflects and supports these compensation policies and procedures.</w:t>
      </w:r>
    </w:p>
    <w:p>
      <w:pPr>
        <w:spacing w:after="0" w:line="74"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In accordance with Section 14A of the Exchange Act, and as a matter of good corporate governance, we are asking stockholders to approve the following advisory resolution at the Annual Meeting:</w:t>
      </w:r>
    </w:p>
    <w:p>
      <w:pPr>
        <w:spacing w:after="0" w:line="48" w:lineRule="exact"/>
        <w:rPr>
          <w:sz w:val="20"/>
          <w:szCs w:val="20"/>
          <w:color w:val="auto"/>
        </w:rPr>
      </w:pPr>
    </w:p>
    <w:p>
      <w:pPr>
        <w:ind w:left="560" w:right="140"/>
        <w:spacing w:after="0" w:line="266" w:lineRule="auto"/>
        <w:rPr>
          <w:sz w:val="20"/>
          <w:szCs w:val="20"/>
          <w:color w:val="auto"/>
        </w:rPr>
      </w:pPr>
      <w:r>
        <w:rPr>
          <w:rFonts w:ascii="Arial" w:cs="Arial" w:eastAsia="Arial" w:hAnsi="Arial"/>
          <w:sz w:val="16"/>
          <w:szCs w:val="16"/>
          <w:color w:val="auto"/>
        </w:rPr>
        <w:t>RESOLVED, that the stockholders of Marriott Vacations Worldwide Corporation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2026 Annual Meeting of Stockholders.</w:t>
      </w:r>
    </w:p>
    <w:p>
      <w:pPr>
        <w:spacing w:after="0" w:line="63"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This advisory resolution, commonly referred to as a “say-on-pay” resolution, is not binding on the Board. Although non-binding, the Board and the CPC will review and consider the voting results when making future decisions regarding our executive compensation program. The Board’s current policy is to hold an advisory vote on executive compensation on an annual basis, and therefore, our next “say-on-pay” resolution will occur at the Company’s 2027 Annual Meeting of Stockholders.</w:t>
      </w:r>
    </w:p>
    <w:p>
      <w:pPr>
        <w:spacing w:after="0" w:line="352" w:lineRule="exact"/>
        <w:rPr>
          <w:sz w:val="20"/>
          <w:szCs w:val="20"/>
          <w:color w:val="auto"/>
        </w:rPr>
      </w:pPr>
    </w:p>
    <w:p>
      <w:pPr>
        <w:ind w:left="3020" w:right="2280" w:hanging="656"/>
        <w:spacing w:after="0" w:line="187" w:lineRule="auto"/>
        <w:tabs>
          <w:tab w:leader="none" w:pos="3020" w:val="left"/>
        </w:tabs>
        <w:numPr>
          <w:ilvl w:val="0"/>
          <w:numId w:val="30"/>
        </w:numPr>
        <w:rPr>
          <w:rFonts w:ascii="MS PGothic" w:cs="MS PGothic" w:eastAsia="MS PGothic" w:hAnsi="MS PGothic"/>
          <w:sz w:val="43"/>
          <w:szCs w:val="43"/>
          <w:color w:val="003A70"/>
          <w:shd w:val="clear" w:color="auto" w:fill="D8E1E9"/>
        </w:rPr>
      </w:pPr>
      <w:r>
        <w:rPr>
          <w:rFonts w:ascii="Arial" w:cs="Arial" w:eastAsia="Arial" w:hAnsi="Arial"/>
          <w:sz w:val="16"/>
          <w:szCs w:val="16"/>
          <w:b w:val="1"/>
          <w:bCs w:val="1"/>
          <w:color w:val="auto"/>
          <w:shd w:val="clear" w:color="auto" w:fill="D8E1E9"/>
        </w:rPr>
        <w:t xml:space="preserve">Our Board of Directors recommends that you vote </w:t>
      </w:r>
      <w:r>
        <w:rPr>
          <w:rFonts w:ascii="Arial" w:cs="Arial" w:eastAsia="Arial" w:hAnsi="Arial"/>
          <w:sz w:val="21"/>
          <w:szCs w:val="21"/>
          <w:b w:val="1"/>
          <w:bCs w:val="1"/>
          <w:color w:val="003A70"/>
          <w:shd w:val="clear" w:color="auto" w:fill="D8E1E9"/>
        </w:rPr>
        <w:t>FOR</w:t>
      </w:r>
      <w:r>
        <w:rPr>
          <w:rFonts w:ascii="Arial" w:cs="Arial" w:eastAsia="Arial" w:hAnsi="Arial"/>
          <w:sz w:val="16"/>
          <w:szCs w:val="16"/>
          <w:b w:val="1"/>
          <w:bCs w:val="1"/>
          <w:color w:val="auto"/>
          <w:shd w:val="clear" w:color="auto" w:fill="D8E1E9"/>
        </w:rPr>
        <w:t xml:space="preserve"> the approval of the </w:t>
      </w:r>
      <w:r>
        <w:rPr>
          <w:rFonts w:ascii="Arial" w:cs="Arial" w:eastAsia="Arial" w:hAnsi="Arial"/>
          <w:sz w:val="16"/>
          <w:szCs w:val="16"/>
          <w:b w:val="1"/>
          <w:bCs w:val="1"/>
          <w:color w:val="auto"/>
        </w:rPr>
        <w:t>advisory resolution to approve executive compensation.</w:t>
      </w:r>
    </w:p>
    <w:p>
      <w:pPr>
        <w:spacing w:after="0" w:line="252" w:lineRule="exact"/>
        <w:rPr>
          <w:sz w:val="20"/>
          <w:szCs w:val="20"/>
          <w:color w:val="auto"/>
        </w:rPr>
      </w:pPr>
    </w:p>
    <w:p>
      <w:pPr>
        <w:ind w:left="120"/>
        <w:spacing w:after="0"/>
        <w:tabs>
          <w:tab w:leader="none" w:pos="5180" w:val="left"/>
          <w:tab w:leader="none" w:pos="7820" w:val="left"/>
        </w:tabs>
        <w:rPr>
          <w:sz w:val="20"/>
          <w:szCs w:val="20"/>
          <w:color w:val="auto"/>
        </w:rPr>
      </w:pPr>
      <w:r>
        <w:rPr>
          <w:rFonts w:ascii="Arial" w:cs="Arial" w:eastAsia="Arial" w:hAnsi="Arial"/>
          <w:sz w:val="11"/>
          <w:szCs w:val="11"/>
          <w:b w:val="1"/>
          <w:bCs w:val="1"/>
          <w:color w:val="003A70"/>
        </w:rPr>
        <w:t>8</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120" w:right="280"/>
        <w:spacing w:after="0" w:line="272" w:lineRule="auto"/>
        <w:rPr>
          <w:sz w:val="20"/>
          <w:szCs w:val="20"/>
          <w:color w:val="auto"/>
        </w:rPr>
      </w:pPr>
      <w:r>
        <w:rPr>
          <w:rFonts w:ascii="Arial" w:cs="Arial" w:eastAsia="Arial" w:hAnsi="Arial"/>
          <w:sz w:val="22"/>
          <w:szCs w:val="22"/>
          <w:b w:val="1"/>
          <w:bCs w:val="1"/>
          <w:color w:val="auto"/>
        </w:rPr>
        <w:t>ITEM 4 – APPROVAL OF THE SECOND AMENDED AND RESTATED MARRIOTT VACATIONS WORLDWIDE CORPORATION 2020 EQUITY INCENTIVE PLAN</w:t>
      </w:r>
    </w:p>
    <w:p>
      <w:pPr>
        <w:spacing w:after="0" w:line="35"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We are asking stockholders to approve the second amended and restated Marriott Vacations Worldwide Corporation 2020 Equity Incentive Plan (the “Restated Plan”), which increases the aggregate number of shares of Common Stock that may be issued under the Restated Plan by 2,500,000 shares, extends the term of the Restated Plan to May 15, 2036, which is the tenth anniversary of the date of this Annual Meeting, modifies the treatment of awards for purposes of the “golden parachute” tax provisions of Sections 280G and 4999 of the Internal Revenue Code, and makes certain other administrative and clarifying changes. In addition, the following awards have been granted, with the contingency that if there are not sufficient shares available for issuance under the equity plan on the applicable settlement date to settle such awards in Common Shares, the Company will deliver to the employee, in cash, less applicable tax withholding, the equivalent economic value of the Common Share shortfall of the applicable award based on the Fair Market Value (as defined in the plan) of the Common Shares on the applicable settlement date or, if the markets are closed on the applicable settlement date, then on the last trading day prior to the applicable settlement date: performance based stock units (“PSUs”) that relate to 600,000 shares of Common Stock, granted to the Company’s current CEO and President and Chief Operating Officer. As a result, if the Company’s stockholders do not approve the Restated Plan at the Annual Meeting, the Company may not have sufficient shares available to satisfy such awards upon vesting and may need to utilize cash reserves.</w:t>
      </w:r>
    </w:p>
    <w:p>
      <w:pPr>
        <w:spacing w:after="0" w:line="76" w:lineRule="exact"/>
        <w:rPr>
          <w:sz w:val="20"/>
          <w:szCs w:val="20"/>
          <w:color w:val="auto"/>
        </w:rPr>
      </w:pPr>
    </w:p>
    <w:p>
      <w:pPr>
        <w:ind w:left="120" w:right="220"/>
        <w:spacing w:after="0" w:line="250" w:lineRule="auto"/>
        <w:rPr>
          <w:sz w:val="20"/>
          <w:szCs w:val="20"/>
          <w:color w:val="auto"/>
        </w:rPr>
      </w:pPr>
      <w:r>
        <w:rPr>
          <w:rFonts w:ascii="Arial" w:cs="Arial" w:eastAsia="Arial" w:hAnsi="Arial"/>
          <w:sz w:val="16"/>
          <w:szCs w:val="16"/>
          <w:color w:val="auto"/>
        </w:rPr>
        <w:t>As described in “Executive and Director Compensation” herein, performance-based pay elements, including equity-based awards, are important components of our overall compensation program and are crucial in allowing the Company to effectively compete for and appropriately motivate and reward key talent. We believe that awards under the Restated Plan will support the creation of long-term value and returns for our stockholders. We further believe that the Restated Plan strikes a proper balance between rewarding performance and limiting stockholder dilution. The purpose of the Restated Plan is to promote the best interests of our Company and our stockholders by providing employees and non-employee members of the Board with an opportunity to acquire shares of our Common Stock or receive monetary payments valued in relation to shares of our Common Stock. It is intended that the Restated Plan will promote continuity of management and increased incentive and personal interest in the welfare of our Company by those employees who are primarily responsible for shaping and carrying out our long-range plans and securing our continued growth and financial success. In addition, by encouraging share ownership by non-employee directors, we seek to attract and retain on the Board persons of exceptional competence and to provide a further incentive to serve as a director.</w:t>
      </w:r>
    </w:p>
    <w:p>
      <w:pPr>
        <w:spacing w:after="0" w:line="81"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If approved by our stockholders, the Restated Plan will become effective as of the date of the Annual Meeting. Our employees and non-employee directors have an interest in the approval of the Restated Plan because they will be eligible for awards under the Restated Plan. If our stockholders do not approve the Restated Plan, then the Restated Plan will become effective but without the increase to the number of shares of Common Stock that may be issued under the plan and without the extension of its term, which are the sole items that require stockholder approval.</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Background of the Restated Plan; Information About Outstanding Awards</w:t>
      </w:r>
    </w:p>
    <w:p>
      <w:pPr>
        <w:spacing w:after="0" w:line="104"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Prior to our stockholders’ approval of the Marriott Vacations Worldwide Corporation 2020 Equity Incentive Plan at our 2020 Annual Stockholders Meeting, we granted incentive compensation awards under the Marriott Vacations Worldwide Corporation Stock and Cash Incentive Plan (the “Prior MVW Plan”) and the Amended and Restated Interval Leisure Group, Inc. 2013 Stock and Incentive Compensation Plan (the “ILG Plan,” and together with the Prior MVW Plan, the “Prior Plans”). When our stockholders approved the Marriott Vacations Worldwide Corporation 2020 Equity Incentive Plan, it superseded the Prior Plans and no new awards have been granted under the Prior Plans after such time. At our 2024 Annual Stockholders Meeting, our stockholders approved an amendment and restatement of the Marriott Vacations Worldwide Corporation 2020 Equity Incentive Plan to, among other things, increase the share reserve (as so amended and restated, the “2020 Plan”).</w:t>
      </w:r>
    </w:p>
    <w:p>
      <w:pPr>
        <w:spacing w:after="0" w:line="73" w:lineRule="exact"/>
        <w:rPr>
          <w:sz w:val="20"/>
          <w:szCs w:val="20"/>
          <w:color w:val="auto"/>
        </w:rPr>
      </w:pPr>
    </w:p>
    <w:p>
      <w:pPr>
        <w:ind w:left="120" w:right="260"/>
        <w:spacing w:after="0" w:line="259" w:lineRule="auto"/>
        <w:rPr>
          <w:sz w:val="20"/>
          <w:szCs w:val="20"/>
          <w:color w:val="auto"/>
        </w:rPr>
      </w:pPr>
      <w:r>
        <w:rPr>
          <w:rFonts w:ascii="Arial" w:cs="Arial" w:eastAsia="Arial" w:hAnsi="Arial"/>
          <w:sz w:val="16"/>
          <w:szCs w:val="16"/>
          <w:color w:val="auto"/>
        </w:rPr>
        <w:t>As of March 16, 2026, there were 1,288,931 shares in the aggregate subject to outstanding SARs under the 2020 Plan and the Prior Plans, having a weighted average exercise price per share of $95.47 and a weighted average remaining term of 7 years. Also, as of March 16, 2026, there were 1,700,655 shares in the aggregate subject to unvested restricted stock units (“ RSUs”) and PSUs under the 2020 Plan and the Prior Plans. The market value of one share of Common Stock as of the close of market on March 16, 2026 was $65.89.</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Authorized Shares, Dilution and Run Rate</w:t>
      </w:r>
    </w:p>
    <w:p>
      <w:pPr>
        <w:spacing w:after="0" w:line="10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As of March 16, 2026, we had authorized and outstanding 34,306,797 shares of Common Stock. Before giving effect to the Restated Plan, as of March 16, 2026, there were 2,989,586 shares of Common Stock subject to outstanding awards under the 2020 Plan and the Prior Plans, and 735,816 shares of our Common Stock remained available for grants under the 2020 Plan. The Board believes that this share reserve amount is insufficient to meet the future incentive needs of the Company and that the share reserve amount under the 2020 Plan should increase.</w:t>
      </w:r>
    </w:p>
    <w:p>
      <w:pPr>
        <w:spacing w:after="0" w:line="70" w:lineRule="exact"/>
        <w:rPr>
          <w:sz w:val="20"/>
          <w:szCs w:val="20"/>
          <w:color w:val="auto"/>
        </w:rPr>
      </w:pPr>
    </w:p>
    <w:p>
      <w:pPr>
        <w:ind w:left="120" w:right="340"/>
        <w:spacing w:after="0" w:line="259" w:lineRule="auto"/>
        <w:rPr>
          <w:sz w:val="20"/>
          <w:szCs w:val="20"/>
          <w:color w:val="auto"/>
        </w:rPr>
      </w:pPr>
      <w:r>
        <w:rPr>
          <w:rFonts w:ascii="Arial" w:cs="Arial" w:eastAsia="Arial" w:hAnsi="Arial"/>
          <w:sz w:val="16"/>
          <w:szCs w:val="16"/>
          <w:color w:val="auto"/>
        </w:rPr>
        <w:t>In order to determine the number of additional shares of Common Stock to be authorized under the Restated Plan, the Company, the CPC and its independent compensation consultant considered our need for shares, based on the current and expected future equity grant mix, and the potential dilution that awarding the requested shares may cause to existing stockholders. The Company and compensation consultant examined, and the CPC considered, a number of factors, including our historic run rate, existing overhang and dilution analysis.</w:t>
      </w:r>
    </w:p>
    <w:p>
      <w:pPr>
        <w:spacing w:after="0" w:line="70"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The CPC recommended to the Board that 2,500,000 additional shares of Common Stock be authorized under the Restated Plan. The requested additional shares plus the shares already reserved under the 2020 Plan, plus the shares subject to outstanding awards as of March 16, 2026, represent a level of dilution of 16.0%, a level we believe to be reasonable.</w:t>
      </w:r>
    </w:p>
    <w:p>
      <w:pPr>
        <w:spacing w:after="0" w:line="63"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The CPC and the Board considered the run rate with respect to our equity awards relative to market levels. The run rate represents the total number of RSUs and SARs granted, and PSUs earned, in a fiscal year divided by the weighted-average total shares of Common Stock outstanding for the year.</w:t>
      </w:r>
    </w:p>
    <w:p>
      <w:pPr>
        <w:spacing w:after="0" w:line="89" w:lineRule="exact"/>
        <w:rPr>
          <w:sz w:val="20"/>
          <w:szCs w:val="20"/>
          <w:color w:val="auto"/>
        </w:rPr>
      </w:pPr>
    </w:p>
    <w:p>
      <w:pPr>
        <w:ind w:left="120"/>
        <w:spacing w:after="0"/>
        <w:tabs>
          <w:tab w:leader="none" w:pos="5180" w:val="left"/>
          <w:tab w:leader="none" w:pos="1106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b w:val="1"/>
          <w:bCs w:val="1"/>
          <w:color w:val="003A7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calculation of our run rate for the last three fiscal years is below:</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003A70"/>
              </w:rPr>
              <w:t>Performance</w:t>
            </w: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40" w:type="dxa"/>
            <w:vAlign w:val="bottom"/>
          </w:tcPr>
          <w:p>
            <w:pPr>
              <w:jc w:val="center"/>
              <w:ind w:right="4"/>
              <w:spacing w:after="0"/>
              <w:rPr>
                <w:sz w:val="20"/>
                <w:szCs w:val="20"/>
                <w:color w:val="auto"/>
              </w:rPr>
            </w:pPr>
            <w:r>
              <w:rPr>
                <w:rFonts w:ascii="Arial" w:cs="Arial" w:eastAsia="Arial" w:hAnsi="Arial"/>
                <w:sz w:val="14"/>
                <w:szCs w:val="14"/>
                <w:color w:val="003A70"/>
              </w:rPr>
              <w:t>Weighted Average</w:t>
            </w:r>
          </w:p>
        </w:tc>
        <w:tc>
          <w:tcPr>
            <w:tcW w:w="980" w:type="dxa"/>
            <w:vAlign w:val="bottom"/>
          </w:tcPr>
          <w:p>
            <w:pPr>
              <w:spacing w:after="0"/>
              <w:rPr>
                <w:sz w:val="14"/>
                <w:szCs w:val="14"/>
                <w:color w:val="auto"/>
              </w:rPr>
            </w:pPr>
          </w:p>
        </w:tc>
      </w:tr>
      <w:tr>
        <w:trPr>
          <w:trHeight w:val="162"/>
        </w:trPr>
        <w:tc>
          <w:tcPr>
            <w:tcW w:w="2900" w:type="dxa"/>
            <w:vAlign w:val="bottom"/>
          </w:tcPr>
          <w:p>
            <w:pPr>
              <w:spacing w:after="0"/>
              <w:rPr>
                <w:sz w:val="14"/>
                <w:szCs w:val="14"/>
                <w:color w:val="auto"/>
              </w:rPr>
            </w:pPr>
          </w:p>
        </w:tc>
        <w:tc>
          <w:tcPr>
            <w:tcW w:w="1920" w:type="dxa"/>
            <w:vAlign w:val="bottom"/>
          </w:tcPr>
          <w:p>
            <w:pPr>
              <w:jc w:val="right"/>
              <w:ind w:right="63"/>
              <w:spacing w:after="0"/>
              <w:rPr>
                <w:sz w:val="20"/>
                <w:szCs w:val="20"/>
                <w:color w:val="auto"/>
              </w:rPr>
            </w:pPr>
            <w:r>
              <w:rPr>
                <w:rFonts w:ascii="Arial" w:cs="Arial" w:eastAsia="Arial" w:hAnsi="Arial"/>
                <w:sz w:val="14"/>
                <w:szCs w:val="14"/>
                <w:color w:val="003A70"/>
              </w:rPr>
              <w:t>Restricted Stock</w:t>
            </w:r>
          </w:p>
        </w:tc>
        <w:tc>
          <w:tcPr>
            <w:tcW w:w="1080" w:type="dxa"/>
            <w:vAlign w:val="bottom"/>
          </w:tcPr>
          <w:p>
            <w:pPr>
              <w:jc w:val="center"/>
              <w:spacing w:after="0"/>
              <w:rPr>
                <w:sz w:val="20"/>
                <w:szCs w:val="20"/>
                <w:color w:val="auto"/>
              </w:rPr>
            </w:pPr>
            <w:r>
              <w:rPr>
                <w:rFonts w:ascii="Arial" w:cs="Arial" w:eastAsia="Arial" w:hAnsi="Arial"/>
                <w:sz w:val="14"/>
                <w:szCs w:val="14"/>
                <w:color w:val="003A70"/>
              </w:rPr>
              <w:t>Share Units</w:t>
            </w:r>
          </w:p>
        </w:tc>
        <w:tc>
          <w:tcPr>
            <w:tcW w:w="1520" w:type="dxa"/>
            <w:vAlign w:val="bottom"/>
          </w:tcPr>
          <w:p>
            <w:pPr>
              <w:jc w:val="right"/>
              <w:ind w:right="123"/>
              <w:spacing w:after="0"/>
              <w:rPr>
                <w:sz w:val="20"/>
                <w:szCs w:val="20"/>
                <w:color w:val="auto"/>
              </w:rPr>
            </w:pPr>
            <w:r>
              <w:rPr>
                <w:rFonts w:ascii="Arial" w:cs="Arial" w:eastAsia="Arial" w:hAnsi="Arial"/>
                <w:sz w:val="14"/>
                <w:szCs w:val="14"/>
                <w:color w:val="003A70"/>
              </w:rPr>
              <w:t>Stock Appreciation</w:t>
            </w:r>
          </w:p>
        </w:tc>
        <w:tc>
          <w:tcPr>
            <w:tcW w:w="980" w:type="dxa"/>
            <w:vAlign w:val="bottom"/>
          </w:tcPr>
          <w:p>
            <w:pPr>
              <w:spacing w:after="0"/>
              <w:rPr>
                <w:sz w:val="14"/>
                <w:szCs w:val="14"/>
                <w:color w:val="auto"/>
              </w:rPr>
            </w:pPr>
          </w:p>
        </w:tc>
        <w:tc>
          <w:tcPr>
            <w:tcW w:w="1640" w:type="dxa"/>
            <w:vAlign w:val="bottom"/>
          </w:tcPr>
          <w:p>
            <w:pPr>
              <w:jc w:val="center"/>
              <w:ind w:right="4"/>
              <w:spacing w:after="0"/>
              <w:rPr>
                <w:sz w:val="20"/>
                <w:szCs w:val="20"/>
                <w:color w:val="auto"/>
              </w:rPr>
            </w:pPr>
            <w:r>
              <w:rPr>
                <w:rFonts w:ascii="Arial" w:cs="Arial" w:eastAsia="Arial" w:hAnsi="Arial"/>
                <w:sz w:val="14"/>
                <w:szCs w:val="14"/>
                <w:color w:val="003A70"/>
              </w:rPr>
              <w:t>Ordinary Shares</w:t>
            </w:r>
          </w:p>
        </w:tc>
        <w:tc>
          <w:tcPr>
            <w:tcW w:w="980" w:type="dxa"/>
            <w:vAlign w:val="bottom"/>
          </w:tcPr>
          <w:p>
            <w:pPr>
              <w:spacing w:after="0"/>
              <w:rPr>
                <w:sz w:val="14"/>
                <w:szCs w:val="14"/>
                <w:color w:val="auto"/>
              </w:rPr>
            </w:pPr>
          </w:p>
        </w:tc>
      </w:tr>
      <w:tr>
        <w:trPr>
          <w:trHeight w:val="178"/>
        </w:trPr>
        <w:tc>
          <w:tcPr>
            <w:tcW w:w="290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Fiscal Year</w:t>
            </w:r>
          </w:p>
        </w:tc>
        <w:tc>
          <w:tcPr>
            <w:tcW w:w="1920" w:type="dxa"/>
            <w:vAlign w:val="bottom"/>
            <w:tcBorders>
              <w:bottom w:val="single" w:sz="8" w:color="003A70"/>
            </w:tcBorders>
          </w:tcPr>
          <w:p>
            <w:pPr>
              <w:jc w:val="right"/>
              <w:ind w:right="143"/>
              <w:spacing w:after="0"/>
              <w:rPr>
                <w:sz w:val="20"/>
                <w:szCs w:val="20"/>
                <w:color w:val="auto"/>
              </w:rPr>
            </w:pPr>
            <w:r>
              <w:rPr>
                <w:rFonts w:ascii="Arial" w:cs="Arial" w:eastAsia="Arial" w:hAnsi="Arial"/>
                <w:sz w:val="14"/>
                <w:szCs w:val="14"/>
                <w:color w:val="003A70"/>
              </w:rPr>
              <w:t>Units Granted</w:t>
            </w:r>
          </w:p>
        </w:tc>
        <w:tc>
          <w:tcPr>
            <w:tcW w:w="10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Earned</w:t>
            </w:r>
          </w:p>
        </w:tc>
        <w:tc>
          <w:tcPr>
            <w:tcW w:w="1520" w:type="dxa"/>
            <w:vAlign w:val="bottom"/>
            <w:tcBorders>
              <w:bottom w:val="single" w:sz="8" w:color="003A70"/>
            </w:tcBorders>
          </w:tcPr>
          <w:p>
            <w:pPr>
              <w:jc w:val="right"/>
              <w:ind w:right="223"/>
              <w:spacing w:after="0"/>
              <w:rPr>
                <w:sz w:val="20"/>
                <w:szCs w:val="20"/>
                <w:color w:val="auto"/>
              </w:rPr>
            </w:pPr>
            <w:r>
              <w:rPr>
                <w:rFonts w:ascii="Arial" w:cs="Arial" w:eastAsia="Arial" w:hAnsi="Arial"/>
                <w:sz w:val="14"/>
                <w:szCs w:val="14"/>
                <w:color w:val="003A70"/>
              </w:rPr>
              <w:t>Rights Granted</w:t>
            </w:r>
          </w:p>
        </w:tc>
        <w:tc>
          <w:tcPr>
            <w:tcW w:w="980" w:type="dxa"/>
            <w:vAlign w:val="bottom"/>
            <w:tcBorders>
              <w:bottom w:val="single" w:sz="8" w:color="003A70"/>
            </w:tcBorders>
          </w:tcPr>
          <w:p>
            <w:pPr>
              <w:jc w:val="right"/>
              <w:ind w:right="301"/>
              <w:spacing w:after="0"/>
              <w:rPr>
                <w:sz w:val="20"/>
                <w:szCs w:val="20"/>
                <w:color w:val="auto"/>
              </w:rPr>
            </w:pPr>
            <w:r>
              <w:rPr>
                <w:rFonts w:ascii="Arial" w:cs="Arial" w:eastAsia="Arial" w:hAnsi="Arial"/>
                <w:sz w:val="14"/>
                <w:szCs w:val="14"/>
                <w:color w:val="003A70"/>
              </w:rPr>
              <w:t>Total</w:t>
            </w:r>
          </w:p>
        </w:tc>
        <w:tc>
          <w:tcPr>
            <w:tcW w:w="16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Outstanding</w:t>
            </w:r>
          </w:p>
        </w:tc>
        <w:tc>
          <w:tcPr>
            <w:tcW w:w="980" w:type="dxa"/>
            <w:vAlign w:val="bottom"/>
            <w:tcBorders>
              <w:bottom w:val="single" w:sz="8" w:color="003A70"/>
            </w:tcBorders>
          </w:tcPr>
          <w:p>
            <w:pPr>
              <w:jc w:val="right"/>
              <w:ind w:right="21"/>
              <w:spacing w:after="0"/>
              <w:rPr>
                <w:sz w:val="20"/>
                <w:szCs w:val="20"/>
                <w:color w:val="auto"/>
              </w:rPr>
            </w:pPr>
            <w:r>
              <w:rPr>
                <w:rFonts w:ascii="Arial" w:cs="Arial" w:eastAsia="Arial" w:hAnsi="Arial"/>
                <w:sz w:val="14"/>
                <w:szCs w:val="14"/>
                <w:color w:val="003A70"/>
              </w:rPr>
              <w:t>Run Rate</w:t>
            </w:r>
          </w:p>
        </w:tc>
      </w:tr>
      <w:tr>
        <w:trPr>
          <w:trHeight w:val="175"/>
        </w:trPr>
        <w:tc>
          <w:tcPr>
            <w:tcW w:w="2900" w:type="dxa"/>
            <w:vAlign w:val="bottom"/>
          </w:tcPr>
          <w:p>
            <w:pPr>
              <w:spacing w:after="0" w:line="175" w:lineRule="exact"/>
              <w:rPr>
                <w:sz w:val="20"/>
                <w:szCs w:val="20"/>
                <w:color w:val="auto"/>
              </w:rPr>
            </w:pPr>
            <w:r>
              <w:rPr>
                <w:rFonts w:ascii="Arial" w:cs="Arial" w:eastAsia="Arial" w:hAnsi="Arial"/>
                <w:sz w:val="16"/>
                <w:szCs w:val="16"/>
                <w:color w:val="auto"/>
              </w:rPr>
              <w:t>2025</w:t>
            </w:r>
          </w:p>
        </w:tc>
        <w:tc>
          <w:tcPr>
            <w:tcW w:w="1920" w:type="dxa"/>
            <w:vAlign w:val="bottom"/>
          </w:tcPr>
          <w:p>
            <w:pPr>
              <w:jc w:val="right"/>
              <w:ind w:right="123"/>
              <w:spacing w:after="0" w:line="175" w:lineRule="exact"/>
              <w:rPr>
                <w:sz w:val="20"/>
                <w:szCs w:val="20"/>
                <w:color w:val="auto"/>
              </w:rPr>
            </w:pPr>
            <w:r>
              <w:rPr>
                <w:rFonts w:ascii="Arial" w:cs="Arial" w:eastAsia="Arial" w:hAnsi="Arial"/>
                <w:sz w:val="16"/>
                <w:szCs w:val="16"/>
                <w:color w:val="auto"/>
              </w:rPr>
              <w:t>581,375</w:t>
            </w:r>
          </w:p>
        </w:tc>
        <w:tc>
          <w:tcPr>
            <w:tcW w:w="1080" w:type="dxa"/>
            <w:vAlign w:val="bottom"/>
          </w:tcPr>
          <w:p>
            <w:pPr>
              <w:jc w:val="right"/>
              <w:ind w:right="104"/>
              <w:spacing w:after="0" w:line="175" w:lineRule="exact"/>
              <w:rPr>
                <w:sz w:val="20"/>
                <w:szCs w:val="20"/>
                <w:color w:val="auto"/>
              </w:rPr>
            </w:pPr>
            <w:r>
              <w:rPr>
                <w:rFonts w:ascii="Arial" w:cs="Arial" w:eastAsia="Arial" w:hAnsi="Arial"/>
                <w:sz w:val="16"/>
                <w:szCs w:val="16"/>
                <w:color w:val="auto"/>
              </w:rPr>
              <w:t>8,923</w:t>
            </w:r>
          </w:p>
        </w:tc>
        <w:tc>
          <w:tcPr>
            <w:tcW w:w="1520" w:type="dxa"/>
            <w:vAlign w:val="bottom"/>
          </w:tcPr>
          <w:p>
            <w:pPr>
              <w:jc w:val="right"/>
              <w:ind w:right="223"/>
              <w:spacing w:after="0" w:line="175" w:lineRule="exact"/>
              <w:rPr>
                <w:sz w:val="20"/>
                <w:szCs w:val="20"/>
                <w:color w:val="auto"/>
              </w:rPr>
            </w:pPr>
            <w:r>
              <w:rPr>
                <w:rFonts w:ascii="Arial" w:cs="Arial" w:eastAsia="Arial" w:hAnsi="Arial"/>
                <w:sz w:val="16"/>
                <w:szCs w:val="16"/>
                <w:color w:val="auto"/>
              </w:rPr>
              <w:t>245,440</w:t>
            </w:r>
          </w:p>
        </w:tc>
        <w:tc>
          <w:tcPr>
            <w:tcW w:w="980" w:type="dxa"/>
            <w:vAlign w:val="bottom"/>
          </w:tcPr>
          <w:p>
            <w:pPr>
              <w:jc w:val="right"/>
              <w:ind w:right="121"/>
              <w:spacing w:after="0" w:line="175" w:lineRule="exact"/>
              <w:rPr>
                <w:sz w:val="20"/>
                <w:szCs w:val="20"/>
                <w:color w:val="auto"/>
              </w:rPr>
            </w:pPr>
            <w:r>
              <w:rPr>
                <w:rFonts w:ascii="Arial" w:cs="Arial" w:eastAsia="Arial" w:hAnsi="Arial"/>
                <w:sz w:val="16"/>
                <w:szCs w:val="16"/>
                <w:color w:val="auto"/>
              </w:rPr>
              <w:t>835,738</w:t>
            </w:r>
          </w:p>
        </w:tc>
        <w:tc>
          <w:tcPr>
            <w:tcW w:w="1640" w:type="dxa"/>
            <w:vAlign w:val="bottom"/>
          </w:tcPr>
          <w:p>
            <w:pPr>
              <w:jc w:val="right"/>
              <w:ind w:right="244"/>
              <w:spacing w:after="0" w:line="175" w:lineRule="exact"/>
              <w:rPr>
                <w:sz w:val="20"/>
                <w:szCs w:val="20"/>
                <w:color w:val="auto"/>
              </w:rPr>
            </w:pPr>
            <w:r>
              <w:rPr>
                <w:rFonts w:ascii="Arial" w:cs="Arial" w:eastAsia="Arial" w:hAnsi="Arial"/>
                <w:sz w:val="16"/>
                <w:szCs w:val="16"/>
                <w:color w:val="auto"/>
              </w:rPr>
              <w:t>34,910,038</w:t>
            </w:r>
          </w:p>
        </w:tc>
        <w:tc>
          <w:tcPr>
            <w:tcW w:w="980" w:type="dxa"/>
            <w:vAlign w:val="bottom"/>
          </w:tcPr>
          <w:p>
            <w:pPr>
              <w:jc w:val="right"/>
              <w:ind w:right="1"/>
              <w:spacing w:after="0" w:line="175" w:lineRule="exact"/>
              <w:rPr>
                <w:sz w:val="20"/>
                <w:szCs w:val="20"/>
                <w:color w:val="auto"/>
              </w:rPr>
            </w:pPr>
            <w:r>
              <w:rPr>
                <w:rFonts w:ascii="Arial" w:cs="Arial" w:eastAsia="Arial" w:hAnsi="Arial"/>
                <w:sz w:val="16"/>
                <w:szCs w:val="16"/>
                <w:color w:val="auto"/>
              </w:rPr>
              <w:t>2.39%</w:t>
            </w:r>
          </w:p>
        </w:tc>
      </w:tr>
      <w:tr>
        <w:trPr>
          <w:trHeight w:val="189"/>
        </w:trPr>
        <w:tc>
          <w:tcPr>
            <w:tcW w:w="2900" w:type="dxa"/>
            <w:vAlign w:val="bottom"/>
          </w:tcPr>
          <w:p>
            <w:pPr>
              <w:spacing w:after="0"/>
              <w:rPr>
                <w:sz w:val="20"/>
                <w:szCs w:val="20"/>
                <w:color w:val="auto"/>
              </w:rPr>
            </w:pPr>
            <w:r>
              <w:rPr>
                <w:rFonts w:ascii="Arial" w:cs="Arial" w:eastAsia="Arial" w:hAnsi="Arial"/>
                <w:sz w:val="16"/>
                <w:szCs w:val="16"/>
                <w:color w:val="auto"/>
              </w:rPr>
              <w:t>2024</w:t>
            </w:r>
          </w:p>
        </w:tc>
        <w:tc>
          <w:tcPr>
            <w:tcW w:w="1920" w:type="dxa"/>
            <w:vAlign w:val="bottom"/>
          </w:tcPr>
          <w:p>
            <w:pPr>
              <w:jc w:val="right"/>
              <w:ind w:right="123"/>
              <w:spacing w:after="0"/>
              <w:rPr>
                <w:sz w:val="20"/>
                <w:szCs w:val="20"/>
                <w:color w:val="auto"/>
              </w:rPr>
            </w:pPr>
            <w:r>
              <w:rPr>
                <w:rFonts w:ascii="Arial" w:cs="Arial" w:eastAsia="Arial" w:hAnsi="Arial"/>
                <w:sz w:val="16"/>
                <w:szCs w:val="16"/>
                <w:color w:val="auto"/>
              </w:rPr>
              <w:t>403,071</w:t>
            </w:r>
          </w:p>
        </w:tc>
        <w:tc>
          <w:tcPr>
            <w:tcW w:w="108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23"/>
              <w:spacing w:after="0"/>
              <w:rPr>
                <w:sz w:val="20"/>
                <w:szCs w:val="20"/>
                <w:color w:val="auto"/>
              </w:rPr>
            </w:pPr>
            <w:r>
              <w:rPr>
                <w:rFonts w:ascii="Arial" w:cs="Arial" w:eastAsia="Arial" w:hAnsi="Arial"/>
                <w:sz w:val="16"/>
                <w:szCs w:val="16"/>
                <w:color w:val="auto"/>
              </w:rPr>
              <w:t>86,759</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489,830</w:t>
            </w:r>
          </w:p>
        </w:tc>
        <w:tc>
          <w:tcPr>
            <w:tcW w:w="1640" w:type="dxa"/>
            <w:vAlign w:val="bottom"/>
          </w:tcPr>
          <w:p>
            <w:pPr>
              <w:jc w:val="right"/>
              <w:ind w:right="244"/>
              <w:spacing w:after="0"/>
              <w:rPr>
                <w:sz w:val="20"/>
                <w:szCs w:val="20"/>
                <w:color w:val="auto"/>
              </w:rPr>
            </w:pPr>
            <w:r>
              <w:rPr>
                <w:rFonts w:ascii="Arial" w:cs="Arial" w:eastAsia="Arial" w:hAnsi="Arial"/>
                <w:sz w:val="16"/>
                <w:szCs w:val="16"/>
                <w:color w:val="auto"/>
              </w:rPr>
              <w:t>35,363,047</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1.39%</w:t>
            </w:r>
          </w:p>
        </w:tc>
      </w:tr>
      <w:tr>
        <w:trPr>
          <w:trHeight w:val="203"/>
        </w:trPr>
        <w:tc>
          <w:tcPr>
            <w:tcW w:w="2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2023</w:t>
            </w:r>
          </w:p>
        </w:tc>
        <w:tc>
          <w:tcPr>
            <w:tcW w:w="19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203,575</w:t>
            </w: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37,436</w:t>
            </w: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241,011</w:t>
            </w:r>
          </w:p>
        </w:tc>
        <w:tc>
          <w:tcPr>
            <w:tcW w:w="164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color w:val="auto"/>
              </w:rPr>
              <w:t>36,547,553</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0.66%</w:t>
            </w:r>
          </w:p>
        </w:tc>
      </w:tr>
      <w:tr>
        <w:trPr>
          <w:trHeight w:val="183"/>
        </w:trPr>
        <w:tc>
          <w:tcPr>
            <w:tcW w:w="290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color w:val="auto"/>
              </w:rPr>
              <w:t>Three-Year Average Run Rate</w:t>
            </w:r>
          </w:p>
        </w:tc>
        <w:tc>
          <w:tcPr>
            <w:tcW w:w="1920" w:type="dxa"/>
            <w:vAlign w:val="bottom"/>
            <w:tcBorders>
              <w:bottom w:val="single" w:sz="8" w:color="003A70"/>
            </w:tcBorders>
          </w:tcPr>
          <w:p>
            <w:pPr>
              <w:spacing w:after="0"/>
              <w:rPr>
                <w:sz w:val="15"/>
                <w:szCs w:val="15"/>
                <w:color w:val="auto"/>
              </w:rPr>
            </w:pPr>
          </w:p>
        </w:tc>
        <w:tc>
          <w:tcPr>
            <w:tcW w:w="1080" w:type="dxa"/>
            <w:vAlign w:val="bottom"/>
            <w:tcBorders>
              <w:bottom w:val="single" w:sz="8" w:color="003A70"/>
            </w:tcBorders>
          </w:tcPr>
          <w:p>
            <w:pPr>
              <w:spacing w:after="0"/>
              <w:rPr>
                <w:sz w:val="15"/>
                <w:szCs w:val="15"/>
                <w:color w:val="auto"/>
              </w:rPr>
            </w:pPr>
          </w:p>
        </w:tc>
        <w:tc>
          <w:tcPr>
            <w:tcW w:w="1520" w:type="dxa"/>
            <w:vAlign w:val="bottom"/>
            <w:tcBorders>
              <w:bottom w:val="single" w:sz="8" w:color="003A70"/>
            </w:tcBorders>
          </w:tcPr>
          <w:p>
            <w:pPr>
              <w:spacing w:after="0"/>
              <w:rPr>
                <w:sz w:val="15"/>
                <w:szCs w:val="15"/>
                <w:color w:val="auto"/>
              </w:rPr>
            </w:pPr>
          </w:p>
        </w:tc>
        <w:tc>
          <w:tcPr>
            <w:tcW w:w="980" w:type="dxa"/>
            <w:vAlign w:val="bottom"/>
            <w:tcBorders>
              <w:bottom w:val="single" w:sz="8" w:color="003A70"/>
            </w:tcBorders>
          </w:tcPr>
          <w:p>
            <w:pPr>
              <w:spacing w:after="0"/>
              <w:rPr>
                <w:sz w:val="15"/>
                <w:szCs w:val="15"/>
                <w:color w:val="auto"/>
              </w:rPr>
            </w:pPr>
          </w:p>
        </w:tc>
        <w:tc>
          <w:tcPr>
            <w:tcW w:w="1640" w:type="dxa"/>
            <w:vAlign w:val="bottom"/>
            <w:tcBorders>
              <w:bottom w:val="single" w:sz="8" w:color="003A70"/>
            </w:tcBorders>
          </w:tcPr>
          <w:p>
            <w:pPr>
              <w:spacing w:after="0"/>
              <w:rPr>
                <w:sz w:val="15"/>
                <w:szCs w:val="15"/>
                <w:color w:val="auto"/>
              </w:rPr>
            </w:pPr>
          </w:p>
        </w:tc>
        <w:tc>
          <w:tcPr>
            <w:tcW w:w="980" w:type="dxa"/>
            <w:vAlign w:val="bottom"/>
            <w:tcBorders>
              <w:bottom w:val="single" w:sz="8" w:color="003A70"/>
            </w:tcBorders>
          </w:tcPr>
          <w:p>
            <w:pPr>
              <w:jc w:val="right"/>
              <w:ind w:right="1"/>
              <w:spacing w:after="0" w:line="183" w:lineRule="exact"/>
              <w:rPr>
                <w:sz w:val="20"/>
                <w:szCs w:val="20"/>
                <w:color w:val="auto"/>
              </w:rPr>
            </w:pPr>
            <w:r>
              <w:rPr>
                <w:rFonts w:ascii="Arial" w:cs="Arial" w:eastAsia="Arial" w:hAnsi="Arial"/>
                <w:sz w:val="16"/>
                <w:szCs w:val="16"/>
                <w:color w:val="auto"/>
              </w:rPr>
              <w:t>1.48%</w:t>
            </w: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CPC and the Board were satisfied that our run rate over the past three years was at an acceptable level.</w:t>
      </w:r>
    </w:p>
    <w:p>
      <w:pPr>
        <w:spacing w:after="0" w:line="113"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Because this proposal to approve the Restated Plan does not contemplate the amount or timing of specific equity awards in the future, it is not possible to calculate with certainty the number of years of awards that will be available and the amount of subsequent dilution that may ultimately result from such awards. The Board is seeking stockholder approval for the extension of the term of the Restated Plan and the additional pool of shares available under the Restated Plan, which it expects is sufficient for approximately 3 years of awards based upon the historic rates of awards by the CPC under the 2020 Plan and the PSUs granted to the Company’s CEO and President and Chief Operating officer. The current rationale and practices of the CPC with respect to equity awards and other incentives is set forth in “Executive and Director Compensation” herein.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Key Terms of the Restated Plan</w:t>
      </w:r>
    </w:p>
    <w:p>
      <w:pPr>
        <w:spacing w:after="0" w:line="117" w:lineRule="exact"/>
        <w:rPr>
          <w:sz w:val="20"/>
          <w:szCs w:val="20"/>
          <w:color w:val="auto"/>
        </w:rPr>
      </w:pPr>
    </w:p>
    <w:p>
      <w:pPr>
        <w:ind w:left="120"/>
        <w:spacing w:after="0"/>
        <w:tabs>
          <w:tab w:leader="none" w:pos="1760" w:val="left"/>
        </w:tabs>
        <w:rPr>
          <w:sz w:val="20"/>
          <w:szCs w:val="20"/>
          <w:color w:val="auto"/>
        </w:rPr>
      </w:pPr>
      <w:r>
        <w:rPr>
          <w:rFonts w:ascii="Arial" w:cs="Arial" w:eastAsia="Arial" w:hAnsi="Arial"/>
          <w:sz w:val="16"/>
          <w:szCs w:val="16"/>
          <w:i w:val="1"/>
          <w:iCs w:val="1"/>
          <w:color w:val="auto"/>
        </w:rPr>
        <w:t>Shares authorized</w:t>
      </w:r>
      <w:r>
        <w:rPr>
          <w:sz w:val="20"/>
          <w:szCs w:val="20"/>
          <w:color w:val="auto"/>
        </w:rPr>
        <w:tab/>
      </w:r>
      <w:r>
        <w:rPr>
          <w:rFonts w:ascii="Arial" w:cs="Arial" w:eastAsia="Arial" w:hAnsi="Arial"/>
          <w:sz w:val="16"/>
          <w:szCs w:val="16"/>
          <w:color w:val="auto"/>
        </w:rPr>
        <w:t>5,015,000 shares (consisting of the original 1,265,000 shares approved in 2020 plus an additional 1,250,000 shares approved in</w:t>
      </w:r>
    </w:p>
    <w:p>
      <w:pPr>
        <w:spacing w:after="0" w:line="21" w:lineRule="exact"/>
        <w:rPr>
          <w:sz w:val="20"/>
          <w:szCs w:val="20"/>
          <w:color w:val="auto"/>
        </w:rPr>
      </w:pPr>
    </w:p>
    <w:p>
      <w:pPr>
        <w:ind w:left="120"/>
        <w:spacing w:after="0"/>
        <w:tabs>
          <w:tab w:leader="none" w:pos="1760" w:val="left"/>
        </w:tabs>
        <w:rPr>
          <w:sz w:val="20"/>
          <w:szCs w:val="20"/>
          <w:color w:val="auto"/>
        </w:rPr>
      </w:pPr>
      <w:r>
        <w:rPr>
          <w:rFonts w:ascii="Arial" w:cs="Arial" w:eastAsia="Arial" w:hAnsi="Arial"/>
          <w:sz w:val="16"/>
          <w:szCs w:val="16"/>
          <w:i w:val="1"/>
          <w:iCs w:val="1"/>
          <w:color w:val="auto"/>
        </w:rPr>
        <w:t>since 2020 Plan</w:t>
      </w:r>
      <w:r>
        <w:rPr>
          <w:sz w:val="20"/>
          <w:szCs w:val="20"/>
          <w:color w:val="auto"/>
        </w:rPr>
        <w:tab/>
      </w:r>
      <w:r>
        <w:rPr>
          <w:rFonts w:ascii="Arial" w:cs="Arial" w:eastAsia="Arial" w:hAnsi="Arial"/>
          <w:sz w:val="16"/>
          <w:szCs w:val="16"/>
          <w:color w:val="auto"/>
        </w:rPr>
        <w:t>2024 plus an additional 2,500,000 shares approved under the Restated Plan), plus the number of shares reserved under the Prior</w:t>
      </w:r>
    </w:p>
    <w:p>
      <w:pPr>
        <w:spacing w:after="0" w:line="5" w:lineRule="exact"/>
        <w:rPr>
          <w:sz w:val="20"/>
          <w:szCs w:val="20"/>
          <w:color w:val="auto"/>
        </w:rPr>
      </w:pPr>
    </w:p>
    <w:p>
      <w:pPr>
        <w:ind w:left="1780" w:right="80" w:hanging="1659"/>
        <w:spacing w:after="0" w:line="265" w:lineRule="auto"/>
        <w:tabs>
          <w:tab w:leader="none" w:pos="1760" w:val="left"/>
        </w:tabs>
        <w:rPr>
          <w:sz w:val="20"/>
          <w:szCs w:val="20"/>
          <w:color w:val="auto"/>
        </w:rPr>
      </w:pPr>
      <w:r>
        <w:rPr>
          <w:rFonts w:ascii="Arial" w:cs="Arial" w:eastAsia="Arial" w:hAnsi="Arial"/>
          <w:sz w:val="16"/>
          <w:szCs w:val="16"/>
          <w:i w:val="1"/>
          <w:iCs w:val="1"/>
          <w:color w:val="auto"/>
        </w:rPr>
        <w:t>inception</w:t>
      </w:r>
      <w:r>
        <w:rPr>
          <w:sz w:val="20"/>
          <w:szCs w:val="20"/>
          <w:color w:val="auto"/>
        </w:rPr>
        <w:tab/>
      </w:r>
      <w:r>
        <w:rPr>
          <w:rFonts w:ascii="Arial" w:cs="Arial" w:eastAsia="Arial" w:hAnsi="Arial"/>
          <w:sz w:val="16"/>
          <w:szCs w:val="16"/>
          <w:color w:val="auto"/>
        </w:rPr>
        <w:t>MVW Plan that were not the subject of outstanding awards when the 2020 Plan first became effective in 2020, plus certain shares that would have again become available under the Prior Plans if they had remained in effect.</w:t>
      </w:r>
    </w:p>
    <w:p>
      <w:pPr>
        <w:spacing w:after="0" w:line="64" w:lineRule="exact"/>
        <w:rPr>
          <w:sz w:val="20"/>
          <w:szCs w:val="20"/>
          <w:color w:val="auto"/>
        </w:rPr>
      </w:pPr>
    </w:p>
    <w:p>
      <w:pPr>
        <w:ind w:left="120"/>
        <w:spacing w:after="0"/>
        <w:tabs>
          <w:tab w:leader="none" w:pos="1760" w:val="left"/>
        </w:tabs>
        <w:rPr>
          <w:sz w:val="20"/>
          <w:szCs w:val="20"/>
          <w:color w:val="auto"/>
        </w:rPr>
      </w:pPr>
      <w:r>
        <w:rPr>
          <w:rFonts w:ascii="Arial" w:cs="Arial" w:eastAsia="Arial" w:hAnsi="Arial"/>
          <w:sz w:val="16"/>
          <w:szCs w:val="16"/>
          <w:i w:val="1"/>
          <w:iCs w:val="1"/>
          <w:color w:val="auto"/>
        </w:rPr>
        <w:t>Award types</w:t>
      </w:r>
      <w:r>
        <w:rPr>
          <w:sz w:val="20"/>
          <w:szCs w:val="20"/>
          <w:color w:val="auto"/>
        </w:rPr>
        <w:tab/>
      </w:r>
      <w:r>
        <w:rPr>
          <w:rFonts w:ascii="Arial" w:cs="Arial" w:eastAsia="Arial" w:hAnsi="Arial"/>
          <w:sz w:val="16"/>
          <w:szCs w:val="16"/>
          <w:color w:val="003A70"/>
        </w:rPr>
        <w:t xml:space="preserve">• </w:t>
      </w:r>
      <w:r>
        <w:rPr>
          <w:rFonts w:ascii="Arial" w:cs="Arial" w:eastAsia="Arial" w:hAnsi="Arial"/>
          <w:sz w:val="16"/>
          <w:szCs w:val="16"/>
          <w:color w:val="000000"/>
        </w:rPr>
        <w:t>Stock options</w:t>
      </w:r>
    </w:p>
    <w:p>
      <w:pPr>
        <w:spacing w:after="0" w:line="46" w:lineRule="exact"/>
        <w:rPr>
          <w:sz w:val="20"/>
          <w:szCs w:val="20"/>
          <w:color w:val="auto"/>
        </w:rPr>
      </w:pPr>
    </w:p>
    <w:p>
      <w:pPr>
        <w:ind w:left="1920" w:hanging="144"/>
        <w:spacing w:after="0"/>
        <w:tabs>
          <w:tab w:leader="none" w:pos="1920" w:val="left"/>
        </w:tabs>
        <w:numPr>
          <w:ilvl w:val="0"/>
          <w:numId w:val="31"/>
        </w:numPr>
        <w:rPr>
          <w:rFonts w:ascii="Arial" w:cs="Arial" w:eastAsia="Arial" w:hAnsi="Arial"/>
          <w:sz w:val="16"/>
          <w:szCs w:val="16"/>
          <w:color w:val="003A70"/>
        </w:rPr>
      </w:pPr>
      <w:r>
        <w:rPr>
          <w:rFonts w:ascii="Arial" w:cs="Arial" w:eastAsia="Arial" w:hAnsi="Arial"/>
          <w:sz w:val="16"/>
          <w:szCs w:val="16"/>
          <w:color w:val="auto"/>
        </w:rPr>
        <w:t>Stock appreciation rights</w:t>
      </w:r>
    </w:p>
    <w:p>
      <w:pPr>
        <w:spacing w:after="0" w:line="45" w:lineRule="exact"/>
        <w:rPr>
          <w:rFonts w:ascii="Arial" w:cs="Arial" w:eastAsia="Arial" w:hAnsi="Arial"/>
          <w:sz w:val="16"/>
          <w:szCs w:val="16"/>
          <w:color w:val="003A70"/>
        </w:rPr>
      </w:pPr>
    </w:p>
    <w:p>
      <w:pPr>
        <w:ind w:left="1920" w:hanging="144"/>
        <w:spacing w:after="0"/>
        <w:tabs>
          <w:tab w:leader="none" w:pos="1920" w:val="left"/>
        </w:tabs>
        <w:numPr>
          <w:ilvl w:val="0"/>
          <w:numId w:val="31"/>
        </w:numPr>
        <w:rPr>
          <w:rFonts w:ascii="Arial" w:cs="Arial" w:eastAsia="Arial" w:hAnsi="Arial"/>
          <w:sz w:val="16"/>
          <w:szCs w:val="16"/>
          <w:color w:val="003A70"/>
        </w:rPr>
      </w:pPr>
      <w:r>
        <w:rPr>
          <w:rFonts w:ascii="Arial" w:cs="Arial" w:eastAsia="Arial" w:hAnsi="Arial"/>
          <w:sz w:val="16"/>
          <w:szCs w:val="16"/>
          <w:color w:val="auto"/>
        </w:rPr>
        <w:t>Restricted stock awards</w:t>
      </w:r>
    </w:p>
    <w:p>
      <w:pPr>
        <w:spacing w:after="0" w:line="45" w:lineRule="exact"/>
        <w:rPr>
          <w:rFonts w:ascii="Arial" w:cs="Arial" w:eastAsia="Arial" w:hAnsi="Arial"/>
          <w:sz w:val="16"/>
          <w:szCs w:val="16"/>
          <w:color w:val="003A70"/>
        </w:rPr>
      </w:pPr>
    </w:p>
    <w:p>
      <w:pPr>
        <w:ind w:left="1920" w:hanging="144"/>
        <w:spacing w:after="0"/>
        <w:tabs>
          <w:tab w:leader="none" w:pos="1920" w:val="left"/>
        </w:tabs>
        <w:numPr>
          <w:ilvl w:val="0"/>
          <w:numId w:val="31"/>
        </w:numPr>
        <w:rPr>
          <w:rFonts w:ascii="Arial" w:cs="Arial" w:eastAsia="Arial" w:hAnsi="Arial"/>
          <w:sz w:val="16"/>
          <w:szCs w:val="16"/>
          <w:color w:val="003A70"/>
        </w:rPr>
      </w:pPr>
      <w:r>
        <w:rPr>
          <w:rFonts w:ascii="Arial" w:cs="Arial" w:eastAsia="Arial" w:hAnsi="Arial"/>
          <w:sz w:val="16"/>
          <w:szCs w:val="16"/>
          <w:color w:val="auto"/>
        </w:rPr>
        <w:t>Restricted stock unit awards</w:t>
      </w:r>
    </w:p>
    <w:p>
      <w:pPr>
        <w:spacing w:after="0" w:line="45" w:lineRule="exact"/>
        <w:rPr>
          <w:rFonts w:ascii="Arial" w:cs="Arial" w:eastAsia="Arial" w:hAnsi="Arial"/>
          <w:sz w:val="16"/>
          <w:szCs w:val="16"/>
          <w:color w:val="003A70"/>
        </w:rPr>
      </w:pPr>
    </w:p>
    <w:p>
      <w:pPr>
        <w:ind w:left="1920" w:hanging="144"/>
        <w:spacing w:after="0"/>
        <w:tabs>
          <w:tab w:leader="none" w:pos="1920" w:val="left"/>
        </w:tabs>
        <w:numPr>
          <w:ilvl w:val="0"/>
          <w:numId w:val="31"/>
        </w:numPr>
        <w:rPr>
          <w:rFonts w:ascii="Arial" w:cs="Arial" w:eastAsia="Arial" w:hAnsi="Arial"/>
          <w:sz w:val="16"/>
          <w:szCs w:val="16"/>
          <w:color w:val="003A70"/>
        </w:rPr>
      </w:pPr>
      <w:r>
        <w:rPr>
          <w:rFonts w:ascii="Arial" w:cs="Arial" w:eastAsia="Arial" w:hAnsi="Arial"/>
          <w:sz w:val="16"/>
          <w:szCs w:val="16"/>
          <w:color w:val="auto"/>
        </w:rPr>
        <w:t>Share-based awards</w:t>
      </w:r>
    </w:p>
    <w:p>
      <w:pPr>
        <w:spacing w:after="0" w:line="45" w:lineRule="exact"/>
        <w:rPr>
          <w:rFonts w:ascii="Arial" w:cs="Arial" w:eastAsia="Arial" w:hAnsi="Arial"/>
          <w:sz w:val="16"/>
          <w:szCs w:val="16"/>
          <w:color w:val="003A70"/>
        </w:rPr>
      </w:pPr>
    </w:p>
    <w:p>
      <w:pPr>
        <w:ind w:left="1920" w:hanging="144"/>
        <w:spacing w:after="0"/>
        <w:tabs>
          <w:tab w:leader="none" w:pos="1920" w:val="left"/>
        </w:tabs>
        <w:numPr>
          <w:ilvl w:val="0"/>
          <w:numId w:val="31"/>
        </w:numPr>
        <w:rPr>
          <w:rFonts w:ascii="Arial" w:cs="Arial" w:eastAsia="Arial" w:hAnsi="Arial"/>
          <w:sz w:val="16"/>
          <w:szCs w:val="16"/>
          <w:color w:val="003A70"/>
        </w:rPr>
      </w:pPr>
      <w:r>
        <w:rPr>
          <w:rFonts w:ascii="Arial" w:cs="Arial" w:eastAsia="Arial" w:hAnsi="Arial"/>
          <w:sz w:val="16"/>
          <w:szCs w:val="16"/>
          <w:color w:val="auto"/>
        </w:rPr>
        <w:t>Director share awards, stock appreciation rights and options</w:t>
      </w:r>
    </w:p>
    <w:p>
      <w:pPr>
        <w:spacing w:after="0" w:line="45" w:lineRule="exact"/>
        <w:rPr>
          <w:rFonts w:ascii="Arial" w:cs="Arial" w:eastAsia="Arial" w:hAnsi="Arial"/>
          <w:sz w:val="16"/>
          <w:szCs w:val="16"/>
          <w:color w:val="003A70"/>
        </w:rPr>
      </w:pPr>
    </w:p>
    <w:p>
      <w:pPr>
        <w:ind w:left="1920" w:hanging="144"/>
        <w:spacing w:after="0"/>
        <w:tabs>
          <w:tab w:leader="none" w:pos="1920" w:val="left"/>
        </w:tabs>
        <w:numPr>
          <w:ilvl w:val="0"/>
          <w:numId w:val="31"/>
        </w:numPr>
        <w:rPr>
          <w:rFonts w:ascii="Arial" w:cs="Arial" w:eastAsia="Arial" w:hAnsi="Arial"/>
          <w:sz w:val="16"/>
          <w:szCs w:val="16"/>
          <w:color w:val="003A70"/>
        </w:rPr>
      </w:pPr>
      <w:r>
        <w:rPr>
          <w:rFonts w:ascii="Arial" w:cs="Arial" w:eastAsia="Arial" w:hAnsi="Arial"/>
          <w:sz w:val="16"/>
          <w:szCs w:val="16"/>
          <w:color w:val="auto"/>
        </w:rPr>
        <w:t>Dividend equivalents</w:t>
      </w:r>
    </w:p>
    <w:p>
      <w:pPr>
        <w:spacing w:after="0" w:line="113" w:lineRule="exact"/>
        <w:rPr>
          <w:sz w:val="20"/>
          <w:szCs w:val="20"/>
          <w:color w:val="auto"/>
        </w:rPr>
      </w:pPr>
    </w:p>
    <w:p>
      <w:pPr>
        <w:ind w:left="1780" w:right="540" w:hanging="1808"/>
        <w:spacing w:after="0" w:line="272" w:lineRule="auto"/>
        <w:tabs>
          <w:tab w:leader="none" w:pos="1760" w:val="left"/>
        </w:tabs>
        <w:rPr>
          <w:sz w:val="20"/>
          <w:szCs w:val="20"/>
          <w:color w:val="auto"/>
        </w:rPr>
      </w:pPr>
      <w:r>
        <w:rPr>
          <w:rFonts w:ascii="Arial" w:cs="Arial" w:eastAsia="Arial" w:hAnsi="Arial"/>
          <w:sz w:val="16"/>
          <w:szCs w:val="16"/>
          <w:i w:val="1"/>
          <w:iCs w:val="1"/>
          <w:color w:val="auto"/>
        </w:rPr>
        <w:t>Key provisions:</w:t>
      </w:r>
      <w:r>
        <w:rPr>
          <w:sz w:val="20"/>
          <w:szCs w:val="20"/>
          <w:color w:val="auto"/>
        </w:rPr>
        <w:tab/>
      </w:r>
      <w:r>
        <w:rPr>
          <w:rFonts w:ascii="Arial" w:cs="Arial" w:eastAsia="Arial" w:hAnsi="Arial"/>
          <w:sz w:val="16"/>
          <w:szCs w:val="16"/>
          <w:color w:val="003A70"/>
        </w:rPr>
        <w:t xml:space="preserve">• </w:t>
      </w:r>
      <w:r>
        <w:rPr>
          <w:rFonts w:ascii="Arial" w:cs="Arial" w:eastAsia="Arial" w:hAnsi="Arial"/>
          <w:sz w:val="16"/>
          <w:szCs w:val="16"/>
          <w:color w:val="000000"/>
        </w:rPr>
        <w:t>No repricing of options or stock appreciation rights and no buyout of out-of-the money options or stock appreciation rights</w:t>
      </w:r>
      <w:r>
        <w:rPr>
          <w:rFonts w:ascii="Arial" w:cs="Arial" w:eastAsia="Arial" w:hAnsi="Arial"/>
          <w:sz w:val="16"/>
          <w:szCs w:val="16"/>
          <w:color w:val="003A70"/>
        </w:rPr>
        <w:t xml:space="preserve"> </w:t>
      </w:r>
      <w:r>
        <w:rPr>
          <w:rFonts w:ascii="Arial" w:cs="Arial" w:eastAsia="Arial" w:hAnsi="Arial"/>
          <w:sz w:val="16"/>
          <w:szCs w:val="16"/>
          <w:color w:val="000000"/>
        </w:rPr>
        <w:t>without stockholder approval</w:t>
      </w:r>
    </w:p>
    <w:p>
      <w:pPr>
        <w:spacing w:after="0" w:line="1" w:lineRule="exact"/>
        <w:rPr>
          <w:sz w:val="20"/>
          <w:szCs w:val="20"/>
          <w:color w:val="auto"/>
        </w:rPr>
      </w:pPr>
    </w:p>
    <w:p>
      <w:pPr>
        <w:ind w:left="1920" w:hanging="144"/>
        <w:spacing w:after="0"/>
        <w:tabs>
          <w:tab w:leader="none" w:pos="1920" w:val="left"/>
        </w:tabs>
        <w:numPr>
          <w:ilvl w:val="0"/>
          <w:numId w:val="32"/>
        </w:numPr>
        <w:rPr>
          <w:rFonts w:ascii="Arial" w:cs="Arial" w:eastAsia="Arial" w:hAnsi="Arial"/>
          <w:sz w:val="16"/>
          <w:szCs w:val="16"/>
          <w:color w:val="003A70"/>
        </w:rPr>
      </w:pPr>
      <w:r>
        <w:rPr>
          <w:rFonts w:ascii="Arial" w:cs="Arial" w:eastAsia="Arial" w:hAnsi="Arial"/>
          <w:sz w:val="16"/>
          <w:szCs w:val="16"/>
          <w:color w:val="auto"/>
        </w:rPr>
        <w:t>No discounted options or stock appreciation rights</w:t>
      </w:r>
    </w:p>
    <w:p>
      <w:pPr>
        <w:spacing w:after="0" w:line="45" w:lineRule="exact"/>
        <w:rPr>
          <w:rFonts w:ascii="Arial" w:cs="Arial" w:eastAsia="Arial" w:hAnsi="Arial"/>
          <w:sz w:val="16"/>
          <w:szCs w:val="16"/>
          <w:color w:val="003A70"/>
        </w:rPr>
      </w:pPr>
    </w:p>
    <w:p>
      <w:pPr>
        <w:ind w:left="1920" w:hanging="144"/>
        <w:spacing w:after="0"/>
        <w:tabs>
          <w:tab w:leader="none" w:pos="1920" w:val="left"/>
        </w:tabs>
        <w:numPr>
          <w:ilvl w:val="0"/>
          <w:numId w:val="32"/>
        </w:numPr>
        <w:rPr>
          <w:rFonts w:ascii="Arial" w:cs="Arial" w:eastAsia="Arial" w:hAnsi="Arial"/>
          <w:sz w:val="16"/>
          <w:szCs w:val="16"/>
          <w:color w:val="003A70"/>
        </w:rPr>
      </w:pPr>
      <w:r>
        <w:rPr>
          <w:rFonts w:ascii="Arial" w:cs="Arial" w:eastAsia="Arial" w:hAnsi="Arial"/>
          <w:sz w:val="16"/>
          <w:szCs w:val="16"/>
          <w:color w:val="auto"/>
        </w:rPr>
        <w:t>No dividends or dividend equivalents may be granted with respect to options or stock appreciation rights</w:t>
      </w:r>
    </w:p>
    <w:p>
      <w:pPr>
        <w:spacing w:after="0" w:line="45" w:lineRule="exact"/>
        <w:rPr>
          <w:rFonts w:ascii="Arial" w:cs="Arial" w:eastAsia="Arial" w:hAnsi="Arial"/>
          <w:sz w:val="16"/>
          <w:szCs w:val="16"/>
          <w:color w:val="003A70"/>
        </w:rPr>
      </w:pPr>
    </w:p>
    <w:p>
      <w:pPr>
        <w:ind w:left="1920" w:right="420" w:hanging="144"/>
        <w:spacing w:after="0" w:line="272" w:lineRule="auto"/>
        <w:tabs>
          <w:tab w:leader="none" w:pos="1920" w:val="left"/>
        </w:tabs>
        <w:numPr>
          <w:ilvl w:val="0"/>
          <w:numId w:val="32"/>
        </w:numPr>
        <w:rPr>
          <w:rFonts w:ascii="Arial" w:cs="Arial" w:eastAsia="Arial" w:hAnsi="Arial"/>
          <w:sz w:val="16"/>
          <w:szCs w:val="16"/>
          <w:color w:val="003A70"/>
        </w:rPr>
      </w:pPr>
      <w:r>
        <w:rPr>
          <w:rFonts w:ascii="Arial" w:cs="Arial" w:eastAsia="Arial" w:hAnsi="Arial"/>
          <w:sz w:val="16"/>
          <w:szCs w:val="16"/>
          <w:color w:val="auto"/>
        </w:rPr>
        <w:t>Dividends or dividend equivalents granted on full-value awards will not be paid or settled unless and to the same extent the underlying award vests or is earned</w:t>
      </w:r>
    </w:p>
    <w:p>
      <w:pPr>
        <w:spacing w:after="0" w:line="1" w:lineRule="exact"/>
        <w:rPr>
          <w:rFonts w:ascii="Arial" w:cs="Arial" w:eastAsia="Arial" w:hAnsi="Arial"/>
          <w:sz w:val="16"/>
          <w:szCs w:val="16"/>
          <w:color w:val="003A70"/>
        </w:rPr>
      </w:pPr>
    </w:p>
    <w:p>
      <w:pPr>
        <w:ind w:left="1920" w:hanging="144"/>
        <w:spacing w:after="0"/>
        <w:tabs>
          <w:tab w:leader="none" w:pos="1920" w:val="left"/>
        </w:tabs>
        <w:numPr>
          <w:ilvl w:val="0"/>
          <w:numId w:val="32"/>
        </w:numPr>
        <w:rPr>
          <w:rFonts w:ascii="Arial" w:cs="Arial" w:eastAsia="Arial" w:hAnsi="Arial"/>
          <w:sz w:val="16"/>
          <w:szCs w:val="16"/>
          <w:color w:val="003A70"/>
        </w:rPr>
      </w:pPr>
      <w:r>
        <w:rPr>
          <w:rFonts w:ascii="Arial" w:cs="Arial" w:eastAsia="Arial" w:hAnsi="Arial"/>
          <w:sz w:val="16"/>
          <w:szCs w:val="16"/>
          <w:color w:val="auto"/>
        </w:rPr>
        <w:t>Awards will be subject to the Company’s clawback/recoupment policies</w:t>
      </w:r>
    </w:p>
    <w:p>
      <w:pPr>
        <w:spacing w:after="0" w:line="45" w:lineRule="exact"/>
        <w:rPr>
          <w:rFonts w:ascii="Arial" w:cs="Arial" w:eastAsia="Arial" w:hAnsi="Arial"/>
          <w:sz w:val="16"/>
          <w:szCs w:val="16"/>
          <w:color w:val="003A70"/>
        </w:rPr>
      </w:pPr>
    </w:p>
    <w:p>
      <w:pPr>
        <w:ind w:left="1920" w:hanging="144"/>
        <w:spacing w:after="0"/>
        <w:tabs>
          <w:tab w:leader="none" w:pos="1920" w:val="left"/>
        </w:tabs>
        <w:numPr>
          <w:ilvl w:val="0"/>
          <w:numId w:val="32"/>
        </w:numPr>
        <w:rPr>
          <w:rFonts w:ascii="Arial" w:cs="Arial" w:eastAsia="Arial" w:hAnsi="Arial"/>
          <w:sz w:val="16"/>
          <w:szCs w:val="16"/>
          <w:color w:val="003A70"/>
        </w:rPr>
      </w:pPr>
      <w:r>
        <w:rPr>
          <w:rFonts w:ascii="Arial" w:cs="Arial" w:eastAsia="Arial" w:hAnsi="Arial"/>
          <w:sz w:val="16"/>
          <w:szCs w:val="16"/>
          <w:color w:val="auto"/>
        </w:rPr>
        <w:t>Director awards, when added to cash fees, cannot exceed $750,000 per fiscal year</w:t>
      </w:r>
    </w:p>
    <w:p>
      <w:pPr>
        <w:spacing w:after="0" w:line="113" w:lineRule="exact"/>
        <w:rPr>
          <w:sz w:val="20"/>
          <w:szCs w:val="20"/>
          <w:color w:val="auto"/>
        </w:rPr>
      </w:pPr>
    </w:p>
    <w:p>
      <w:pPr>
        <w:ind w:left="1780" w:right="280" w:hanging="1659"/>
        <w:spacing w:after="0" w:line="286" w:lineRule="auto"/>
        <w:tabs>
          <w:tab w:leader="none" w:pos="1760" w:val="left"/>
        </w:tabs>
        <w:rPr>
          <w:sz w:val="20"/>
          <w:szCs w:val="20"/>
          <w:color w:val="auto"/>
        </w:rPr>
      </w:pPr>
      <w:r>
        <w:rPr>
          <w:rFonts w:ascii="Arial" w:cs="Arial" w:eastAsia="Arial" w:hAnsi="Arial"/>
          <w:sz w:val="16"/>
          <w:szCs w:val="16"/>
          <w:i w:val="1"/>
          <w:iCs w:val="1"/>
          <w:color w:val="auto"/>
        </w:rPr>
        <w:t>Amendments:</w:t>
      </w:r>
      <w:r>
        <w:rPr>
          <w:sz w:val="20"/>
          <w:szCs w:val="20"/>
          <w:color w:val="auto"/>
        </w:rPr>
        <w:tab/>
      </w:r>
      <w:r>
        <w:rPr>
          <w:rFonts w:ascii="Arial" w:cs="Arial" w:eastAsia="Arial" w:hAnsi="Arial"/>
          <w:sz w:val="16"/>
          <w:szCs w:val="16"/>
          <w:color w:val="auto"/>
        </w:rPr>
        <w:t>Amendments require stockholder approval if required by the law, securities exchange requirements, or the market on which the shares are traded, or if diminishing certain stockholder protections</w:t>
      </w:r>
    </w:p>
    <w:p>
      <w:pPr>
        <w:spacing w:after="0" w:line="48" w:lineRule="exact"/>
        <w:rPr>
          <w:sz w:val="20"/>
          <w:szCs w:val="20"/>
          <w:color w:val="auto"/>
        </w:rPr>
      </w:pPr>
    </w:p>
    <w:p>
      <w:pPr>
        <w:ind w:left="120"/>
        <w:spacing w:after="0"/>
        <w:tabs>
          <w:tab w:leader="none" w:pos="1760" w:val="left"/>
        </w:tabs>
        <w:rPr>
          <w:sz w:val="20"/>
          <w:szCs w:val="20"/>
          <w:color w:val="auto"/>
        </w:rPr>
      </w:pPr>
      <w:r>
        <w:rPr>
          <w:rFonts w:ascii="Arial" w:cs="Arial" w:eastAsia="Arial" w:hAnsi="Arial"/>
          <w:sz w:val="16"/>
          <w:szCs w:val="16"/>
          <w:i w:val="1"/>
          <w:iCs w:val="1"/>
          <w:color w:val="auto"/>
        </w:rPr>
        <w:t>Administration:</w:t>
      </w:r>
      <w:r>
        <w:rPr>
          <w:sz w:val="20"/>
          <w:szCs w:val="20"/>
          <w:color w:val="auto"/>
        </w:rPr>
        <w:tab/>
      </w:r>
      <w:r>
        <w:rPr>
          <w:rFonts w:ascii="Arial" w:cs="Arial" w:eastAsia="Arial" w:hAnsi="Arial"/>
          <w:sz w:val="16"/>
          <w:szCs w:val="16"/>
          <w:color w:val="auto"/>
        </w:rPr>
        <w:t>By the Compensation Policy Committee of the Board</w:t>
      </w:r>
    </w:p>
    <w:p>
      <w:pPr>
        <w:spacing w:after="0" w:line="113"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A summary description of the Restated Plan follows below. The summary description is qualified in its entirety by reference to the full text of the Restated Plan, which is attached to this proxy statement as Appendix B.</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Purpose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purposes of the Restated Plan are to:</w:t>
      </w:r>
    </w:p>
    <w:p>
      <w:pPr>
        <w:spacing w:after="0" w:line="46" w:lineRule="exact"/>
        <w:rPr>
          <w:sz w:val="20"/>
          <w:szCs w:val="20"/>
          <w:color w:val="auto"/>
        </w:rPr>
      </w:pPr>
    </w:p>
    <w:p>
      <w:pPr>
        <w:ind w:left="340" w:right="200" w:hanging="224"/>
        <w:spacing w:after="0" w:line="272" w:lineRule="auto"/>
        <w:tabs>
          <w:tab w:leader="none" w:pos="340" w:val="left"/>
        </w:tabs>
        <w:numPr>
          <w:ilvl w:val="0"/>
          <w:numId w:val="33"/>
        </w:numPr>
        <w:rPr>
          <w:rFonts w:ascii="Arial" w:cs="Arial" w:eastAsia="Arial" w:hAnsi="Arial"/>
          <w:sz w:val="16"/>
          <w:szCs w:val="16"/>
          <w:color w:val="003A70"/>
        </w:rPr>
      </w:pPr>
      <w:r>
        <w:rPr>
          <w:rFonts w:ascii="Arial" w:cs="Arial" w:eastAsia="Arial" w:hAnsi="Arial"/>
          <w:sz w:val="16"/>
          <w:szCs w:val="16"/>
          <w:color w:val="auto"/>
        </w:rPr>
        <w:t>promote the growth and success of our Company by linking a significant portion of participant compensation to the increase in value of our shares of Common Stock;</w:t>
      </w:r>
    </w:p>
    <w:p>
      <w:pPr>
        <w:spacing w:after="0" w:line="1" w:lineRule="exact"/>
        <w:rPr>
          <w:rFonts w:ascii="Arial" w:cs="Arial" w:eastAsia="Arial" w:hAnsi="Arial"/>
          <w:sz w:val="16"/>
          <w:szCs w:val="16"/>
          <w:color w:val="003A70"/>
        </w:rPr>
      </w:pPr>
    </w:p>
    <w:p>
      <w:pPr>
        <w:ind w:left="340" w:hanging="224"/>
        <w:spacing w:after="0"/>
        <w:tabs>
          <w:tab w:leader="none" w:pos="340" w:val="left"/>
        </w:tabs>
        <w:numPr>
          <w:ilvl w:val="0"/>
          <w:numId w:val="33"/>
        </w:numPr>
        <w:rPr>
          <w:rFonts w:ascii="Arial" w:cs="Arial" w:eastAsia="Arial" w:hAnsi="Arial"/>
          <w:sz w:val="16"/>
          <w:szCs w:val="16"/>
          <w:color w:val="003A70"/>
        </w:rPr>
      </w:pPr>
      <w:r>
        <w:rPr>
          <w:rFonts w:ascii="Arial" w:cs="Arial" w:eastAsia="Arial" w:hAnsi="Arial"/>
          <w:sz w:val="16"/>
          <w:szCs w:val="16"/>
          <w:color w:val="auto"/>
        </w:rPr>
        <w:t>attract and retain top quality, experienced executives and key employees by offering a competitive incentive compensation program;</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33"/>
        </w:numPr>
        <w:rPr>
          <w:rFonts w:ascii="Arial" w:cs="Arial" w:eastAsia="Arial" w:hAnsi="Arial"/>
          <w:sz w:val="16"/>
          <w:szCs w:val="16"/>
          <w:color w:val="003A70"/>
        </w:rPr>
      </w:pPr>
      <w:r>
        <w:rPr>
          <w:rFonts w:ascii="Arial" w:cs="Arial" w:eastAsia="Arial" w:hAnsi="Arial"/>
          <w:sz w:val="16"/>
          <w:szCs w:val="16"/>
          <w:color w:val="auto"/>
        </w:rPr>
        <w:t>reward innovation and outstanding performance as important contributing factors to our Company’s growth and progress;</w:t>
      </w:r>
    </w:p>
    <w:p>
      <w:pPr>
        <w:spacing w:after="0" w:line="45" w:lineRule="exact"/>
        <w:rPr>
          <w:rFonts w:ascii="Arial" w:cs="Arial" w:eastAsia="Arial" w:hAnsi="Arial"/>
          <w:sz w:val="16"/>
          <w:szCs w:val="16"/>
          <w:color w:val="003A70"/>
        </w:rPr>
      </w:pPr>
    </w:p>
    <w:p>
      <w:pPr>
        <w:ind w:left="340" w:right="180" w:hanging="224"/>
        <w:spacing w:after="0" w:line="272" w:lineRule="auto"/>
        <w:tabs>
          <w:tab w:leader="none" w:pos="340" w:val="left"/>
        </w:tabs>
        <w:numPr>
          <w:ilvl w:val="0"/>
          <w:numId w:val="33"/>
        </w:numPr>
        <w:rPr>
          <w:rFonts w:ascii="Arial" w:cs="Arial" w:eastAsia="Arial" w:hAnsi="Arial"/>
          <w:sz w:val="16"/>
          <w:szCs w:val="16"/>
          <w:color w:val="003A70"/>
        </w:rPr>
      </w:pPr>
      <w:r>
        <w:rPr>
          <w:rFonts w:ascii="Arial" w:cs="Arial" w:eastAsia="Arial" w:hAnsi="Arial"/>
          <w:sz w:val="16"/>
          <w:szCs w:val="16"/>
          <w:color w:val="auto"/>
        </w:rPr>
        <w:t>align the interests of executives, other key employees and directors with those of our stockholders by reinforcing the relationship between participant rewards and stockholder gains obtained through the achievement by Plan participants of long-term goals; and</w:t>
      </w:r>
    </w:p>
    <w:p>
      <w:pPr>
        <w:spacing w:after="0" w:line="1" w:lineRule="exact"/>
        <w:rPr>
          <w:rFonts w:ascii="Arial" w:cs="Arial" w:eastAsia="Arial" w:hAnsi="Arial"/>
          <w:sz w:val="16"/>
          <w:szCs w:val="16"/>
          <w:color w:val="003A70"/>
        </w:rPr>
      </w:pPr>
    </w:p>
    <w:p>
      <w:pPr>
        <w:ind w:left="340" w:hanging="224"/>
        <w:spacing w:after="0"/>
        <w:tabs>
          <w:tab w:leader="none" w:pos="340" w:val="left"/>
        </w:tabs>
        <w:numPr>
          <w:ilvl w:val="0"/>
          <w:numId w:val="33"/>
        </w:numPr>
        <w:rPr>
          <w:rFonts w:ascii="Arial" w:cs="Arial" w:eastAsia="Arial" w:hAnsi="Arial"/>
          <w:sz w:val="16"/>
          <w:szCs w:val="16"/>
          <w:color w:val="003A70"/>
        </w:rPr>
      </w:pPr>
      <w:r>
        <w:rPr>
          <w:rFonts w:ascii="Arial" w:cs="Arial" w:eastAsia="Arial" w:hAnsi="Arial"/>
          <w:sz w:val="16"/>
          <w:szCs w:val="16"/>
          <w:color w:val="auto"/>
        </w:rPr>
        <w:t>encourage executives, key employees and directors to obtain and maintain an equity interest in our Company.</w:t>
      </w:r>
    </w:p>
    <w:p>
      <w:pPr>
        <w:spacing w:after="0" w:line="154" w:lineRule="exact"/>
        <w:rPr>
          <w:sz w:val="20"/>
          <w:szCs w:val="20"/>
          <w:color w:val="auto"/>
        </w:rPr>
      </w:pPr>
    </w:p>
    <w:p>
      <w:pPr>
        <w:ind w:left="120"/>
        <w:spacing w:after="0"/>
        <w:tabs>
          <w:tab w:leader="none" w:pos="5180" w:val="left"/>
          <w:tab w:leader="none" w:pos="7820" w:val="left"/>
        </w:tabs>
        <w:rPr>
          <w:sz w:val="20"/>
          <w:szCs w:val="20"/>
          <w:color w:val="auto"/>
        </w:rPr>
      </w:pPr>
      <w:r>
        <w:rPr>
          <w:rFonts w:ascii="Arial" w:cs="Arial" w:eastAsia="Arial" w:hAnsi="Arial"/>
          <w:sz w:val="11"/>
          <w:szCs w:val="11"/>
          <w:b w:val="1"/>
          <w:bCs w:val="1"/>
          <w:color w:val="003A70"/>
        </w:rPr>
        <w:t>10</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Administration of the Restated Plan</w:t>
      </w:r>
    </w:p>
    <w:p>
      <w:pPr>
        <w:spacing w:after="0" w:line="104" w:lineRule="exact"/>
        <w:rPr>
          <w:sz w:val="20"/>
          <w:szCs w:val="20"/>
          <w:color w:val="auto"/>
        </w:rPr>
      </w:pPr>
    </w:p>
    <w:p>
      <w:pPr>
        <w:ind w:left="120" w:right="560"/>
        <w:spacing w:after="0" w:line="272" w:lineRule="auto"/>
        <w:rPr>
          <w:sz w:val="20"/>
          <w:szCs w:val="20"/>
          <w:color w:val="auto"/>
        </w:rPr>
      </w:pPr>
      <w:r>
        <w:rPr>
          <w:rFonts w:ascii="Arial" w:cs="Arial" w:eastAsia="Arial" w:hAnsi="Arial"/>
          <w:sz w:val="16"/>
          <w:szCs w:val="16"/>
          <w:color w:val="auto"/>
        </w:rPr>
        <w:t>The CPC will administer the Restated Plan with respect to all participants. Subject to the express provisions of the Restated Plan, the CPC has full discretionary authority to:</w:t>
      </w:r>
    </w:p>
    <w:p>
      <w:pPr>
        <w:spacing w:after="0" w:line="1" w:lineRule="exact"/>
        <w:rPr>
          <w:sz w:val="20"/>
          <w:szCs w:val="20"/>
          <w:color w:val="auto"/>
        </w:rPr>
      </w:pPr>
    </w:p>
    <w:p>
      <w:pPr>
        <w:ind w:left="340" w:hanging="224"/>
        <w:spacing w:after="0"/>
        <w:tabs>
          <w:tab w:leader="none" w:pos="340" w:val="left"/>
        </w:tabs>
        <w:numPr>
          <w:ilvl w:val="0"/>
          <w:numId w:val="34"/>
        </w:numPr>
        <w:rPr>
          <w:rFonts w:ascii="Arial" w:cs="Arial" w:eastAsia="Arial" w:hAnsi="Arial"/>
          <w:sz w:val="16"/>
          <w:szCs w:val="16"/>
          <w:color w:val="003A70"/>
        </w:rPr>
      </w:pPr>
      <w:r>
        <w:rPr>
          <w:rFonts w:ascii="Arial" w:cs="Arial" w:eastAsia="Arial" w:hAnsi="Arial"/>
          <w:sz w:val="16"/>
          <w:szCs w:val="16"/>
          <w:color w:val="auto"/>
        </w:rPr>
        <w:t>construe or interpret the provisions of the Restated Plan and any award agreement;</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34"/>
        </w:numPr>
        <w:rPr>
          <w:rFonts w:ascii="Arial" w:cs="Arial" w:eastAsia="Arial" w:hAnsi="Arial"/>
          <w:sz w:val="16"/>
          <w:szCs w:val="16"/>
          <w:color w:val="003A70"/>
        </w:rPr>
      </w:pPr>
      <w:r>
        <w:rPr>
          <w:rFonts w:ascii="Arial" w:cs="Arial" w:eastAsia="Arial" w:hAnsi="Arial"/>
          <w:sz w:val="16"/>
          <w:szCs w:val="16"/>
          <w:color w:val="auto"/>
        </w:rPr>
        <w:t>prescribe, amend and rescind rules and regulations relating to the Restated Plan;</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34"/>
        </w:numPr>
        <w:rPr>
          <w:rFonts w:ascii="Arial" w:cs="Arial" w:eastAsia="Arial" w:hAnsi="Arial"/>
          <w:sz w:val="16"/>
          <w:szCs w:val="16"/>
          <w:color w:val="003A70"/>
        </w:rPr>
      </w:pPr>
      <w:r>
        <w:rPr>
          <w:rFonts w:ascii="Arial" w:cs="Arial" w:eastAsia="Arial" w:hAnsi="Arial"/>
          <w:sz w:val="16"/>
          <w:szCs w:val="16"/>
          <w:color w:val="auto"/>
        </w:rPr>
        <w:t>correct any defect, supply any omission or reconcile any inconsistency in the Restated Plan, any award or any award agreement; and</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34"/>
        </w:numPr>
        <w:rPr>
          <w:rFonts w:ascii="Arial" w:cs="Arial" w:eastAsia="Arial" w:hAnsi="Arial"/>
          <w:sz w:val="16"/>
          <w:szCs w:val="16"/>
          <w:color w:val="003A70"/>
        </w:rPr>
      </w:pPr>
      <w:r>
        <w:rPr>
          <w:rFonts w:ascii="Arial" w:cs="Arial" w:eastAsia="Arial" w:hAnsi="Arial"/>
          <w:sz w:val="16"/>
          <w:szCs w:val="16"/>
          <w:color w:val="auto"/>
        </w:rPr>
        <w:t>make all other determinations necessary or advisable for the administration of the Restated Plan.</w:t>
      </w:r>
    </w:p>
    <w:p>
      <w:pPr>
        <w:spacing w:after="0" w:line="113"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The determinations the CPC makes or takes under the provisions of the Restated Plan are final and binding. The CPC may delegate some or all of its authority under the Restated Plan to a sub-committee composed of directors, or to one or more officers of our Company. Delegation is not permitted, however, with respect to share-based awards made to individuals subject to Section 16 of the Securities Exchange Act of 1934, as amended, unless the delegation is to a committee of the Board that consists only of non-employee directors.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Eligibility and Participation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CPC may grant awards under the Restated Plan to:</w:t>
      </w:r>
    </w:p>
    <w:p>
      <w:pPr>
        <w:spacing w:after="0" w:line="46" w:lineRule="exact"/>
        <w:rPr>
          <w:sz w:val="20"/>
          <w:szCs w:val="20"/>
          <w:color w:val="auto"/>
        </w:rPr>
      </w:pPr>
    </w:p>
    <w:p>
      <w:pPr>
        <w:ind w:left="340" w:hanging="224"/>
        <w:spacing w:after="0"/>
        <w:tabs>
          <w:tab w:leader="none" w:pos="340" w:val="left"/>
        </w:tabs>
        <w:numPr>
          <w:ilvl w:val="0"/>
          <w:numId w:val="35"/>
        </w:numPr>
        <w:rPr>
          <w:rFonts w:ascii="Arial" w:cs="Arial" w:eastAsia="Arial" w:hAnsi="Arial"/>
          <w:sz w:val="16"/>
          <w:szCs w:val="16"/>
          <w:color w:val="003A70"/>
        </w:rPr>
      </w:pPr>
      <w:r>
        <w:rPr>
          <w:rFonts w:ascii="Arial" w:cs="Arial" w:eastAsia="Arial" w:hAnsi="Arial"/>
          <w:sz w:val="16"/>
          <w:szCs w:val="16"/>
          <w:color w:val="auto"/>
        </w:rPr>
        <w:t>any non-union employee of our Company or our subsidiaries; and</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35"/>
        </w:numPr>
        <w:rPr>
          <w:rFonts w:ascii="Arial" w:cs="Arial" w:eastAsia="Arial" w:hAnsi="Arial"/>
          <w:sz w:val="16"/>
          <w:szCs w:val="16"/>
          <w:color w:val="003A70"/>
        </w:rPr>
      </w:pPr>
      <w:r>
        <w:rPr>
          <w:rFonts w:ascii="Arial" w:cs="Arial" w:eastAsia="Arial" w:hAnsi="Arial"/>
          <w:sz w:val="16"/>
          <w:szCs w:val="16"/>
          <w:color w:val="auto"/>
        </w:rPr>
        <w:t>any non-employee director of our Board.</w:t>
      </w:r>
    </w:p>
    <w:p>
      <w:pPr>
        <w:spacing w:after="0" w:line="113"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Only our employees or employees of our subsidiaries may receive grants of incentive stock options (“ISOs”). There are approximately 19,800 employees and ten non-employee directors who currently meet the eligibility requirements to participate in the Restated Plan.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Shares Subject to the Restated Plan and Director Pay Limits</w:t>
      </w:r>
    </w:p>
    <w:p>
      <w:pPr>
        <w:spacing w:after="0" w:line="104"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The Restated Plan provides that the following shares of our Common Stock are reserved for issuance under the plan since its inception in 2020: 5,015,000 shares (comprised of the original 1,265,000 shares approved in 2020, the additional 1,250,000 shares approved in 2024, and the additional 2,500,000 requested under this proposal), plus the number of shares reserved under the Prior MVW Plan that were not the subject of outstanding awards as of the date the 2020 Plan first became effective in 2020, plus any shares subject to outstanding awards under the 2020 Plan or Prior Plans that would be replenished to that plan’s share reserve, as explained below. All of these shares may be issued upon the exercise of ISOs or any other type of award authorized by the Restated Plan. These share amounts are subject to adjustment in the event of specified adjustments in our capitalization. See “Adjustments in Capitalization” below.</w:t>
      </w:r>
    </w:p>
    <w:p>
      <w:pPr>
        <w:spacing w:after="0" w:line="73"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6"/>
          <w:szCs w:val="16"/>
          <w:color w:val="auto"/>
        </w:rPr>
        <w:t>The aggregate value of cash fees paid, along with the grant date value of any awards granted under the Restated Plan, to a non-employee director shall not exceed $750,000 during any fiscal year. The number of shares reserved under the Restated Plan will be depleted on the date of grant of an award by the maximum number of shares, if any, with respect to which the award is granted. An award that provides for settlement solely in cash will not cause any depletion of the reserve at the time the award is granted.</w:t>
      </w:r>
    </w:p>
    <w:p>
      <w:pPr>
        <w:spacing w:after="0" w:line="70"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The share reserve under the Restated Plan can be replenished or increased by certain terminated or forfeited awards. Specifically, to the extent (1) an award granted under the Restated Plan lapses, expires, terminates or is cancelled without the issuance of shares under the award (whether due currently or on a deferred basis), (2) it is determined during or at the conclusion of the term of an award that all or some portion of the shares with respect to which the award was granted will not be issuable on the basis that the conditions for such issuance will not be satisfied, (3) shares are forfeited under an award,</w:t>
      </w:r>
    </w:p>
    <w:p>
      <w:pPr>
        <w:spacing w:after="0" w:line="2" w:lineRule="exact"/>
        <w:rPr>
          <w:sz w:val="20"/>
          <w:szCs w:val="20"/>
          <w:color w:val="auto"/>
        </w:rPr>
      </w:pPr>
    </w:p>
    <w:p>
      <w:pPr>
        <w:ind w:left="120" w:right="180" w:hanging="4"/>
        <w:spacing w:after="0" w:line="250" w:lineRule="auto"/>
        <w:tabs>
          <w:tab w:leader="none" w:pos="363" w:val="left"/>
        </w:tabs>
        <w:numPr>
          <w:ilvl w:val="0"/>
          <w:numId w:val="36"/>
        </w:numPr>
        <w:rPr>
          <w:rFonts w:ascii="Arial" w:cs="Arial" w:eastAsia="Arial" w:hAnsi="Arial"/>
          <w:sz w:val="16"/>
          <w:szCs w:val="16"/>
          <w:color w:val="auto"/>
        </w:rPr>
      </w:pPr>
      <w:r>
        <w:rPr>
          <w:rFonts w:ascii="Arial" w:cs="Arial" w:eastAsia="Arial" w:hAnsi="Arial"/>
          <w:sz w:val="16"/>
          <w:szCs w:val="16"/>
          <w:color w:val="auto"/>
        </w:rPr>
        <w:t>shares are tendered, or shares otherwise issuable under an award are withheld in payment of an exercise price of an option or in payment of any federal, state, local or other tax withholding obligations, or shares are not issued as a result of the net settlement of an award, or (5) shares are issued under any award and we subsequently reacquire them pursuant to rights reserved upon the issuance of the shares, then those shares will be recredited to the Restated Plan’s reserve and may again be used for new awards under the Restated Plan. Shares recredited to the Restated Plan’s reserve pursuant to clause (5) in the preceding sentence, however, may not be issued pursuant to ISOs. Shares purchased by us using proceeds from option exercises may not be recredited to the reserve.</w:t>
      </w:r>
    </w:p>
    <w:p>
      <w:pPr>
        <w:spacing w:after="0" w:line="76"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color w:val="auto"/>
        </w:rPr>
        <w:t>If, after the effective date of the Restated Plan, any shares subject to awards granted under the 2020 Plan or Prior Plans would become available to be re-credited to the 2020 Plan’s or the Prior Plans’ reserves if such plans were still in effect (determined by applying the share reserve replenishment provisions described above), then those shares will be available for the purpose of granting awards under the Restated Plan, thereby increasing the reserve.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Adjustments in Capitalization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there is:</w:t>
      </w:r>
    </w:p>
    <w:p>
      <w:pPr>
        <w:spacing w:after="0" w:line="46" w:lineRule="exact"/>
        <w:rPr>
          <w:sz w:val="20"/>
          <w:szCs w:val="20"/>
          <w:color w:val="auto"/>
        </w:rPr>
      </w:pPr>
    </w:p>
    <w:p>
      <w:pPr>
        <w:ind w:left="340" w:right="280" w:hanging="224"/>
        <w:spacing w:after="0" w:line="272" w:lineRule="auto"/>
        <w:tabs>
          <w:tab w:leader="none" w:pos="340" w:val="left"/>
        </w:tabs>
        <w:numPr>
          <w:ilvl w:val="0"/>
          <w:numId w:val="37"/>
        </w:numPr>
        <w:rPr>
          <w:rFonts w:ascii="Arial" w:cs="Arial" w:eastAsia="Arial" w:hAnsi="Arial"/>
          <w:sz w:val="16"/>
          <w:szCs w:val="16"/>
          <w:color w:val="003A70"/>
        </w:rPr>
      </w:pPr>
      <w:r>
        <w:rPr>
          <w:rFonts w:ascii="Arial" w:cs="Arial" w:eastAsia="Arial" w:hAnsi="Arial"/>
          <w:sz w:val="16"/>
          <w:szCs w:val="16"/>
          <w:color w:val="auto"/>
        </w:rPr>
        <w:t>any change in corporate capitalization, such as a stock split, reverse stock split, stock dividend, share combination, recapitalization, or similar event affecting the equity capital structure of the Company, or</w:t>
      </w:r>
    </w:p>
    <w:p>
      <w:pPr>
        <w:spacing w:after="0" w:line="1" w:lineRule="exact"/>
        <w:rPr>
          <w:rFonts w:ascii="Arial" w:cs="Arial" w:eastAsia="Arial" w:hAnsi="Arial"/>
          <w:sz w:val="16"/>
          <w:szCs w:val="16"/>
          <w:color w:val="003A70"/>
        </w:rPr>
      </w:pPr>
    </w:p>
    <w:p>
      <w:pPr>
        <w:ind w:left="340" w:right="60" w:hanging="224"/>
        <w:spacing w:after="0" w:line="254" w:lineRule="auto"/>
        <w:tabs>
          <w:tab w:leader="none" w:pos="340" w:val="left"/>
        </w:tabs>
        <w:numPr>
          <w:ilvl w:val="0"/>
          <w:numId w:val="37"/>
        </w:numPr>
        <w:rPr>
          <w:rFonts w:ascii="Arial" w:cs="Arial" w:eastAsia="Arial" w:hAnsi="Arial"/>
          <w:sz w:val="16"/>
          <w:szCs w:val="16"/>
          <w:color w:val="003A70"/>
        </w:rPr>
      </w:pPr>
      <w:r>
        <w:rPr>
          <w:rFonts w:ascii="Arial" w:cs="Arial" w:eastAsia="Arial" w:hAnsi="Arial"/>
          <w:sz w:val="16"/>
          <w:szCs w:val="16"/>
          <w:color w:val="auto"/>
        </w:rPr>
        <w:t>a corporate transaction that affects our shares of Common Stock, such as any merger, consolidation, separation, acquisition of property or shares, stock rights offering, spin-off, or other distribution of stock or property of the Company, any reorganization or any partial or complete liquidation of the Company, or in the event we have a cash dividend which exceeds 10% of the fair market value of a share at the time the dividend is declared or which the Board determines is special or extraordinary in nature, the CPC shall, in a manner it deems equitable to prevent dilution or enlargement of the benefits or potential benefits intended to be made available under the Restated Plan, adjust the number and class of shares subject to the Restated Plan’s reserve and</w:t>
      </w:r>
    </w:p>
    <w:p>
      <w:pPr>
        <w:sectPr>
          <w:pgSz w:w="11900" w:h="16838" w:orient="portrait"/>
          <w:cols w:equalWidth="0" w:num="1">
            <w:col w:w="11140"/>
          </w:cols>
          <w:pgMar w:left="320" w:top="482" w:right="439" w:bottom="1440" w:gutter="0" w:footer="0" w:header="0"/>
        </w:sectPr>
      </w:pPr>
    </w:p>
    <w:p>
      <w:pPr>
        <w:spacing w:after="0" w:line="115" w:lineRule="exact"/>
        <w:rPr>
          <w:sz w:val="20"/>
          <w:szCs w:val="20"/>
          <w:color w:val="auto"/>
        </w:rPr>
      </w:pPr>
    </w:p>
    <w:p>
      <w:pPr>
        <w:ind w:left="120"/>
        <w:spacing w:after="0"/>
        <w:tabs>
          <w:tab w:leader="none" w:pos="518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b w:val="1"/>
          <w:bCs w:val="1"/>
          <w:color w:val="003A7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340" w:right="380"/>
        <w:spacing w:after="0" w:line="286" w:lineRule="auto"/>
        <w:rPr>
          <w:sz w:val="20"/>
          <w:szCs w:val="20"/>
          <w:color w:val="auto"/>
        </w:rPr>
      </w:pPr>
      <w:r>
        <w:rPr>
          <w:rFonts w:ascii="Arial" w:cs="Arial" w:eastAsia="Arial" w:hAnsi="Arial"/>
          <w:sz w:val="16"/>
          <w:szCs w:val="16"/>
          <w:color w:val="auto"/>
        </w:rPr>
        <w:t>outstanding awards, the exercise price relating to any award, and performance goals which may be applicable to any outstanding awards, and the CPC may make such other equitable substitutions or adjustments as the CPC, in its sole discretion, determines to be appropriate and equitable.</w:t>
      </w:r>
    </w:p>
    <w:p>
      <w:pPr>
        <w:spacing w:after="0" w:line="48"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In addition to making such adjustments, the CPC or the Board, compensation committee or similar body of any legal entity assuming the obligations of the Company under the Restated Plan may either (a) make appropriate provision for the protection of outstanding awards by the substitution on an equitable basis of appropriate equity interests or awards similar to the awards (or, in the event no such similar equity interests may be identified, a nonqualified deferred compensation account allocation of equivalent value), provided that the substitution neither enlarges nor diminishes the value and rights under the awards; or (b) upon written notice to the participants, provide that awards will be exercised, distributed, cashed out or exchanged for value pursuant to such terms and conditions (including the waiver of any existing terms or conditions) as shall be specified in the notice. Any such adjustment of an ISO will be made in a manner that satisfies the requirements for treatment as an ISO for federal income tax purposes.</w:t>
      </w:r>
    </w:p>
    <w:p>
      <w:pPr>
        <w:spacing w:after="0" w:line="73"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color w:val="auto"/>
        </w:rPr>
        <w:t>If a stock dividend occurs (other than declared in lieu of an ordinary cash dividend), or there is a subdivision or combination of our Common Stock, if no action is taken by the CPC, then proportionate adjustments as described above will automatically be made as of the date of such stock dividend or subdivision or combination of our Common Stock.</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Types of Awards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Stock Appreciation Rights and Options</w:t>
      </w:r>
    </w:p>
    <w:p>
      <w:pPr>
        <w:spacing w:after="0" w:line="102"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The CPC may grant SARs and stock options to eligible employees. In general, a SAR is a contractual right granted to the employee to receive the appreciation in value of up to a specified number of shares of our Common Stock over a specified period of time, subject to certain conditions. The appreciation is measured from the value of the shares on the grant date of the SARs to the value on the date the SARs are exercised. An option is a contractual right granted to the employee to purchase up to a specified number of shares at a specified purchase price within a specified period of time, subject to certain conditions. No dividend equivalents may be granted with respect to awards of SARs or stock options.</w:t>
      </w:r>
    </w:p>
    <w:p>
      <w:pPr>
        <w:spacing w:after="0" w:line="7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CPC may grant options that qualify as ISOs as defined by Section 422 of the Internal Revenue Code, nonqualified stock options that do not qualify as ISOs (“NQSOs”), or a combination of the two. Subject to the restrictions contained in the Restated Plan, the award agreement for a SAR or option will specify the exercise price, the number of shares subject to the SAR or option, the term of the SAR or option and such other terms and conditions as the CPC may determine.</w:t>
      </w:r>
    </w:p>
    <w:p>
      <w:pPr>
        <w:spacing w:after="0" w:line="70"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The exercise price for each share subject to a SAR or option may not be less than the fair market value of a share on the day the SAR or option is granted. No SAR or option may have a term longer than 10 years. SARs and options may be exercised at the times and to the extent permitted by the vesting and exercisability provisions determined by the CPC and set forth in the award agreement. The ability of an employee to exercise a SAR or option is conditioned upon the employee not committing any criminal offense or malicious tort relating to or against the Company, or other willful or grossly negligent acts or omissions that are or potentially are injurious to the Company’s operations, financial condition or business reputation, whether occurring before or after termination of employment. The exercise price for shares purchased upon exercise of an option must be paid in full at the time of purchase. Payment may be made in cash or its equivalent or, if permitted by the CPC, by withholding shares deliverable upon exercise or delivery of previously acquired shares (in each case having a fair market value equal to the exercise price), or by a combination of cash and shares. The CPC also may allow cashless exercise in appropriate circumstances.</w:t>
      </w:r>
    </w:p>
    <w:p>
      <w:pPr>
        <w:spacing w:after="0" w:line="77"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auto"/>
        </w:rPr>
        <w:t>Except as otherwise provided by the CPC, upon the employee’s retirement with specific approval from the CPC following attainment of age 55 with 10 years of service, the employee’s options or SARs shall continue to vest for up to 5 years (although vesting of any award that has been outstanding for less than 12 months shall be pro-rated for the period of time the employee was employed) and may be exercised for up to 5 years from the termination date, but not beyond the expiration date of the award. Except as otherwise provided by the CPC upon termination of an employee’s employment for death, the option or SAR shall become fully vested and may be exercised for 3 years from the termination date, but not beyond the expiration date of the award. Except as otherwise provided by the CPC, upon the employee’s termination of employment for any other reason, or upon expiration of an approved leave of absence if the employee does not return to work, the unvested portion of any option or SAR will be forfeited, and the employee will have three months to exercise the vested portion of the option or SAR, but not beyond the expiration date of the award. If an approved retiree dies, the options or SARs will become fully vested and may be exercised by such employee’s beneficiary for one year following death, but not beyond the expiration date of the award.</w:t>
      </w: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Restricted Stock Awards</w:t>
      </w:r>
    </w:p>
    <w:p>
      <w:pPr>
        <w:spacing w:after="0" w:line="102"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The CPC may award shares of restricted stock to eligible employees in such amounts, and bearing such restrictions, as the CPC may determine. Each restricted stock award is subject to certain conditions specified by the CPC that must be satisfied in order for the employee to vest in the shares to be distributed to the employee. These conditions may include, for example, requirements that the employee remain in continuous employ with the Company for a period of time, requirements that the employee pay a stipulated price for each share, restrictions based upon the achievement of specific performance objectives (Company-wide, business unit-based and/or individual), time-based restrictions on vesting following the attainment of the performance objectives, or restrictions under applicable federal or state securities laws. If the conditions are not met, the shares will be forfeited and returned to the Company for cancellation. In all events, vesting of the shares is conditioned upon the employee not committing any criminal offense or malicious tort relating to or against the Company, and not engaging (as determined by the CPC) in willful or grossly negligent acts or omissions that are or are potentially harmful to the Company’s operations, financial condition or business reputation, whether occurring before or after termination of employment.</w:t>
      </w:r>
    </w:p>
    <w:p>
      <w:pPr>
        <w:spacing w:after="0" w:line="266"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During the period of restriction, the employee may exercise full voting rights associated with shares of restricted stock and shall be credited with regular cash dividends paid with respect to those shares. The CPC will determine whether such dividends are to be accumulated or converted into additional shares of restricted stock, but in all events such dividends will not be paid or settled unless and to the same extent as the underlying restricted stock vests.</w:t>
      </w:r>
    </w:p>
    <w:p>
      <w:pPr>
        <w:sectPr>
          <w:pgSz w:w="11900" w:h="16838" w:orient="portrait"/>
          <w:cols w:equalWidth="0" w:num="1">
            <w:col w:w="11140"/>
          </w:cols>
          <w:pgMar w:left="320" w:top="482" w:right="439" w:bottom="1440" w:gutter="0" w:footer="0" w:header="0"/>
        </w:sectPr>
      </w:pPr>
    </w:p>
    <w:p>
      <w:pPr>
        <w:spacing w:after="0" w:line="111" w:lineRule="exact"/>
        <w:rPr>
          <w:sz w:val="20"/>
          <w:szCs w:val="20"/>
          <w:color w:val="auto"/>
        </w:rPr>
      </w:pPr>
    </w:p>
    <w:p>
      <w:pPr>
        <w:ind w:left="120"/>
        <w:spacing w:after="0"/>
        <w:tabs>
          <w:tab w:leader="none" w:pos="5180" w:val="left"/>
          <w:tab w:leader="none" w:pos="7820" w:val="left"/>
        </w:tabs>
        <w:rPr>
          <w:sz w:val="20"/>
          <w:szCs w:val="20"/>
          <w:color w:val="auto"/>
        </w:rPr>
      </w:pPr>
      <w:r>
        <w:rPr>
          <w:rFonts w:ascii="Arial" w:cs="Arial" w:eastAsia="Arial" w:hAnsi="Arial"/>
          <w:sz w:val="11"/>
          <w:szCs w:val="11"/>
          <w:b w:val="1"/>
          <w:bCs w:val="1"/>
          <w:color w:val="003A70"/>
        </w:rPr>
        <w:t>12</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The CPC may determine to vest an employee’s shares of restricted stock in whole or in part upon the employee’s retirement with specific approval from the CPC following attainment of age 55 with 10 years of service. Unless otherwise determined by the CPC if the employee dies or terminates employment due to becoming permanently and totally disabled, the shares of restricted stock will vest in full. Unless otherwise determined by the CPC, if the employee’s termination of employment with the Company is for any other reason, the employee’s restricted stock will be immediately forfeited to the Company without payment. Shares of restricted stock may not be sold, transferred, pledged, assigned or otherwise disposed of until the end of the period of restriction, or upon earlier satisfaction of any other conditions, as specified by the CPC in its sole discretion.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Restricted Stock Unit Awards</w:t>
      </w:r>
    </w:p>
    <w:p>
      <w:pPr>
        <w:spacing w:after="0" w:line="102"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CPC may grant RSUs to eligible employees in amounts that it determines. RSUs give the employee a contractual right to be transferred shares in accordance with a specified vesting schedule, provided the employee satisfies certain other conditions. The shares will be transferred to the employee when the RSUs become vested, provided that the employee has been continuously employed by the Company and has not committed any criminal offense or malicious tort relating to or against the Company or, as determined by the CPC in its discretion, engaged in willful or grossly negligent acts that are or potentially could be harmful to the Company’s operations, financial condition or reputation, whether occurring before or after termination of employment.</w:t>
      </w:r>
    </w:p>
    <w:p>
      <w:pPr>
        <w:spacing w:after="0" w:line="74"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Unless otherwise determined by the CPC, if an employee dies, the employee’s RSUs will vest in full. Unless otherwise determined by the CPC, if an employee terminates employment as an approved retiree (attainment of age 55 with 10 years of service) or due to disability, then the RSUs shall continue to vest over the vesting period specified in the RSU award agreement as if the employee continued employment, provided the other conditions described above continue to be met, although any RSUs granted within one year prior to the date of such termination will vest only on a pro-rata basis based on the length of the employee’s employment from the grant date. Unless otherwise determined by the CPC, if an employee terminates employment other than as an approved retiree or due to death or disability, the employee’s RSUs will be immediately forfeited to the Company without payment.</w:t>
      </w:r>
    </w:p>
    <w:p>
      <w:pPr>
        <w:spacing w:after="0" w:line="74"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The holder of an RSU award has no right to vote the shares subject to the RSUs or to receive dividends on such shares until and unless he or she is transferred the shares upon meeting the vesting and other conditions of the award.</w:t>
      </w:r>
    </w:p>
    <w:p>
      <w:pPr>
        <w:spacing w:after="0" w:line="48" w:lineRule="exact"/>
        <w:rPr>
          <w:sz w:val="20"/>
          <w:szCs w:val="20"/>
          <w:color w:val="auto"/>
        </w:rPr>
      </w:pPr>
    </w:p>
    <w:p>
      <w:pPr>
        <w:jc w:val="both"/>
        <w:ind w:left="120" w:right="140"/>
        <w:spacing w:after="0" w:line="266" w:lineRule="auto"/>
        <w:rPr>
          <w:sz w:val="20"/>
          <w:szCs w:val="20"/>
          <w:color w:val="auto"/>
        </w:rPr>
      </w:pPr>
      <w:r>
        <w:rPr>
          <w:rFonts w:ascii="Arial" w:cs="Arial" w:eastAsia="Arial" w:hAnsi="Arial"/>
          <w:sz w:val="16"/>
          <w:szCs w:val="16"/>
          <w:color w:val="auto"/>
        </w:rPr>
        <w:t>If the CPC grants dividend equivalents units with respect to the RSUs, the CPC will determine whether such dividend equivalents are to be accumulated or converted into additional RSUs, but in all events such dividend equivalents will not be paid or settled unless and to the same extent as the underlying RSUs vest.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Share-Based Awards</w:t>
      </w:r>
    </w:p>
    <w:p>
      <w:pPr>
        <w:spacing w:after="0" w:line="102"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CPC may grant other share-based awards to eligible employees in such number, and upon such terms and conditions, as the CPC may determine. Share-based awards may be denominated in cash, shares, share-equivalent units, share appreciation units, securities or debentures convertible into shares or in a combination of the foregoing and may be paid in cash or in shares, all as determined by the CPC. Dividend equivalents may only be granted with respect to full-value share-based awards, and such dividend equivalents may only be paid or settled to the same extent as the underlying award to which it relates is paid or settled. Share-based awards will be evidenced by an award agreement that will specify the terms and conditions of the award. The PSUs we award are share-based awards.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Director Share Awards, SARS and Options</w:t>
      </w:r>
    </w:p>
    <w:p>
      <w:pPr>
        <w:spacing w:after="0" w:line="102"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A non-employee director may be paid in shares of our Common Stock, may elect to receive payment of all or any part of his or her cash retainer in the form of Director SARs or options, or may elect to defer his or her fees in the form of deferred stock units, all as determined by the CPC.</w:t>
      </w:r>
    </w:p>
    <w:p>
      <w:pPr>
        <w:spacing w:after="0" w:line="48"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The award agreement for a SAR or option will specify the exercise price, the number of shares subject to the SAR or option, and such other terms and conditions as the CPC may determine. Each Director SAR or option shall be immediately vested and exercisable and the term of the SAR or option shall be 10 years.</w:t>
      </w:r>
    </w:p>
    <w:p>
      <w:pPr>
        <w:spacing w:after="0" w:line="63"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exercise price for each share subject to a SAR or option may not be less than the fair market value of a share on the day the SAR or option is granted. No SAR or option may have a term longer than 10 years. The exercise price for shares purchased upon exercise of an option must be paid in full at the time of purchase. Payment may be made in cash or its equivalent or, if permitted by the CPC, by withholding shares deliverable upon exercise or delivery of previously acquired shares, or by a combination of cash and shares. The CPC also may allow cashless exercise in appropriate circumstances.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Tax Withholding</w:t>
      </w:r>
    </w:p>
    <w:p>
      <w:pPr>
        <w:spacing w:after="0" w:line="104"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Whenever withholding taxes are due with respect to an award, the Company may withhold cash payable under an award (if any) or require an award holder to remit cash to the Company as needed to pay such withholding taxes. The CPC may also permit an award holder to elect to have shares that would be otherwise issuable under the award, and having a fair market value not to exceed the maximum statutory tax withholding amount, withheld to satisfy such withholding tax obligations. The CPC may also allow award holders to satisfy their tax withholding obligations by use of a broker-assisted sell-to-cover transaction, in which the shares that are delivered or that become vested under the award are sold in the market, and the proceeds remitted to the Company in satisfaction of the withholding taxes.</w:t>
      </w:r>
    </w:p>
    <w:p>
      <w:pPr>
        <w:spacing w:after="0" w:line="115" w:lineRule="exact"/>
        <w:rPr>
          <w:sz w:val="20"/>
          <w:szCs w:val="20"/>
          <w:color w:val="auto"/>
        </w:rPr>
      </w:pPr>
    </w:p>
    <w:p>
      <w:pPr>
        <w:ind w:left="120"/>
        <w:spacing w:after="0"/>
        <w:tabs>
          <w:tab w:leader="none" w:pos="518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b w:val="1"/>
          <w:bCs w:val="1"/>
          <w:color w:val="003A7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Change of Control</w:t>
      </w:r>
    </w:p>
    <w:p>
      <w:pPr>
        <w:spacing w:after="0" w:line="104"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Unless otherwise specified in an award agreement or determined by the CPC, upon a change in control of the Company resulting from certain acquisition, merger, sale, liquidation or similar events or a change in a majority of Board members as defined under the Restated Plan, a Restated Plan participant who is involuntarily terminated by the Company other than for his or her misconduct on or during the twelve months following the change in control will immediately upon termination vest in all unvested equity awards and all restrictions on Restricted Stock, RSUs and other similar share-based awards shall lapse and all such awards be fully vested as of the date of termination, provided that if an award is subject to a performance vesting condition, then upon such employment termination such award will vest as follows: (i) as to any completed performance period, based on actual level of achievement; or</w:t>
      </w:r>
    </w:p>
    <w:p>
      <w:pPr>
        <w:ind w:left="120" w:right="20" w:hanging="4"/>
        <w:spacing w:after="0" w:line="251" w:lineRule="auto"/>
        <w:tabs>
          <w:tab w:leader="none" w:pos="3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 to any performance period not yet completed, based on the level of achievement measured on the vesting date (or at target if performance cannot reasonably be measured), prorated to reflect the period of employment during such performance period. In those circumstances, all options and SARs will be exercisable until the earlier of the original expiration date of the awards or twelve months (or in the case of an approved retiree, 5 years) following the termination of employment, and all other stock awards, and the subject shares, or equity interests that are substituted for the subject shares as a result of the change in control, shall be immediately distributed.</w:t>
      </w:r>
    </w:p>
    <w:p>
      <w:pPr>
        <w:spacing w:after="0" w:line="7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However, in the event that no substitute awards, publicly-traded shares or other equity interests are available as of the change of control, the participant will become fully vested in his or her awards as of the change in control date, and all awards will be immediately distributed or paid, or, in the case of options and SARs, fully exercisable, provided that if an award is subject to a performance vesting condition, then upon such change of control such award will vest as follows: (i) as to any completed performance period, based on actual level of achievement; or (ii) as to any performance period not yet completed, based on the level of achievement measured on the change of control date (or at target if performance cannot reasonably be measured), prorated to reflect the participant’s period of employment during such performance period. In the CPC’s discretion, distributions may be made in the form of a cash payment equal in amount to the shares distributed or, in the case of options or SARs, the intrinsic value of such awards.</w:t>
      </w:r>
    </w:p>
    <w:p>
      <w:pPr>
        <w:spacing w:after="0" w:line="73"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auto"/>
        </w:rPr>
        <w:t>Unless otherwise provided in an agreement with a participant, if the benefits described in this paragraph along with any other benefits or compensation provided to a participant in connection with a change in control would be subject to the “golden parachute” excess parachute provisions of the Internal Revenue Code, then the benefits provided under the Restated Plan will be cut-back so that no such benefits will be provided to the extent they would result in the loss of a deduction or imposition of excise taxes under the “golden parachute” excess parachute payment provision of the Internal Revenue Code, unless the participant would be better off receiving the full benefits without cutback after taking into consideration all of the taxes due. The determination of whether a participant would be better off having their benefits cutback or receiving the full amount of such benefits will be made by a registered public accounting, legal, valuation, or similar firm(s) as selected by the Company, the costs of which will be borne by the Company. The 2020 Plan previously contained a cutback provision that did not permit the payment of benefits in full if the after-tax amount of those payment exceeded the cutback amount.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Certain Limits on Transfer of Awards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Awards granted under the Restated Plan are not transferable other than by will or the laws of descent and distribution.</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Repricing and Cash Buyouts Prohibited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Neither the CPC nor any other person may (1) amend the terms of outstanding options or SARs to reduce the exercise or grant price of such awards;</w:t>
      </w:r>
    </w:p>
    <w:p>
      <w:pPr>
        <w:spacing w:after="0" w:line="21" w:lineRule="exact"/>
        <w:rPr>
          <w:sz w:val="20"/>
          <w:szCs w:val="20"/>
          <w:color w:val="auto"/>
        </w:rPr>
      </w:pPr>
    </w:p>
    <w:p>
      <w:pPr>
        <w:ind w:left="120" w:right="180" w:hanging="4"/>
        <w:spacing w:after="0" w:line="256" w:lineRule="auto"/>
        <w:tabs>
          <w:tab w:leader="none" w:pos="363"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cancel outstanding options or SARs in exchange for options or SARs with an exercise or grant price that is less than the exercise price of the award; or (3) cancel outstanding options or SARs with an exercise or grant price above the current share price in exchange for cash or other securities, unless approved by stockholders.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Recoupment and Cancellation of Awards</w:t>
      </w:r>
    </w:p>
    <w:p>
      <w:pPr>
        <w:spacing w:after="0" w:line="104"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Any awards granted under the Restated Plan, and any shares issued or cash paid pursuant to an award, will be subject to any recoupment, clawback, equity holding, stock ownership or similar policies that we adopt from time to time, including our Executive Officer Policy – NYSE Clawback Policy, or that are applicable to us by law, regulation or listing standards from time to time.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Amendment and Termination of the Restated Plan</w:t>
      </w:r>
    </w:p>
    <w:p>
      <w:pPr>
        <w:spacing w:after="0" w:line="104"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The Board may alter, amend, suspend or terminate the Restated Plan, in whole or in part, at any time and from time to time. The Board may condition the adoption of any amendment of the Restated Plan on the approval of the stockholders. Stockholder approval also shall be obtained as required by NYSE rules and other requirements, regulations, or laws or if the Board proposes to amend the plan provisions prohibiting repricing or buyouts of options and SARs.</w:t>
      </w:r>
    </w:p>
    <w:p>
      <w:pPr>
        <w:spacing w:after="0" w:line="70"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No termination, amendment, or modification of the Restated Plan or any award may adversely affect in any material way any award previously granted under the Restated Plan, without the written consent of the holder of the award.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Duration of the Restated Plan</w:t>
      </w:r>
    </w:p>
    <w:p>
      <w:pPr>
        <w:spacing w:after="0" w:line="104" w:lineRule="exact"/>
        <w:rPr>
          <w:sz w:val="20"/>
          <w:szCs w:val="20"/>
          <w:color w:val="auto"/>
        </w:rPr>
      </w:pPr>
    </w:p>
    <w:p>
      <w:pPr>
        <w:ind w:left="120" w:right="840"/>
        <w:spacing w:after="0" w:line="286" w:lineRule="auto"/>
        <w:rPr>
          <w:sz w:val="20"/>
          <w:szCs w:val="20"/>
          <w:color w:val="auto"/>
        </w:rPr>
      </w:pPr>
      <w:r>
        <w:rPr>
          <w:rFonts w:ascii="Arial" w:cs="Arial" w:eastAsia="Arial" w:hAnsi="Arial"/>
          <w:sz w:val="16"/>
          <w:szCs w:val="16"/>
          <w:color w:val="auto"/>
        </w:rPr>
        <w:t>Unless earlier terminated by the Board, the Restated Plan will remain in effect until the earlier of (a) the date that is ten years from the date our stockholders approve the Restated Plan or (b) the date all shares reserved for issuance under the Restated Plan have been issued.</w:t>
      </w:r>
    </w:p>
    <w:p>
      <w:pPr>
        <w:spacing w:after="0" w:line="89" w:lineRule="exact"/>
        <w:rPr>
          <w:sz w:val="20"/>
          <w:szCs w:val="20"/>
          <w:color w:val="auto"/>
        </w:rPr>
      </w:pPr>
    </w:p>
    <w:p>
      <w:pPr>
        <w:ind w:left="120"/>
        <w:spacing w:after="0"/>
        <w:tabs>
          <w:tab w:leader="none" w:pos="5180" w:val="left"/>
          <w:tab w:leader="none" w:pos="7820" w:val="left"/>
        </w:tabs>
        <w:rPr>
          <w:sz w:val="20"/>
          <w:szCs w:val="20"/>
          <w:color w:val="auto"/>
        </w:rPr>
      </w:pPr>
      <w:r>
        <w:rPr>
          <w:rFonts w:ascii="Arial" w:cs="Arial" w:eastAsia="Arial" w:hAnsi="Arial"/>
          <w:sz w:val="11"/>
          <w:szCs w:val="11"/>
          <w:b w:val="1"/>
          <w:bCs w:val="1"/>
          <w:color w:val="003A70"/>
        </w:rPr>
        <w:t>14</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Certain U.S. Federal Income Tax Consequences</w:t>
      </w:r>
    </w:p>
    <w:p>
      <w:pPr>
        <w:spacing w:after="0" w:line="104"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following tax discussion is a general summary as of the date of this Proxy Statement of the U.S. federal income tax consequences to the Company and the participants in the Restated Plan. The discussion is intended solely for general information and does not make specific representations to any participant. The discussion does not address state, local or foreign income tax rules or other U.S. tax provisions, such as estate or gift taxes. A participant’s particular situation may be such that some variation of the basic rules is applicable to him or her. In addition, the federal income tax laws and regulations frequently have been revised and may be changed again at any time. The Plan is not subject to the Employee Retirement Income Security Act of 1974, as amended.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Stock Options</w:t>
      </w:r>
    </w:p>
    <w:p>
      <w:pPr>
        <w:spacing w:after="0" w:line="102"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ISOs and NQSOs are treated differently for federal income tax purposes. ISOs are intended to comply with the requirements of Section 422 of the Internal Revenue Code. NQSOs do not comply with such requirements.</w:t>
      </w:r>
    </w:p>
    <w:p>
      <w:pPr>
        <w:spacing w:after="0" w:line="48"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An optionee is not taxed on the grant or exercise of an ISO. The difference between the exercise price and the fair market value of the shares on the exercise date will, however, be a preference item for purposes of the alternative minimum tax. If an optionee holds the shares acquired upon exercise of an ISO until the later of 2 years following the option grant date and one year following exercise, the optionee’s gain, if any, upon a subsequent disposition of such shares is long term capital gain. The measure of the gain is the difference between the proceeds received on disposition and the optionee’s basis in the shares (which generally equals the exercise price). If an optionee disposes of stock acquired pursuant to exercise of an ISO before satisfying these holding periods, the optionee will recognize ordinary income in the year of disposition in an amount equal to the excess of the fair market value of the shares at the time of exercise (or, if less, the amount realized on the disposition of the shares), over the exercise price paid for the shares, and capital gain or loss for any other difference between the sale price and the exercise price. The Company is not entitled to an income tax deduction on the grant or exercise of an ISO or on the optionee’s disposition of the shares after satisfying the holding period requirement described above. If the holding periods are not satisfied, the Company will be entitled to a deduction in the year the optionee disposes of the shares in an amount equal to the ordinary income recognized by the optionee, subject to the deduction limitations described in “Company Deduction and Section 162(m)” below.</w:t>
      </w:r>
    </w:p>
    <w:p>
      <w:pPr>
        <w:spacing w:after="0" w:line="79" w:lineRule="exact"/>
        <w:rPr>
          <w:sz w:val="20"/>
          <w:szCs w:val="20"/>
          <w:color w:val="auto"/>
        </w:rPr>
      </w:pPr>
    </w:p>
    <w:p>
      <w:pPr>
        <w:ind w:left="120" w:right="440"/>
        <w:spacing w:after="0" w:line="266" w:lineRule="auto"/>
        <w:rPr>
          <w:sz w:val="20"/>
          <w:szCs w:val="20"/>
          <w:color w:val="auto"/>
        </w:rPr>
      </w:pPr>
      <w:r>
        <w:rPr>
          <w:rFonts w:ascii="Arial" w:cs="Arial" w:eastAsia="Arial" w:hAnsi="Arial"/>
          <w:sz w:val="16"/>
          <w:szCs w:val="16"/>
          <w:color w:val="auto"/>
        </w:rPr>
        <w:t>In order for an option to qualify for ISO tax treatment, the grant of the option must satisfy various other conditions more fully described in the Internal Revenue Code. The Company does not guarantee that any option will qualify for ISO tax treatment even if the option is intended to qualify for such treatment. In the event an option intended to be an ISO fails to so qualify, it will be taxed as an NQSO described below.</w:t>
      </w:r>
    </w:p>
    <w:p>
      <w:pPr>
        <w:spacing w:after="0" w:line="63"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An optionee is not taxed on the grant of an NQSO. On exercise, the optionee recognizes ordinary income equal to the difference between the exercise price and the fair market value of the shares acquired on the date of exercise. The Company is entitled to an income tax deduction in the year of exercise in the amount recognized by the optionee as ordinary income, subject to the deduction limitations described in “Company Deduction and Section 162(m)” below. The optionee’s gain (or loss) on subsequent disposition of the shares is long-term capital gain (or loss) if the shares are held for at least one year following exercise, and otherwise is short-term capital gain (or loss). The Company does not receive a deduction for any such capital gain.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SARs</w:t>
      </w:r>
    </w:p>
    <w:p>
      <w:pPr>
        <w:spacing w:after="0" w:line="102"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Generally, the recipient of a SAR will not recognize any taxable income at the time the SAR is granted. If the SAR is settled in cash, the cash will be taxable as ordinary income to the recipient at the time that it is received. If the SAR is settled in shares, the recipient will recognize ordinary income equal to the excess of the fair market value of the shares on the day they are received over any amounts paid by the recipient for the shares. The Company generally is entitled to a deduction with respect to a SAR at the same time the recipient recognizes ordinary income with respect thereto.</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Restricted Stock and RSUs</w:t>
      </w:r>
    </w:p>
    <w:p>
      <w:pPr>
        <w:spacing w:after="0" w:line="102"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Grantees of restricted stock or RSUs do not recognize income at the time of the grant. When the award vests or is paid, the grantee generally recognizes ordinary income in an amount equal to the fair market value of the stock or units at such time, and the Company will receive a corresponding deduction, subject to the deduction limitations described in “Company Deduction and Section 162(m)” below. However, no later than 30 days after a participant receives an Award of restricted stock, pursuant to Section 83(b) of the Internal Revenue Code, the participant may elect to recognize taxable ordinary income in an amount equal to the fair market value of the shares at the time of receipt. Provided that the election is made in a timely manner, when the restrictions on the shares lapse, the participant will not recognize any additional income. If the participant forfeits the shares to the Company (e.g., upon the participant’s termination prior to vesting), the participant may not claim a deduction with respect to the income recognized as a result of the election. Subject to the deduction limitations described in “Company Deduction and Section 162(m)” below, the Company generally will be entitled to a deduction with respect to restricted stock and RSUs at the same time the recipient recognizes ordinary income with respect thereto.</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Share-Based Awards</w:t>
      </w:r>
    </w:p>
    <w:p>
      <w:pPr>
        <w:spacing w:after="0" w:line="102"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Grantees of share-based awards generally are required to recognize ordinary income in an amount equal to the excess of the fair market value of the shares on the date the shares are granted over the purchase price (if any) paid for the shares, unless the shares are subject to a substantial risk of forfeiture, in which case the award will be subject to the same taxation rule as apply to restricted stock as described in “Restricted Stock and RSUs” above. Subject to the deduction limitations described in “Company Deduction and Section 162(m),” the Company generally will be entitled to a deduction with respect to stock awards at the same time the recipient recognizes ordinary income with respect thereto.</w:t>
      </w:r>
    </w:p>
    <w:p>
      <w:pPr>
        <w:spacing w:after="0" w:line="113" w:lineRule="exact"/>
        <w:rPr>
          <w:sz w:val="20"/>
          <w:szCs w:val="20"/>
          <w:color w:val="auto"/>
        </w:rPr>
      </w:pPr>
    </w:p>
    <w:p>
      <w:pPr>
        <w:ind w:left="120"/>
        <w:spacing w:after="0"/>
        <w:tabs>
          <w:tab w:leader="none" w:pos="518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b w:val="1"/>
          <w:bCs w:val="1"/>
          <w:color w:val="003A7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Company Deduction and Section 162(m)</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generally will be entitled to a deduction for federal income tax purposes as described above with respect to each type of award.</w:t>
      </w:r>
    </w:p>
    <w:p>
      <w:pPr>
        <w:spacing w:after="0" w:line="21" w:lineRule="exact"/>
        <w:rPr>
          <w:sz w:val="20"/>
          <w:szCs w:val="20"/>
          <w:color w:val="auto"/>
        </w:rPr>
      </w:pPr>
    </w:p>
    <w:p>
      <w:pPr>
        <w:jc w:val="both"/>
        <w:ind w:left="120" w:right="200"/>
        <w:spacing w:after="0" w:line="256" w:lineRule="auto"/>
        <w:rPr>
          <w:sz w:val="20"/>
          <w:szCs w:val="20"/>
          <w:color w:val="auto"/>
        </w:rPr>
      </w:pPr>
      <w:r>
        <w:rPr>
          <w:rFonts w:ascii="Arial" w:cs="Arial" w:eastAsia="Arial" w:hAnsi="Arial"/>
          <w:sz w:val="16"/>
          <w:szCs w:val="16"/>
          <w:color w:val="auto"/>
        </w:rPr>
        <w:t>Section 162(m) of the Internal Revenue Code limits, however, the deduction we can take for compensation, including compensation pursuant to awards made under the Restated Plan, that we pay to our covered employees (generally employees who have served as our CEO or Chief Financial Officer or who have been one of our three other highest paid officers since 2017) to $1.0 million per year per individual.</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Code Section 409A</w:t>
      </w:r>
    </w:p>
    <w:p>
      <w:pPr>
        <w:spacing w:after="0" w:line="102"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Awards under the Restated Plan may constitute, or provide for, a deferral of compensation under Section 409A of the Internal Revenue Code. If the requirements of Section 409A are not complied with, then holders of such awards may be taxed earlier than would otherwise be the case (e.g., at the time of vesting instead of the time of payment) and may be subject to an additional 20% penalty tax and, potentially, interest and penalties. We have sought to structure the Restated Plan, and we expect to seek to structure awards under the Restated Plan, to be exempt from Section 409A or comply with Section 409A. The Restated Plan and any applicable awards may be modified to exempt the awards from Section 409A or comply with the requirements of Section 409A.</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New Plan Benefits; Aggregate Past Grants Under the 2020 Plan</w:t>
      </w:r>
    </w:p>
    <w:p>
      <w:pPr>
        <w:spacing w:after="0" w:line="104"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We cannot currently determine the awards that may be granted under the Restated Plan in the future to the executive officers named in this Proxy Statement or to other officers, employees, or other persons, provided, however, that pursuant to our non-employee director compensation program, non-employee directors are currently eligible to receive, at the time of the Company’s annual meeting, an annual equity grant with a grant date value of $210,000 for each non-employee director other than the Chairman and $285,000 for the Chairman. As a result, we anticipate our non-employee directors will receive the foregoing grants, as applicable, subject to continued service through the grant date as such may be adjusted by the CPC in the future. Other than the foregoing, the CPC will make determinations regarding equity awards from time to time. The following table sets forth, with respect to the individuals and groups named below: the aggregate number of shares subject to SARs granted under the 2020 Plan (whether or not outstanding, vested or forfeited, as applicable) as of March 16, 2026, and the aggregate number of shares subject to awards of restricted stock and RSUs (including PSUs, calculated at target performance) granted under the 2020 Plan (whether or not outstanding, vested or forfeited, as applicable) as of March 16, 2026.</w:t>
      </w:r>
    </w:p>
    <w:p>
      <w:pPr>
        <w:spacing w:after="0" w:line="9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003A70"/>
              </w:rPr>
              <w:t>Number of SARs</w:t>
            </w:r>
          </w:p>
        </w:tc>
        <w:tc>
          <w:tcPr>
            <w:tcW w:w="1840" w:type="dxa"/>
            <w:vAlign w:val="bottom"/>
          </w:tcPr>
          <w:p>
            <w:pPr>
              <w:jc w:val="center"/>
              <w:ind w:left="201"/>
              <w:spacing w:after="0"/>
              <w:rPr>
                <w:sz w:val="20"/>
                <w:szCs w:val="20"/>
                <w:color w:val="auto"/>
              </w:rPr>
            </w:pPr>
            <w:r>
              <w:rPr>
                <w:rFonts w:ascii="Arial" w:cs="Arial" w:eastAsia="Arial" w:hAnsi="Arial"/>
                <w:sz w:val="14"/>
                <w:szCs w:val="14"/>
                <w:color w:val="003A70"/>
              </w:rPr>
              <w:t>Number of Shares</w:t>
            </w:r>
          </w:p>
        </w:tc>
      </w:tr>
      <w:tr>
        <w:trPr>
          <w:trHeight w:val="162"/>
        </w:trPr>
        <w:tc>
          <w:tcPr>
            <w:tcW w:w="744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003A70"/>
              </w:rPr>
              <w:t>Granted</w:t>
            </w:r>
          </w:p>
        </w:tc>
        <w:tc>
          <w:tcPr>
            <w:tcW w:w="1840" w:type="dxa"/>
            <w:vAlign w:val="bottom"/>
          </w:tcPr>
          <w:p>
            <w:pPr>
              <w:jc w:val="center"/>
              <w:ind w:left="201"/>
              <w:spacing w:after="0"/>
              <w:rPr>
                <w:sz w:val="20"/>
                <w:szCs w:val="20"/>
                <w:color w:val="auto"/>
              </w:rPr>
            </w:pPr>
            <w:r>
              <w:rPr>
                <w:rFonts w:ascii="Arial" w:cs="Arial" w:eastAsia="Arial" w:hAnsi="Arial"/>
                <w:sz w:val="14"/>
                <w:szCs w:val="14"/>
                <w:color w:val="003A70"/>
              </w:rPr>
              <w:t>Subject to Stock Awards</w:t>
            </w:r>
          </w:p>
        </w:tc>
      </w:tr>
      <w:tr>
        <w:trPr>
          <w:trHeight w:val="192"/>
        </w:trPr>
        <w:tc>
          <w:tcPr>
            <w:tcW w:w="744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Name of Individual or Group</w:t>
            </w:r>
          </w:p>
        </w:tc>
        <w:tc>
          <w:tcPr>
            <w:tcW w:w="17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w w:val="93"/>
              </w:rPr>
              <w:t>(#)</w:t>
            </w:r>
          </w:p>
        </w:tc>
        <w:tc>
          <w:tcPr>
            <w:tcW w:w="1840" w:type="dxa"/>
            <w:vAlign w:val="bottom"/>
            <w:tcBorders>
              <w:bottom w:val="single" w:sz="8" w:color="003A70"/>
            </w:tcBorders>
          </w:tcPr>
          <w:p>
            <w:pPr>
              <w:jc w:val="center"/>
              <w:ind w:left="201"/>
              <w:spacing w:after="0" w:line="185" w:lineRule="exact"/>
              <w:rPr>
                <w:sz w:val="20"/>
                <w:szCs w:val="20"/>
                <w:color w:val="auto"/>
              </w:rPr>
            </w:pPr>
            <w:r>
              <w:rPr>
                <w:rFonts w:ascii="Arial" w:cs="Arial" w:eastAsia="Arial" w:hAnsi="Arial"/>
                <w:sz w:val="14"/>
                <w:szCs w:val="14"/>
                <w:color w:val="003A70"/>
                <w:w w:val="96"/>
              </w:rPr>
              <w:t>(#)</w:t>
            </w:r>
            <w:r>
              <w:rPr>
                <w:rFonts w:ascii="Arial" w:cs="Arial" w:eastAsia="Arial" w:hAnsi="Arial"/>
                <w:sz w:val="21"/>
                <w:szCs w:val="21"/>
                <w:color w:val="003A70"/>
                <w:w w:val="96"/>
                <w:vertAlign w:val="superscript"/>
              </w:rPr>
              <w:t>1</w:t>
            </w:r>
          </w:p>
        </w:tc>
      </w:tr>
      <w:tr>
        <w:trPr>
          <w:trHeight w:val="189"/>
        </w:trPr>
        <w:tc>
          <w:tcPr>
            <w:tcW w:w="7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Matthew E. Avril, Chief Executive Officer, former interim President</w:t>
            </w:r>
          </w:p>
        </w:tc>
        <w:tc>
          <w:tcPr>
            <w:tcW w:w="17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212,184</w:t>
            </w:r>
          </w:p>
        </w:tc>
        <w:tc>
          <w:tcPr>
            <w:tcW w:w="1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381,182</w:t>
            </w:r>
          </w:p>
        </w:tc>
      </w:tr>
      <w:tr>
        <w:trPr>
          <w:trHeight w:val="183"/>
        </w:trPr>
        <w:tc>
          <w:tcPr>
            <w:tcW w:w="7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John E. Geller, Jr., Former President and Chief Executive Officer</w:t>
            </w:r>
          </w:p>
        </w:tc>
        <w:tc>
          <w:tcPr>
            <w:tcW w:w="174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148,192</w:t>
            </w:r>
          </w:p>
        </w:tc>
        <w:tc>
          <w:tcPr>
            <w:tcW w:w="18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color w:val="auto"/>
              </w:rPr>
              <w:t>265,012</w:t>
            </w:r>
          </w:p>
        </w:tc>
      </w:tr>
      <w:tr>
        <w:trPr>
          <w:trHeight w:val="183"/>
        </w:trPr>
        <w:tc>
          <w:tcPr>
            <w:tcW w:w="7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Jason P. Marino, Executive Vice President and Chief Financial Officer</w:t>
            </w:r>
          </w:p>
        </w:tc>
        <w:tc>
          <w:tcPr>
            <w:tcW w:w="174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91,717</w:t>
            </w:r>
          </w:p>
        </w:tc>
        <w:tc>
          <w:tcPr>
            <w:tcW w:w="18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color w:val="auto"/>
              </w:rPr>
              <w:t>102,459</w:t>
            </w:r>
          </w:p>
        </w:tc>
      </w:tr>
      <w:tr>
        <w:trPr>
          <w:trHeight w:val="183"/>
        </w:trPr>
        <w:tc>
          <w:tcPr>
            <w:tcW w:w="7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Brian E. Miller, Former President, Vacation Ownership</w:t>
            </w:r>
          </w:p>
        </w:tc>
        <w:tc>
          <w:tcPr>
            <w:tcW w:w="174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55,441</w:t>
            </w:r>
          </w:p>
        </w:tc>
        <w:tc>
          <w:tcPr>
            <w:tcW w:w="18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color w:val="auto"/>
              </w:rPr>
              <w:t>83,559</w:t>
            </w:r>
          </w:p>
        </w:tc>
      </w:tr>
      <w:tr>
        <w:trPr>
          <w:trHeight w:val="183"/>
        </w:trPr>
        <w:tc>
          <w:tcPr>
            <w:tcW w:w="7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James H Hunter, IV, Former Executive Vice President and General Counsel</w:t>
            </w:r>
          </w:p>
        </w:tc>
        <w:tc>
          <w:tcPr>
            <w:tcW w:w="174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40,866</w:t>
            </w:r>
          </w:p>
        </w:tc>
        <w:tc>
          <w:tcPr>
            <w:tcW w:w="18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color w:val="auto"/>
              </w:rPr>
              <w:t>58,877</w:t>
            </w:r>
          </w:p>
        </w:tc>
      </w:tr>
      <w:tr>
        <w:trPr>
          <w:trHeight w:val="168"/>
        </w:trPr>
        <w:tc>
          <w:tcPr>
            <w:tcW w:w="7440" w:type="dxa"/>
            <w:vAlign w:val="bottom"/>
          </w:tcPr>
          <w:p>
            <w:pPr>
              <w:spacing w:after="0" w:line="168" w:lineRule="exact"/>
              <w:rPr>
                <w:sz w:val="20"/>
                <w:szCs w:val="20"/>
                <w:color w:val="auto"/>
              </w:rPr>
            </w:pPr>
            <w:r>
              <w:rPr>
                <w:rFonts w:ascii="Arial" w:cs="Arial" w:eastAsia="Arial" w:hAnsi="Arial"/>
                <w:sz w:val="16"/>
                <w:szCs w:val="16"/>
                <w:color w:val="auto"/>
              </w:rPr>
              <w:t>Lori M. Gustafson, Executive Vice President and Chief Membership and Commercial Services</w:t>
            </w:r>
          </w:p>
        </w:tc>
        <w:tc>
          <w:tcPr>
            <w:tcW w:w="17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74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Officer</w:t>
            </w:r>
          </w:p>
        </w:tc>
        <w:tc>
          <w:tcPr>
            <w:tcW w:w="17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38,705</w:t>
            </w:r>
          </w:p>
        </w:tc>
        <w:tc>
          <w:tcPr>
            <w:tcW w:w="1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42,234</w:t>
            </w:r>
          </w:p>
        </w:tc>
      </w:tr>
      <w:tr>
        <w:trPr>
          <w:trHeight w:val="183"/>
        </w:trPr>
        <w:tc>
          <w:tcPr>
            <w:tcW w:w="7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All current executive officers as a group</w:t>
            </w:r>
          </w:p>
        </w:tc>
        <w:tc>
          <w:tcPr>
            <w:tcW w:w="174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487,975</w:t>
            </w:r>
          </w:p>
        </w:tc>
        <w:tc>
          <w:tcPr>
            <w:tcW w:w="18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color w:val="auto"/>
              </w:rPr>
              <w:t>939,022</w:t>
            </w:r>
          </w:p>
        </w:tc>
      </w:tr>
      <w:tr>
        <w:trPr>
          <w:trHeight w:val="183"/>
        </w:trPr>
        <w:tc>
          <w:tcPr>
            <w:tcW w:w="7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All current non-employee directors as a group</w:t>
            </w:r>
          </w:p>
        </w:tc>
        <w:tc>
          <w:tcPr>
            <w:tcW w:w="174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color w:val="auto"/>
              </w:rPr>
              <w:t>116,036</w:t>
            </w:r>
          </w:p>
        </w:tc>
      </w:tr>
      <w:tr>
        <w:trPr>
          <w:trHeight w:val="183"/>
        </w:trPr>
        <w:tc>
          <w:tcPr>
            <w:tcW w:w="7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Each associate of any such directors or executive officers</w:t>
            </w:r>
          </w:p>
        </w:tc>
        <w:tc>
          <w:tcPr>
            <w:tcW w:w="174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color w:val="auto"/>
              </w:rPr>
              <w:t>—</w:t>
            </w:r>
          </w:p>
        </w:tc>
      </w:tr>
      <w:tr>
        <w:trPr>
          <w:trHeight w:val="168"/>
        </w:trPr>
        <w:tc>
          <w:tcPr>
            <w:tcW w:w="7440" w:type="dxa"/>
            <w:vAlign w:val="bottom"/>
          </w:tcPr>
          <w:p>
            <w:pPr>
              <w:spacing w:after="0" w:line="168" w:lineRule="exact"/>
              <w:rPr>
                <w:sz w:val="20"/>
                <w:szCs w:val="20"/>
                <w:color w:val="auto"/>
              </w:rPr>
            </w:pPr>
            <w:r>
              <w:rPr>
                <w:rFonts w:ascii="Arial" w:cs="Arial" w:eastAsia="Arial" w:hAnsi="Arial"/>
                <w:sz w:val="16"/>
                <w:szCs w:val="16"/>
                <w:color w:val="auto"/>
              </w:rPr>
              <w:t>Each other person who received or is to receive five percent of such options, warrants or rights not</w:t>
            </w:r>
          </w:p>
        </w:tc>
        <w:tc>
          <w:tcPr>
            <w:tcW w:w="17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74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listed above:</w:t>
            </w:r>
          </w:p>
        </w:tc>
        <w:tc>
          <w:tcPr>
            <w:tcW w:w="17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102,568</w:t>
            </w:r>
          </w:p>
        </w:tc>
        <w:tc>
          <w:tcPr>
            <w:tcW w:w="1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355,749</w:t>
            </w:r>
          </w:p>
        </w:tc>
      </w:tr>
      <w:tr>
        <w:trPr>
          <w:trHeight w:val="182"/>
        </w:trPr>
        <w:tc>
          <w:tcPr>
            <w:tcW w:w="744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color w:val="auto"/>
              </w:rPr>
              <w:t>All other current employees (including all current officers who are not executive officers) as a group</w:t>
            </w:r>
          </w:p>
        </w:tc>
        <w:tc>
          <w:tcPr>
            <w:tcW w:w="1740" w:type="dxa"/>
            <w:vAlign w:val="bottom"/>
            <w:tcBorders>
              <w:bottom w:val="single" w:sz="8" w:color="003A70"/>
            </w:tcBorders>
          </w:tcPr>
          <w:p>
            <w:pPr>
              <w:jc w:val="right"/>
              <w:ind w:right="301"/>
              <w:spacing w:after="0" w:line="183" w:lineRule="exact"/>
              <w:rPr>
                <w:sz w:val="20"/>
                <w:szCs w:val="20"/>
                <w:color w:val="auto"/>
              </w:rPr>
            </w:pPr>
            <w:r>
              <w:rPr>
                <w:rFonts w:ascii="Arial" w:cs="Arial" w:eastAsia="Arial" w:hAnsi="Arial"/>
                <w:sz w:val="16"/>
                <w:szCs w:val="16"/>
                <w:color w:val="auto"/>
              </w:rPr>
              <w:t>53,045</w:t>
            </w:r>
          </w:p>
        </w:tc>
        <w:tc>
          <w:tcPr>
            <w:tcW w:w="1840" w:type="dxa"/>
            <w:vAlign w:val="bottom"/>
            <w:tcBorders>
              <w:bottom w:val="single" w:sz="8" w:color="003A70"/>
            </w:tcBorders>
          </w:tcPr>
          <w:p>
            <w:pPr>
              <w:jc w:val="right"/>
              <w:ind w:right="101"/>
              <w:spacing w:after="0" w:line="183" w:lineRule="exact"/>
              <w:rPr>
                <w:sz w:val="20"/>
                <w:szCs w:val="20"/>
                <w:color w:val="auto"/>
              </w:rPr>
            </w:pPr>
            <w:r>
              <w:rPr>
                <w:rFonts w:ascii="Arial" w:cs="Arial" w:eastAsia="Arial" w:hAnsi="Arial"/>
                <w:sz w:val="16"/>
                <w:szCs w:val="16"/>
                <w:color w:val="auto"/>
              </w:rPr>
              <w:t>1,669,015</w:t>
            </w:r>
          </w:p>
        </w:tc>
      </w:tr>
    </w:tbl>
    <w:p>
      <w:pPr>
        <w:spacing w:after="0" w:line="5"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22"/>
          <w:szCs w:val="22"/>
          <w:color w:val="auto"/>
          <w:vertAlign w:val="superscript"/>
        </w:rPr>
        <w:t>(1)</w:t>
      </w:r>
      <w:r>
        <w:rPr>
          <w:sz w:val="20"/>
          <w:szCs w:val="20"/>
          <w:color w:val="auto"/>
        </w:rPr>
        <w:tab/>
      </w:r>
      <w:r>
        <w:rPr>
          <w:rFonts w:ascii="Arial" w:cs="Arial" w:eastAsia="Arial" w:hAnsi="Arial"/>
          <w:sz w:val="14"/>
          <w:szCs w:val="14"/>
          <w:color w:val="auto"/>
        </w:rPr>
        <w:t>Includes only PSUs, and RSUs. Does not include SARs.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Registration with the SEC</w:t>
      </w:r>
    </w:p>
    <w:p>
      <w:pPr>
        <w:spacing w:after="0" w:line="104"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Subject to stockholder approval of this proposal, the Company intends to file with the SEC a registration statement on Form S-8 covering the new shares reserved for issuance under the Restated Plan in May 2026.</w:t>
      </w:r>
    </w:p>
    <w:p>
      <w:pPr>
        <w:spacing w:after="0" w:line="89" w:lineRule="exact"/>
        <w:rPr>
          <w:sz w:val="20"/>
          <w:szCs w:val="20"/>
          <w:color w:val="auto"/>
        </w:rPr>
      </w:pPr>
    </w:p>
    <w:p>
      <w:pPr>
        <w:ind w:left="120"/>
        <w:spacing w:after="0"/>
        <w:tabs>
          <w:tab w:leader="none" w:pos="5180" w:val="left"/>
          <w:tab w:leader="none" w:pos="7820" w:val="left"/>
        </w:tabs>
        <w:rPr>
          <w:sz w:val="20"/>
          <w:szCs w:val="20"/>
          <w:color w:val="auto"/>
        </w:rPr>
      </w:pPr>
      <w:r>
        <w:rPr>
          <w:rFonts w:ascii="Arial" w:cs="Arial" w:eastAsia="Arial" w:hAnsi="Arial"/>
          <w:sz w:val="11"/>
          <w:szCs w:val="11"/>
          <w:b w:val="1"/>
          <w:bCs w:val="1"/>
          <w:color w:val="003A70"/>
        </w:rPr>
        <w:t>16</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information about our equity compensation plans as of December 31, 2025.</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jc w:val="center"/>
              <w:ind w:left="226"/>
              <w:spacing w:after="0"/>
              <w:rPr>
                <w:sz w:val="20"/>
                <w:szCs w:val="20"/>
                <w:color w:val="auto"/>
              </w:rPr>
            </w:pPr>
            <w:r>
              <w:rPr>
                <w:rFonts w:ascii="Arial" w:cs="Arial" w:eastAsia="Arial" w:hAnsi="Arial"/>
                <w:sz w:val="14"/>
                <w:szCs w:val="14"/>
                <w:color w:val="003A70"/>
              </w:rPr>
              <w:t>Number of securities</w:t>
            </w:r>
          </w:p>
        </w:tc>
      </w:tr>
      <w:tr>
        <w:trPr>
          <w:trHeight w:val="162"/>
        </w:trPr>
        <w:tc>
          <w:tcPr>
            <w:tcW w:w="5000" w:type="dxa"/>
            <w:vAlign w:val="bottom"/>
          </w:tcPr>
          <w:p>
            <w:pPr>
              <w:spacing w:after="0"/>
              <w:rPr>
                <w:sz w:val="14"/>
                <w:szCs w:val="14"/>
                <w:color w:val="auto"/>
              </w:rPr>
            </w:pPr>
          </w:p>
        </w:tc>
        <w:tc>
          <w:tcPr>
            <w:tcW w:w="2300" w:type="dxa"/>
            <w:vAlign w:val="bottom"/>
          </w:tcPr>
          <w:p>
            <w:pPr>
              <w:jc w:val="center"/>
              <w:ind w:left="346"/>
              <w:spacing w:after="0"/>
              <w:rPr>
                <w:sz w:val="20"/>
                <w:szCs w:val="20"/>
                <w:color w:val="auto"/>
              </w:rPr>
            </w:pPr>
            <w:r>
              <w:rPr>
                <w:rFonts w:ascii="Arial" w:cs="Arial" w:eastAsia="Arial" w:hAnsi="Arial"/>
                <w:sz w:val="14"/>
                <w:szCs w:val="14"/>
                <w:color w:val="003A70"/>
              </w:rPr>
              <w:t>Number of securities</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jc w:val="center"/>
              <w:ind w:left="226"/>
              <w:spacing w:after="0"/>
              <w:rPr>
                <w:sz w:val="20"/>
                <w:szCs w:val="20"/>
                <w:color w:val="auto"/>
              </w:rPr>
            </w:pPr>
            <w:r>
              <w:rPr>
                <w:rFonts w:ascii="Arial" w:cs="Arial" w:eastAsia="Arial" w:hAnsi="Arial"/>
                <w:sz w:val="14"/>
                <w:szCs w:val="14"/>
                <w:color w:val="003A70"/>
              </w:rPr>
              <w:t>remaining available</w:t>
            </w:r>
          </w:p>
        </w:tc>
      </w:tr>
      <w:tr>
        <w:trPr>
          <w:trHeight w:val="162"/>
        </w:trPr>
        <w:tc>
          <w:tcPr>
            <w:tcW w:w="5000" w:type="dxa"/>
            <w:vAlign w:val="bottom"/>
          </w:tcPr>
          <w:p>
            <w:pPr>
              <w:spacing w:after="0"/>
              <w:rPr>
                <w:sz w:val="14"/>
                <w:szCs w:val="14"/>
                <w:color w:val="auto"/>
              </w:rPr>
            </w:pPr>
          </w:p>
        </w:tc>
        <w:tc>
          <w:tcPr>
            <w:tcW w:w="2300" w:type="dxa"/>
            <w:vAlign w:val="bottom"/>
          </w:tcPr>
          <w:p>
            <w:pPr>
              <w:jc w:val="center"/>
              <w:ind w:left="326"/>
              <w:spacing w:after="0"/>
              <w:rPr>
                <w:sz w:val="20"/>
                <w:szCs w:val="20"/>
                <w:color w:val="auto"/>
              </w:rPr>
            </w:pPr>
            <w:r>
              <w:rPr>
                <w:rFonts w:ascii="Arial" w:cs="Arial" w:eastAsia="Arial" w:hAnsi="Arial"/>
                <w:sz w:val="14"/>
                <w:szCs w:val="14"/>
                <w:color w:val="003A70"/>
              </w:rPr>
              <w:t>to be issued upon</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jc w:val="center"/>
              <w:ind w:left="206"/>
              <w:spacing w:after="0"/>
              <w:rPr>
                <w:sz w:val="20"/>
                <w:szCs w:val="20"/>
                <w:color w:val="auto"/>
              </w:rPr>
            </w:pPr>
            <w:r>
              <w:rPr>
                <w:rFonts w:ascii="Arial" w:cs="Arial" w:eastAsia="Arial" w:hAnsi="Arial"/>
                <w:sz w:val="14"/>
                <w:szCs w:val="14"/>
                <w:color w:val="003A70"/>
              </w:rPr>
              <w:t>for future issuance</w:t>
            </w:r>
          </w:p>
        </w:tc>
      </w:tr>
      <w:tr>
        <w:trPr>
          <w:trHeight w:val="162"/>
        </w:trPr>
        <w:tc>
          <w:tcPr>
            <w:tcW w:w="5000" w:type="dxa"/>
            <w:vAlign w:val="bottom"/>
          </w:tcPr>
          <w:p>
            <w:pPr>
              <w:spacing w:after="0"/>
              <w:rPr>
                <w:sz w:val="14"/>
                <w:szCs w:val="14"/>
                <w:color w:val="auto"/>
              </w:rPr>
            </w:pPr>
          </w:p>
        </w:tc>
        <w:tc>
          <w:tcPr>
            <w:tcW w:w="2300" w:type="dxa"/>
            <w:vAlign w:val="bottom"/>
          </w:tcPr>
          <w:p>
            <w:pPr>
              <w:jc w:val="center"/>
              <w:ind w:left="326"/>
              <w:spacing w:after="0"/>
              <w:rPr>
                <w:sz w:val="20"/>
                <w:szCs w:val="20"/>
                <w:color w:val="auto"/>
              </w:rPr>
            </w:pPr>
            <w:r>
              <w:rPr>
                <w:rFonts w:ascii="Arial" w:cs="Arial" w:eastAsia="Arial" w:hAnsi="Arial"/>
                <w:sz w:val="14"/>
                <w:szCs w:val="14"/>
                <w:color w:val="003A70"/>
              </w:rPr>
              <w:t>the exercise of</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jc w:val="center"/>
              <w:ind w:left="206"/>
              <w:spacing w:after="0"/>
              <w:rPr>
                <w:sz w:val="20"/>
                <w:szCs w:val="20"/>
                <w:color w:val="auto"/>
              </w:rPr>
            </w:pPr>
            <w:r>
              <w:rPr>
                <w:rFonts w:ascii="Arial" w:cs="Arial" w:eastAsia="Arial" w:hAnsi="Arial"/>
                <w:sz w:val="14"/>
                <w:szCs w:val="14"/>
                <w:color w:val="003A70"/>
              </w:rPr>
              <w:t>under equity</w:t>
            </w:r>
          </w:p>
        </w:tc>
      </w:tr>
      <w:tr>
        <w:trPr>
          <w:trHeight w:val="162"/>
        </w:trPr>
        <w:tc>
          <w:tcPr>
            <w:tcW w:w="5000" w:type="dxa"/>
            <w:vAlign w:val="bottom"/>
          </w:tcPr>
          <w:p>
            <w:pPr>
              <w:spacing w:after="0"/>
              <w:rPr>
                <w:sz w:val="14"/>
                <w:szCs w:val="14"/>
                <w:color w:val="auto"/>
              </w:rPr>
            </w:pPr>
          </w:p>
        </w:tc>
        <w:tc>
          <w:tcPr>
            <w:tcW w:w="2300" w:type="dxa"/>
            <w:vAlign w:val="bottom"/>
          </w:tcPr>
          <w:p>
            <w:pPr>
              <w:jc w:val="center"/>
              <w:ind w:left="346"/>
              <w:spacing w:after="0"/>
              <w:rPr>
                <w:sz w:val="20"/>
                <w:szCs w:val="20"/>
                <w:color w:val="auto"/>
              </w:rPr>
            </w:pPr>
            <w:r>
              <w:rPr>
                <w:rFonts w:ascii="Arial" w:cs="Arial" w:eastAsia="Arial" w:hAnsi="Arial"/>
                <w:sz w:val="14"/>
                <w:szCs w:val="14"/>
                <w:color w:val="003A70"/>
              </w:rPr>
              <w:t>outstanding options,</w:t>
            </w:r>
          </w:p>
        </w:tc>
        <w:tc>
          <w:tcPr>
            <w:tcW w:w="2100" w:type="dxa"/>
            <w:vAlign w:val="bottom"/>
            <w:gridSpan w:val="2"/>
          </w:tcPr>
          <w:p>
            <w:pPr>
              <w:jc w:val="center"/>
              <w:spacing w:after="0"/>
              <w:rPr>
                <w:sz w:val="20"/>
                <w:szCs w:val="20"/>
                <w:color w:val="auto"/>
              </w:rPr>
            </w:pPr>
            <w:r>
              <w:rPr>
                <w:rFonts w:ascii="Arial" w:cs="Arial" w:eastAsia="Arial" w:hAnsi="Arial"/>
                <w:sz w:val="14"/>
                <w:szCs w:val="14"/>
                <w:color w:val="003A70"/>
              </w:rPr>
              <w:t>Weighted-average</w:t>
            </w:r>
          </w:p>
        </w:tc>
        <w:tc>
          <w:tcPr>
            <w:tcW w:w="1620" w:type="dxa"/>
            <w:vAlign w:val="bottom"/>
          </w:tcPr>
          <w:p>
            <w:pPr>
              <w:jc w:val="center"/>
              <w:ind w:left="226"/>
              <w:spacing w:after="0"/>
              <w:rPr>
                <w:sz w:val="20"/>
                <w:szCs w:val="20"/>
                <w:color w:val="auto"/>
              </w:rPr>
            </w:pPr>
            <w:r>
              <w:rPr>
                <w:rFonts w:ascii="Arial" w:cs="Arial" w:eastAsia="Arial" w:hAnsi="Arial"/>
                <w:sz w:val="14"/>
                <w:szCs w:val="14"/>
                <w:color w:val="003A70"/>
              </w:rPr>
              <w:t>compensation plans</w:t>
            </w:r>
          </w:p>
        </w:tc>
      </w:tr>
      <w:tr>
        <w:trPr>
          <w:trHeight w:val="162"/>
        </w:trPr>
        <w:tc>
          <w:tcPr>
            <w:tcW w:w="5000" w:type="dxa"/>
            <w:vAlign w:val="bottom"/>
          </w:tcPr>
          <w:p>
            <w:pPr>
              <w:spacing w:after="0"/>
              <w:rPr>
                <w:sz w:val="14"/>
                <w:szCs w:val="14"/>
                <w:color w:val="auto"/>
              </w:rPr>
            </w:pPr>
          </w:p>
        </w:tc>
        <w:tc>
          <w:tcPr>
            <w:tcW w:w="2300" w:type="dxa"/>
            <w:vAlign w:val="bottom"/>
          </w:tcPr>
          <w:p>
            <w:pPr>
              <w:jc w:val="center"/>
              <w:ind w:left="326"/>
              <w:spacing w:after="0"/>
              <w:rPr>
                <w:sz w:val="20"/>
                <w:szCs w:val="20"/>
                <w:color w:val="auto"/>
              </w:rPr>
            </w:pPr>
            <w:r>
              <w:rPr>
                <w:rFonts w:ascii="Arial" w:cs="Arial" w:eastAsia="Arial" w:hAnsi="Arial"/>
                <w:sz w:val="14"/>
                <w:szCs w:val="14"/>
                <w:color w:val="003A70"/>
              </w:rPr>
              <w:t>warrants, rights and</w:t>
            </w:r>
          </w:p>
        </w:tc>
        <w:tc>
          <w:tcPr>
            <w:tcW w:w="2100" w:type="dxa"/>
            <w:vAlign w:val="bottom"/>
            <w:gridSpan w:val="2"/>
          </w:tcPr>
          <w:p>
            <w:pPr>
              <w:jc w:val="center"/>
              <w:spacing w:after="0"/>
              <w:rPr>
                <w:sz w:val="20"/>
                <w:szCs w:val="20"/>
                <w:color w:val="auto"/>
              </w:rPr>
            </w:pPr>
            <w:r>
              <w:rPr>
                <w:rFonts w:ascii="Arial" w:cs="Arial" w:eastAsia="Arial" w:hAnsi="Arial"/>
                <w:sz w:val="14"/>
                <w:szCs w:val="14"/>
                <w:color w:val="003A70"/>
              </w:rPr>
              <w:t>exercise price of</w:t>
            </w:r>
          </w:p>
        </w:tc>
        <w:tc>
          <w:tcPr>
            <w:tcW w:w="1620" w:type="dxa"/>
            <w:vAlign w:val="bottom"/>
          </w:tcPr>
          <w:p>
            <w:pPr>
              <w:jc w:val="center"/>
              <w:ind w:left="206"/>
              <w:spacing w:after="0"/>
              <w:rPr>
                <w:sz w:val="20"/>
                <w:szCs w:val="20"/>
                <w:color w:val="auto"/>
              </w:rPr>
            </w:pPr>
            <w:r>
              <w:rPr>
                <w:rFonts w:ascii="Arial" w:cs="Arial" w:eastAsia="Arial" w:hAnsi="Arial"/>
                <w:sz w:val="14"/>
                <w:szCs w:val="14"/>
                <w:color w:val="003A70"/>
              </w:rPr>
              <w:t>(excluding securities</w:t>
            </w:r>
          </w:p>
        </w:tc>
      </w:tr>
      <w:tr>
        <w:trPr>
          <w:trHeight w:val="158"/>
        </w:trPr>
        <w:tc>
          <w:tcPr>
            <w:tcW w:w="5000" w:type="dxa"/>
            <w:vAlign w:val="bottom"/>
          </w:tcPr>
          <w:p>
            <w:pPr>
              <w:spacing w:after="0"/>
              <w:rPr>
                <w:sz w:val="13"/>
                <w:szCs w:val="13"/>
                <w:color w:val="auto"/>
              </w:rPr>
            </w:pPr>
          </w:p>
        </w:tc>
        <w:tc>
          <w:tcPr>
            <w:tcW w:w="2300" w:type="dxa"/>
            <w:vAlign w:val="bottom"/>
          </w:tcPr>
          <w:p>
            <w:pPr>
              <w:jc w:val="center"/>
              <w:ind w:left="346"/>
              <w:spacing w:after="0" w:line="158" w:lineRule="exact"/>
              <w:rPr>
                <w:sz w:val="20"/>
                <w:szCs w:val="20"/>
                <w:color w:val="auto"/>
              </w:rPr>
            </w:pPr>
            <w:r>
              <w:rPr>
                <w:rFonts w:ascii="Arial" w:cs="Arial" w:eastAsia="Arial" w:hAnsi="Arial"/>
                <w:sz w:val="14"/>
                <w:szCs w:val="14"/>
                <w:color w:val="003A70"/>
              </w:rPr>
              <w:t>performance share</w:t>
            </w:r>
          </w:p>
        </w:tc>
        <w:tc>
          <w:tcPr>
            <w:tcW w:w="2100" w:type="dxa"/>
            <w:vAlign w:val="bottom"/>
            <w:gridSpan w:val="2"/>
          </w:tcPr>
          <w:p>
            <w:pPr>
              <w:jc w:val="center"/>
              <w:spacing w:after="0" w:line="158" w:lineRule="exact"/>
              <w:rPr>
                <w:sz w:val="20"/>
                <w:szCs w:val="20"/>
                <w:color w:val="auto"/>
              </w:rPr>
            </w:pPr>
            <w:r>
              <w:rPr>
                <w:rFonts w:ascii="Arial" w:cs="Arial" w:eastAsia="Arial" w:hAnsi="Arial"/>
                <w:sz w:val="14"/>
                <w:szCs w:val="14"/>
                <w:color w:val="003A70"/>
              </w:rPr>
              <w:t>outstanding options,</w:t>
            </w:r>
          </w:p>
        </w:tc>
        <w:tc>
          <w:tcPr>
            <w:tcW w:w="1620" w:type="dxa"/>
            <w:vAlign w:val="bottom"/>
          </w:tcPr>
          <w:p>
            <w:pPr>
              <w:jc w:val="center"/>
              <w:ind w:left="206"/>
              <w:spacing w:after="0" w:line="158" w:lineRule="exact"/>
              <w:rPr>
                <w:sz w:val="20"/>
                <w:szCs w:val="20"/>
                <w:color w:val="auto"/>
              </w:rPr>
            </w:pPr>
            <w:r>
              <w:rPr>
                <w:rFonts w:ascii="Arial" w:cs="Arial" w:eastAsia="Arial" w:hAnsi="Arial"/>
                <w:sz w:val="14"/>
                <w:szCs w:val="14"/>
                <w:color w:val="003A70"/>
              </w:rPr>
              <w:t>reflected in the</w:t>
            </w:r>
          </w:p>
        </w:tc>
      </w:tr>
      <w:tr>
        <w:trPr>
          <w:trHeight w:val="182"/>
        </w:trPr>
        <w:tc>
          <w:tcPr>
            <w:tcW w:w="500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Plan Category</w:t>
            </w:r>
          </w:p>
        </w:tc>
        <w:tc>
          <w:tcPr>
            <w:tcW w:w="2300" w:type="dxa"/>
            <w:vAlign w:val="bottom"/>
            <w:tcBorders>
              <w:bottom w:val="single" w:sz="8" w:color="003A70"/>
            </w:tcBorders>
          </w:tcPr>
          <w:p>
            <w:pPr>
              <w:jc w:val="center"/>
              <w:ind w:left="326"/>
              <w:spacing w:after="0" w:line="175" w:lineRule="exact"/>
              <w:rPr>
                <w:sz w:val="20"/>
                <w:szCs w:val="20"/>
                <w:color w:val="auto"/>
              </w:rPr>
            </w:pPr>
            <w:r>
              <w:rPr>
                <w:rFonts w:ascii="Arial" w:cs="Arial" w:eastAsia="Arial" w:hAnsi="Arial"/>
                <w:sz w:val="14"/>
                <w:szCs w:val="14"/>
                <w:color w:val="003A70"/>
                <w:w w:val="96"/>
              </w:rPr>
              <w:t>awards (#)</w:t>
            </w:r>
            <w:r>
              <w:rPr>
                <w:rFonts w:ascii="Arial" w:cs="Arial" w:eastAsia="Arial" w:hAnsi="Arial"/>
                <w:sz w:val="20"/>
                <w:szCs w:val="20"/>
                <w:color w:val="003A70"/>
                <w:w w:val="96"/>
                <w:vertAlign w:val="superscript"/>
              </w:rPr>
              <w:t>1,2</w:t>
            </w:r>
          </w:p>
        </w:tc>
        <w:tc>
          <w:tcPr>
            <w:tcW w:w="2100" w:type="dxa"/>
            <w:vAlign w:val="bottom"/>
            <w:tcBorders>
              <w:bottom w:val="single" w:sz="8" w:color="003A70"/>
            </w:tcBorders>
            <w:gridSpan w:val="2"/>
          </w:tcPr>
          <w:p>
            <w:pPr>
              <w:jc w:val="center"/>
              <w:spacing w:after="0" w:line="175" w:lineRule="exact"/>
              <w:rPr>
                <w:sz w:val="20"/>
                <w:szCs w:val="20"/>
                <w:color w:val="auto"/>
              </w:rPr>
            </w:pPr>
            <w:r>
              <w:rPr>
                <w:rFonts w:ascii="Arial" w:cs="Arial" w:eastAsia="Arial" w:hAnsi="Arial"/>
                <w:sz w:val="14"/>
                <w:szCs w:val="14"/>
                <w:color w:val="003A70"/>
              </w:rPr>
              <w:t>warrants and rights ($)</w:t>
            </w:r>
            <w:r>
              <w:rPr>
                <w:rFonts w:ascii="Arial" w:cs="Arial" w:eastAsia="Arial" w:hAnsi="Arial"/>
                <w:sz w:val="20"/>
                <w:szCs w:val="20"/>
                <w:color w:val="003A70"/>
                <w:vertAlign w:val="superscript"/>
              </w:rPr>
              <w:t>3</w:t>
            </w:r>
          </w:p>
        </w:tc>
        <w:tc>
          <w:tcPr>
            <w:tcW w:w="1620" w:type="dxa"/>
            <w:vAlign w:val="bottom"/>
            <w:tcBorders>
              <w:bottom w:val="single" w:sz="8" w:color="003A70"/>
            </w:tcBorders>
          </w:tcPr>
          <w:p>
            <w:pPr>
              <w:jc w:val="center"/>
              <w:ind w:left="206"/>
              <w:spacing w:after="0" w:line="175" w:lineRule="exact"/>
              <w:rPr>
                <w:sz w:val="20"/>
                <w:szCs w:val="20"/>
                <w:color w:val="auto"/>
              </w:rPr>
            </w:pPr>
            <w:r>
              <w:rPr>
                <w:rFonts w:ascii="Arial" w:cs="Arial" w:eastAsia="Arial" w:hAnsi="Arial"/>
                <w:sz w:val="14"/>
                <w:szCs w:val="14"/>
                <w:color w:val="003A70"/>
              </w:rPr>
              <w:t>first column) (#)</w:t>
            </w:r>
            <w:r>
              <w:rPr>
                <w:rFonts w:ascii="Arial" w:cs="Arial" w:eastAsia="Arial" w:hAnsi="Arial"/>
                <w:sz w:val="20"/>
                <w:szCs w:val="20"/>
                <w:color w:val="003A70"/>
                <w:vertAlign w:val="superscript"/>
              </w:rPr>
              <w:t>4</w:t>
            </w:r>
          </w:p>
        </w:tc>
      </w:tr>
      <w:tr>
        <w:trPr>
          <w:trHeight w:val="189"/>
        </w:trPr>
        <w:tc>
          <w:tcPr>
            <w:tcW w:w="5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230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color w:val="auto"/>
              </w:rPr>
              <w:t>2,989,586</w:t>
            </w:r>
          </w:p>
        </w:tc>
        <w:tc>
          <w:tcPr>
            <w:tcW w:w="210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color w:val="auto"/>
              </w:rPr>
              <w:t>$ 95.47</w:t>
            </w:r>
          </w:p>
        </w:tc>
        <w:tc>
          <w:tcPr>
            <w:tcW w:w="16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997,924</w:t>
            </w:r>
          </w:p>
        </w:tc>
      </w:tr>
      <w:tr>
        <w:trPr>
          <w:trHeight w:val="183"/>
        </w:trPr>
        <w:tc>
          <w:tcPr>
            <w:tcW w:w="50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Equity compensation plans not approved by security holders</w:t>
            </w:r>
          </w:p>
        </w:tc>
        <w:tc>
          <w:tcPr>
            <w:tcW w:w="2300" w:type="dxa"/>
            <w:vAlign w:val="bottom"/>
            <w:tcBorders>
              <w:bottom w:val="single" w:sz="8" w:color="auto"/>
            </w:tcBorders>
          </w:tcPr>
          <w:p>
            <w:pPr>
              <w:jc w:val="right"/>
              <w:ind w:right="206"/>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65"/>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6"/>
              <w:spacing w:after="0" w:line="183" w:lineRule="exact"/>
              <w:rPr>
                <w:sz w:val="20"/>
                <w:szCs w:val="20"/>
                <w:color w:val="auto"/>
              </w:rPr>
            </w:pPr>
            <w:r>
              <w:rPr>
                <w:rFonts w:ascii="Arial" w:cs="Arial" w:eastAsia="Arial" w:hAnsi="Arial"/>
                <w:sz w:val="16"/>
                <w:szCs w:val="16"/>
                <w:color w:val="auto"/>
              </w:rPr>
              <w:t>—</w:t>
            </w:r>
          </w:p>
        </w:tc>
      </w:tr>
      <w:tr>
        <w:trPr>
          <w:trHeight w:val="183"/>
        </w:trPr>
        <w:tc>
          <w:tcPr>
            <w:tcW w:w="500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b w:val="1"/>
                <w:bCs w:val="1"/>
                <w:color w:val="auto"/>
              </w:rPr>
              <w:t>Total</w:t>
            </w:r>
          </w:p>
        </w:tc>
        <w:tc>
          <w:tcPr>
            <w:tcW w:w="2300" w:type="dxa"/>
            <w:vAlign w:val="bottom"/>
            <w:tcBorders>
              <w:bottom w:val="single" w:sz="8" w:color="003A70"/>
            </w:tcBorders>
          </w:tcPr>
          <w:p>
            <w:pPr>
              <w:jc w:val="right"/>
              <w:ind w:right="206"/>
              <w:spacing w:after="0" w:line="183" w:lineRule="exact"/>
              <w:rPr>
                <w:sz w:val="20"/>
                <w:szCs w:val="20"/>
                <w:color w:val="auto"/>
              </w:rPr>
            </w:pPr>
            <w:r>
              <w:rPr>
                <w:rFonts w:ascii="Arial" w:cs="Arial" w:eastAsia="Arial" w:hAnsi="Arial"/>
                <w:sz w:val="16"/>
                <w:szCs w:val="16"/>
                <w:b w:val="1"/>
                <w:bCs w:val="1"/>
                <w:color w:val="auto"/>
              </w:rPr>
              <w:t>2,989,586</w:t>
            </w:r>
          </w:p>
        </w:tc>
        <w:tc>
          <w:tcPr>
            <w:tcW w:w="2100" w:type="dxa"/>
            <w:vAlign w:val="bottom"/>
            <w:tcBorders>
              <w:bottom w:val="single" w:sz="8" w:color="003A70"/>
            </w:tcBorders>
            <w:gridSpan w:val="2"/>
          </w:tcPr>
          <w:p>
            <w:pPr>
              <w:jc w:val="right"/>
              <w:ind w:right="539"/>
              <w:spacing w:after="0" w:line="183" w:lineRule="exact"/>
              <w:rPr>
                <w:sz w:val="20"/>
                <w:szCs w:val="20"/>
                <w:color w:val="auto"/>
              </w:rPr>
            </w:pPr>
            <w:r>
              <w:rPr>
                <w:rFonts w:ascii="Arial" w:cs="Arial" w:eastAsia="Arial" w:hAnsi="Arial"/>
                <w:sz w:val="16"/>
                <w:szCs w:val="16"/>
                <w:b w:val="1"/>
                <w:bCs w:val="1"/>
                <w:color w:val="auto"/>
              </w:rPr>
              <w:t>$95.47</w:t>
            </w:r>
          </w:p>
        </w:tc>
        <w:tc>
          <w:tcPr>
            <w:tcW w:w="1620" w:type="dxa"/>
            <w:vAlign w:val="bottom"/>
            <w:tcBorders>
              <w:bottom w:val="single" w:sz="8" w:color="003A70"/>
            </w:tcBorders>
          </w:tcPr>
          <w:p>
            <w:pPr>
              <w:jc w:val="right"/>
              <w:ind w:right="6"/>
              <w:spacing w:after="0" w:line="183" w:lineRule="exact"/>
              <w:rPr>
                <w:sz w:val="20"/>
                <w:szCs w:val="20"/>
                <w:color w:val="auto"/>
              </w:rPr>
            </w:pPr>
            <w:r>
              <w:rPr>
                <w:rFonts w:ascii="Arial" w:cs="Arial" w:eastAsia="Arial" w:hAnsi="Arial"/>
                <w:sz w:val="16"/>
                <w:szCs w:val="16"/>
                <w:b w:val="1"/>
                <w:bCs w:val="1"/>
                <w:color w:val="auto"/>
              </w:rPr>
              <w:t>997,924</w:t>
            </w:r>
          </w:p>
        </w:tc>
      </w:tr>
    </w:tbl>
    <w:p>
      <w:pPr>
        <w:spacing w:after="0" w:line="72" w:lineRule="exact"/>
        <w:rPr>
          <w:sz w:val="20"/>
          <w:szCs w:val="20"/>
          <w:color w:val="auto"/>
        </w:rPr>
      </w:pPr>
    </w:p>
    <w:p>
      <w:pPr>
        <w:ind w:left="440" w:right="320" w:hanging="324"/>
        <w:spacing w:after="0" w:line="204" w:lineRule="auto"/>
        <w:tabs>
          <w:tab w:leader="none" w:pos="440"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Consists of 1,288,931 SARs to purchase shares of our Common Stock, 369,479 performance shares representing a payout equal to 200% or 250% of target as set forth in the applicable award agreement that would be payable in the event that we achieve the maximum performance level and 1,331,176 non-vested RSUs.</w:t>
      </w:r>
    </w:p>
    <w:p>
      <w:pPr>
        <w:ind w:left="440" w:hanging="324"/>
        <w:spacing w:after="0" w:line="230" w:lineRule="auto"/>
        <w:tabs>
          <w:tab w:leader="none" w:pos="44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We do not pay dividends or dividend equivalents with respect to options to purchase our Common Stock, SARs or PSUs.</w:t>
      </w:r>
    </w:p>
    <w:p>
      <w:pPr>
        <w:spacing w:after="0" w:line="60" w:lineRule="exact"/>
        <w:rPr>
          <w:sz w:val="20"/>
          <w:szCs w:val="20"/>
          <w:color w:val="auto"/>
        </w:rPr>
      </w:pPr>
    </w:p>
    <w:p>
      <w:pPr>
        <w:ind w:left="440" w:right="400" w:hanging="324"/>
        <w:spacing w:after="0" w:line="200" w:lineRule="auto"/>
        <w:tabs>
          <w:tab w:leader="none" w:pos="44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Consists of the weighted-average exercise price of outstanding SARs and does not take into account PSUs and RSUs, which do not have an exercise price. As of December 31, 2025, the weighted-average remaining term of outstanding SARs was five years.</w:t>
      </w:r>
    </w:p>
    <w:p>
      <w:pPr>
        <w:spacing w:after="0" w:line="54" w:lineRule="exact"/>
        <w:rPr>
          <w:sz w:val="20"/>
          <w:szCs w:val="20"/>
          <w:color w:val="auto"/>
        </w:rPr>
      </w:pPr>
    </w:p>
    <w:p>
      <w:pPr>
        <w:ind w:left="440" w:right="80" w:hanging="324"/>
        <w:spacing w:after="0" w:line="204" w:lineRule="auto"/>
        <w:tabs>
          <w:tab w:leader="none" w:pos="44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Consists of 262,108 shares available under the Marriott Vacations Worldwide Corporation Employee Stock Purchase Plan, including 11,102 shares subject to purchase during the purchase periods in effect as of December 31, 2025, and 735,816 shares available under the 2020 Plan.</w:t>
      </w:r>
    </w:p>
    <w:p>
      <w:pPr>
        <w:spacing w:after="0" w:line="357" w:lineRule="exact"/>
        <w:rPr>
          <w:rFonts w:ascii="Arial" w:cs="Arial" w:eastAsia="Arial" w:hAnsi="Arial"/>
          <w:sz w:val="22"/>
          <w:szCs w:val="22"/>
          <w:color w:val="auto"/>
          <w:vertAlign w:val="superscript"/>
        </w:rPr>
      </w:pPr>
    </w:p>
    <w:p>
      <w:pPr>
        <w:ind w:left="3020" w:right="2280" w:hanging="656"/>
        <w:spacing w:after="0" w:line="201" w:lineRule="auto"/>
        <w:tabs>
          <w:tab w:leader="none" w:pos="3020" w:val="left"/>
        </w:tabs>
        <w:numPr>
          <w:ilvl w:val="1"/>
          <w:numId w:val="43"/>
        </w:numPr>
        <w:rPr>
          <w:rFonts w:ascii="MS PGothic" w:cs="MS PGothic" w:eastAsia="MS PGothic" w:hAnsi="MS PGothic"/>
          <w:sz w:val="43"/>
          <w:szCs w:val="43"/>
          <w:color w:val="003A70"/>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21"/>
          <w:szCs w:val="21"/>
          <w:b w:val="1"/>
          <w:bCs w:val="1"/>
          <w:color w:val="003A70"/>
        </w:rPr>
        <w:t>FOR</w:t>
      </w:r>
      <w:r>
        <w:rPr>
          <w:rFonts w:ascii="Arial" w:cs="Arial" w:eastAsia="Arial" w:hAnsi="Arial"/>
          <w:sz w:val="16"/>
          <w:szCs w:val="16"/>
          <w:b w:val="1"/>
          <w:bCs w:val="1"/>
          <w:color w:val="auto"/>
        </w:rPr>
        <w:t xml:space="preserve"> the approval of the Second Amended and Restated Marriott Vacations Worldwide Corporation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-431165</wp:posOffset>
            </wp:positionV>
            <wp:extent cx="4191635" cy="5060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91635" cy="506095"/>
                    </a:xfrm>
                    <a:prstGeom prst="rect">
                      <a:avLst/>
                    </a:prstGeom>
                    <a:noFill/>
                  </pic:spPr>
                </pic:pic>
              </a:graphicData>
            </a:graphic>
          </wp:anchor>
        </w:drawing>
      </w:r>
    </w:p>
    <w:p>
      <w:pPr>
        <w:spacing w:after="0" w:line="231" w:lineRule="exact"/>
        <w:rPr>
          <w:sz w:val="20"/>
          <w:szCs w:val="20"/>
          <w:color w:val="auto"/>
        </w:rPr>
      </w:pPr>
    </w:p>
    <w:p>
      <w:pPr>
        <w:ind w:left="120"/>
        <w:spacing w:after="0"/>
        <w:tabs>
          <w:tab w:leader="none" w:pos="518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b w:val="1"/>
          <w:bCs w:val="1"/>
          <w:color w:val="003A7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5" w:lineRule="exact"/>
        <w:rPr>
          <w:sz w:val="20"/>
          <w:szCs w:val="20"/>
          <w:color w:val="auto"/>
        </w:rPr>
      </w:pPr>
    </w:p>
    <w:p>
      <w:pPr>
        <w:ind w:left="600" w:right="1340"/>
        <w:spacing w:after="0" w:line="281" w:lineRule="auto"/>
        <w:rPr>
          <w:sz w:val="20"/>
          <w:szCs w:val="20"/>
          <w:color w:val="auto"/>
        </w:rPr>
      </w:pPr>
      <w:r>
        <w:rPr>
          <w:rFonts w:ascii="Arial" w:cs="Arial" w:eastAsia="Arial" w:hAnsi="Arial"/>
          <w:sz w:val="53"/>
          <w:szCs w:val="53"/>
          <w:color w:val="auto"/>
        </w:rPr>
        <w:t>REPORT ON 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-869315</wp:posOffset>
            </wp:positionV>
            <wp:extent cx="85725" cy="8312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31215"/>
                    </a:xfrm>
                    <a:prstGeom prst="rect">
                      <a:avLst/>
                    </a:prstGeom>
                    <a:noFill/>
                  </pic:spPr>
                </pic:pic>
              </a:graphicData>
            </a:graphic>
          </wp:anchor>
        </w:drawing>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BOARD OF DIRECTORS</w:t>
      </w:r>
    </w:p>
    <w:p>
      <w:pPr>
        <w:spacing w:after="0" w:line="112"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Our Board currently consists of eleven members. At our 2023 Annual Meeting of Stockholders, our stockholders approved and adopted an amendment to our Certificate of Incorporation to phase in the declassification of our Board commencing with the 2024 Annual Meeting of Stockholders. Under our Certificate of Incorporation, as so amended, directors were first elected for one-year terms at the 2024 Annual Meeting of Stockholders, and beginning with the 2026 Annual Meeting of Stockholders, the entire Board will be elected on an annual basis. With the exceptions of Mr. Andrews and Mr. Shaw, who were last elected at the 2023 Annual Meeting of Stockholders, and Mr. Asmar, who joined the Board pursuant to the Support Agreement, effective May 27, 2025, each of the director nominees was last elected at the 2025 Annual Meeting of Stockholders. The Board does not intend to fill the vacancy created by the expiration of Mr. McCarten’s and Ms. Galligan’s terms; instead, the number of directors will be reduced to nine effective as of the 2026 Annual Meeting.</w:t>
      </w:r>
    </w:p>
    <w:p>
      <w:pPr>
        <w:spacing w:after="0" w:line="268"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color w:val="auto"/>
        </w:rPr>
        <w:t>All of our director nominees currently serve as directors on our Board. The tables below set forth information regarding the members of our Board nominated for re-election. Our Board has determined that all members of our Board are “independent directors” meeting the applicable requirements of the Listing Rules of the New York Stock Exchange (the “NYSE”) other than Matthew E. Avril, our CEO.</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Nominees for Director</w:t>
      </w:r>
    </w:p>
    <w:p>
      <w:pPr>
        <w:spacing w:after="0" w:line="104" w:lineRule="exact"/>
        <w:rPr>
          <w:sz w:val="20"/>
          <w:szCs w:val="20"/>
          <w:color w:val="auto"/>
        </w:rPr>
      </w:pPr>
    </w:p>
    <w:p>
      <w:pPr>
        <w:ind w:left="120" w:right="620"/>
        <w:spacing w:after="0" w:line="286" w:lineRule="auto"/>
        <w:rPr>
          <w:sz w:val="20"/>
          <w:szCs w:val="20"/>
          <w:color w:val="auto"/>
        </w:rPr>
      </w:pPr>
      <w:r>
        <w:rPr>
          <w:rFonts w:ascii="Arial" w:cs="Arial" w:eastAsia="Arial" w:hAnsi="Arial"/>
          <w:sz w:val="16"/>
          <w:szCs w:val="16"/>
          <w:color w:val="auto"/>
        </w:rPr>
        <w:t>The Board has nominated nine directors to be elected at the Annual Meeting to serve for a one-year term ending with the 2027 Annual Meeting of Stockholders, or until the director’s successor is duly elected and qualified, or the director’s earlier death, resignation or removal.</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406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CHARLES E. “C.E.” ANDREWS</w:t>
            </w:r>
          </w:p>
        </w:tc>
        <w:tc>
          <w:tcPr>
            <w:tcW w:w="1780" w:type="dxa"/>
            <w:vAlign w:val="bottom"/>
            <w:tcBorders>
              <w:top w:val="single" w:sz="8" w:color="003A70"/>
            </w:tcBorders>
          </w:tcPr>
          <w:p>
            <w:pPr>
              <w:spacing w:after="0"/>
              <w:rPr>
                <w:sz w:val="20"/>
                <w:szCs w:val="20"/>
                <w:color w:val="auto"/>
              </w:rPr>
            </w:pPr>
          </w:p>
        </w:tc>
        <w:tc>
          <w:tcPr>
            <w:tcW w:w="5180" w:type="dxa"/>
            <w:vAlign w:val="bottom"/>
            <w:tcBorders>
              <w:top w:val="single" w:sz="8" w:color="003A70"/>
            </w:tcBorders>
          </w:tcPr>
          <w:p>
            <w:pPr>
              <w:spacing w:after="0"/>
              <w:rPr>
                <w:sz w:val="20"/>
                <w:szCs w:val="20"/>
                <w:color w:val="auto"/>
              </w:rPr>
            </w:pPr>
          </w:p>
        </w:tc>
      </w:tr>
      <w:tr>
        <w:trPr>
          <w:trHeight w:val="249"/>
        </w:trPr>
        <w:tc>
          <w:tcPr>
            <w:tcW w:w="406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74</w:t>
            </w:r>
          </w:p>
        </w:tc>
        <w:tc>
          <w:tcPr>
            <w:tcW w:w="6960" w:type="dxa"/>
            <w:vAlign w:val="bottom"/>
            <w:gridSpan w:val="2"/>
          </w:tcPr>
          <w:p>
            <w:pPr>
              <w:ind w:left="1680"/>
              <w:spacing w:after="0"/>
              <w:rPr>
                <w:sz w:val="20"/>
                <w:szCs w:val="20"/>
                <w:color w:val="auto"/>
              </w:rPr>
            </w:pPr>
            <w:r>
              <w:rPr>
                <w:rFonts w:ascii="Arial" w:cs="Arial" w:eastAsia="Arial" w:hAnsi="Arial"/>
                <w:sz w:val="16"/>
                <w:szCs w:val="16"/>
                <w:color w:val="auto"/>
              </w:rPr>
              <w:t>Committees:</w:t>
            </w:r>
          </w:p>
        </w:tc>
      </w:tr>
      <w:tr>
        <w:trPr>
          <w:trHeight w:val="189"/>
        </w:trPr>
        <w:tc>
          <w:tcPr>
            <w:tcW w:w="406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tc>
        <w:tc>
          <w:tcPr>
            <w:tcW w:w="1780" w:type="dxa"/>
            <w:vAlign w:val="bottom"/>
          </w:tcPr>
          <w:p>
            <w:pPr>
              <w:ind w:left="168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Audit (Chair)</w:t>
            </w:r>
          </w:p>
        </w:tc>
      </w:tr>
      <w:tr>
        <w:trPr>
          <w:trHeight w:val="189"/>
        </w:trPr>
        <w:tc>
          <w:tcPr>
            <w:tcW w:w="406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6960" w:type="dxa"/>
            <w:vAlign w:val="bottom"/>
            <w:gridSpan w:val="2"/>
          </w:tcPr>
          <w:p>
            <w:pPr>
              <w:ind w:left="168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Nominating and Corporate Governance</w:t>
            </w:r>
          </w:p>
        </w:tc>
      </w:tr>
      <w:tr>
        <w:trPr>
          <w:trHeight w:val="215"/>
        </w:trPr>
        <w:tc>
          <w:tcPr>
            <w:tcW w:w="4060" w:type="dxa"/>
            <w:vAlign w:val="bottom"/>
          </w:tcPr>
          <w:p>
            <w:pPr>
              <w:spacing w:after="0"/>
              <w:rPr>
                <w:sz w:val="18"/>
                <w:szCs w:val="18"/>
                <w:color w:val="auto"/>
              </w:rPr>
            </w:pPr>
          </w:p>
        </w:tc>
        <w:tc>
          <w:tcPr>
            <w:tcW w:w="1780" w:type="dxa"/>
            <w:vAlign w:val="bottom"/>
          </w:tcPr>
          <w:p>
            <w:pPr>
              <w:ind w:left="168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Ad Hoc Committee on Strategic Modernization</w:t>
            </w:r>
          </w:p>
        </w:tc>
      </w:tr>
    </w:tbl>
    <w:p>
      <w:pPr>
        <w:spacing w:after="0" w:line="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Experience</w:t>
      </w:r>
    </w:p>
    <w:p>
      <w:pPr>
        <w:spacing w:after="0" w:line="21" w:lineRule="exact"/>
        <w:rPr>
          <w:sz w:val="20"/>
          <w:szCs w:val="20"/>
          <w:color w:val="auto"/>
        </w:rPr>
      </w:pPr>
    </w:p>
    <w:p>
      <w:pPr>
        <w:ind w:left="120" w:right="160"/>
        <w:spacing w:after="0" w:line="249" w:lineRule="auto"/>
        <w:rPr>
          <w:sz w:val="20"/>
          <w:szCs w:val="20"/>
          <w:color w:val="auto"/>
        </w:rPr>
      </w:pPr>
      <w:r>
        <w:rPr>
          <w:rFonts w:ascii="Arial" w:cs="Arial" w:eastAsia="Arial" w:hAnsi="Arial"/>
          <w:sz w:val="16"/>
          <w:szCs w:val="16"/>
          <w:color w:val="auto"/>
        </w:rPr>
        <w:t>Mr. Andrews was a member of the Board of Directors of, and an advisor to, MorganFranklin Consulting, a business consulting and technology solutions company, from April 2017 through June 2019 when he retired. From May 2013 to March 2017, he served as its CEO. Mr. Andrews was the president of RSM McGladrey Business Services, Inc., an audit and accounting services provider, from June 2009 until February 2012. Prior to that, Mr. Andrews served as the president of SLM Corporation (Sallie Mae), which originates, services and collects student loans. He joined Sallie Mae in 2003 as the Executive Vice President of Accounting and Risk Management and held the title of Chief Financial Officer from 2006 to 2007. Prior to joining Sallie Mae, Mr. Andrews spent approximately 30 years at Arthur Andersen, LLP, an accounting firm. Mr. Andrews serves on the Boards of Directors of Washington Mutual Investors Fund, a publicly traded mutual fund, and NVR, Inc., a publicly traded homebuilder. In addition, he serves on the Board of Directors of Trustar Bank, a state-chartered bank.</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Skills and Experience</w:t>
      </w:r>
    </w:p>
    <w:p>
      <w:pPr>
        <w:spacing w:after="0" w:line="21"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Mr. Andrews brings to the Board, and particularly to the Audit Committee, the extensive financial and accounting expertise that he obtained over his thirty-year career in public accounting, as well as through his role as Chief Financial Officer of Sallie Mae and as a certified public accountant (inactive). Mr. Andrews also has experience as a board member and an officer of publicly traded companies.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1960" w:type="dxa"/>
            <w:vAlign w:val="bottom"/>
          </w:tcPr>
          <w:p>
            <w:pPr>
              <w:ind w:left="240"/>
              <w:spacing w:after="0"/>
              <w:rPr>
                <w:sz w:val="20"/>
                <w:szCs w:val="20"/>
                <w:color w:val="auto"/>
              </w:rPr>
            </w:pPr>
            <w:r>
              <w:rPr>
                <w:rFonts w:ascii="Arial" w:cs="Arial" w:eastAsia="Arial" w:hAnsi="Arial"/>
                <w:sz w:val="13"/>
                <w:szCs w:val="13"/>
                <w:color w:val="003A70"/>
              </w:rPr>
              <w:t>Corporate</w:t>
            </w:r>
          </w:p>
        </w:tc>
        <w:tc>
          <w:tcPr>
            <w:tcW w:w="18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60" w:type="dxa"/>
            <w:vAlign w:val="bottom"/>
          </w:tcPr>
          <w:p>
            <w:pPr>
              <w:ind w:left="360"/>
              <w:spacing w:after="0"/>
              <w:rPr>
                <w:sz w:val="20"/>
                <w:szCs w:val="20"/>
                <w:color w:val="auto"/>
              </w:rPr>
            </w:pPr>
            <w:r>
              <w:rPr>
                <w:rFonts w:ascii="Arial" w:cs="Arial" w:eastAsia="Arial" w:hAnsi="Arial"/>
                <w:sz w:val="13"/>
                <w:szCs w:val="13"/>
                <w:color w:val="003A70"/>
              </w:rPr>
              <w:t>Accounting &amp;</w:t>
            </w:r>
          </w:p>
        </w:tc>
        <w:tc>
          <w:tcPr>
            <w:tcW w:w="1820" w:type="dxa"/>
            <w:vAlign w:val="bottom"/>
          </w:tcPr>
          <w:p>
            <w:pPr>
              <w:ind w:left="440"/>
              <w:spacing w:after="0"/>
              <w:rPr>
                <w:sz w:val="20"/>
                <w:szCs w:val="20"/>
                <w:color w:val="auto"/>
              </w:rPr>
            </w:pPr>
            <w:r>
              <w:rPr>
                <w:rFonts w:ascii="Arial" w:cs="Arial" w:eastAsia="Arial" w:hAnsi="Arial"/>
                <w:sz w:val="13"/>
                <w:szCs w:val="13"/>
                <w:color w:val="003A70"/>
                <w:w w:val="96"/>
              </w:rPr>
              <w:t>Business Development /</w:t>
            </w:r>
          </w:p>
        </w:tc>
      </w:tr>
      <w:tr>
        <w:trPr>
          <w:trHeight w:val="175"/>
        </w:trPr>
        <w:tc>
          <w:tcPr>
            <w:tcW w:w="360" w:type="dxa"/>
            <w:vAlign w:val="bottom"/>
          </w:tcPr>
          <w:p>
            <w:pPr>
              <w:spacing w:after="0"/>
              <w:rPr>
                <w:sz w:val="20"/>
                <w:szCs w:val="20"/>
                <w:color w:val="auto"/>
              </w:rPr>
            </w:pPr>
            <w:r>
              <w:rPr>
                <w:rFonts w:ascii="Arial" w:cs="Arial" w:eastAsia="Arial" w:hAnsi="Arial"/>
                <w:sz w:val="13"/>
                <w:szCs w:val="13"/>
                <w:color w:val="auto"/>
              </w:rPr>
              <w:t> </w:t>
            </w:r>
          </w:p>
        </w:tc>
        <w:tc>
          <w:tcPr>
            <w:tcW w:w="1960" w:type="dxa"/>
            <w:vAlign w:val="bottom"/>
          </w:tcPr>
          <w:p>
            <w:pPr>
              <w:ind w:left="240"/>
              <w:spacing w:after="0"/>
              <w:rPr>
                <w:sz w:val="20"/>
                <w:szCs w:val="20"/>
                <w:color w:val="auto"/>
              </w:rPr>
            </w:pPr>
            <w:r>
              <w:rPr>
                <w:rFonts w:ascii="Arial" w:cs="Arial" w:eastAsia="Arial" w:hAnsi="Arial"/>
                <w:sz w:val="13"/>
                <w:szCs w:val="13"/>
                <w:color w:val="003A70"/>
              </w:rPr>
              <w:t>Leadership</w:t>
            </w:r>
          </w:p>
        </w:tc>
        <w:tc>
          <w:tcPr>
            <w:tcW w:w="1800" w:type="dxa"/>
            <w:vAlign w:val="bottom"/>
          </w:tcPr>
          <w:p>
            <w:pPr>
              <w:ind w:left="420"/>
              <w:spacing w:after="0"/>
              <w:rPr>
                <w:sz w:val="20"/>
                <w:szCs w:val="20"/>
                <w:color w:val="auto"/>
              </w:rPr>
            </w:pPr>
            <w:r>
              <w:rPr>
                <w:rFonts w:ascii="Arial" w:cs="Arial" w:eastAsia="Arial" w:hAnsi="Arial"/>
                <w:sz w:val="13"/>
                <w:szCs w:val="13"/>
                <w:color w:val="003A70"/>
              </w:rPr>
              <w:t>Independence</w:t>
            </w:r>
          </w:p>
        </w:tc>
        <w:tc>
          <w:tcPr>
            <w:tcW w:w="3020" w:type="dxa"/>
            <w:vAlign w:val="bottom"/>
          </w:tcPr>
          <w:p>
            <w:pPr>
              <w:ind w:left="1100"/>
              <w:spacing w:after="0"/>
              <w:rPr>
                <w:sz w:val="20"/>
                <w:szCs w:val="20"/>
                <w:color w:val="auto"/>
              </w:rPr>
            </w:pPr>
            <w:r>
              <w:rPr>
                <w:rFonts w:ascii="Arial" w:cs="Arial" w:eastAsia="Arial" w:hAnsi="Arial"/>
                <w:sz w:val="13"/>
                <w:szCs w:val="13"/>
                <w:color w:val="003A70"/>
              </w:rPr>
              <w:t>Financial &amp; Capital Markets</w:t>
            </w:r>
          </w:p>
        </w:tc>
        <w:tc>
          <w:tcPr>
            <w:tcW w:w="2060" w:type="dxa"/>
            <w:vAlign w:val="bottom"/>
          </w:tcPr>
          <w:p>
            <w:pPr>
              <w:ind w:left="360"/>
              <w:spacing w:after="0"/>
              <w:rPr>
                <w:sz w:val="20"/>
                <w:szCs w:val="20"/>
                <w:color w:val="auto"/>
              </w:rPr>
            </w:pPr>
            <w:r>
              <w:rPr>
                <w:rFonts w:ascii="Arial" w:cs="Arial" w:eastAsia="Arial" w:hAnsi="Arial"/>
                <w:sz w:val="13"/>
                <w:szCs w:val="13"/>
                <w:color w:val="003A70"/>
              </w:rPr>
              <w:t>Financial Reporting</w:t>
            </w:r>
          </w:p>
        </w:tc>
        <w:tc>
          <w:tcPr>
            <w:tcW w:w="1820" w:type="dxa"/>
            <w:vAlign w:val="bottom"/>
          </w:tcPr>
          <w:p>
            <w:pPr>
              <w:ind w:left="440"/>
              <w:spacing w:after="0"/>
              <w:rPr>
                <w:sz w:val="20"/>
                <w:szCs w:val="20"/>
                <w:color w:val="auto"/>
              </w:rPr>
            </w:pPr>
            <w:r>
              <w:rPr>
                <w:rFonts w:ascii="Arial" w:cs="Arial" w:eastAsia="Arial" w:hAnsi="Arial"/>
                <w:sz w:val="13"/>
                <w:szCs w:val="13"/>
                <w:color w:val="003A70"/>
              </w:rPr>
              <w:t>Mergers &amp; Acquisitions</w:t>
            </w:r>
          </w:p>
        </w:tc>
      </w:tr>
      <w:tr>
        <w:trPr>
          <w:trHeight w:val="172"/>
        </w:trPr>
        <w:tc>
          <w:tcPr>
            <w:tcW w:w="360" w:type="dxa"/>
            <w:vAlign w:val="bottom"/>
          </w:tcPr>
          <w:p>
            <w:pPr>
              <w:spacing w:after="0"/>
              <w:rPr>
                <w:sz w:val="14"/>
                <w:szCs w:val="14"/>
                <w:color w:val="auto"/>
              </w:rPr>
            </w:pPr>
          </w:p>
        </w:tc>
        <w:tc>
          <w:tcPr>
            <w:tcW w:w="1960" w:type="dxa"/>
            <w:vAlign w:val="bottom"/>
          </w:tcPr>
          <w:p>
            <w:pPr>
              <w:ind w:left="240"/>
              <w:spacing w:after="0"/>
              <w:rPr>
                <w:sz w:val="20"/>
                <w:szCs w:val="20"/>
                <w:color w:val="auto"/>
              </w:rPr>
            </w:pPr>
            <w:r>
              <w:rPr>
                <w:rFonts w:ascii="Arial" w:cs="Arial" w:eastAsia="Arial" w:hAnsi="Arial"/>
                <w:sz w:val="13"/>
                <w:szCs w:val="13"/>
                <w:color w:val="003A70"/>
              </w:rPr>
              <w:t>Public Company Board</w:t>
            </w:r>
          </w:p>
        </w:tc>
        <w:tc>
          <w:tcPr>
            <w:tcW w:w="1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20" w:type="dxa"/>
            <w:vAlign w:val="bottom"/>
          </w:tcPr>
          <w:p>
            <w:pPr>
              <w:ind w:left="440"/>
              <w:spacing w:after="0"/>
              <w:rPr>
                <w:sz w:val="20"/>
                <w:szCs w:val="20"/>
                <w:color w:val="auto"/>
              </w:rPr>
            </w:pPr>
            <w:r>
              <w:rPr>
                <w:rFonts w:ascii="Arial" w:cs="Arial" w:eastAsia="Arial" w:hAnsi="Arial"/>
                <w:sz w:val="13"/>
                <w:szCs w:val="13"/>
                <w:color w:val="003A70"/>
              </w:rPr>
              <w:t>Legal, Regulatory &amp;</w:t>
            </w:r>
          </w:p>
        </w:tc>
      </w:tr>
      <w:tr>
        <w:trPr>
          <w:trHeight w:val="166"/>
        </w:trPr>
        <w:tc>
          <w:tcPr>
            <w:tcW w:w="360" w:type="dxa"/>
            <w:vAlign w:val="bottom"/>
          </w:tcPr>
          <w:p>
            <w:pPr>
              <w:spacing w:after="0"/>
              <w:rPr>
                <w:sz w:val="14"/>
                <w:szCs w:val="14"/>
                <w:color w:val="auto"/>
              </w:rPr>
            </w:pPr>
          </w:p>
        </w:tc>
        <w:tc>
          <w:tcPr>
            <w:tcW w:w="1960" w:type="dxa"/>
            <w:vAlign w:val="bottom"/>
          </w:tcPr>
          <w:p>
            <w:pPr>
              <w:ind w:left="240"/>
              <w:spacing w:after="0"/>
              <w:rPr>
                <w:sz w:val="20"/>
                <w:szCs w:val="20"/>
                <w:color w:val="auto"/>
              </w:rPr>
            </w:pPr>
            <w:r>
              <w:rPr>
                <w:rFonts w:ascii="Arial" w:cs="Arial" w:eastAsia="Arial" w:hAnsi="Arial"/>
                <w:sz w:val="13"/>
                <w:szCs w:val="13"/>
                <w:color w:val="003A70"/>
              </w:rPr>
              <w:t>Service &amp; Governance</w:t>
            </w:r>
          </w:p>
        </w:tc>
        <w:tc>
          <w:tcPr>
            <w:tcW w:w="1800" w:type="dxa"/>
            <w:vAlign w:val="bottom"/>
          </w:tcPr>
          <w:p>
            <w:pPr>
              <w:ind w:left="420"/>
              <w:spacing w:after="0"/>
              <w:rPr>
                <w:sz w:val="20"/>
                <w:szCs w:val="20"/>
                <w:color w:val="auto"/>
              </w:rPr>
            </w:pPr>
            <w:r>
              <w:rPr>
                <w:rFonts w:ascii="Arial" w:cs="Arial" w:eastAsia="Arial" w:hAnsi="Arial"/>
                <w:sz w:val="13"/>
                <w:szCs w:val="13"/>
                <w:color w:val="003A70"/>
              </w:rPr>
              <w:t>Risk Management</w:t>
            </w:r>
          </w:p>
        </w:tc>
        <w:tc>
          <w:tcPr>
            <w:tcW w:w="3020" w:type="dxa"/>
            <w:vAlign w:val="bottom"/>
          </w:tcPr>
          <w:p>
            <w:pPr>
              <w:ind w:left="1100"/>
              <w:spacing w:after="0"/>
              <w:rPr>
                <w:sz w:val="20"/>
                <w:szCs w:val="20"/>
                <w:color w:val="auto"/>
              </w:rPr>
            </w:pPr>
            <w:r>
              <w:rPr>
                <w:rFonts w:ascii="Arial" w:cs="Arial" w:eastAsia="Arial" w:hAnsi="Arial"/>
                <w:sz w:val="13"/>
                <w:szCs w:val="13"/>
                <w:color w:val="003A70"/>
              </w:rPr>
              <w:t>Strategic Planning</w:t>
            </w:r>
          </w:p>
        </w:tc>
        <w:tc>
          <w:tcPr>
            <w:tcW w:w="2060" w:type="dxa"/>
            <w:vAlign w:val="bottom"/>
          </w:tcPr>
          <w:p>
            <w:pPr>
              <w:ind w:left="360"/>
              <w:spacing w:after="0"/>
              <w:rPr>
                <w:sz w:val="20"/>
                <w:szCs w:val="20"/>
                <w:color w:val="auto"/>
              </w:rPr>
            </w:pPr>
            <w:r>
              <w:rPr>
                <w:rFonts w:ascii="Arial" w:cs="Arial" w:eastAsia="Arial" w:hAnsi="Arial"/>
                <w:sz w:val="13"/>
                <w:szCs w:val="13"/>
                <w:color w:val="003A70"/>
              </w:rPr>
              <w:t>Global Expertise</w:t>
            </w:r>
          </w:p>
        </w:tc>
        <w:tc>
          <w:tcPr>
            <w:tcW w:w="1820" w:type="dxa"/>
            <w:vAlign w:val="bottom"/>
          </w:tcPr>
          <w:p>
            <w:pPr>
              <w:ind w:left="440"/>
              <w:spacing w:after="0"/>
              <w:rPr>
                <w:sz w:val="20"/>
                <w:szCs w:val="20"/>
                <w:color w:val="auto"/>
              </w:rPr>
            </w:pPr>
            <w:r>
              <w:rPr>
                <w:rFonts w:ascii="Arial" w:cs="Arial" w:eastAsia="Arial" w:hAnsi="Arial"/>
                <w:sz w:val="13"/>
                <w:szCs w:val="13"/>
                <w:color w:val="003A70"/>
              </w:rPr>
              <w:t>Government Relations</w:t>
            </w:r>
          </w:p>
        </w:tc>
      </w:tr>
      <w:tr>
        <w:trPr>
          <w:trHeight w:val="190"/>
        </w:trPr>
        <w:tc>
          <w:tcPr>
            <w:tcW w:w="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820" w:type="dxa"/>
            <w:vAlign w:val="bottom"/>
            <w:gridSpan w:val="2"/>
          </w:tcPr>
          <w:p>
            <w:pPr>
              <w:ind w:left="420"/>
              <w:spacing w:after="0"/>
              <w:rPr>
                <w:sz w:val="20"/>
                <w:szCs w:val="20"/>
                <w:color w:val="auto"/>
              </w:rPr>
            </w:pPr>
            <w:r>
              <w:rPr>
                <w:rFonts w:ascii="Arial" w:cs="Arial" w:eastAsia="Arial" w:hAnsi="Arial"/>
                <w:sz w:val="13"/>
                <w:szCs w:val="13"/>
                <w:color w:val="003A70"/>
              </w:rPr>
              <w:t>Human Capital, Professional</w:t>
            </w:r>
          </w:p>
        </w:tc>
        <w:tc>
          <w:tcPr>
            <w:tcW w:w="206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35"/>
        </w:trPr>
        <w:tc>
          <w:tcPr>
            <w:tcW w:w="3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00" w:type="dxa"/>
            <w:vAlign w:val="bottom"/>
          </w:tcPr>
          <w:p>
            <w:pPr>
              <w:ind w:left="420"/>
              <w:spacing w:after="0" w:line="135" w:lineRule="exact"/>
              <w:rPr>
                <w:sz w:val="20"/>
                <w:szCs w:val="20"/>
                <w:color w:val="auto"/>
              </w:rPr>
            </w:pPr>
            <w:r>
              <w:rPr>
                <w:rFonts w:ascii="Arial" w:cs="Arial" w:eastAsia="Arial" w:hAnsi="Arial"/>
                <w:sz w:val="13"/>
                <w:szCs w:val="13"/>
                <w:color w:val="003A70"/>
              </w:rPr>
              <w:t>Development &amp;</w:t>
            </w:r>
          </w:p>
        </w:tc>
        <w:tc>
          <w:tcPr>
            <w:tcW w:w="3020" w:type="dxa"/>
            <w:vAlign w:val="bottom"/>
          </w:tcPr>
          <w:p>
            <w:pPr>
              <w:ind w:left="1100"/>
              <w:spacing w:after="0" w:line="135" w:lineRule="exact"/>
              <w:rPr>
                <w:sz w:val="20"/>
                <w:szCs w:val="20"/>
                <w:color w:val="auto"/>
              </w:rPr>
            </w:pPr>
            <w:r>
              <w:rPr>
                <w:rFonts w:ascii="Arial" w:cs="Arial" w:eastAsia="Arial" w:hAnsi="Arial"/>
                <w:sz w:val="13"/>
                <w:szCs w:val="13"/>
                <w:color w:val="003A70"/>
              </w:rPr>
              <w:t>Technology &amp;</w:t>
            </w:r>
          </w:p>
        </w:tc>
        <w:tc>
          <w:tcPr>
            <w:tcW w:w="2060" w:type="dxa"/>
            <w:vAlign w:val="bottom"/>
          </w:tcPr>
          <w:p>
            <w:pPr>
              <w:ind w:left="360"/>
              <w:spacing w:after="0" w:line="135" w:lineRule="exact"/>
              <w:rPr>
                <w:sz w:val="20"/>
                <w:szCs w:val="20"/>
                <w:color w:val="auto"/>
              </w:rPr>
            </w:pPr>
            <w:r>
              <w:rPr>
                <w:rFonts w:ascii="Arial" w:cs="Arial" w:eastAsia="Arial" w:hAnsi="Arial"/>
                <w:sz w:val="13"/>
                <w:szCs w:val="13"/>
                <w:color w:val="003A70"/>
              </w:rPr>
              <w:t>Vacation Ownership &amp;</w:t>
            </w:r>
          </w:p>
        </w:tc>
        <w:tc>
          <w:tcPr>
            <w:tcW w:w="1820" w:type="dxa"/>
            <w:vAlign w:val="bottom"/>
          </w:tcPr>
          <w:p>
            <w:pPr>
              <w:spacing w:after="0"/>
              <w:rPr>
                <w:sz w:val="11"/>
                <w:szCs w:val="11"/>
                <w:color w:val="auto"/>
              </w:rPr>
            </w:pPr>
          </w:p>
        </w:tc>
      </w:tr>
      <w:tr>
        <w:trPr>
          <w:trHeight w:val="175"/>
        </w:trPr>
        <w:tc>
          <w:tcPr>
            <w:tcW w:w="360" w:type="dxa"/>
            <w:vAlign w:val="bottom"/>
          </w:tcPr>
          <w:p>
            <w:pPr>
              <w:spacing w:after="0"/>
              <w:rPr>
                <w:sz w:val="15"/>
                <w:szCs w:val="15"/>
                <w:color w:val="auto"/>
              </w:rPr>
            </w:pPr>
          </w:p>
        </w:tc>
        <w:tc>
          <w:tcPr>
            <w:tcW w:w="1960" w:type="dxa"/>
            <w:vAlign w:val="bottom"/>
          </w:tcPr>
          <w:p>
            <w:pPr>
              <w:ind w:left="240"/>
              <w:spacing w:after="0"/>
              <w:rPr>
                <w:sz w:val="20"/>
                <w:szCs w:val="20"/>
                <w:color w:val="auto"/>
              </w:rPr>
            </w:pPr>
            <w:r>
              <w:rPr>
                <w:rFonts w:ascii="Arial" w:cs="Arial" w:eastAsia="Arial" w:hAnsi="Arial"/>
                <w:sz w:val="13"/>
                <w:szCs w:val="13"/>
                <w:color w:val="003A70"/>
              </w:rPr>
              <w:t>Compliance</w:t>
            </w:r>
          </w:p>
        </w:tc>
        <w:tc>
          <w:tcPr>
            <w:tcW w:w="1800" w:type="dxa"/>
            <w:vAlign w:val="bottom"/>
          </w:tcPr>
          <w:p>
            <w:pPr>
              <w:ind w:left="420"/>
              <w:spacing w:after="0"/>
              <w:rPr>
                <w:sz w:val="20"/>
                <w:szCs w:val="20"/>
                <w:color w:val="auto"/>
              </w:rPr>
            </w:pPr>
            <w:r>
              <w:rPr>
                <w:rFonts w:ascii="Arial" w:cs="Arial" w:eastAsia="Arial" w:hAnsi="Arial"/>
                <w:sz w:val="13"/>
                <w:szCs w:val="13"/>
                <w:color w:val="003A70"/>
              </w:rPr>
              <w:t>Organizational Culture</w:t>
            </w:r>
          </w:p>
        </w:tc>
        <w:tc>
          <w:tcPr>
            <w:tcW w:w="3020" w:type="dxa"/>
            <w:vAlign w:val="bottom"/>
          </w:tcPr>
          <w:p>
            <w:pPr>
              <w:ind w:left="1100"/>
              <w:spacing w:after="0"/>
              <w:rPr>
                <w:sz w:val="20"/>
                <w:szCs w:val="20"/>
                <w:color w:val="auto"/>
              </w:rPr>
            </w:pPr>
            <w:r>
              <w:rPr>
                <w:rFonts w:ascii="Arial" w:cs="Arial" w:eastAsia="Arial" w:hAnsi="Arial"/>
                <w:sz w:val="13"/>
                <w:szCs w:val="13"/>
                <w:color w:val="003A70"/>
              </w:rPr>
              <w:t>Cybersecurity</w:t>
            </w:r>
          </w:p>
        </w:tc>
        <w:tc>
          <w:tcPr>
            <w:tcW w:w="2060" w:type="dxa"/>
            <w:vAlign w:val="bottom"/>
          </w:tcPr>
          <w:p>
            <w:pPr>
              <w:ind w:left="360"/>
              <w:spacing w:after="0"/>
              <w:rPr>
                <w:sz w:val="20"/>
                <w:szCs w:val="20"/>
                <w:color w:val="auto"/>
              </w:rPr>
            </w:pPr>
            <w:r>
              <w:rPr>
                <w:rFonts w:ascii="Arial" w:cs="Arial" w:eastAsia="Arial" w:hAnsi="Arial"/>
                <w:sz w:val="13"/>
                <w:szCs w:val="13"/>
                <w:color w:val="003A70"/>
              </w:rPr>
              <w:t>Lodging Industry</w:t>
            </w:r>
          </w:p>
        </w:tc>
        <w:tc>
          <w:tcPr>
            <w:tcW w:w="1820" w:type="dxa"/>
            <w:vAlign w:val="bottom"/>
          </w:tcPr>
          <w:p>
            <w:pPr>
              <w:spacing w:after="0"/>
              <w:rPr>
                <w:sz w:val="15"/>
                <w:szCs w:val="15"/>
                <w:color w:val="auto"/>
              </w:rPr>
            </w:pPr>
          </w:p>
        </w:tc>
      </w:tr>
      <w:tr>
        <w:trPr>
          <w:trHeight w:val="324"/>
        </w:trPr>
        <w:tc>
          <w:tcPr>
            <w:tcW w:w="360" w:type="dxa"/>
            <w:vAlign w:val="bottom"/>
            <w:tcBorders>
              <w:bottom w:val="single" w:sz="8" w:color="003A70"/>
            </w:tcBorders>
          </w:tcPr>
          <w:p>
            <w:pPr>
              <w:spacing w:after="0"/>
              <w:rPr>
                <w:sz w:val="20"/>
                <w:szCs w:val="20"/>
                <w:color w:val="auto"/>
              </w:rPr>
            </w:pPr>
            <w:r>
              <w:rPr>
                <w:rFonts w:ascii="Arial" w:cs="Arial" w:eastAsia="Arial" w:hAnsi="Arial"/>
                <w:sz w:val="11"/>
                <w:szCs w:val="11"/>
                <w:b w:val="1"/>
                <w:bCs w:val="1"/>
                <w:color w:val="003A70"/>
              </w:rPr>
              <w:t>18</w:t>
            </w:r>
          </w:p>
        </w:tc>
        <w:tc>
          <w:tcPr>
            <w:tcW w:w="1960" w:type="dxa"/>
            <w:vAlign w:val="bottom"/>
            <w:tcBorders>
              <w:bottom w:val="single" w:sz="8" w:color="003A70"/>
            </w:tcBorders>
          </w:tcPr>
          <w:p>
            <w:pPr>
              <w:spacing w:after="0"/>
              <w:rPr>
                <w:sz w:val="24"/>
                <w:szCs w:val="24"/>
                <w:color w:val="auto"/>
              </w:rPr>
            </w:pPr>
          </w:p>
        </w:tc>
        <w:tc>
          <w:tcPr>
            <w:tcW w:w="1800" w:type="dxa"/>
            <w:vAlign w:val="bottom"/>
            <w:tcBorders>
              <w:bottom w:val="single" w:sz="8" w:color="003A70"/>
            </w:tcBorders>
          </w:tcPr>
          <w:p>
            <w:pPr>
              <w:spacing w:after="0"/>
              <w:rPr>
                <w:sz w:val="24"/>
                <w:szCs w:val="24"/>
                <w:color w:val="auto"/>
              </w:rPr>
            </w:pPr>
          </w:p>
        </w:tc>
        <w:tc>
          <w:tcPr>
            <w:tcW w:w="3020" w:type="dxa"/>
            <w:vAlign w:val="bottom"/>
            <w:tcBorders>
              <w:bottom w:val="single" w:sz="8" w:color="003A70"/>
            </w:tcBorders>
          </w:tcPr>
          <w:p>
            <w:pPr>
              <w:ind w:left="140"/>
              <w:spacing w:after="0"/>
              <w:rPr>
                <w:sz w:val="20"/>
                <w:szCs w:val="20"/>
                <w:color w:val="auto"/>
              </w:rPr>
            </w:pPr>
            <w:r>
              <w:rPr>
                <w:rFonts w:ascii="Arial" w:cs="Arial" w:eastAsia="Arial" w:hAnsi="Arial"/>
                <w:sz w:val="11"/>
                <w:szCs w:val="11"/>
                <w:color w:val="auto"/>
              </w:rPr>
              <w:t>Report on the Board of Directors and its Committees</w:t>
            </w:r>
          </w:p>
        </w:tc>
        <w:tc>
          <w:tcPr>
            <w:tcW w:w="3880" w:type="dxa"/>
            <w:vAlign w:val="bottom"/>
            <w:tcBorders>
              <w:bottom w:val="single" w:sz="8" w:color="003A70"/>
            </w:tcBorders>
            <w:gridSpan w:val="2"/>
          </w:tcPr>
          <w:p>
            <w:pPr>
              <w:ind w:left="580"/>
              <w:spacing w:after="0"/>
              <w:rPr>
                <w:sz w:val="20"/>
                <w:szCs w:val="20"/>
                <w:color w:val="auto"/>
              </w:rPr>
            </w:pPr>
            <w:r>
              <w:rPr>
                <w:rFonts w:ascii="Arial" w:cs="Arial" w:eastAsia="Arial" w:hAnsi="Arial"/>
                <w:sz w:val="11"/>
                <w:szCs w:val="11"/>
                <w:color w:val="auto"/>
                <w:w w:val="97"/>
              </w:rPr>
              <w:t xml:space="preserve">2026 PROXY STATEMENT </w:t>
            </w:r>
            <w:r>
              <w:rPr>
                <w:rFonts w:ascii="Arial" w:cs="Arial" w:eastAsia="Arial" w:hAnsi="Arial"/>
                <w:sz w:val="11"/>
                <w:szCs w:val="11"/>
                <w:b w:val="1"/>
                <w:bCs w:val="1"/>
                <w:color w:val="003A70"/>
                <w:w w:val="97"/>
              </w:rPr>
              <w:t>MARRIOTT VACATIONS WORLDWIDE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-916940</wp:posOffset>
            </wp:positionV>
            <wp:extent cx="10287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-890905</wp:posOffset>
            </wp:positionV>
            <wp:extent cx="16319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3195" cy="13716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-890905</wp:posOffset>
            </wp:positionV>
            <wp:extent cx="16256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-890905</wp:posOffset>
            </wp:positionV>
            <wp:extent cx="13716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-890905</wp:posOffset>
            </wp:positionV>
            <wp:extent cx="14605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-676910</wp:posOffset>
            </wp:positionV>
            <wp:extent cx="15430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-676910</wp:posOffset>
            </wp:positionV>
            <wp:extent cx="13716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-676910</wp:posOffset>
            </wp:positionV>
            <wp:extent cx="14541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-676910</wp:posOffset>
            </wp:positionV>
            <wp:extent cx="14605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-676910</wp:posOffset>
            </wp:positionV>
            <wp:extent cx="1371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-359410</wp:posOffset>
            </wp:positionV>
            <wp:extent cx="18859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8595" cy="13716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-359410</wp:posOffset>
            </wp:positionV>
            <wp:extent cx="13716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-368300</wp:posOffset>
            </wp:positionV>
            <wp:extent cx="13716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-368300</wp:posOffset>
            </wp:positionV>
            <wp:extent cx="12890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72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CHRISTIAN A. ASMAR</w:t>
            </w:r>
          </w:p>
        </w:tc>
        <w:tc>
          <w:tcPr>
            <w:tcW w:w="2120" w:type="dxa"/>
            <w:vAlign w:val="bottom"/>
            <w:tcBorders>
              <w:top w:val="single" w:sz="8" w:color="003A70"/>
            </w:tcBorders>
          </w:tcPr>
          <w:p>
            <w:pPr>
              <w:spacing w:after="0"/>
              <w:rPr>
                <w:sz w:val="20"/>
                <w:szCs w:val="20"/>
                <w:color w:val="auto"/>
              </w:rPr>
            </w:pPr>
          </w:p>
        </w:tc>
        <w:tc>
          <w:tcPr>
            <w:tcW w:w="5180" w:type="dxa"/>
            <w:vAlign w:val="bottom"/>
            <w:tcBorders>
              <w:top w:val="single" w:sz="8" w:color="003A70"/>
            </w:tcBorders>
          </w:tcPr>
          <w:p>
            <w:pPr>
              <w:spacing w:after="0"/>
              <w:rPr>
                <w:sz w:val="20"/>
                <w:szCs w:val="20"/>
                <w:color w:val="auto"/>
              </w:rPr>
            </w:pPr>
          </w:p>
        </w:tc>
      </w:tr>
      <w:tr>
        <w:trPr>
          <w:trHeight w:val="249"/>
        </w:trPr>
        <w:tc>
          <w:tcPr>
            <w:tcW w:w="3720" w:type="dxa"/>
            <w:vAlign w:val="bottom"/>
          </w:tcPr>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43</w:t>
            </w:r>
          </w:p>
        </w:tc>
        <w:tc>
          <w:tcPr>
            <w:tcW w:w="7300" w:type="dxa"/>
            <w:vAlign w:val="bottom"/>
            <w:gridSpan w:val="2"/>
          </w:tcPr>
          <w:p>
            <w:pPr>
              <w:ind w:left="2020"/>
              <w:spacing w:after="0"/>
              <w:rPr>
                <w:sz w:val="20"/>
                <w:szCs w:val="20"/>
                <w:color w:val="auto"/>
              </w:rPr>
            </w:pPr>
            <w:r>
              <w:rPr>
                <w:rFonts w:ascii="Arial" w:cs="Arial" w:eastAsia="Arial" w:hAnsi="Arial"/>
                <w:sz w:val="16"/>
                <w:szCs w:val="16"/>
                <w:color w:val="auto"/>
              </w:rPr>
              <w:t>Committees:</w:t>
            </w:r>
          </w:p>
        </w:tc>
      </w:tr>
      <w:tr>
        <w:trPr>
          <w:trHeight w:val="189"/>
        </w:trPr>
        <w:tc>
          <w:tcPr>
            <w:tcW w:w="3720" w:type="dxa"/>
            <w:vAlign w:val="bottom"/>
          </w:tcPr>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2025</w:t>
            </w:r>
          </w:p>
        </w:tc>
        <w:tc>
          <w:tcPr>
            <w:tcW w:w="2120" w:type="dxa"/>
            <w:vAlign w:val="bottom"/>
          </w:tcPr>
          <w:p>
            <w:pPr>
              <w:ind w:left="202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Compensation Policy</w:t>
            </w:r>
          </w:p>
        </w:tc>
      </w:tr>
      <w:tr>
        <w:trPr>
          <w:trHeight w:val="223"/>
        </w:trPr>
        <w:tc>
          <w:tcPr>
            <w:tcW w:w="3720" w:type="dxa"/>
            <w:vAlign w:val="bottom"/>
          </w:tcPr>
          <w:p>
            <w:pPr>
              <w:spacing w:after="0"/>
              <w:rPr>
                <w:sz w:val="20"/>
                <w:szCs w:val="20"/>
                <w:color w:val="auto"/>
              </w:rPr>
            </w:pPr>
            <w:r>
              <w:rPr>
                <w:rFonts w:ascii="Arial" w:cs="Arial" w:eastAsia="Arial" w:hAnsi="Arial"/>
                <w:sz w:val="16"/>
                <w:szCs w:val="16"/>
                <w:b w:val="1"/>
                <w:bCs w:val="1"/>
                <w:color w:val="auto"/>
              </w:rPr>
              <w:t>Independen</w:t>
            </w:r>
            <w:r>
              <w:rPr>
                <w:rFonts w:ascii="Arial" w:cs="Arial" w:eastAsia="Arial" w:hAnsi="Arial"/>
                <w:sz w:val="16"/>
                <w:szCs w:val="16"/>
                <w:color w:val="auto"/>
              </w:rPr>
              <w:t>t: Yes</w:t>
            </w:r>
          </w:p>
        </w:tc>
        <w:tc>
          <w:tcPr>
            <w:tcW w:w="2120" w:type="dxa"/>
            <w:vAlign w:val="bottom"/>
          </w:tcPr>
          <w:p>
            <w:pPr>
              <w:ind w:left="202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Ad Hoc Committee on Strategic Modernization</w:t>
            </w:r>
          </w:p>
        </w:tc>
      </w:tr>
    </w:tbl>
    <w:p>
      <w:pPr>
        <w:spacing w:after="0" w:line="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Experience</w:t>
      </w:r>
    </w:p>
    <w:p>
      <w:pPr>
        <w:spacing w:after="0" w:line="21"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auto"/>
        </w:rPr>
        <w:t>Mr. Asmar is co-founder and has served as Managing Partner of Impactive Capital LLC, general partner of Impactive Capital LP, an active investment management firm based in New York that serves some of the largest pension, endowment and foundations globally, since April 2018. Prior to founding Impactive Capital, from June 2010 to January 2018, Mr. Asmar was a Managing Director and Investing Partner at Blue Harbour Group, a leading activist investment firm. Mr. Asmar led many of the firm’s investments where he advised CEOs and boards of public companies on capital allocation, environmental, social and governance issues, and strategic considerations. Prior to joining Blue Harbour, from June 2006 to June 2010, Mr. Asmar was a founding team member of Morgan Stanley Infrastructure Partners (“MSIP”), where he worked in infrastructure investments in the energy, transportation and social infrastructure sectors and served on the board of multi-billion dollar private infrastructure assets. Prior to his tenure at MSIP, Mr. Asmar worked in the Investment Banking division at Morgan Stanley where he structured and executed project level financings in emerging markets and Latin America. Mr. Asmar served on the Board of Avid Technology, Inc. (Nasdaq: AVID) from October 2019 to November 2023.</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Skills and Experience</w:t>
      </w:r>
    </w:p>
    <w:p>
      <w:pPr>
        <w:spacing w:after="0" w:line="21" w:lineRule="exact"/>
        <w:rPr>
          <w:sz w:val="20"/>
          <w:szCs w:val="20"/>
          <w:color w:val="auto"/>
        </w:rPr>
      </w:pPr>
    </w:p>
    <w:p>
      <w:pPr>
        <w:ind w:left="120" w:right="360"/>
        <w:spacing w:after="0" w:line="265" w:lineRule="auto"/>
        <w:rPr>
          <w:sz w:val="20"/>
          <w:szCs w:val="20"/>
          <w:color w:val="auto"/>
        </w:rPr>
      </w:pPr>
      <w:r>
        <w:rPr>
          <w:rFonts w:ascii="Arial" w:cs="Arial" w:eastAsia="Arial" w:hAnsi="Arial"/>
          <w:sz w:val="16"/>
          <w:szCs w:val="16"/>
          <w:color w:val="auto"/>
        </w:rPr>
        <w:t>Mr. Asmar provides the Board with the benefit of his extensive experience in capital allocation and investments and his perspective as a principal of a major investor in the Company.</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040" w:type="dxa"/>
            <w:vAlign w:val="bottom"/>
          </w:tcPr>
          <w:p>
            <w:pPr>
              <w:ind w:left="300"/>
              <w:spacing w:after="0"/>
              <w:rPr>
                <w:sz w:val="20"/>
                <w:szCs w:val="20"/>
                <w:color w:val="auto"/>
              </w:rPr>
            </w:pPr>
            <w:r>
              <w:rPr>
                <w:rFonts w:ascii="Arial" w:cs="Arial" w:eastAsia="Arial" w:hAnsi="Arial"/>
                <w:sz w:val="13"/>
                <w:szCs w:val="13"/>
                <w:color w:val="003A70"/>
              </w:rPr>
              <w:t>Corporate</w:t>
            </w:r>
          </w:p>
        </w:tc>
        <w:tc>
          <w:tcPr>
            <w:tcW w:w="19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60" w:type="dxa"/>
            <w:vAlign w:val="bottom"/>
          </w:tcPr>
          <w:p>
            <w:pPr>
              <w:ind w:left="480"/>
              <w:spacing w:after="0"/>
              <w:rPr>
                <w:sz w:val="20"/>
                <w:szCs w:val="20"/>
                <w:color w:val="auto"/>
              </w:rPr>
            </w:pPr>
            <w:r>
              <w:rPr>
                <w:rFonts w:ascii="Arial" w:cs="Arial" w:eastAsia="Arial" w:hAnsi="Arial"/>
                <w:sz w:val="13"/>
                <w:szCs w:val="13"/>
                <w:color w:val="003A70"/>
              </w:rPr>
              <w:t>Accounting &amp;</w:t>
            </w:r>
          </w:p>
        </w:tc>
        <w:tc>
          <w:tcPr>
            <w:tcW w:w="2060" w:type="dxa"/>
            <w:vAlign w:val="bottom"/>
          </w:tcPr>
          <w:p>
            <w:pPr>
              <w:ind w:left="500"/>
              <w:spacing w:after="0"/>
              <w:rPr>
                <w:sz w:val="20"/>
                <w:szCs w:val="20"/>
                <w:color w:val="auto"/>
              </w:rPr>
            </w:pPr>
            <w:r>
              <w:rPr>
                <w:rFonts w:ascii="Arial" w:cs="Arial" w:eastAsia="Arial" w:hAnsi="Arial"/>
                <w:sz w:val="13"/>
                <w:szCs w:val="13"/>
                <w:color w:val="003A70"/>
              </w:rPr>
              <w:t>Business Development /</w:t>
            </w:r>
          </w:p>
        </w:tc>
      </w:tr>
      <w:tr>
        <w:trPr>
          <w:trHeight w:val="175"/>
        </w:trPr>
        <w:tc>
          <w:tcPr>
            <w:tcW w:w="340" w:type="dxa"/>
            <w:vAlign w:val="bottom"/>
          </w:tcPr>
          <w:p>
            <w:pPr>
              <w:spacing w:after="0"/>
              <w:rPr>
                <w:sz w:val="20"/>
                <w:szCs w:val="20"/>
                <w:color w:val="auto"/>
              </w:rPr>
            </w:pPr>
            <w:r>
              <w:rPr>
                <w:rFonts w:ascii="Arial" w:cs="Arial" w:eastAsia="Arial" w:hAnsi="Arial"/>
                <w:sz w:val="13"/>
                <w:szCs w:val="13"/>
                <w:color w:val="auto"/>
              </w:rPr>
              <w:t> </w:t>
            </w:r>
          </w:p>
        </w:tc>
        <w:tc>
          <w:tcPr>
            <w:tcW w:w="2040" w:type="dxa"/>
            <w:vAlign w:val="bottom"/>
          </w:tcPr>
          <w:p>
            <w:pPr>
              <w:ind w:left="300"/>
              <w:spacing w:after="0"/>
              <w:rPr>
                <w:sz w:val="20"/>
                <w:szCs w:val="20"/>
                <w:color w:val="auto"/>
              </w:rPr>
            </w:pPr>
            <w:r>
              <w:rPr>
                <w:rFonts w:ascii="Arial" w:cs="Arial" w:eastAsia="Arial" w:hAnsi="Arial"/>
                <w:sz w:val="13"/>
                <w:szCs w:val="13"/>
                <w:color w:val="003A70"/>
              </w:rPr>
              <w:t>Leadership</w:t>
            </w:r>
          </w:p>
        </w:tc>
        <w:tc>
          <w:tcPr>
            <w:tcW w:w="1920" w:type="dxa"/>
            <w:vAlign w:val="bottom"/>
          </w:tcPr>
          <w:p>
            <w:pPr>
              <w:ind w:left="440"/>
              <w:spacing w:after="0"/>
              <w:rPr>
                <w:sz w:val="20"/>
                <w:szCs w:val="20"/>
                <w:color w:val="auto"/>
              </w:rPr>
            </w:pPr>
            <w:r>
              <w:rPr>
                <w:rFonts w:ascii="Arial" w:cs="Arial" w:eastAsia="Arial" w:hAnsi="Arial"/>
                <w:sz w:val="13"/>
                <w:szCs w:val="13"/>
                <w:color w:val="003A70"/>
              </w:rPr>
              <w:t>Independence</w:t>
            </w:r>
          </w:p>
        </w:tc>
        <w:tc>
          <w:tcPr>
            <w:tcW w:w="2500" w:type="dxa"/>
            <w:vAlign w:val="bottom"/>
          </w:tcPr>
          <w:p>
            <w:pPr>
              <w:ind w:left="480"/>
              <w:spacing w:after="0"/>
              <w:rPr>
                <w:sz w:val="20"/>
                <w:szCs w:val="20"/>
                <w:color w:val="auto"/>
              </w:rPr>
            </w:pPr>
            <w:r>
              <w:rPr>
                <w:rFonts w:ascii="Arial" w:cs="Arial" w:eastAsia="Arial" w:hAnsi="Arial"/>
                <w:sz w:val="13"/>
                <w:szCs w:val="13"/>
                <w:color w:val="003A70"/>
              </w:rPr>
              <w:t>Financial &amp; Capital Markets</w:t>
            </w:r>
          </w:p>
        </w:tc>
        <w:tc>
          <w:tcPr>
            <w:tcW w:w="2060" w:type="dxa"/>
            <w:vAlign w:val="bottom"/>
          </w:tcPr>
          <w:p>
            <w:pPr>
              <w:ind w:left="480"/>
              <w:spacing w:after="0"/>
              <w:rPr>
                <w:sz w:val="20"/>
                <w:szCs w:val="20"/>
                <w:color w:val="auto"/>
              </w:rPr>
            </w:pPr>
            <w:r>
              <w:rPr>
                <w:rFonts w:ascii="Arial" w:cs="Arial" w:eastAsia="Arial" w:hAnsi="Arial"/>
                <w:sz w:val="13"/>
                <w:szCs w:val="13"/>
                <w:color w:val="003A70"/>
              </w:rPr>
              <w:t>Financial Reporting</w:t>
            </w:r>
          </w:p>
        </w:tc>
        <w:tc>
          <w:tcPr>
            <w:tcW w:w="2060" w:type="dxa"/>
            <w:vAlign w:val="bottom"/>
          </w:tcPr>
          <w:p>
            <w:pPr>
              <w:ind w:left="500"/>
              <w:spacing w:after="0"/>
              <w:rPr>
                <w:sz w:val="20"/>
                <w:szCs w:val="20"/>
                <w:color w:val="auto"/>
              </w:rPr>
            </w:pPr>
            <w:r>
              <w:rPr>
                <w:rFonts w:ascii="Arial" w:cs="Arial" w:eastAsia="Arial" w:hAnsi="Arial"/>
                <w:sz w:val="13"/>
                <w:szCs w:val="13"/>
                <w:color w:val="003A70"/>
              </w:rPr>
              <w:t>Mergers &amp; Acquisitions</w:t>
            </w:r>
          </w:p>
        </w:tc>
      </w:tr>
      <w:tr>
        <w:trPr>
          <w:trHeight w:val="310"/>
        </w:trPr>
        <w:tc>
          <w:tcPr>
            <w:tcW w:w="340" w:type="dxa"/>
            <w:vAlign w:val="bottom"/>
          </w:tcPr>
          <w:p>
            <w:pPr>
              <w:spacing w:after="0"/>
              <w:rPr>
                <w:sz w:val="24"/>
                <w:szCs w:val="24"/>
                <w:color w:val="auto"/>
              </w:rPr>
            </w:pPr>
          </w:p>
        </w:tc>
        <w:tc>
          <w:tcPr>
            <w:tcW w:w="2040" w:type="dxa"/>
            <w:vAlign w:val="bottom"/>
          </w:tcPr>
          <w:p>
            <w:pPr>
              <w:ind w:left="300"/>
              <w:spacing w:after="0"/>
              <w:rPr>
                <w:sz w:val="20"/>
                <w:szCs w:val="20"/>
                <w:color w:val="auto"/>
              </w:rPr>
            </w:pPr>
            <w:r>
              <w:rPr>
                <w:rFonts w:ascii="Arial" w:cs="Arial" w:eastAsia="Arial" w:hAnsi="Arial"/>
                <w:sz w:val="13"/>
                <w:szCs w:val="13"/>
                <w:color w:val="003A70"/>
              </w:rPr>
              <w:t>Diversity</w:t>
            </w:r>
          </w:p>
        </w:tc>
        <w:tc>
          <w:tcPr>
            <w:tcW w:w="1920" w:type="dxa"/>
            <w:vAlign w:val="bottom"/>
          </w:tcPr>
          <w:p>
            <w:pPr>
              <w:ind w:left="440"/>
              <w:spacing w:after="0"/>
              <w:rPr>
                <w:sz w:val="20"/>
                <w:szCs w:val="20"/>
                <w:color w:val="auto"/>
              </w:rPr>
            </w:pPr>
            <w:r>
              <w:rPr>
                <w:rFonts w:ascii="Arial" w:cs="Arial" w:eastAsia="Arial" w:hAnsi="Arial"/>
                <w:sz w:val="13"/>
                <w:szCs w:val="13"/>
                <w:color w:val="003A70"/>
              </w:rPr>
              <w:t>Risk Management</w:t>
            </w:r>
          </w:p>
        </w:tc>
        <w:tc>
          <w:tcPr>
            <w:tcW w:w="2500" w:type="dxa"/>
            <w:vAlign w:val="bottom"/>
          </w:tcPr>
          <w:p>
            <w:pPr>
              <w:ind w:left="480"/>
              <w:spacing w:after="0"/>
              <w:rPr>
                <w:sz w:val="20"/>
                <w:szCs w:val="20"/>
                <w:color w:val="auto"/>
              </w:rPr>
            </w:pPr>
            <w:r>
              <w:rPr>
                <w:rFonts w:ascii="Arial" w:cs="Arial" w:eastAsia="Arial" w:hAnsi="Arial"/>
                <w:sz w:val="13"/>
                <w:szCs w:val="13"/>
                <w:color w:val="003A70"/>
              </w:rPr>
              <w:t>Strategic Planning</w:t>
            </w:r>
          </w:p>
        </w:tc>
        <w:tc>
          <w:tcPr>
            <w:tcW w:w="2060" w:type="dxa"/>
            <w:vAlign w:val="bottom"/>
          </w:tcPr>
          <w:p>
            <w:pPr>
              <w:ind w:left="480"/>
              <w:spacing w:after="0"/>
              <w:rPr>
                <w:sz w:val="20"/>
                <w:szCs w:val="20"/>
                <w:color w:val="auto"/>
              </w:rPr>
            </w:pPr>
            <w:r>
              <w:rPr>
                <w:rFonts w:ascii="Arial" w:cs="Arial" w:eastAsia="Arial" w:hAnsi="Arial"/>
                <w:sz w:val="13"/>
                <w:szCs w:val="13"/>
                <w:color w:val="003A70"/>
              </w:rPr>
              <w:t>Global Expertise</w:t>
            </w:r>
          </w:p>
        </w:tc>
        <w:tc>
          <w:tcPr>
            <w:tcW w:w="2060" w:type="dxa"/>
            <w:vAlign w:val="bottom"/>
          </w:tcPr>
          <w:p>
            <w:pPr>
              <w:ind w:left="500"/>
              <w:spacing w:after="0"/>
              <w:rPr>
                <w:sz w:val="20"/>
                <w:szCs w:val="20"/>
                <w:color w:val="auto"/>
              </w:rPr>
            </w:pPr>
            <w:r>
              <w:rPr>
                <w:rFonts w:ascii="Arial" w:cs="Arial" w:eastAsia="Arial" w:hAnsi="Arial"/>
                <w:sz w:val="13"/>
                <w:szCs w:val="13"/>
                <w:color w:val="003A70"/>
                <w:w w:val="94"/>
              </w:rPr>
              <w:t>Technology &amp; Cybersecurity</w:t>
            </w:r>
          </w:p>
        </w:tc>
      </w:tr>
      <w:tr>
        <w:trPr>
          <w:trHeight w:val="253"/>
        </w:trPr>
        <w:tc>
          <w:tcPr>
            <w:tcW w:w="340" w:type="dxa"/>
            <w:vAlign w:val="bottom"/>
          </w:tcPr>
          <w:p>
            <w:pPr>
              <w:spacing w:after="0"/>
              <w:rPr>
                <w:sz w:val="21"/>
                <w:szCs w:val="21"/>
                <w:color w:val="auto"/>
              </w:rPr>
            </w:pPr>
          </w:p>
        </w:tc>
        <w:tc>
          <w:tcPr>
            <w:tcW w:w="2040" w:type="dxa"/>
            <w:vAlign w:val="bottom"/>
          </w:tcPr>
          <w:p>
            <w:pPr>
              <w:ind w:left="300"/>
              <w:spacing w:after="0"/>
              <w:rPr>
                <w:sz w:val="20"/>
                <w:szCs w:val="20"/>
                <w:color w:val="auto"/>
              </w:rPr>
            </w:pPr>
            <w:r>
              <w:rPr>
                <w:rFonts w:ascii="Arial" w:cs="Arial" w:eastAsia="Arial" w:hAnsi="Arial"/>
                <w:sz w:val="13"/>
                <w:szCs w:val="13"/>
                <w:color w:val="003A70"/>
              </w:rPr>
              <w:t>Public Company Board</w:t>
            </w:r>
          </w:p>
        </w:tc>
        <w:tc>
          <w:tcPr>
            <w:tcW w:w="19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166"/>
        </w:trPr>
        <w:tc>
          <w:tcPr>
            <w:tcW w:w="340" w:type="dxa"/>
            <w:vAlign w:val="bottom"/>
          </w:tcPr>
          <w:p>
            <w:pPr>
              <w:spacing w:after="0"/>
              <w:rPr>
                <w:sz w:val="14"/>
                <w:szCs w:val="14"/>
                <w:color w:val="auto"/>
              </w:rPr>
            </w:pPr>
          </w:p>
        </w:tc>
        <w:tc>
          <w:tcPr>
            <w:tcW w:w="2040" w:type="dxa"/>
            <w:vAlign w:val="bottom"/>
          </w:tcPr>
          <w:p>
            <w:pPr>
              <w:ind w:left="300"/>
              <w:spacing w:after="0"/>
              <w:rPr>
                <w:sz w:val="20"/>
                <w:szCs w:val="20"/>
                <w:color w:val="auto"/>
              </w:rPr>
            </w:pPr>
            <w:r>
              <w:rPr>
                <w:rFonts w:ascii="Arial" w:cs="Arial" w:eastAsia="Arial" w:hAnsi="Arial"/>
                <w:sz w:val="13"/>
                <w:szCs w:val="13"/>
                <w:color w:val="003A70"/>
              </w:rPr>
              <w:t>Service &amp; Governance</w:t>
            </w:r>
          </w:p>
        </w:tc>
        <w:tc>
          <w:tcPr>
            <w:tcW w:w="1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-633730</wp:posOffset>
            </wp:positionV>
            <wp:extent cx="10287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-607695</wp:posOffset>
            </wp:positionV>
            <wp:extent cx="16256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-607695</wp:posOffset>
            </wp:positionV>
            <wp:extent cx="16256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-607695</wp:posOffset>
            </wp:positionV>
            <wp:extent cx="13716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-607695</wp:posOffset>
            </wp:positionV>
            <wp:extent cx="14605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-410845</wp:posOffset>
            </wp:positionV>
            <wp:extent cx="14541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-410845</wp:posOffset>
            </wp:positionV>
            <wp:extent cx="13716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-410845</wp:posOffset>
            </wp:positionV>
            <wp:extent cx="14605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-410845</wp:posOffset>
            </wp:positionV>
            <wp:extent cx="14605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-410845</wp:posOffset>
            </wp:positionV>
            <wp:extent cx="13716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-136525</wp:posOffset>
            </wp:positionV>
            <wp:extent cx="15430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4305" cy="13716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64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MATTHEW E. AVRIL</w:t>
            </w:r>
          </w:p>
        </w:tc>
        <w:tc>
          <w:tcPr>
            <w:tcW w:w="7380" w:type="dxa"/>
            <w:vAlign w:val="bottom"/>
            <w:tcBorders>
              <w:top w:val="single" w:sz="8" w:color="003A70"/>
            </w:tcBorders>
          </w:tcPr>
          <w:p>
            <w:pPr>
              <w:spacing w:after="0"/>
              <w:rPr>
                <w:sz w:val="20"/>
                <w:szCs w:val="20"/>
                <w:color w:val="auto"/>
              </w:rPr>
            </w:pPr>
          </w:p>
        </w:tc>
      </w:tr>
      <w:tr>
        <w:trPr>
          <w:trHeight w:val="249"/>
        </w:trPr>
        <w:tc>
          <w:tcPr>
            <w:tcW w:w="3640" w:type="dxa"/>
            <w:vAlign w:val="bottom"/>
          </w:tcPr>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65</w:t>
            </w:r>
          </w:p>
        </w:tc>
        <w:tc>
          <w:tcPr>
            <w:tcW w:w="7380" w:type="dxa"/>
            <w:vAlign w:val="bottom"/>
          </w:tcPr>
          <w:p>
            <w:pPr>
              <w:spacing w:after="0"/>
              <w:rPr>
                <w:sz w:val="21"/>
                <w:szCs w:val="21"/>
                <w:color w:val="auto"/>
              </w:rPr>
            </w:pPr>
          </w:p>
        </w:tc>
      </w:tr>
      <w:tr>
        <w:trPr>
          <w:trHeight w:val="189"/>
        </w:trPr>
        <w:tc>
          <w:tcPr>
            <w:tcW w:w="3640" w:type="dxa"/>
            <w:vAlign w:val="bottom"/>
          </w:tcPr>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2025</w:t>
            </w:r>
          </w:p>
        </w:tc>
        <w:tc>
          <w:tcPr>
            <w:tcW w:w="7380" w:type="dxa"/>
            <w:vAlign w:val="bottom"/>
          </w:tcPr>
          <w:p>
            <w:pPr>
              <w:ind w:left="2100"/>
              <w:spacing w:after="0"/>
              <w:rPr>
                <w:sz w:val="20"/>
                <w:szCs w:val="20"/>
                <w:color w:val="auto"/>
              </w:rPr>
            </w:pPr>
            <w:r>
              <w:rPr>
                <w:rFonts w:ascii="Arial" w:cs="Arial" w:eastAsia="Arial" w:hAnsi="Arial"/>
                <w:sz w:val="16"/>
                <w:szCs w:val="16"/>
                <w:color w:val="auto"/>
              </w:rPr>
              <w:t>Committees:</w:t>
            </w:r>
          </w:p>
        </w:tc>
      </w:tr>
      <w:tr>
        <w:trPr>
          <w:trHeight w:val="228"/>
        </w:trPr>
        <w:tc>
          <w:tcPr>
            <w:tcW w:w="3640" w:type="dxa"/>
            <w:vAlign w:val="bottom"/>
          </w:tcPr>
          <w:p>
            <w:pPr>
              <w:spacing w:after="0"/>
              <w:rPr>
                <w:sz w:val="20"/>
                <w:szCs w:val="20"/>
                <w:color w:val="auto"/>
              </w:rPr>
            </w:pPr>
            <w:r>
              <w:rPr>
                <w:rFonts w:ascii="Arial" w:cs="Arial" w:eastAsia="Arial" w:hAnsi="Arial"/>
                <w:sz w:val="16"/>
                <w:szCs w:val="16"/>
                <w:b w:val="1"/>
                <w:bCs w:val="1"/>
                <w:color w:val="auto"/>
              </w:rPr>
              <w:t>Independen</w:t>
            </w:r>
            <w:r>
              <w:rPr>
                <w:rFonts w:ascii="Arial" w:cs="Arial" w:eastAsia="Arial" w:hAnsi="Arial"/>
                <w:sz w:val="16"/>
                <w:szCs w:val="16"/>
                <w:color w:val="auto"/>
              </w:rPr>
              <w:t>t: No</w:t>
            </w:r>
          </w:p>
        </w:tc>
        <w:tc>
          <w:tcPr>
            <w:tcW w:w="7380" w:type="dxa"/>
            <w:vAlign w:val="bottom"/>
          </w:tcPr>
          <w:p>
            <w:pPr>
              <w:ind w:left="210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Ad Hoc Committee on Strategic Modernization (Chair)</w:t>
            </w:r>
          </w:p>
        </w:tc>
      </w:tr>
    </w:tbl>
    <w:p>
      <w:pPr>
        <w:spacing w:after="0" w:line="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Experience</w:t>
      </w:r>
    </w:p>
    <w:p>
      <w:pPr>
        <w:spacing w:after="0" w:line="21"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auto"/>
        </w:rPr>
        <w:t>Matthew E. Avril has served as our CEO since February 2026, after serving as our interim President and CEO from November 2025 to February 2026. Mr. Avril has over 30 years of executive experience, principally in the hospitality and vacation ownership industry. Mr. Avril has been a self-employed consultant since March 2017. He previously served as CEO of Diamond Resorts International, Inc., a hospitality and vacation ownership company, from November 2016 to March 2017. Prior to that, he was CEO-elect for Vistana Signature Experiences, Inc. (“Vistana”), a vacation ownership business, from February 2015 to May 2016, after his retirement as President, Hotel Group, for Starwood Hotels &amp; Resorts Worldwide, Inc., a publicly traded hotel and leisure company (“Starwood”) – a position he held from September 2008 to December 2012. In this role, he was responsible for hotel operations worldwide for Starwood’s nine hotel brands, consisting of 960 properties in more than approximately 97 countries. Before that, from 2002 to 2008, he served in a number of executive leadership positions with Starwood, and from 1989 to 1998, held various senior leadership positions with Vistana including President and Managing Director of Operations. Mr. Avril previously served as a director and Chairman of the Board of Directors of Franchise Group, Inc. from 2019 to 2023 and Babcock &amp; Wilcox Enterprises, Inc. from 2018 to 2022.</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Skills and Experience</w:t>
      </w:r>
    </w:p>
    <w:p>
      <w:pPr>
        <w:spacing w:after="0" w:line="21"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Mr. Avril provides the Board with the benefit of his over 30 years of executive experience, principally in the hospitality and vacation ownership industries, including as former CEO of Diamond Resorts International Inc., as former President, Hotel Group of Starwood Hotels &amp; Resorts Worldwide, Inc., and as former President and Managing Director of Operations of Starwood Vacation Ownership (later renamed Vistana Signature Experiences, Inc.), a division of Starwood Hotels &amp; Resorts Worldwide. The Board also benefits from his accounting and financial expertise as a certified public accountant (inactive), and his experience having served as a chair and member of the boards of directors and committees of the boards of directors of other publicly traded companies.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003A70"/>
              </w:rPr>
              <w:t>Corporate</w:t>
            </w:r>
          </w:p>
        </w:tc>
        <w:tc>
          <w:tcPr>
            <w:tcW w:w="2080" w:type="dxa"/>
            <w:vAlign w:val="bottom"/>
          </w:tcPr>
          <w:p>
            <w:pPr>
              <w:spacing w:after="0"/>
              <w:rPr>
                <w:sz w:val="12"/>
                <w:szCs w:val="12"/>
                <w:color w:val="auto"/>
              </w:rPr>
            </w:pPr>
          </w:p>
        </w:tc>
        <w:tc>
          <w:tcPr>
            <w:tcW w:w="2840" w:type="dxa"/>
            <w:vAlign w:val="bottom"/>
          </w:tcPr>
          <w:p>
            <w:pPr>
              <w:ind w:left="600"/>
              <w:spacing w:after="0"/>
              <w:rPr>
                <w:sz w:val="20"/>
                <w:szCs w:val="20"/>
                <w:color w:val="auto"/>
              </w:rPr>
            </w:pPr>
            <w:r>
              <w:rPr>
                <w:rFonts w:ascii="Arial" w:cs="Arial" w:eastAsia="Arial" w:hAnsi="Arial"/>
                <w:sz w:val="13"/>
                <w:szCs w:val="13"/>
                <w:color w:val="003A70"/>
              </w:rPr>
              <w:t>Accounting &amp;</w:t>
            </w:r>
          </w:p>
        </w:tc>
        <w:tc>
          <w:tcPr>
            <w:tcW w:w="1980" w:type="dxa"/>
            <w:vAlign w:val="bottom"/>
          </w:tcPr>
          <w:p>
            <w:pPr>
              <w:ind w:left="200"/>
              <w:spacing w:after="0"/>
              <w:rPr>
                <w:sz w:val="20"/>
                <w:szCs w:val="20"/>
                <w:color w:val="auto"/>
              </w:rPr>
            </w:pPr>
            <w:r>
              <w:rPr>
                <w:rFonts w:ascii="Arial" w:cs="Arial" w:eastAsia="Arial" w:hAnsi="Arial"/>
                <w:sz w:val="13"/>
                <w:szCs w:val="13"/>
                <w:color w:val="003A70"/>
              </w:rPr>
              <w:t>Business Development /</w:t>
            </w:r>
          </w:p>
        </w:tc>
        <w:tc>
          <w:tcPr>
            <w:tcW w:w="2080" w:type="dxa"/>
            <w:vAlign w:val="bottom"/>
          </w:tcPr>
          <w:p>
            <w:pPr>
              <w:ind w:left="420"/>
              <w:spacing w:after="0"/>
              <w:rPr>
                <w:sz w:val="20"/>
                <w:szCs w:val="20"/>
                <w:color w:val="auto"/>
              </w:rPr>
            </w:pPr>
            <w:r>
              <w:rPr>
                <w:rFonts w:ascii="Arial" w:cs="Arial" w:eastAsia="Arial" w:hAnsi="Arial"/>
                <w:sz w:val="13"/>
                <w:szCs w:val="13"/>
                <w:color w:val="003A70"/>
              </w:rPr>
              <w:t>Public Company Board</w:t>
            </w:r>
          </w:p>
        </w:tc>
      </w:tr>
      <w:tr>
        <w:trPr>
          <w:trHeight w:val="175"/>
        </w:trPr>
        <w:tc>
          <w:tcPr>
            <w:tcW w:w="240" w:type="dxa"/>
            <w:vAlign w:val="bottom"/>
          </w:tcPr>
          <w:p>
            <w:pPr>
              <w:ind w:left="40"/>
              <w:spacing w:after="0"/>
              <w:rPr>
                <w:sz w:val="20"/>
                <w:szCs w:val="20"/>
                <w:color w:val="auto"/>
              </w:rPr>
            </w:pPr>
            <w:r>
              <w:rPr>
                <w:rFonts w:ascii="Arial" w:cs="Arial" w:eastAsia="Arial" w:hAnsi="Arial"/>
                <w:sz w:val="13"/>
                <w:szCs w:val="13"/>
                <w:color w:val="auto"/>
              </w:rPr>
              <w:t> </w:t>
            </w:r>
          </w:p>
        </w:tc>
        <w:tc>
          <w:tcPr>
            <w:tcW w:w="1800" w:type="dxa"/>
            <w:vAlign w:val="bottom"/>
          </w:tcPr>
          <w:p>
            <w:pPr>
              <w:ind w:left="160"/>
              <w:spacing w:after="0"/>
              <w:rPr>
                <w:sz w:val="20"/>
                <w:szCs w:val="20"/>
                <w:color w:val="auto"/>
              </w:rPr>
            </w:pPr>
            <w:r>
              <w:rPr>
                <w:rFonts w:ascii="Arial" w:cs="Arial" w:eastAsia="Arial" w:hAnsi="Arial"/>
                <w:sz w:val="13"/>
                <w:szCs w:val="13"/>
                <w:color w:val="003A70"/>
              </w:rPr>
              <w:t>Leadership</w:t>
            </w:r>
          </w:p>
        </w:tc>
        <w:tc>
          <w:tcPr>
            <w:tcW w:w="2080" w:type="dxa"/>
            <w:vAlign w:val="bottom"/>
          </w:tcPr>
          <w:p>
            <w:pPr>
              <w:ind w:left="400"/>
              <w:spacing w:after="0"/>
              <w:rPr>
                <w:sz w:val="20"/>
                <w:szCs w:val="20"/>
                <w:color w:val="auto"/>
              </w:rPr>
            </w:pPr>
            <w:r>
              <w:rPr>
                <w:rFonts w:ascii="Arial" w:cs="Arial" w:eastAsia="Arial" w:hAnsi="Arial"/>
                <w:sz w:val="13"/>
                <w:szCs w:val="13"/>
                <w:color w:val="003A70"/>
              </w:rPr>
              <w:t>Financial &amp; Capital Markets</w:t>
            </w:r>
          </w:p>
        </w:tc>
        <w:tc>
          <w:tcPr>
            <w:tcW w:w="2840" w:type="dxa"/>
            <w:vAlign w:val="bottom"/>
          </w:tcPr>
          <w:p>
            <w:pPr>
              <w:ind w:left="600"/>
              <w:spacing w:after="0"/>
              <w:rPr>
                <w:sz w:val="20"/>
                <w:szCs w:val="20"/>
                <w:color w:val="auto"/>
              </w:rPr>
            </w:pPr>
            <w:r>
              <w:rPr>
                <w:rFonts w:ascii="Arial" w:cs="Arial" w:eastAsia="Arial" w:hAnsi="Arial"/>
                <w:sz w:val="13"/>
                <w:szCs w:val="13"/>
                <w:color w:val="003A70"/>
              </w:rPr>
              <w:t>Financial Reporting</w:t>
            </w:r>
          </w:p>
        </w:tc>
        <w:tc>
          <w:tcPr>
            <w:tcW w:w="1980" w:type="dxa"/>
            <w:vAlign w:val="bottom"/>
          </w:tcPr>
          <w:p>
            <w:pPr>
              <w:ind w:left="200"/>
              <w:spacing w:after="0"/>
              <w:rPr>
                <w:sz w:val="20"/>
                <w:szCs w:val="20"/>
                <w:color w:val="auto"/>
              </w:rPr>
            </w:pPr>
            <w:r>
              <w:rPr>
                <w:rFonts w:ascii="Arial" w:cs="Arial" w:eastAsia="Arial" w:hAnsi="Arial"/>
                <w:sz w:val="13"/>
                <w:szCs w:val="13"/>
                <w:color w:val="003A70"/>
              </w:rPr>
              <w:t>Mergers &amp; Acquisitions</w:t>
            </w:r>
          </w:p>
        </w:tc>
        <w:tc>
          <w:tcPr>
            <w:tcW w:w="2080" w:type="dxa"/>
            <w:vAlign w:val="bottom"/>
          </w:tcPr>
          <w:p>
            <w:pPr>
              <w:ind w:left="420"/>
              <w:spacing w:after="0"/>
              <w:rPr>
                <w:sz w:val="20"/>
                <w:szCs w:val="20"/>
                <w:color w:val="auto"/>
              </w:rPr>
            </w:pPr>
            <w:r>
              <w:rPr>
                <w:rFonts w:ascii="Arial" w:cs="Arial" w:eastAsia="Arial" w:hAnsi="Arial"/>
                <w:sz w:val="13"/>
                <w:szCs w:val="13"/>
                <w:color w:val="003A70"/>
              </w:rPr>
              <w:t>Service &amp; Governance</w:t>
            </w:r>
          </w:p>
        </w:tc>
      </w:tr>
      <w:tr>
        <w:trPr>
          <w:trHeight w:val="244"/>
        </w:trPr>
        <w:tc>
          <w:tcPr>
            <w:tcW w:w="240" w:type="dxa"/>
            <w:vAlign w:val="bottom"/>
          </w:tcPr>
          <w:p>
            <w:pPr>
              <w:spacing w:after="0"/>
              <w:rPr>
                <w:sz w:val="21"/>
                <w:szCs w:val="21"/>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003A70"/>
              </w:rPr>
              <w:t>Sales &amp; Marketing/</w:t>
            </w:r>
          </w:p>
        </w:tc>
        <w:tc>
          <w:tcPr>
            <w:tcW w:w="20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080" w:type="dxa"/>
            <w:vAlign w:val="bottom"/>
          </w:tcPr>
          <w:p>
            <w:pPr>
              <w:ind w:left="420"/>
              <w:spacing w:after="0"/>
              <w:rPr>
                <w:sz w:val="20"/>
                <w:szCs w:val="20"/>
                <w:color w:val="auto"/>
              </w:rPr>
            </w:pPr>
            <w:r>
              <w:rPr>
                <w:rFonts w:ascii="Arial" w:cs="Arial" w:eastAsia="Arial" w:hAnsi="Arial"/>
                <w:sz w:val="13"/>
                <w:szCs w:val="13"/>
                <w:color w:val="003A70"/>
              </w:rPr>
              <w:t>Vacation Ownership &amp;</w:t>
            </w:r>
          </w:p>
        </w:tc>
      </w:tr>
      <w:tr>
        <w:trPr>
          <w:trHeight w:val="175"/>
        </w:trPr>
        <w:tc>
          <w:tcPr>
            <w:tcW w:w="240" w:type="dxa"/>
            <w:vAlign w:val="bottom"/>
          </w:tcPr>
          <w:p>
            <w:pPr>
              <w:spacing w:after="0"/>
              <w:rPr>
                <w:sz w:val="15"/>
                <w:szCs w:val="15"/>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003A70"/>
              </w:rPr>
              <w:t>Consumer Insights</w:t>
            </w:r>
          </w:p>
        </w:tc>
        <w:tc>
          <w:tcPr>
            <w:tcW w:w="2080" w:type="dxa"/>
            <w:vAlign w:val="bottom"/>
          </w:tcPr>
          <w:p>
            <w:pPr>
              <w:ind w:left="400"/>
              <w:spacing w:after="0"/>
              <w:rPr>
                <w:sz w:val="20"/>
                <w:szCs w:val="20"/>
                <w:color w:val="auto"/>
              </w:rPr>
            </w:pPr>
            <w:r>
              <w:rPr>
                <w:rFonts w:ascii="Arial" w:cs="Arial" w:eastAsia="Arial" w:hAnsi="Arial"/>
                <w:sz w:val="13"/>
                <w:szCs w:val="13"/>
                <w:color w:val="003A70"/>
              </w:rPr>
              <w:t>Compliance</w:t>
            </w:r>
          </w:p>
        </w:tc>
        <w:tc>
          <w:tcPr>
            <w:tcW w:w="2840" w:type="dxa"/>
            <w:vAlign w:val="bottom"/>
          </w:tcPr>
          <w:p>
            <w:pPr>
              <w:ind w:left="600"/>
              <w:spacing w:after="0"/>
              <w:rPr>
                <w:sz w:val="20"/>
                <w:szCs w:val="20"/>
                <w:color w:val="auto"/>
              </w:rPr>
            </w:pPr>
            <w:r>
              <w:rPr>
                <w:rFonts w:ascii="Arial" w:cs="Arial" w:eastAsia="Arial" w:hAnsi="Arial"/>
                <w:sz w:val="13"/>
                <w:szCs w:val="13"/>
                <w:color w:val="003A70"/>
              </w:rPr>
              <w:t>Strategic Planning</w:t>
            </w:r>
          </w:p>
        </w:tc>
        <w:tc>
          <w:tcPr>
            <w:tcW w:w="1980" w:type="dxa"/>
            <w:vAlign w:val="bottom"/>
          </w:tcPr>
          <w:p>
            <w:pPr>
              <w:ind w:left="200"/>
              <w:spacing w:after="0"/>
              <w:rPr>
                <w:sz w:val="20"/>
                <w:szCs w:val="20"/>
                <w:color w:val="auto"/>
              </w:rPr>
            </w:pPr>
            <w:r>
              <w:rPr>
                <w:rFonts w:ascii="Arial" w:cs="Arial" w:eastAsia="Arial" w:hAnsi="Arial"/>
                <w:sz w:val="13"/>
                <w:szCs w:val="13"/>
                <w:color w:val="003A70"/>
              </w:rPr>
              <w:t>Global Expertise</w:t>
            </w:r>
          </w:p>
        </w:tc>
        <w:tc>
          <w:tcPr>
            <w:tcW w:w="2080" w:type="dxa"/>
            <w:vAlign w:val="bottom"/>
          </w:tcPr>
          <w:p>
            <w:pPr>
              <w:ind w:left="420"/>
              <w:spacing w:after="0"/>
              <w:rPr>
                <w:sz w:val="20"/>
                <w:szCs w:val="20"/>
                <w:color w:val="auto"/>
              </w:rPr>
            </w:pPr>
            <w:r>
              <w:rPr>
                <w:rFonts w:ascii="Arial" w:cs="Arial" w:eastAsia="Arial" w:hAnsi="Arial"/>
                <w:sz w:val="13"/>
                <w:szCs w:val="13"/>
                <w:color w:val="003A70"/>
              </w:rPr>
              <w:t>Lodging Industry</w:t>
            </w:r>
          </w:p>
        </w:tc>
      </w:tr>
      <w:tr>
        <w:trPr>
          <w:trHeight w:val="374"/>
        </w:trPr>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40" w:type="dxa"/>
            <w:vAlign w:val="bottom"/>
          </w:tcPr>
          <w:p>
            <w:pPr>
              <w:ind w:left="600"/>
              <w:spacing w:after="0"/>
              <w:rPr>
                <w:sz w:val="20"/>
                <w:szCs w:val="20"/>
                <w:color w:val="auto"/>
              </w:rPr>
            </w:pPr>
            <w:r>
              <w:rPr>
                <w:rFonts w:ascii="Arial" w:cs="Arial" w:eastAsia="Arial" w:hAnsi="Arial"/>
                <w:sz w:val="13"/>
                <w:szCs w:val="13"/>
                <w:color w:val="003A70"/>
              </w:rPr>
              <w:t>Human Capital, Professional</w:t>
            </w:r>
          </w:p>
        </w:tc>
        <w:tc>
          <w:tcPr>
            <w:tcW w:w="19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39"/>
        </w:trPr>
        <w:tc>
          <w:tcPr>
            <w:tcW w:w="240" w:type="dxa"/>
            <w:vAlign w:val="bottom"/>
          </w:tcPr>
          <w:p>
            <w:pPr>
              <w:spacing w:after="0"/>
              <w:rPr>
                <w:sz w:val="12"/>
                <w:szCs w:val="12"/>
                <w:color w:val="auto"/>
              </w:rPr>
            </w:pPr>
          </w:p>
        </w:tc>
        <w:tc>
          <w:tcPr>
            <w:tcW w:w="1800" w:type="dxa"/>
            <w:vAlign w:val="bottom"/>
          </w:tcPr>
          <w:p>
            <w:pPr>
              <w:ind w:left="160"/>
              <w:spacing w:after="0" w:line="139" w:lineRule="exact"/>
              <w:rPr>
                <w:sz w:val="20"/>
                <w:szCs w:val="20"/>
                <w:color w:val="auto"/>
              </w:rPr>
            </w:pPr>
            <w:r>
              <w:rPr>
                <w:rFonts w:ascii="Arial" w:cs="Arial" w:eastAsia="Arial" w:hAnsi="Arial"/>
                <w:sz w:val="13"/>
                <w:szCs w:val="13"/>
                <w:color w:val="003A70"/>
              </w:rPr>
              <w:t>Legal, Regulatory &amp;</w:t>
            </w:r>
          </w:p>
        </w:tc>
        <w:tc>
          <w:tcPr>
            <w:tcW w:w="2080" w:type="dxa"/>
            <w:vAlign w:val="bottom"/>
          </w:tcPr>
          <w:p>
            <w:pPr>
              <w:ind w:left="400"/>
              <w:spacing w:after="0" w:line="139" w:lineRule="exact"/>
              <w:rPr>
                <w:sz w:val="20"/>
                <w:szCs w:val="20"/>
                <w:color w:val="auto"/>
              </w:rPr>
            </w:pPr>
            <w:r>
              <w:rPr>
                <w:rFonts w:ascii="Arial" w:cs="Arial" w:eastAsia="Arial" w:hAnsi="Arial"/>
                <w:sz w:val="13"/>
                <w:szCs w:val="13"/>
                <w:color w:val="003A70"/>
              </w:rPr>
              <w:t>Real Estate &amp;</w:t>
            </w:r>
          </w:p>
        </w:tc>
        <w:tc>
          <w:tcPr>
            <w:tcW w:w="2840" w:type="dxa"/>
            <w:vAlign w:val="bottom"/>
          </w:tcPr>
          <w:p>
            <w:pPr>
              <w:ind w:left="600"/>
              <w:spacing w:after="0" w:line="139" w:lineRule="exact"/>
              <w:rPr>
                <w:sz w:val="20"/>
                <w:szCs w:val="20"/>
                <w:color w:val="auto"/>
              </w:rPr>
            </w:pPr>
            <w:r>
              <w:rPr>
                <w:rFonts w:ascii="Arial" w:cs="Arial" w:eastAsia="Arial" w:hAnsi="Arial"/>
                <w:sz w:val="13"/>
                <w:szCs w:val="13"/>
                <w:color w:val="003A70"/>
              </w:rPr>
              <w:t>Development &amp;</w:t>
            </w:r>
          </w:p>
        </w:tc>
        <w:tc>
          <w:tcPr>
            <w:tcW w:w="198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75"/>
        </w:trPr>
        <w:tc>
          <w:tcPr>
            <w:tcW w:w="240" w:type="dxa"/>
            <w:vAlign w:val="bottom"/>
          </w:tcPr>
          <w:p>
            <w:pPr>
              <w:spacing w:after="0"/>
              <w:rPr>
                <w:sz w:val="15"/>
                <w:szCs w:val="15"/>
                <w:color w:val="auto"/>
              </w:rPr>
            </w:pPr>
          </w:p>
        </w:tc>
        <w:tc>
          <w:tcPr>
            <w:tcW w:w="1800" w:type="dxa"/>
            <w:vAlign w:val="bottom"/>
          </w:tcPr>
          <w:p>
            <w:pPr>
              <w:ind w:left="160"/>
              <w:spacing w:after="0"/>
              <w:rPr>
                <w:sz w:val="20"/>
                <w:szCs w:val="20"/>
                <w:color w:val="auto"/>
              </w:rPr>
            </w:pPr>
            <w:r>
              <w:rPr>
                <w:rFonts w:ascii="Arial" w:cs="Arial" w:eastAsia="Arial" w:hAnsi="Arial"/>
                <w:sz w:val="13"/>
                <w:szCs w:val="13"/>
                <w:color w:val="003A70"/>
              </w:rPr>
              <w:t>Government Relations</w:t>
            </w:r>
          </w:p>
        </w:tc>
        <w:tc>
          <w:tcPr>
            <w:tcW w:w="2080" w:type="dxa"/>
            <w:vAlign w:val="bottom"/>
          </w:tcPr>
          <w:p>
            <w:pPr>
              <w:ind w:left="400"/>
              <w:spacing w:after="0"/>
              <w:rPr>
                <w:sz w:val="20"/>
                <w:szCs w:val="20"/>
                <w:color w:val="auto"/>
              </w:rPr>
            </w:pPr>
            <w:r>
              <w:rPr>
                <w:rFonts w:ascii="Arial" w:cs="Arial" w:eastAsia="Arial" w:hAnsi="Arial"/>
                <w:sz w:val="13"/>
                <w:szCs w:val="13"/>
                <w:color w:val="003A70"/>
              </w:rPr>
              <w:t>Business Development</w:t>
            </w:r>
          </w:p>
        </w:tc>
        <w:tc>
          <w:tcPr>
            <w:tcW w:w="2840" w:type="dxa"/>
            <w:vAlign w:val="bottom"/>
          </w:tcPr>
          <w:p>
            <w:pPr>
              <w:ind w:left="600"/>
              <w:spacing w:after="0"/>
              <w:rPr>
                <w:sz w:val="20"/>
                <w:szCs w:val="20"/>
                <w:color w:val="auto"/>
              </w:rPr>
            </w:pPr>
            <w:r>
              <w:rPr>
                <w:rFonts w:ascii="Arial" w:cs="Arial" w:eastAsia="Arial" w:hAnsi="Arial"/>
                <w:sz w:val="13"/>
                <w:szCs w:val="13"/>
                <w:color w:val="003A70"/>
              </w:rPr>
              <w:t>Organizational Culture</w:t>
            </w:r>
          </w:p>
        </w:tc>
        <w:tc>
          <w:tcPr>
            <w:tcW w:w="19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57"/>
        </w:trPr>
        <w:tc>
          <w:tcPr>
            <w:tcW w:w="4120" w:type="dxa"/>
            <w:vAlign w:val="bottom"/>
            <w:tcBorders>
              <w:bottom w:val="single" w:sz="8" w:color="003A70"/>
            </w:tcBorders>
            <w:gridSpan w:val="3"/>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p>
        </w:tc>
        <w:tc>
          <w:tcPr>
            <w:tcW w:w="2840" w:type="dxa"/>
            <w:vAlign w:val="bottom"/>
            <w:tcBorders>
              <w:bottom w:val="single" w:sz="8" w:color="003A70"/>
            </w:tcBorders>
          </w:tcPr>
          <w:p>
            <w:pPr>
              <w:ind w:left="140"/>
              <w:spacing w:after="0"/>
              <w:rPr>
                <w:sz w:val="20"/>
                <w:szCs w:val="20"/>
                <w:color w:val="auto"/>
              </w:rPr>
            </w:pPr>
            <w:r>
              <w:rPr>
                <w:rFonts w:ascii="Arial" w:cs="Arial" w:eastAsia="Arial" w:hAnsi="Arial"/>
                <w:sz w:val="11"/>
                <w:szCs w:val="11"/>
                <w:color w:val="auto"/>
              </w:rPr>
              <w:t>Report on the Board of Directors and its Committees</w:t>
            </w:r>
          </w:p>
        </w:tc>
        <w:tc>
          <w:tcPr>
            <w:tcW w:w="1980" w:type="dxa"/>
            <w:vAlign w:val="bottom"/>
            <w:tcBorders>
              <w:bottom w:val="single" w:sz="8" w:color="003A70"/>
            </w:tcBorders>
          </w:tcPr>
          <w:p>
            <w:pPr>
              <w:spacing w:after="0"/>
              <w:rPr>
                <w:sz w:val="22"/>
                <w:szCs w:val="22"/>
                <w:color w:val="auto"/>
              </w:rPr>
            </w:pPr>
          </w:p>
        </w:tc>
        <w:tc>
          <w:tcPr>
            <w:tcW w:w="2080" w:type="dxa"/>
            <w:vAlign w:val="bottom"/>
            <w:tcBorders>
              <w:bottom w:val="single" w:sz="8" w:color="003A70"/>
            </w:tcBorders>
          </w:tcPr>
          <w:p>
            <w:pPr>
              <w:ind w:left="1960"/>
              <w:spacing w:after="0"/>
              <w:rPr>
                <w:sz w:val="20"/>
                <w:szCs w:val="20"/>
                <w:color w:val="auto"/>
              </w:rPr>
            </w:pPr>
            <w:r>
              <w:rPr>
                <w:rFonts w:ascii="Arial" w:cs="Arial" w:eastAsia="Arial" w:hAnsi="Arial"/>
                <w:sz w:val="11"/>
                <w:szCs w:val="11"/>
                <w:b w:val="1"/>
                <w:bCs w:val="1"/>
                <w:color w:val="003A70"/>
                <w:w w:val="81"/>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-1045210</wp:posOffset>
            </wp:positionV>
            <wp:extent cx="9461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-1019810</wp:posOffset>
            </wp:positionV>
            <wp:extent cx="16256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-1019810</wp:posOffset>
            </wp:positionV>
            <wp:extent cx="13716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-1019810</wp:posOffset>
            </wp:positionV>
            <wp:extent cx="14605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-1028065</wp:posOffset>
            </wp:positionV>
            <wp:extent cx="15430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-753745</wp:posOffset>
            </wp:positionV>
            <wp:extent cx="14541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-753745</wp:posOffset>
            </wp:positionV>
            <wp:extent cx="18859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8595" cy="13716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-753745</wp:posOffset>
            </wp:positionV>
            <wp:extent cx="14605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-762635</wp:posOffset>
            </wp:positionV>
            <wp:extent cx="14605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-762635</wp:posOffset>
            </wp:positionV>
            <wp:extent cx="12890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-316865</wp:posOffset>
            </wp:positionV>
            <wp:extent cx="13716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-316865</wp:posOffset>
            </wp:positionV>
            <wp:extent cx="13716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-334010</wp:posOffset>
            </wp:positionV>
            <wp:extent cx="13716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86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JAMES A. “JIM” DAUSCH</w:t>
            </w:r>
          </w:p>
        </w:tc>
        <w:tc>
          <w:tcPr>
            <w:tcW w:w="1980" w:type="dxa"/>
            <w:vAlign w:val="bottom"/>
            <w:tcBorders>
              <w:top w:val="single" w:sz="8" w:color="003A70"/>
            </w:tcBorders>
          </w:tcPr>
          <w:p>
            <w:pPr>
              <w:spacing w:after="0"/>
              <w:rPr>
                <w:sz w:val="20"/>
                <w:szCs w:val="20"/>
                <w:color w:val="auto"/>
              </w:rPr>
            </w:pPr>
          </w:p>
        </w:tc>
        <w:tc>
          <w:tcPr>
            <w:tcW w:w="5180" w:type="dxa"/>
            <w:vAlign w:val="bottom"/>
            <w:tcBorders>
              <w:top w:val="single" w:sz="8" w:color="003A70"/>
            </w:tcBorders>
          </w:tcPr>
          <w:p>
            <w:pPr>
              <w:spacing w:after="0"/>
              <w:rPr>
                <w:sz w:val="20"/>
                <w:szCs w:val="20"/>
                <w:color w:val="auto"/>
              </w:rPr>
            </w:pPr>
          </w:p>
        </w:tc>
      </w:tr>
      <w:tr>
        <w:trPr>
          <w:trHeight w:val="249"/>
        </w:trPr>
        <w:tc>
          <w:tcPr>
            <w:tcW w:w="3860" w:type="dxa"/>
            <w:vAlign w:val="bottom"/>
          </w:tcPr>
          <w:p>
            <w:pPr>
              <w:spacing w:after="0"/>
              <w:rPr>
                <w:sz w:val="20"/>
                <w:szCs w:val="20"/>
                <w:color w:val="auto"/>
              </w:rPr>
            </w:pPr>
            <w:r>
              <w:rPr>
                <w:rFonts w:ascii="Arial" w:cs="Arial" w:eastAsia="Arial" w:hAnsi="Arial"/>
                <w:sz w:val="16"/>
                <w:szCs w:val="16"/>
                <w:b w:val="1"/>
                <w:bCs w:val="1"/>
                <w:color w:val="auto"/>
              </w:rPr>
              <w:t>Age</w:t>
            </w:r>
            <w:r>
              <w:rPr>
                <w:rFonts w:ascii="Arial" w:cs="Arial" w:eastAsia="Arial" w:hAnsi="Arial"/>
                <w:sz w:val="16"/>
                <w:szCs w:val="16"/>
                <w:color w:val="auto"/>
              </w:rPr>
              <w:t>: 50</w:t>
            </w:r>
          </w:p>
        </w:tc>
        <w:tc>
          <w:tcPr>
            <w:tcW w:w="7160" w:type="dxa"/>
            <w:vAlign w:val="bottom"/>
            <w:gridSpan w:val="2"/>
          </w:tcPr>
          <w:p>
            <w:pPr>
              <w:ind w:left="1880"/>
              <w:spacing w:after="0"/>
              <w:rPr>
                <w:sz w:val="20"/>
                <w:szCs w:val="20"/>
                <w:color w:val="auto"/>
              </w:rPr>
            </w:pPr>
            <w:r>
              <w:rPr>
                <w:rFonts w:ascii="Arial" w:cs="Arial" w:eastAsia="Arial" w:hAnsi="Arial"/>
                <w:sz w:val="16"/>
                <w:szCs w:val="16"/>
                <w:color w:val="auto"/>
              </w:rPr>
              <w:t>Committees:</w:t>
            </w:r>
          </w:p>
        </w:tc>
      </w:tr>
      <w:tr>
        <w:trPr>
          <w:trHeight w:val="189"/>
        </w:trPr>
        <w:tc>
          <w:tcPr>
            <w:tcW w:w="3860" w:type="dxa"/>
            <w:vAlign w:val="bottom"/>
          </w:tcPr>
          <w:p>
            <w:pPr>
              <w:spacing w:after="0"/>
              <w:rPr>
                <w:sz w:val="20"/>
                <w:szCs w:val="20"/>
                <w:color w:val="auto"/>
              </w:rPr>
            </w:pPr>
            <w:r>
              <w:rPr>
                <w:rFonts w:ascii="Arial" w:cs="Arial" w:eastAsia="Arial" w:hAnsi="Arial"/>
                <w:sz w:val="16"/>
                <w:szCs w:val="16"/>
                <w:b w:val="1"/>
                <w:bCs w:val="1"/>
                <w:color w:val="auto"/>
              </w:rPr>
              <w:t>Director Since</w:t>
            </w:r>
            <w:r>
              <w:rPr>
                <w:rFonts w:ascii="Arial" w:cs="Arial" w:eastAsia="Arial" w:hAnsi="Arial"/>
                <w:sz w:val="16"/>
                <w:szCs w:val="16"/>
                <w:color w:val="auto"/>
              </w:rPr>
              <w:t>: 2025</w:t>
            </w:r>
          </w:p>
        </w:tc>
        <w:tc>
          <w:tcPr>
            <w:tcW w:w="1980" w:type="dxa"/>
            <w:vAlign w:val="bottom"/>
          </w:tcPr>
          <w:p>
            <w:pPr>
              <w:ind w:left="188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Compensation Policy</w:t>
            </w:r>
          </w:p>
        </w:tc>
      </w:tr>
      <w:tr>
        <w:trPr>
          <w:trHeight w:val="223"/>
        </w:trPr>
        <w:tc>
          <w:tcPr>
            <w:tcW w:w="3860" w:type="dxa"/>
            <w:vAlign w:val="bottom"/>
          </w:tcPr>
          <w:p>
            <w:pPr>
              <w:spacing w:after="0"/>
              <w:rPr>
                <w:sz w:val="20"/>
                <w:szCs w:val="20"/>
                <w:color w:val="auto"/>
              </w:rPr>
            </w:pPr>
            <w:r>
              <w:rPr>
                <w:rFonts w:ascii="Arial" w:cs="Arial" w:eastAsia="Arial" w:hAnsi="Arial"/>
                <w:sz w:val="16"/>
                <w:szCs w:val="16"/>
                <w:b w:val="1"/>
                <w:bCs w:val="1"/>
                <w:color w:val="auto"/>
              </w:rPr>
              <w:t>Independent</w:t>
            </w:r>
            <w:r>
              <w:rPr>
                <w:rFonts w:ascii="Arial" w:cs="Arial" w:eastAsia="Arial" w:hAnsi="Arial"/>
                <w:sz w:val="16"/>
                <w:szCs w:val="16"/>
                <w:color w:val="auto"/>
              </w:rPr>
              <w:t>: Yes</w:t>
            </w:r>
          </w:p>
        </w:tc>
        <w:tc>
          <w:tcPr>
            <w:tcW w:w="1980" w:type="dxa"/>
            <w:vAlign w:val="bottom"/>
          </w:tcPr>
          <w:p>
            <w:pPr>
              <w:ind w:left="188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Ad Hoc Committee on Technology and Innovation Strategy (Chair)</w:t>
            </w:r>
          </w:p>
        </w:tc>
      </w:tr>
    </w:tbl>
    <w:p>
      <w:pPr>
        <w:spacing w:after="0" w:line="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Experience</w:t>
      </w:r>
    </w:p>
    <w:p>
      <w:pPr>
        <w:spacing w:after="0" w:line="21"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auto"/>
        </w:rPr>
        <w:t>Mr. Dausch has served as Global Chief Digital and Technology Officer of Yum! Brands, Inc. (“Yum!”), a multinational fast food company, and President of Byte by Yum!, an AI-driven restaurant technology platform, since September 2025, previously serving as Global Chief Digital and Technology Officer, Pizza Hut at Yum!, multinational pizza restaurant chain, from December 2024 to September 2025. Prior to that, he served as Executive Vice President and Chief Strategy and Consumer Experience Officer at Under Armour, Inc., one of the world’s leading athletic performance brands from May 2024 to December 2024 and Executive Vice President, Chief Customer Officer from July 2023 to May 2024, where he led the company’s efforts to drive stronger consumer demand and engagement. Prior to joining Under Armour, Mr. Dausch was the Chief Digital and Transformation Officer of Marriott International, a global lodging company, from March 2021 to July 2023, where he led Marriott International’s direct digital channels and spearheaded one of the company’s largest business transformation initiatives; Senior Vice President, Enterprise Products from 2016 to 2021, where he played a leading role in the successful merger and integration of Marriott International and Starwood from 2016 to 2019, and Senior Vice President, Global Operations from 2014 to 2016. Mr. Dausch’s career at Marriott International spanned over 20 years with increasing leadership responsibility in the areas of Corporate Finance, Sales &amp; Marketing, Brand Management, Franchising, Operations, Digital and Technology.</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Skills and Experience</w:t>
      </w:r>
    </w:p>
    <w:p>
      <w:pPr>
        <w:spacing w:after="0" w:line="21" w:lineRule="exact"/>
        <w:rPr>
          <w:sz w:val="20"/>
          <w:szCs w:val="20"/>
          <w:color w:val="auto"/>
        </w:rPr>
      </w:pPr>
    </w:p>
    <w:p>
      <w:pPr>
        <w:ind w:left="120" w:right="200"/>
        <w:spacing w:after="0" w:line="251" w:lineRule="auto"/>
        <w:rPr>
          <w:sz w:val="20"/>
          <w:szCs w:val="20"/>
          <w:color w:val="auto"/>
        </w:rPr>
      </w:pPr>
      <w:r>
        <w:rPr>
          <w:rFonts w:ascii="Arial" w:cs="Arial" w:eastAsia="Arial" w:hAnsi="Arial"/>
          <w:sz w:val="16"/>
          <w:szCs w:val="16"/>
          <w:color w:val="auto"/>
        </w:rPr>
        <w:t>Mr. Dausch provides the Board with the benefit of his extensive experience in the hospitality and vacation ownership and consumer products industries, including: as Global Chief Digital and Technology Officer of Yum! and President of Byte by Yum!; as former Global Chief Digital and Technology Officer, Pizza Hut at Yum!; as former Chief Strategy and Consumer Experience Officer at Under Armour, Inc.; and as former Chief Digital and Transformation Officer and former Senior Vice President, Enterprise Products of Marriott International; and as an experienced leader in the areas of corporate finance, sales and marketing, brand management, franchising, operations, digital and technology.</w:t>
      </w:r>
    </w:p>
    <w:p>
      <w:pPr>
        <w:spacing w:after="0" w:line="129"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1920" w:type="dxa"/>
            <w:vAlign w:val="bottom"/>
          </w:tcPr>
          <w:p>
            <w:pPr>
              <w:ind w:left="200"/>
              <w:spacing w:after="0"/>
              <w:rPr>
                <w:sz w:val="20"/>
                <w:szCs w:val="20"/>
                <w:color w:val="auto"/>
              </w:rPr>
            </w:pPr>
            <w:r>
              <w:rPr>
                <w:rFonts w:ascii="Arial" w:cs="Arial" w:eastAsia="Arial" w:hAnsi="Arial"/>
                <w:sz w:val="13"/>
                <w:szCs w:val="13"/>
                <w:color w:val="003A70"/>
              </w:rPr>
              <w:t>Corporate</w:t>
            </w:r>
          </w:p>
        </w:tc>
        <w:tc>
          <w:tcPr>
            <w:tcW w:w="24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40" w:type="dxa"/>
            <w:vAlign w:val="bottom"/>
          </w:tcPr>
          <w:p>
            <w:pPr>
              <w:ind w:left="500"/>
              <w:spacing w:after="0"/>
              <w:rPr>
                <w:sz w:val="20"/>
                <w:szCs w:val="20"/>
                <w:color w:val="auto"/>
              </w:rPr>
            </w:pPr>
            <w:r>
              <w:rPr>
                <w:rFonts w:ascii="Arial" w:cs="Arial" w:eastAsia="Arial" w:hAnsi="Arial"/>
                <w:sz w:val="13"/>
                <w:szCs w:val="13"/>
                <w:color w:val="003A70"/>
              </w:rPr>
              <w:t>Business Development /</w:t>
            </w:r>
          </w:p>
        </w:tc>
      </w:tr>
      <w:tr>
        <w:trPr>
          <w:trHeight w:val="175"/>
        </w:trPr>
        <w:tc>
          <w:tcPr>
            <w:tcW w:w="220" w:type="dxa"/>
            <w:vAlign w:val="bottom"/>
          </w:tcPr>
          <w:p>
            <w:pPr>
              <w:spacing w:after="0"/>
              <w:rPr>
                <w:sz w:val="20"/>
                <w:szCs w:val="20"/>
                <w:color w:val="auto"/>
              </w:rPr>
            </w:pPr>
            <w:r>
              <w:rPr>
                <w:rFonts w:ascii="Arial" w:cs="Arial" w:eastAsia="Arial" w:hAnsi="Arial"/>
                <w:sz w:val="13"/>
                <w:szCs w:val="13"/>
                <w:color w:val="auto"/>
              </w:rPr>
              <w:t> </w:t>
            </w:r>
          </w:p>
        </w:tc>
        <w:tc>
          <w:tcPr>
            <w:tcW w:w="1920" w:type="dxa"/>
            <w:vAlign w:val="bottom"/>
          </w:tcPr>
          <w:p>
            <w:pPr>
              <w:ind w:left="200"/>
              <w:spacing w:after="0"/>
              <w:rPr>
                <w:sz w:val="20"/>
                <w:szCs w:val="20"/>
                <w:color w:val="auto"/>
              </w:rPr>
            </w:pPr>
            <w:r>
              <w:rPr>
                <w:rFonts w:ascii="Arial" w:cs="Arial" w:eastAsia="Arial" w:hAnsi="Arial"/>
                <w:sz w:val="13"/>
                <w:szCs w:val="13"/>
                <w:color w:val="003A70"/>
              </w:rPr>
              <w:t>Leadership</w:t>
            </w:r>
          </w:p>
        </w:tc>
        <w:tc>
          <w:tcPr>
            <w:tcW w:w="2460" w:type="dxa"/>
            <w:vAlign w:val="bottom"/>
          </w:tcPr>
          <w:p>
            <w:pPr>
              <w:ind w:left="400"/>
              <w:spacing w:after="0"/>
              <w:rPr>
                <w:sz w:val="20"/>
                <w:szCs w:val="20"/>
                <w:color w:val="auto"/>
              </w:rPr>
            </w:pPr>
            <w:r>
              <w:rPr>
                <w:rFonts w:ascii="Arial" w:cs="Arial" w:eastAsia="Arial" w:hAnsi="Arial"/>
                <w:sz w:val="13"/>
                <w:szCs w:val="13"/>
                <w:color w:val="003A70"/>
              </w:rPr>
              <w:t>Independence</w:t>
            </w:r>
          </w:p>
        </w:tc>
        <w:tc>
          <w:tcPr>
            <w:tcW w:w="2000" w:type="dxa"/>
            <w:vAlign w:val="bottom"/>
          </w:tcPr>
          <w:p>
            <w:pPr>
              <w:ind w:left="480"/>
              <w:spacing w:after="0"/>
              <w:rPr>
                <w:sz w:val="20"/>
                <w:szCs w:val="20"/>
                <w:color w:val="auto"/>
              </w:rPr>
            </w:pPr>
            <w:r>
              <w:rPr>
                <w:rFonts w:ascii="Arial" w:cs="Arial" w:eastAsia="Arial" w:hAnsi="Arial"/>
                <w:sz w:val="13"/>
                <w:szCs w:val="13"/>
                <w:color w:val="003A70"/>
              </w:rPr>
              <w:t>Strategic Planning</w:t>
            </w:r>
          </w:p>
        </w:tc>
        <w:tc>
          <w:tcPr>
            <w:tcW w:w="2220" w:type="dxa"/>
            <w:vAlign w:val="bottom"/>
          </w:tcPr>
          <w:p>
            <w:pPr>
              <w:ind w:left="500"/>
              <w:spacing w:after="0"/>
              <w:rPr>
                <w:sz w:val="20"/>
                <w:szCs w:val="20"/>
                <w:color w:val="auto"/>
              </w:rPr>
            </w:pPr>
            <w:r>
              <w:rPr>
                <w:rFonts w:ascii="Arial" w:cs="Arial" w:eastAsia="Arial" w:hAnsi="Arial"/>
                <w:sz w:val="13"/>
                <w:szCs w:val="13"/>
                <w:color w:val="003A70"/>
              </w:rPr>
              <w:t>Global Expertise</w:t>
            </w:r>
          </w:p>
        </w:tc>
        <w:tc>
          <w:tcPr>
            <w:tcW w:w="2040" w:type="dxa"/>
            <w:vAlign w:val="bottom"/>
          </w:tcPr>
          <w:p>
            <w:pPr>
              <w:ind w:left="500"/>
              <w:spacing w:after="0"/>
              <w:rPr>
                <w:sz w:val="20"/>
                <w:szCs w:val="20"/>
                <w:color w:val="auto"/>
              </w:rPr>
            </w:pPr>
            <w:r>
              <w:rPr>
                <w:rFonts w:ascii="Arial" w:cs="Arial" w:eastAsia="Arial" w:hAnsi="Arial"/>
                <w:sz w:val="13"/>
                <w:szCs w:val="13"/>
                <w:color w:val="003A70"/>
              </w:rPr>
              <w:t>Mergers &amp; Acquisitions</w:t>
            </w:r>
          </w:p>
        </w:tc>
      </w:tr>
      <w:tr>
        <w:trPr>
          <w:trHeight w:val="176"/>
        </w:trPr>
        <w:tc>
          <w:tcPr>
            <w:tcW w:w="220" w:type="dxa"/>
            <w:vAlign w:val="bottom"/>
          </w:tcPr>
          <w:p>
            <w:pPr>
              <w:spacing w:after="0"/>
              <w:rPr>
                <w:sz w:val="15"/>
                <w:szCs w:val="15"/>
                <w:color w:val="auto"/>
              </w:rPr>
            </w:pPr>
          </w:p>
        </w:tc>
        <w:tc>
          <w:tcPr>
            <w:tcW w:w="1920" w:type="dxa"/>
            <w:vAlign w:val="bottom"/>
          </w:tcPr>
          <w:p>
            <w:pPr>
              <w:ind w:left="200"/>
              <w:spacing w:after="0"/>
              <w:rPr>
                <w:sz w:val="20"/>
                <w:szCs w:val="20"/>
                <w:color w:val="auto"/>
              </w:rPr>
            </w:pPr>
            <w:r>
              <w:rPr>
                <w:rFonts w:ascii="Arial" w:cs="Arial" w:eastAsia="Arial" w:hAnsi="Arial"/>
                <w:sz w:val="13"/>
                <w:szCs w:val="13"/>
                <w:color w:val="003A70"/>
              </w:rPr>
              <w:t>Sales &amp; Marketing/</w:t>
            </w:r>
          </w:p>
        </w:tc>
        <w:tc>
          <w:tcPr>
            <w:tcW w:w="2460" w:type="dxa"/>
            <w:vAlign w:val="bottom"/>
          </w:tcPr>
          <w:p>
            <w:pPr>
              <w:spacing w:after="0"/>
              <w:rPr>
                <w:sz w:val="15"/>
                <w:szCs w:val="15"/>
                <w:color w:val="auto"/>
              </w:rPr>
            </w:pPr>
          </w:p>
        </w:tc>
        <w:tc>
          <w:tcPr>
            <w:tcW w:w="2000" w:type="dxa"/>
            <w:vAlign w:val="bottom"/>
          </w:tcPr>
          <w:p>
            <w:pPr>
              <w:ind w:left="480"/>
              <w:spacing w:after="0"/>
              <w:rPr>
                <w:sz w:val="20"/>
                <w:szCs w:val="20"/>
                <w:color w:val="auto"/>
              </w:rPr>
            </w:pPr>
            <w:r>
              <w:rPr>
                <w:rFonts w:ascii="Arial" w:cs="Arial" w:eastAsia="Arial" w:hAnsi="Arial"/>
                <w:sz w:val="13"/>
                <w:szCs w:val="13"/>
                <w:color w:val="003A70"/>
              </w:rPr>
              <w:t>Digital &amp; Social</w:t>
            </w:r>
          </w:p>
        </w:tc>
        <w:tc>
          <w:tcPr>
            <w:tcW w:w="2220" w:type="dxa"/>
            <w:vAlign w:val="bottom"/>
          </w:tcPr>
          <w:p>
            <w:pPr>
              <w:ind w:left="500"/>
              <w:spacing w:after="0"/>
              <w:rPr>
                <w:sz w:val="20"/>
                <w:szCs w:val="20"/>
                <w:color w:val="auto"/>
              </w:rPr>
            </w:pPr>
            <w:r>
              <w:rPr>
                <w:rFonts w:ascii="Arial" w:cs="Arial" w:eastAsia="Arial" w:hAnsi="Arial"/>
                <w:sz w:val="13"/>
                <w:szCs w:val="13"/>
                <w:color w:val="003A70"/>
              </w:rPr>
              <w:t>Vacation Ownership &amp;</w:t>
            </w:r>
          </w:p>
        </w:tc>
        <w:tc>
          <w:tcPr>
            <w:tcW w:w="2040" w:type="dxa"/>
            <w:vAlign w:val="bottom"/>
          </w:tcPr>
          <w:p>
            <w:pPr>
              <w:spacing w:after="0"/>
              <w:rPr>
                <w:sz w:val="15"/>
                <w:szCs w:val="15"/>
                <w:color w:val="auto"/>
              </w:rPr>
            </w:pPr>
          </w:p>
        </w:tc>
      </w:tr>
      <w:tr>
        <w:trPr>
          <w:trHeight w:val="175"/>
        </w:trPr>
        <w:tc>
          <w:tcPr>
            <w:tcW w:w="220" w:type="dxa"/>
            <w:vAlign w:val="bottom"/>
          </w:tcPr>
          <w:p>
            <w:pPr>
              <w:spacing w:after="0"/>
              <w:rPr>
                <w:sz w:val="15"/>
                <w:szCs w:val="15"/>
                <w:color w:val="auto"/>
              </w:rPr>
            </w:pPr>
          </w:p>
        </w:tc>
        <w:tc>
          <w:tcPr>
            <w:tcW w:w="1920" w:type="dxa"/>
            <w:vAlign w:val="bottom"/>
          </w:tcPr>
          <w:p>
            <w:pPr>
              <w:ind w:left="200"/>
              <w:spacing w:after="0"/>
              <w:rPr>
                <w:sz w:val="20"/>
                <w:szCs w:val="20"/>
                <w:color w:val="auto"/>
              </w:rPr>
            </w:pPr>
            <w:r>
              <w:rPr>
                <w:rFonts w:ascii="Arial" w:cs="Arial" w:eastAsia="Arial" w:hAnsi="Arial"/>
                <w:sz w:val="13"/>
                <w:szCs w:val="13"/>
                <w:color w:val="003A70"/>
              </w:rPr>
              <w:t>Consumer Insights</w:t>
            </w:r>
          </w:p>
        </w:tc>
        <w:tc>
          <w:tcPr>
            <w:tcW w:w="2460" w:type="dxa"/>
            <w:vAlign w:val="bottom"/>
          </w:tcPr>
          <w:p>
            <w:pPr>
              <w:ind w:left="400"/>
              <w:spacing w:after="0"/>
              <w:rPr>
                <w:sz w:val="20"/>
                <w:szCs w:val="20"/>
                <w:color w:val="auto"/>
              </w:rPr>
            </w:pPr>
            <w:r>
              <w:rPr>
                <w:rFonts w:ascii="Arial" w:cs="Arial" w:eastAsia="Arial" w:hAnsi="Arial"/>
                <w:sz w:val="13"/>
                <w:szCs w:val="13"/>
                <w:color w:val="003A70"/>
              </w:rPr>
              <w:t>Technology &amp; Cybersecurity</w:t>
            </w:r>
          </w:p>
        </w:tc>
        <w:tc>
          <w:tcPr>
            <w:tcW w:w="2000" w:type="dxa"/>
            <w:vAlign w:val="bottom"/>
          </w:tcPr>
          <w:p>
            <w:pPr>
              <w:ind w:left="480"/>
              <w:spacing w:after="0"/>
              <w:rPr>
                <w:sz w:val="20"/>
                <w:szCs w:val="20"/>
                <w:color w:val="auto"/>
              </w:rPr>
            </w:pPr>
            <w:r>
              <w:rPr>
                <w:rFonts w:ascii="Arial" w:cs="Arial" w:eastAsia="Arial" w:hAnsi="Arial"/>
                <w:sz w:val="13"/>
                <w:szCs w:val="13"/>
                <w:color w:val="003A70"/>
              </w:rPr>
              <w:t>Media</w:t>
            </w:r>
          </w:p>
        </w:tc>
        <w:tc>
          <w:tcPr>
            <w:tcW w:w="2220" w:type="dxa"/>
            <w:vAlign w:val="bottom"/>
          </w:tcPr>
          <w:p>
            <w:pPr>
              <w:ind w:left="500"/>
              <w:spacing w:after="0"/>
              <w:rPr>
                <w:sz w:val="20"/>
                <w:szCs w:val="20"/>
                <w:color w:val="auto"/>
              </w:rPr>
            </w:pPr>
            <w:r>
              <w:rPr>
                <w:rFonts w:ascii="Arial" w:cs="Arial" w:eastAsia="Arial" w:hAnsi="Arial"/>
                <w:sz w:val="13"/>
                <w:szCs w:val="13"/>
                <w:color w:val="003A70"/>
              </w:rPr>
              <w:t>Lodging Industry</w:t>
            </w:r>
          </w:p>
        </w:tc>
        <w:tc>
          <w:tcPr>
            <w:tcW w:w="2040" w:type="dxa"/>
            <w:vAlign w:val="bottom"/>
          </w:tcPr>
          <w:p>
            <w:pPr>
              <w:ind w:left="500"/>
              <w:spacing w:after="0"/>
              <w:rPr>
                <w:sz w:val="20"/>
                <w:szCs w:val="20"/>
                <w:color w:val="auto"/>
              </w:rPr>
            </w:pPr>
            <w:r>
              <w:rPr>
                <w:rFonts w:ascii="Arial" w:cs="Arial" w:eastAsia="Arial" w:hAnsi="Arial"/>
                <w:sz w:val="13"/>
                <w:szCs w:val="13"/>
                <w:color w:val="003A70"/>
                <w:w w:val="96"/>
              </w:rPr>
              <w:t>Financial &amp; Capital Markets</w:t>
            </w:r>
          </w:p>
        </w:tc>
      </w:tr>
      <w:tr>
        <w:trPr>
          <w:trHeight w:val="307"/>
        </w:trPr>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60" w:type="dxa"/>
            <w:vAlign w:val="bottom"/>
          </w:tcPr>
          <w:p>
            <w:pPr>
              <w:ind w:left="400"/>
              <w:spacing w:after="0"/>
              <w:rPr>
                <w:sz w:val="20"/>
                <w:szCs w:val="20"/>
                <w:color w:val="auto"/>
              </w:rPr>
            </w:pPr>
            <w:r>
              <w:rPr>
                <w:rFonts w:ascii="Arial" w:cs="Arial" w:eastAsia="Arial" w:hAnsi="Arial"/>
                <w:sz w:val="13"/>
                <w:szCs w:val="13"/>
                <w:color w:val="003A70"/>
              </w:rPr>
              <w:t>Human Capital, Professional</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35"/>
        </w:trPr>
        <w:tc>
          <w:tcPr>
            <w:tcW w:w="220" w:type="dxa"/>
            <w:vAlign w:val="bottom"/>
          </w:tcPr>
          <w:p>
            <w:pPr>
              <w:spacing w:after="0"/>
              <w:rPr>
                <w:sz w:val="11"/>
                <w:szCs w:val="11"/>
                <w:color w:val="auto"/>
              </w:rPr>
            </w:pPr>
          </w:p>
        </w:tc>
        <w:tc>
          <w:tcPr>
            <w:tcW w:w="1920" w:type="dxa"/>
            <w:vAlign w:val="bottom"/>
          </w:tcPr>
          <w:p>
            <w:pPr>
              <w:ind w:left="200"/>
              <w:spacing w:after="0" w:line="135" w:lineRule="exact"/>
              <w:rPr>
                <w:sz w:val="20"/>
                <w:szCs w:val="20"/>
                <w:color w:val="auto"/>
              </w:rPr>
            </w:pPr>
            <w:r>
              <w:rPr>
                <w:rFonts w:ascii="Arial" w:cs="Arial" w:eastAsia="Arial" w:hAnsi="Arial"/>
                <w:sz w:val="13"/>
                <w:szCs w:val="13"/>
                <w:color w:val="003A70"/>
              </w:rPr>
              <w:t>Real Estate &amp;</w:t>
            </w:r>
          </w:p>
        </w:tc>
        <w:tc>
          <w:tcPr>
            <w:tcW w:w="2460" w:type="dxa"/>
            <w:vAlign w:val="bottom"/>
          </w:tcPr>
          <w:p>
            <w:pPr>
              <w:ind w:left="400"/>
              <w:spacing w:after="0" w:line="135" w:lineRule="exact"/>
              <w:rPr>
                <w:sz w:val="20"/>
                <w:szCs w:val="20"/>
                <w:color w:val="auto"/>
              </w:rPr>
            </w:pPr>
            <w:r>
              <w:rPr>
                <w:rFonts w:ascii="Arial" w:cs="Arial" w:eastAsia="Arial" w:hAnsi="Arial"/>
                <w:sz w:val="13"/>
                <w:szCs w:val="13"/>
                <w:color w:val="003A70"/>
              </w:rPr>
              <w:t>Development &amp;</w:t>
            </w:r>
          </w:p>
        </w:tc>
        <w:tc>
          <w:tcPr>
            <w:tcW w:w="20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166"/>
        </w:trPr>
        <w:tc>
          <w:tcPr>
            <w:tcW w:w="220" w:type="dxa"/>
            <w:vAlign w:val="bottom"/>
          </w:tcPr>
          <w:p>
            <w:pPr>
              <w:spacing w:after="0"/>
              <w:rPr>
                <w:sz w:val="14"/>
                <w:szCs w:val="14"/>
                <w:color w:val="auto"/>
              </w:rPr>
            </w:pPr>
          </w:p>
        </w:tc>
        <w:tc>
          <w:tcPr>
            <w:tcW w:w="1920" w:type="dxa"/>
            <w:vAlign w:val="bottom"/>
          </w:tcPr>
          <w:p>
            <w:pPr>
              <w:ind w:left="200"/>
              <w:spacing w:after="0"/>
              <w:rPr>
                <w:sz w:val="20"/>
                <w:szCs w:val="20"/>
                <w:color w:val="auto"/>
              </w:rPr>
            </w:pPr>
            <w:r>
              <w:rPr>
                <w:rFonts w:ascii="Arial" w:cs="Arial" w:eastAsia="Arial" w:hAnsi="Arial"/>
                <w:sz w:val="13"/>
                <w:szCs w:val="13"/>
                <w:color w:val="003A70"/>
              </w:rPr>
              <w:t>Business Development</w:t>
            </w:r>
          </w:p>
        </w:tc>
        <w:tc>
          <w:tcPr>
            <w:tcW w:w="2460" w:type="dxa"/>
            <w:vAlign w:val="bottom"/>
          </w:tcPr>
          <w:p>
            <w:pPr>
              <w:ind w:left="400"/>
              <w:spacing w:after="0"/>
              <w:rPr>
                <w:sz w:val="20"/>
                <w:szCs w:val="20"/>
                <w:color w:val="auto"/>
              </w:rPr>
            </w:pPr>
            <w:r>
              <w:rPr>
                <w:rFonts w:ascii="Arial" w:cs="Arial" w:eastAsia="Arial" w:hAnsi="Arial"/>
                <w:sz w:val="13"/>
                <w:szCs w:val="13"/>
                <w:color w:val="003A70"/>
              </w:rPr>
              <w:t>Organizational Culture</w:t>
            </w:r>
          </w:p>
        </w:tc>
        <w:tc>
          <w:tcPr>
            <w:tcW w:w="2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-779145</wp:posOffset>
            </wp:positionV>
            <wp:extent cx="9461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-753745</wp:posOffset>
            </wp:positionV>
            <wp:extent cx="16256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-753745</wp:posOffset>
            </wp:positionV>
            <wp:extent cx="14605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-753745</wp:posOffset>
            </wp:positionV>
            <wp:extent cx="14605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-753745</wp:posOffset>
            </wp:positionV>
            <wp:extent cx="14605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-539115</wp:posOffset>
            </wp:positionV>
            <wp:extent cx="14541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-539115</wp:posOffset>
            </wp:positionV>
            <wp:extent cx="13716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-530860</wp:posOffset>
            </wp:positionV>
            <wp:extent cx="14541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-539115</wp:posOffset>
            </wp:positionV>
            <wp:extent cx="12890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-530860</wp:posOffset>
            </wp:positionV>
            <wp:extent cx="16256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-136525</wp:posOffset>
            </wp:positionV>
            <wp:extent cx="13716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-153670</wp:posOffset>
            </wp:positionV>
            <wp:extent cx="13716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74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LIZANNE GALBREATH</w:t>
            </w:r>
          </w:p>
        </w:tc>
        <w:tc>
          <w:tcPr>
            <w:tcW w:w="2100" w:type="dxa"/>
            <w:vAlign w:val="bottom"/>
            <w:tcBorders>
              <w:top w:val="single" w:sz="8" w:color="003A70"/>
            </w:tcBorders>
          </w:tcPr>
          <w:p>
            <w:pPr>
              <w:spacing w:after="0"/>
              <w:rPr>
                <w:sz w:val="20"/>
                <w:szCs w:val="20"/>
                <w:color w:val="auto"/>
              </w:rPr>
            </w:pPr>
          </w:p>
        </w:tc>
        <w:tc>
          <w:tcPr>
            <w:tcW w:w="5180" w:type="dxa"/>
            <w:vAlign w:val="bottom"/>
            <w:tcBorders>
              <w:top w:val="single" w:sz="8" w:color="003A70"/>
            </w:tcBorders>
          </w:tcPr>
          <w:p>
            <w:pPr>
              <w:spacing w:after="0"/>
              <w:rPr>
                <w:sz w:val="20"/>
                <w:szCs w:val="20"/>
                <w:color w:val="auto"/>
              </w:rPr>
            </w:pPr>
          </w:p>
        </w:tc>
      </w:tr>
      <w:tr>
        <w:trPr>
          <w:trHeight w:val="249"/>
        </w:trPr>
        <w:tc>
          <w:tcPr>
            <w:tcW w:w="374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tc>
        <w:tc>
          <w:tcPr>
            <w:tcW w:w="7280" w:type="dxa"/>
            <w:vAlign w:val="bottom"/>
            <w:gridSpan w:val="2"/>
          </w:tcPr>
          <w:p>
            <w:pPr>
              <w:ind w:left="2000"/>
              <w:spacing w:after="0"/>
              <w:rPr>
                <w:sz w:val="20"/>
                <w:szCs w:val="20"/>
                <w:color w:val="auto"/>
              </w:rPr>
            </w:pPr>
            <w:r>
              <w:rPr>
                <w:rFonts w:ascii="Arial" w:cs="Arial" w:eastAsia="Arial" w:hAnsi="Arial"/>
                <w:sz w:val="16"/>
                <w:szCs w:val="16"/>
                <w:color w:val="auto"/>
              </w:rPr>
              <w:t>Committees:</w:t>
            </w:r>
          </w:p>
        </w:tc>
      </w:tr>
      <w:tr>
        <w:trPr>
          <w:trHeight w:val="189"/>
        </w:trPr>
        <w:tc>
          <w:tcPr>
            <w:tcW w:w="374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tc>
        <w:tc>
          <w:tcPr>
            <w:tcW w:w="2100" w:type="dxa"/>
            <w:vAlign w:val="bottom"/>
          </w:tcPr>
          <w:p>
            <w:pPr>
              <w:ind w:left="200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Compensation Policy</w:t>
            </w:r>
          </w:p>
        </w:tc>
      </w:tr>
      <w:tr>
        <w:trPr>
          <w:trHeight w:val="189"/>
        </w:trPr>
        <w:tc>
          <w:tcPr>
            <w:tcW w:w="3740" w:type="dxa"/>
            <w:vAlign w:val="bottom"/>
          </w:tcPr>
          <w:p>
            <w:pPr>
              <w:spacing w:after="0"/>
              <w:rPr>
                <w:sz w:val="20"/>
                <w:szCs w:val="20"/>
                <w:color w:val="auto"/>
              </w:rPr>
            </w:pPr>
            <w:r>
              <w:rPr>
                <w:rFonts w:ascii="Arial" w:cs="Arial" w:eastAsia="Arial" w:hAnsi="Arial"/>
                <w:sz w:val="16"/>
                <w:szCs w:val="16"/>
                <w:b w:val="1"/>
                <w:bCs w:val="1"/>
                <w:color w:val="auto"/>
              </w:rPr>
              <w:t>Independent</w:t>
            </w:r>
            <w:r>
              <w:rPr>
                <w:rFonts w:ascii="Arial" w:cs="Arial" w:eastAsia="Arial" w:hAnsi="Arial"/>
                <w:sz w:val="16"/>
                <w:szCs w:val="16"/>
                <w:color w:val="auto"/>
              </w:rPr>
              <w:t>: Yes</w:t>
            </w:r>
          </w:p>
        </w:tc>
        <w:tc>
          <w:tcPr>
            <w:tcW w:w="2100" w:type="dxa"/>
            <w:vAlign w:val="bottom"/>
          </w:tcPr>
          <w:p>
            <w:pPr>
              <w:ind w:left="200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Nominating and Corporate Governance</w:t>
            </w:r>
          </w:p>
        </w:tc>
      </w:tr>
      <w:tr>
        <w:trPr>
          <w:trHeight w:val="215"/>
        </w:trPr>
        <w:tc>
          <w:tcPr>
            <w:tcW w:w="3740" w:type="dxa"/>
            <w:vAlign w:val="bottom"/>
          </w:tcPr>
          <w:p>
            <w:pPr>
              <w:spacing w:after="0"/>
              <w:rPr>
                <w:sz w:val="18"/>
                <w:szCs w:val="18"/>
                <w:color w:val="auto"/>
              </w:rPr>
            </w:pPr>
          </w:p>
        </w:tc>
        <w:tc>
          <w:tcPr>
            <w:tcW w:w="2100" w:type="dxa"/>
            <w:vAlign w:val="bottom"/>
          </w:tcPr>
          <w:p>
            <w:pPr>
              <w:ind w:left="200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Ad Hoc Committee on Technology and Innovation Strategy</w:t>
            </w:r>
          </w:p>
        </w:tc>
      </w:tr>
    </w:tbl>
    <w:p>
      <w:pPr>
        <w:spacing w:after="0" w:line="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Experience</w:t>
      </w:r>
    </w:p>
    <w:p>
      <w:pPr>
        <w:spacing w:after="0" w:line="21"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Ms. Galbreath has been the Managing Partner of Galbreath &amp; Company, a real estate investment firm, since 1999. From April 1997 to 1999, she was Managing Director of LaSalle Partners/Jones Lang LaSalle, a real estate services and investment management firm, where she also served as a director. From 1984 to 1997, Ms. Galbreath served in a variety of leadership positions including as Managing Director, Chairman and CEO of The Galbreath Company, the predecessor of Galbreath &amp; Company. Ms. Galbreath has served on the Board of Directors of BGO Industrial Real Estate Income Trust, Inc., a publicly traded real estate investment trust (“REIT”), since 2023. Ms. Galbreath was a director of Paramount Group, Inc., a publicly traded REIT, from 2014 to 2020. She was also a director of Starwood from 2005 to September 2016. She served as a director of ILG, Inc. (“ILG”), a publicly traded vacation ownership company, from May 2016 through August 2018, prior to the Company’s acquisition of ILG.</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Skills and Experience</w:t>
      </w:r>
    </w:p>
    <w:p>
      <w:pPr>
        <w:spacing w:after="0" w:line="21"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auto"/>
        </w:rPr>
        <w:t>Ms. Galbreath provides the Board with the benefit of her senior leadership experience as managing partner of Galbreath &amp; Company. The Board also benefits from her real estate investment, development and strategy experience, and management and corporate governance experience, having served as a member of the boards of directors and committees of the boards of directors of other publicly traded companies.</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0" w:type="dxa"/>
            <w:vAlign w:val="bottom"/>
            <w:vMerge w:val="restart"/>
          </w:tcPr>
          <w:p>
            <w:pPr>
              <w:jc w:val="center"/>
              <w:ind w:right="165"/>
              <w:spacing w:after="0"/>
              <w:rPr>
                <w:sz w:val="20"/>
                <w:szCs w:val="20"/>
                <w:color w:val="auto"/>
              </w:rPr>
            </w:pPr>
            <w:r>
              <w:rPr>
                <w:rFonts w:ascii="Arial" w:cs="Arial" w:eastAsia="Arial" w:hAnsi="Arial"/>
                <w:sz w:val="11"/>
                <w:szCs w:val="11"/>
                <w:color w:val="auto"/>
                <w:w w:val="71"/>
              </w:rPr>
              <w:t> </w:t>
            </w:r>
          </w:p>
        </w:tc>
        <w:tc>
          <w:tcPr>
            <w:tcW w:w="1740" w:type="dxa"/>
            <w:vAlign w:val="bottom"/>
          </w:tcPr>
          <w:p>
            <w:pPr>
              <w:ind w:left="240"/>
              <w:spacing w:after="0"/>
              <w:rPr>
                <w:sz w:val="20"/>
                <w:szCs w:val="20"/>
                <w:color w:val="auto"/>
              </w:rPr>
            </w:pPr>
            <w:r>
              <w:rPr>
                <w:rFonts w:ascii="Arial" w:cs="Arial" w:eastAsia="Arial" w:hAnsi="Arial"/>
                <w:sz w:val="13"/>
                <w:szCs w:val="13"/>
                <w:color w:val="003A70"/>
              </w:rPr>
              <w:t>Corporate</w:t>
            </w:r>
          </w:p>
        </w:tc>
        <w:tc>
          <w:tcPr>
            <w:tcW w:w="1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20" w:type="dxa"/>
            <w:vAlign w:val="bottom"/>
            <w:gridSpan w:val="2"/>
          </w:tcPr>
          <w:p>
            <w:pPr>
              <w:ind w:left="380"/>
              <w:spacing w:after="0"/>
              <w:rPr>
                <w:sz w:val="20"/>
                <w:szCs w:val="20"/>
                <w:color w:val="auto"/>
              </w:rPr>
            </w:pPr>
            <w:r>
              <w:rPr>
                <w:rFonts w:ascii="Arial" w:cs="Arial" w:eastAsia="Arial" w:hAnsi="Arial"/>
                <w:sz w:val="13"/>
                <w:szCs w:val="13"/>
                <w:color w:val="003A70"/>
              </w:rPr>
              <w:t>Public Company Board</w:t>
            </w:r>
          </w:p>
        </w:tc>
        <w:tc>
          <w:tcPr>
            <w:tcW w:w="2680" w:type="dxa"/>
            <w:vAlign w:val="bottom"/>
          </w:tcPr>
          <w:p>
            <w:pPr>
              <w:ind w:left="360"/>
              <w:spacing w:after="0"/>
              <w:rPr>
                <w:sz w:val="20"/>
                <w:szCs w:val="20"/>
                <w:color w:val="auto"/>
              </w:rPr>
            </w:pPr>
            <w:r>
              <w:rPr>
                <w:rFonts w:ascii="Arial" w:cs="Arial" w:eastAsia="Arial" w:hAnsi="Arial"/>
                <w:sz w:val="13"/>
                <w:szCs w:val="13"/>
                <w:color w:val="003A70"/>
              </w:rPr>
              <w:t>Human Capital, Professional</w:t>
            </w:r>
          </w:p>
        </w:tc>
        <w:tc>
          <w:tcPr>
            <w:tcW w:w="0" w:type="dxa"/>
            <w:vAlign w:val="bottom"/>
          </w:tcPr>
          <w:p>
            <w:pPr>
              <w:spacing w:after="0"/>
              <w:rPr>
                <w:sz w:val="1"/>
                <w:szCs w:val="1"/>
                <w:color w:val="auto"/>
              </w:rPr>
            </w:pPr>
          </w:p>
        </w:tc>
      </w:tr>
      <w:tr>
        <w:trPr>
          <w:trHeight w:val="179"/>
        </w:trPr>
        <w:tc>
          <w:tcPr>
            <w:tcW w:w="340" w:type="dxa"/>
            <w:vAlign w:val="bottom"/>
            <w:vMerge w:val="continue"/>
          </w:tcPr>
          <w:p>
            <w:pPr>
              <w:spacing w:after="0"/>
              <w:rPr>
                <w:sz w:val="15"/>
                <w:szCs w:val="15"/>
                <w:color w:val="auto"/>
              </w:rPr>
            </w:pPr>
          </w:p>
        </w:tc>
        <w:tc>
          <w:tcPr>
            <w:tcW w:w="1740" w:type="dxa"/>
            <w:vAlign w:val="bottom"/>
          </w:tcPr>
          <w:p>
            <w:pPr>
              <w:ind w:left="240"/>
              <w:spacing w:after="0"/>
              <w:rPr>
                <w:sz w:val="20"/>
                <w:szCs w:val="20"/>
                <w:color w:val="auto"/>
              </w:rPr>
            </w:pPr>
            <w:r>
              <w:rPr>
                <w:rFonts w:ascii="Arial" w:cs="Arial" w:eastAsia="Arial" w:hAnsi="Arial"/>
                <w:sz w:val="13"/>
                <w:szCs w:val="13"/>
                <w:color w:val="003A70"/>
              </w:rPr>
              <w:t>Leadership</w:t>
            </w:r>
          </w:p>
        </w:tc>
        <w:tc>
          <w:tcPr>
            <w:tcW w:w="1920" w:type="dxa"/>
            <w:vAlign w:val="bottom"/>
          </w:tcPr>
          <w:p>
            <w:pPr>
              <w:ind w:left="380"/>
              <w:spacing w:after="0"/>
              <w:rPr>
                <w:sz w:val="20"/>
                <w:szCs w:val="20"/>
                <w:color w:val="auto"/>
              </w:rPr>
            </w:pPr>
            <w:r>
              <w:rPr>
                <w:rFonts w:ascii="Arial" w:cs="Arial" w:eastAsia="Arial" w:hAnsi="Arial"/>
                <w:sz w:val="13"/>
                <w:szCs w:val="13"/>
                <w:color w:val="003A70"/>
              </w:rPr>
              <w:t>Independence</w:t>
            </w:r>
          </w:p>
        </w:tc>
        <w:tc>
          <w:tcPr>
            <w:tcW w:w="2320" w:type="dxa"/>
            <w:vAlign w:val="bottom"/>
          </w:tcPr>
          <w:p>
            <w:pPr>
              <w:ind w:left="580"/>
              <w:spacing w:after="0"/>
              <w:rPr>
                <w:sz w:val="20"/>
                <w:szCs w:val="20"/>
                <w:color w:val="auto"/>
              </w:rPr>
            </w:pPr>
            <w:r>
              <w:rPr>
                <w:rFonts w:ascii="Arial" w:cs="Arial" w:eastAsia="Arial" w:hAnsi="Arial"/>
                <w:sz w:val="13"/>
                <w:szCs w:val="13"/>
                <w:color w:val="003A70"/>
              </w:rPr>
              <w:t>Diversity</w:t>
            </w:r>
          </w:p>
        </w:tc>
        <w:tc>
          <w:tcPr>
            <w:tcW w:w="2020" w:type="dxa"/>
            <w:vAlign w:val="bottom"/>
            <w:gridSpan w:val="2"/>
          </w:tcPr>
          <w:p>
            <w:pPr>
              <w:ind w:left="380"/>
              <w:spacing w:after="0"/>
              <w:rPr>
                <w:sz w:val="20"/>
                <w:szCs w:val="20"/>
                <w:color w:val="auto"/>
              </w:rPr>
            </w:pPr>
            <w:r>
              <w:rPr>
                <w:rFonts w:ascii="Arial" w:cs="Arial" w:eastAsia="Arial" w:hAnsi="Arial"/>
                <w:sz w:val="13"/>
                <w:szCs w:val="13"/>
                <w:color w:val="003A70"/>
              </w:rPr>
              <w:t>Service &amp; Governance</w:t>
            </w:r>
          </w:p>
        </w:tc>
        <w:tc>
          <w:tcPr>
            <w:tcW w:w="2680" w:type="dxa"/>
            <w:vAlign w:val="bottom"/>
          </w:tcPr>
          <w:p>
            <w:pPr>
              <w:ind w:left="360"/>
              <w:spacing w:after="0"/>
              <w:rPr>
                <w:sz w:val="20"/>
                <w:szCs w:val="20"/>
                <w:color w:val="auto"/>
              </w:rPr>
            </w:pPr>
            <w:r>
              <w:rPr>
                <w:rFonts w:ascii="Arial" w:cs="Arial" w:eastAsia="Arial" w:hAnsi="Arial"/>
                <w:sz w:val="13"/>
                <w:szCs w:val="13"/>
                <w:color w:val="003A70"/>
              </w:rPr>
              <w:t>Development &amp; Organizational Culture</w:t>
            </w:r>
          </w:p>
        </w:tc>
        <w:tc>
          <w:tcPr>
            <w:tcW w:w="0" w:type="dxa"/>
            <w:vAlign w:val="bottom"/>
          </w:tcPr>
          <w:p>
            <w:pPr>
              <w:spacing w:after="0"/>
              <w:rPr>
                <w:sz w:val="1"/>
                <w:szCs w:val="1"/>
                <w:color w:val="auto"/>
              </w:rPr>
            </w:pPr>
          </w:p>
        </w:tc>
      </w:tr>
      <w:tr>
        <w:trPr>
          <w:trHeight w:val="311"/>
        </w:trPr>
        <w:tc>
          <w:tcPr>
            <w:tcW w:w="340" w:type="dxa"/>
            <w:vAlign w:val="bottom"/>
          </w:tcPr>
          <w:p>
            <w:pPr>
              <w:spacing w:after="0"/>
              <w:rPr>
                <w:sz w:val="24"/>
                <w:szCs w:val="24"/>
                <w:color w:val="auto"/>
              </w:rPr>
            </w:pPr>
          </w:p>
        </w:tc>
        <w:tc>
          <w:tcPr>
            <w:tcW w:w="1740" w:type="dxa"/>
            <w:vAlign w:val="bottom"/>
          </w:tcPr>
          <w:p>
            <w:pPr>
              <w:ind w:left="240"/>
              <w:spacing w:after="0"/>
              <w:rPr>
                <w:sz w:val="20"/>
                <w:szCs w:val="20"/>
                <w:color w:val="auto"/>
              </w:rPr>
            </w:pPr>
            <w:r>
              <w:rPr>
                <w:rFonts w:ascii="Arial" w:cs="Arial" w:eastAsia="Arial" w:hAnsi="Arial"/>
                <w:sz w:val="13"/>
                <w:szCs w:val="13"/>
                <w:color w:val="003A70"/>
              </w:rPr>
              <w:t>Vacation Ownership</w:t>
            </w:r>
          </w:p>
        </w:tc>
        <w:tc>
          <w:tcPr>
            <w:tcW w:w="1920" w:type="dxa"/>
            <w:vAlign w:val="bottom"/>
          </w:tcPr>
          <w:p>
            <w:pPr>
              <w:ind w:left="380"/>
              <w:spacing w:after="0"/>
              <w:rPr>
                <w:sz w:val="20"/>
                <w:szCs w:val="20"/>
                <w:color w:val="auto"/>
              </w:rPr>
            </w:pPr>
            <w:r>
              <w:rPr>
                <w:rFonts w:ascii="Arial" w:cs="Arial" w:eastAsia="Arial" w:hAnsi="Arial"/>
                <w:sz w:val="13"/>
                <w:szCs w:val="13"/>
                <w:color w:val="003A70"/>
              </w:rPr>
              <w:t>Real Estate &amp;</w:t>
            </w:r>
          </w:p>
        </w:tc>
        <w:tc>
          <w:tcPr>
            <w:tcW w:w="2320" w:type="dxa"/>
            <w:vAlign w:val="bottom"/>
          </w:tcPr>
          <w:p>
            <w:pPr>
              <w:ind w:left="580"/>
              <w:spacing w:after="0"/>
              <w:rPr>
                <w:sz w:val="20"/>
                <w:szCs w:val="20"/>
                <w:color w:val="auto"/>
              </w:rPr>
            </w:pPr>
            <w:r>
              <w:rPr>
                <w:rFonts w:ascii="Arial" w:cs="Arial" w:eastAsia="Arial" w:hAnsi="Arial"/>
                <w:sz w:val="13"/>
                <w:szCs w:val="13"/>
                <w:color w:val="003A70"/>
              </w:rPr>
              <w:t>Business Development /</w:t>
            </w: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1740" w:type="dxa"/>
            <w:vAlign w:val="bottom"/>
          </w:tcPr>
          <w:p>
            <w:pPr>
              <w:ind w:left="240"/>
              <w:spacing w:after="0"/>
              <w:rPr>
                <w:sz w:val="20"/>
                <w:szCs w:val="20"/>
                <w:color w:val="auto"/>
              </w:rPr>
            </w:pPr>
            <w:r>
              <w:rPr>
                <w:rFonts w:ascii="Arial" w:cs="Arial" w:eastAsia="Arial" w:hAnsi="Arial"/>
                <w:sz w:val="13"/>
                <w:szCs w:val="13"/>
                <w:color w:val="003A70"/>
              </w:rPr>
              <w:t>&amp; Lodging Industry</w:t>
            </w:r>
          </w:p>
        </w:tc>
        <w:tc>
          <w:tcPr>
            <w:tcW w:w="1920" w:type="dxa"/>
            <w:vAlign w:val="bottom"/>
          </w:tcPr>
          <w:p>
            <w:pPr>
              <w:ind w:left="380"/>
              <w:spacing w:after="0"/>
              <w:rPr>
                <w:sz w:val="20"/>
                <w:szCs w:val="20"/>
                <w:color w:val="auto"/>
              </w:rPr>
            </w:pPr>
            <w:r>
              <w:rPr>
                <w:rFonts w:ascii="Arial" w:cs="Arial" w:eastAsia="Arial" w:hAnsi="Arial"/>
                <w:sz w:val="13"/>
                <w:szCs w:val="13"/>
                <w:color w:val="003A70"/>
              </w:rPr>
              <w:t>Business Development</w:t>
            </w:r>
          </w:p>
        </w:tc>
        <w:tc>
          <w:tcPr>
            <w:tcW w:w="2320" w:type="dxa"/>
            <w:vAlign w:val="bottom"/>
          </w:tcPr>
          <w:p>
            <w:pPr>
              <w:ind w:left="580"/>
              <w:spacing w:after="0"/>
              <w:rPr>
                <w:sz w:val="20"/>
                <w:szCs w:val="20"/>
                <w:color w:val="auto"/>
              </w:rPr>
            </w:pPr>
            <w:r>
              <w:rPr>
                <w:rFonts w:ascii="Arial" w:cs="Arial" w:eastAsia="Arial" w:hAnsi="Arial"/>
                <w:sz w:val="13"/>
                <w:szCs w:val="13"/>
                <w:color w:val="003A70"/>
              </w:rPr>
              <w:t>Mergers &amp; Acquisitions</w:t>
            </w:r>
          </w:p>
        </w:tc>
        <w:tc>
          <w:tcPr>
            <w:tcW w:w="1400" w:type="dxa"/>
            <w:vAlign w:val="bottom"/>
          </w:tcPr>
          <w:p>
            <w:pPr>
              <w:ind w:left="380"/>
              <w:spacing w:after="0"/>
              <w:rPr>
                <w:sz w:val="20"/>
                <w:szCs w:val="20"/>
                <w:color w:val="auto"/>
              </w:rPr>
            </w:pPr>
            <w:r>
              <w:rPr>
                <w:rFonts w:ascii="Arial" w:cs="Arial" w:eastAsia="Arial" w:hAnsi="Arial"/>
                <w:sz w:val="13"/>
                <w:szCs w:val="13"/>
                <w:color w:val="003A70"/>
                <w:w w:val="94"/>
              </w:rPr>
              <w:t>Strategic Planning</w:t>
            </w:r>
          </w:p>
        </w:tc>
        <w:tc>
          <w:tcPr>
            <w:tcW w:w="6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40" w:type="dxa"/>
            <w:vAlign w:val="bottom"/>
            <w:tcBorders>
              <w:bottom w:val="single" w:sz="8" w:color="003A70"/>
            </w:tcBorders>
          </w:tcPr>
          <w:p>
            <w:pPr>
              <w:jc w:val="right"/>
              <w:ind w:right="165"/>
              <w:spacing w:after="0"/>
              <w:rPr>
                <w:sz w:val="20"/>
                <w:szCs w:val="20"/>
                <w:color w:val="auto"/>
              </w:rPr>
            </w:pPr>
            <w:r>
              <w:rPr>
                <w:rFonts w:ascii="Arial" w:cs="Arial" w:eastAsia="Arial" w:hAnsi="Arial"/>
                <w:sz w:val="11"/>
                <w:szCs w:val="11"/>
                <w:b w:val="1"/>
                <w:bCs w:val="1"/>
                <w:color w:val="003A70"/>
                <w:w w:val="81"/>
              </w:rPr>
              <w:t>20</w:t>
            </w:r>
          </w:p>
        </w:tc>
        <w:tc>
          <w:tcPr>
            <w:tcW w:w="1740" w:type="dxa"/>
            <w:vAlign w:val="bottom"/>
            <w:tcBorders>
              <w:bottom w:val="single" w:sz="8" w:color="003A70"/>
            </w:tcBorders>
          </w:tcPr>
          <w:p>
            <w:pPr>
              <w:spacing w:after="0"/>
              <w:rPr>
                <w:sz w:val="22"/>
                <w:szCs w:val="22"/>
                <w:color w:val="auto"/>
              </w:rPr>
            </w:pPr>
          </w:p>
        </w:tc>
        <w:tc>
          <w:tcPr>
            <w:tcW w:w="1920" w:type="dxa"/>
            <w:vAlign w:val="bottom"/>
            <w:tcBorders>
              <w:bottom w:val="single" w:sz="8" w:color="003A70"/>
            </w:tcBorders>
          </w:tcPr>
          <w:p>
            <w:pPr>
              <w:spacing w:after="0"/>
              <w:rPr>
                <w:sz w:val="22"/>
                <w:szCs w:val="22"/>
                <w:color w:val="auto"/>
              </w:rPr>
            </w:pPr>
          </w:p>
        </w:tc>
        <w:tc>
          <w:tcPr>
            <w:tcW w:w="3720" w:type="dxa"/>
            <w:vAlign w:val="bottom"/>
            <w:tcBorders>
              <w:bottom w:val="single" w:sz="8" w:color="003A70"/>
            </w:tcBorders>
            <w:gridSpan w:val="2"/>
          </w:tcPr>
          <w:p>
            <w:pPr>
              <w:ind w:left="260"/>
              <w:spacing w:after="0"/>
              <w:rPr>
                <w:sz w:val="20"/>
                <w:szCs w:val="20"/>
                <w:color w:val="auto"/>
              </w:rPr>
            </w:pPr>
            <w:r>
              <w:rPr>
                <w:rFonts w:ascii="Arial" w:cs="Arial" w:eastAsia="Arial" w:hAnsi="Arial"/>
                <w:sz w:val="11"/>
                <w:szCs w:val="11"/>
                <w:color w:val="auto"/>
              </w:rPr>
              <w:t>Report on the Board of Directors and its Committees</w:t>
            </w:r>
          </w:p>
        </w:tc>
        <w:tc>
          <w:tcPr>
            <w:tcW w:w="3300" w:type="dxa"/>
            <w:vAlign w:val="bottom"/>
            <w:tcBorders>
              <w:bottom w:val="single" w:sz="8" w:color="003A70"/>
            </w:tcBorders>
            <w:gridSpan w:val="2"/>
          </w:tcPr>
          <w:p>
            <w:pPr>
              <w:spacing w:after="0"/>
              <w:rPr>
                <w:sz w:val="20"/>
                <w:szCs w:val="20"/>
                <w:color w:val="auto"/>
              </w:rPr>
            </w:pPr>
            <w:r>
              <w:rPr>
                <w:rFonts w:ascii="Arial" w:cs="Arial" w:eastAsia="Arial" w:hAnsi="Arial"/>
                <w:sz w:val="11"/>
                <w:szCs w:val="11"/>
                <w:color w:val="auto"/>
                <w:w w:val="97"/>
              </w:rPr>
              <w:t xml:space="preserve">2026 PROXY STATEMENT </w:t>
            </w:r>
            <w:r>
              <w:rPr>
                <w:rFonts w:ascii="Arial" w:cs="Arial" w:eastAsia="Arial" w:hAnsi="Arial"/>
                <w:sz w:val="11"/>
                <w:szCs w:val="11"/>
                <w:b w:val="1"/>
                <w:bCs w:val="1"/>
                <w:color w:val="003A70"/>
                <w:w w:val="97"/>
              </w:rPr>
              <w:t>MARRIOTT VACATIONS WORLDWIDE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-659765</wp:posOffset>
            </wp:positionV>
            <wp:extent cx="9398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-625475</wp:posOffset>
            </wp:positionV>
            <wp:extent cx="16256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-625475</wp:posOffset>
            </wp:positionV>
            <wp:extent cx="14605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-625475</wp:posOffset>
            </wp:positionV>
            <wp:extent cx="15430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-625475</wp:posOffset>
            </wp:positionV>
            <wp:extent cx="13716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-316865</wp:posOffset>
            </wp:positionV>
            <wp:extent cx="12827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-316865</wp:posOffset>
            </wp:positionV>
            <wp:extent cx="13716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-316865</wp:posOffset>
            </wp:positionV>
            <wp:extent cx="14605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-316865</wp:posOffset>
            </wp:positionV>
            <wp:extent cx="14541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5415"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64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JONICE M. GRAY</w:t>
            </w:r>
          </w:p>
        </w:tc>
        <w:tc>
          <w:tcPr>
            <w:tcW w:w="2200" w:type="dxa"/>
            <w:vAlign w:val="bottom"/>
            <w:tcBorders>
              <w:top w:val="single" w:sz="8" w:color="003A70"/>
            </w:tcBorders>
          </w:tcPr>
          <w:p>
            <w:pPr>
              <w:spacing w:after="0"/>
              <w:rPr>
                <w:sz w:val="20"/>
                <w:szCs w:val="20"/>
                <w:color w:val="auto"/>
              </w:rPr>
            </w:pPr>
          </w:p>
        </w:tc>
        <w:tc>
          <w:tcPr>
            <w:tcW w:w="5180" w:type="dxa"/>
            <w:vAlign w:val="bottom"/>
            <w:tcBorders>
              <w:top w:val="single" w:sz="8" w:color="003A70"/>
            </w:tcBorders>
          </w:tcPr>
          <w:p>
            <w:pPr>
              <w:spacing w:after="0"/>
              <w:rPr>
                <w:sz w:val="20"/>
                <w:szCs w:val="20"/>
                <w:color w:val="auto"/>
              </w:rPr>
            </w:pPr>
          </w:p>
        </w:tc>
      </w:tr>
      <w:tr>
        <w:trPr>
          <w:trHeight w:val="249"/>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51</w:t>
            </w:r>
          </w:p>
        </w:tc>
        <w:tc>
          <w:tcPr>
            <w:tcW w:w="7380" w:type="dxa"/>
            <w:vAlign w:val="bottom"/>
            <w:gridSpan w:val="2"/>
          </w:tcPr>
          <w:p>
            <w:pPr>
              <w:ind w:left="2100"/>
              <w:spacing w:after="0"/>
              <w:rPr>
                <w:sz w:val="20"/>
                <w:szCs w:val="20"/>
                <w:color w:val="auto"/>
              </w:rPr>
            </w:pPr>
            <w:r>
              <w:rPr>
                <w:rFonts w:ascii="Arial" w:cs="Arial" w:eastAsia="Arial" w:hAnsi="Arial"/>
                <w:sz w:val="16"/>
                <w:szCs w:val="16"/>
                <w:color w:val="auto"/>
              </w:rPr>
              <w:t>Committees:</w:t>
            </w:r>
          </w:p>
        </w:tc>
      </w:tr>
      <w:tr>
        <w:trPr>
          <w:trHeight w:val="189"/>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tc>
        <w:tc>
          <w:tcPr>
            <w:tcW w:w="2200" w:type="dxa"/>
            <w:vAlign w:val="bottom"/>
          </w:tcPr>
          <w:p>
            <w:pPr>
              <w:ind w:left="210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Audit</w:t>
            </w:r>
          </w:p>
        </w:tc>
      </w:tr>
      <w:tr>
        <w:trPr>
          <w:trHeight w:val="228"/>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2200" w:type="dxa"/>
            <w:vAlign w:val="bottom"/>
          </w:tcPr>
          <w:p>
            <w:pPr>
              <w:ind w:left="210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Nominating and Corporate Governance</w:t>
            </w:r>
          </w:p>
        </w:tc>
      </w:tr>
    </w:tbl>
    <w:p>
      <w:pPr>
        <w:spacing w:after="0" w:line="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Experience</w:t>
      </w:r>
    </w:p>
    <w:p>
      <w:pPr>
        <w:spacing w:after="0" w:line="21"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Ms. Gray is a Partner with Paul Hastings, LLP, a global law firm, where she is Chair of the Consumer Financial Services Group. Throughout her professional career, Ms. Gray has specialized in work with banks, non-bank financial institutions, and other companies providing financial products and services. She works with some of the largest bank and non-bank financial institutions, emerging companies such as fintechs, and retailers whose business operations include consumer and commercial finance. Ms. Gray’s work is focused on representing corporate clients in high-stakes legal proceedings, including matters initiated by federal and state regulators, private civil litigation, and internal investigations. Ms. Gray’s work includes particularized focus on matters related to consumer protection and corporate compliance. Ms. Gray routinely provides strategic advice to senior corporate leaders, including Boards of Directors, as they navigate complex, and often unexpected, business and legal challenges. In view of the nature of her practice, this work often involves crisis management.</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Skills and Experience</w:t>
      </w:r>
    </w:p>
    <w:p>
      <w:pPr>
        <w:spacing w:after="0" w:line="21" w:lineRule="exact"/>
        <w:rPr>
          <w:sz w:val="20"/>
          <w:szCs w:val="20"/>
          <w:color w:val="auto"/>
        </w:rPr>
      </w:pPr>
    </w:p>
    <w:p>
      <w:pPr>
        <w:ind w:left="120" w:right="20"/>
        <w:spacing w:after="0" w:line="246" w:lineRule="auto"/>
        <w:rPr>
          <w:sz w:val="20"/>
          <w:szCs w:val="20"/>
          <w:color w:val="auto"/>
        </w:rPr>
      </w:pPr>
      <w:r>
        <w:rPr>
          <w:rFonts w:ascii="Arial" w:cs="Arial" w:eastAsia="Arial" w:hAnsi="Arial"/>
          <w:sz w:val="16"/>
          <w:szCs w:val="16"/>
          <w:color w:val="auto"/>
        </w:rPr>
        <w:t>Ms. Gray has been deeply professionally engaged as a leader in her industry. She is a Past Chair of the American Bar Association’s Banking Law Committee, which had over 2,000 members during her three-year term. She sits on the Executive Council of the Federal Bar Association’s Banking Law Section, the Board of Regents for the American College of Financial Services Lawyers, and the Law360 Banking Advisory Board. She has delivered hundreds of speeches and authored more than 20 articles in the past few years on financial services matters. Outside of her professional work, Ms. Gray has served as a Director and as a senior leader for numerous non-profit organizations. Her current affiliations include serving on the Board of Directors for The Legal Aid Society of the District of Columbia and on the Advisory Board for the Ron Brown Scholars Program. Prior to joining Paul Hastings,</w:t>
      </w:r>
    </w:p>
    <w:p>
      <w:pPr>
        <w:spacing w:after="0" w:line="2" w:lineRule="exact"/>
        <w:rPr>
          <w:sz w:val="20"/>
          <w:szCs w:val="20"/>
          <w:color w:val="auto"/>
        </w:rPr>
      </w:pPr>
    </w:p>
    <w:p>
      <w:pPr>
        <w:ind w:left="120" w:right="260"/>
        <w:spacing w:after="0" w:line="256" w:lineRule="auto"/>
        <w:rPr>
          <w:sz w:val="20"/>
          <w:szCs w:val="20"/>
          <w:color w:val="auto"/>
        </w:rPr>
      </w:pPr>
      <w:r>
        <w:rPr>
          <w:rFonts w:ascii="Arial" w:cs="Arial" w:eastAsia="Arial" w:hAnsi="Arial"/>
          <w:sz w:val="16"/>
          <w:szCs w:val="16"/>
          <w:color w:val="auto"/>
        </w:rPr>
        <w:t>Ms. Gray was a Founding Partner and Governing Board Member of another international law firm. She holds a BA from the University of Virginia (Phi Beta Kappa) and a JD from Yale Law School. Ms. Gray brings to the Board a fresh and unique perspective in the areas of financial markets, regulatory affairs, consumer protection, risk and crisis management, and technology.</w:t>
      </w: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260" w:type="dxa"/>
            <w:vAlign w:val="bottom"/>
          </w:tcPr>
          <w:p>
            <w:pPr>
              <w:spacing w:after="0"/>
              <w:rPr>
                <w:sz w:val="13"/>
                <w:szCs w:val="13"/>
                <w:color w:val="auto"/>
              </w:rPr>
            </w:pPr>
          </w:p>
        </w:tc>
        <w:tc>
          <w:tcPr>
            <w:tcW w:w="1400" w:type="dxa"/>
            <w:vAlign w:val="bottom"/>
          </w:tcPr>
          <w:p>
            <w:pPr>
              <w:ind w:left="240"/>
              <w:spacing w:after="0"/>
              <w:rPr>
                <w:sz w:val="20"/>
                <w:szCs w:val="20"/>
                <w:color w:val="auto"/>
              </w:rPr>
            </w:pPr>
            <w:r>
              <w:rPr>
                <w:rFonts w:ascii="Arial" w:cs="Arial" w:eastAsia="Arial" w:hAnsi="Arial"/>
                <w:sz w:val="13"/>
                <w:szCs w:val="13"/>
                <w:color w:val="003A70"/>
              </w:rPr>
              <w:t>Corporate</w:t>
            </w:r>
          </w:p>
        </w:tc>
        <w:tc>
          <w:tcPr>
            <w:tcW w:w="19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20" w:type="dxa"/>
            <w:vAlign w:val="bottom"/>
          </w:tcPr>
          <w:p>
            <w:pPr>
              <w:ind w:left="380"/>
              <w:spacing w:after="0"/>
              <w:rPr>
                <w:sz w:val="20"/>
                <w:szCs w:val="20"/>
                <w:color w:val="auto"/>
              </w:rPr>
            </w:pPr>
            <w:r>
              <w:rPr>
                <w:rFonts w:ascii="Arial" w:cs="Arial" w:eastAsia="Arial" w:hAnsi="Arial"/>
                <w:sz w:val="13"/>
                <w:szCs w:val="13"/>
                <w:color w:val="003A70"/>
              </w:rPr>
              <w:t>Public Company Board</w:t>
            </w:r>
          </w:p>
        </w:tc>
      </w:tr>
      <w:tr>
        <w:trPr>
          <w:trHeight w:val="175"/>
        </w:trPr>
        <w:tc>
          <w:tcPr>
            <w:tcW w:w="260" w:type="dxa"/>
            <w:vAlign w:val="bottom"/>
          </w:tcPr>
          <w:p>
            <w:pPr>
              <w:spacing w:after="0"/>
              <w:rPr>
                <w:sz w:val="20"/>
                <w:szCs w:val="20"/>
                <w:color w:val="auto"/>
              </w:rPr>
            </w:pPr>
            <w:r>
              <w:rPr>
                <w:rFonts w:ascii="Arial" w:cs="Arial" w:eastAsia="Arial" w:hAnsi="Arial"/>
                <w:sz w:val="13"/>
                <w:szCs w:val="13"/>
                <w:color w:val="auto"/>
              </w:rPr>
              <w:t> </w:t>
            </w:r>
          </w:p>
        </w:tc>
        <w:tc>
          <w:tcPr>
            <w:tcW w:w="1400" w:type="dxa"/>
            <w:vAlign w:val="bottom"/>
          </w:tcPr>
          <w:p>
            <w:pPr>
              <w:ind w:left="240"/>
              <w:spacing w:after="0"/>
              <w:rPr>
                <w:sz w:val="20"/>
                <w:szCs w:val="20"/>
                <w:color w:val="auto"/>
              </w:rPr>
            </w:pPr>
            <w:r>
              <w:rPr>
                <w:rFonts w:ascii="Arial" w:cs="Arial" w:eastAsia="Arial" w:hAnsi="Arial"/>
                <w:sz w:val="13"/>
                <w:szCs w:val="13"/>
                <w:color w:val="003A70"/>
              </w:rPr>
              <w:t>Leadership</w:t>
            </w:r>
          </w:p>
        </w:tc>
        <w:tc>
          <w:tcPr>
            <w:tcW w:w="1960" w:type="dxa"/>
            <w:vAlign w:val="bottom"/>
          </w:tcPr>
          <w:p>
            <w:pPr>
              <w:ind w:left="500"/>
              <w:spacing w:after="0"/>
              <w:rPr>
                <w:sz w:val="20"/>
                <w:szCs w:val="20"/>
                <w:color w:val="auto"/>
              </w:rPr>
            </w:pPr>
            <w:r>
              <w:rPr>
                <w:rFonts w:ascii="Arial" w:cs="Arial" w:eastAsia="Arial" w:hAnsi="Arial"/>
                <w:sz w:val="13"/>
                <w:szCs w:val="13"/>
                <w:color w:val="003A70"/>
              </w:rPr>
              <w:t>Independence</w:t>
            </w:r>
          </w:p>
        </w:tc>
        <w:tc>
          <w:tcPr>
            <w:tcW w:w="1520" w:type="dxa"/>
            <w:vAlign w:val="bottom"/>
          </w:tcPr>
          <w:p>
            <w:pPr>
              <w:ind w:left="400"/>
              <w:spacing w:after="0"/>
              <w:rPr>
                <w:sz w:val="20"/>
                <w:szCs w:val="20"/>
                <w:color w:val="auto"/>
              </w:rPr>
            </w:pPr>
            <w:r>
              <w:rPr>
                <w:rFonts w:ascii="Arial" w:cs="Arial" w:eastAsia="Arial" w:hAnsi="Arial"/>
                <w:sz w:val="13"/>
                <w:szCs w:val="13"/>
                <w:color w:val="003A70"/>
              </w:rPr>
              <w:t>Diversity</w:t>
            </w:r>
          </w:p>
        </w:tc>
        <w:tc>
          <w:tcPr>
            <w:tcW w:w="1980" w:type="dxa"/>
            <w:vAlign w:val="bottom"/>
          </w:tcPr>
          <w:p>
            <w:pPr>
              <w:ind w:left="340"/>
              <w:spacing w:after="0"/>
              <w:rPr>
                <w:sz w:val="20"/>
                <w:szCs w:val="20"/>
                <w:color w:val="auto"/>
              </w:rPr>
            </w:pPr>
            <w:r>
              <w:rPr>
                <w:rFonts w:ascii="Arial" w:cs="Arial" w:eastAsia="Arial" w:hAnsi="Arial"/>
                <w:sz w:val="13"/>
                <w:szCs w:val="13"/>
                <w:color w:val="003A70"/>
              </w:rPr>
              <w:t>Risk Management</w:t>
            </w:r>
          </w:p>
        </w:tc>
        <w:tc>
          <w:tcPr>
            <w:tcW w:w="1820" w:type="dxa"/>
            <w:vAlign w:val="bottom"/>
          </w:tcPr>
          <w:p>
            <w:pPr>
              <w:ind w:left="400"/>
              <w:spacing w:after="0"/>
              <w:rPr>
                <w:sz w:val="20"/>
                <w:szCs w:val="20"/>
                <w:color w:val="auto"/>
              </w:rPr>
            </w:pPr>
            <w:r>
              <w:rPr>
                <w:rFonts w:ascii="Arial" w:cs="Arial" w:eastAsia="Arial" w:hAnsi="Arial"/>
                <w:sz w:val="13"/>
                <w:szCs w:val="13"/>
                <w:color w:val="003A70"/>
              </w:rPr>
              <w:t>Strategic Planning</w:t>
            </w:r>
          </w:p>
        </w:tc>
        <w:tc>
          <w:tcPr>
            <w:tcW w:w="1920" w:type="dxa"/>
            <w:vAlign w:val="bottom"/>
          </w:tcPr>
          <w:p>
            <w:pPr>
              <w:ind w:left="380"/>
              <w:spacing w:after="0"/>
              <w:rPr>
                <w:sz w:val="20"/>
                <w:szCs w:val="20"/>
                <w:color w:val="auto"/>
              </w:rPr>
            </w:pPr>
            <w:r>
              <w:rPr>
                <w:rFonts w:ascii="Arial" w:cs="Arial" w:eastAsia="Arial" w:hAnsi="Arial"/>
                <w:sz w:val="13"/>
                <w:szCs w:val="13"/>
                <w:color w:val="003A70"/>
              </w:rPr>
              <w:t>Service &amp; Governance</w:t>
            </w:r>
          </w:p>
        </w:tc>
      </w:tr>
      <w:tr>
        <w:trPr>
          <w:trHeight w:val="257"/>
        </w:trPr>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960" w:type="dxa"/>
            <w:vAlign w:val="bottom"/>
          </w:tcPr>
          <w:p>
            <w:pPr>
              <w:ind w:left="500"/>
              <w:spacing w:after="0"/>
              <w:rPr>
                <w:sz w:val="20"/>
                <w:szCs w:val="20"/>
                <w:color w:val="auto"/>
              </w:rPr>
            </w:pPr>
            <w:r>
              <w:rPr>
                <w:rFonts w:ascii="Arial" w:cs="Arial" w:eastAsia="Arial" w:hAnsi="Arial"/>
                <w:sz w:val="13"/>
                <w:szCs w:val="13"/>
                <w:color w:val="003A70"/>
              </w:rPr>
              <w:t>Sales &amp; Marketing/</w:t>
            </w:r>
          </w:p>
        </w:tc>
        <w:tc>
          <w:tcPr>
            <w:tcW w:w="1520" w:type="dxa"/>
            <w:vAlign w:val="bottom"/>
          </w:tcPr>
          <w:p>
            <w:pPr>
              <w:ind w:left="400"/>
              <w:spacing w:after="0"/>
              <w:rPr>
                <w:sz w:val="20"/>
                <w:szCs w:val="20"/>
                <w:color w:val="auto"/>
              </w:rPr>
            </w:pPr>
            <w:r>
              <w:rPr>
                <w:rFonts w:ascii="Arial" w:cs="Arial" w:eastAsia="Arial" w:hAnsi="Arial"/>
                <w:sz w:val="13"/>
                <w:szCs w:val="13"/>
                <w:color w:val="003A70"/>
              </w:rPr>
              <w:t>Technology &amp;</w:t>
            </w:r>
          </w:p>
        </w:tc>
        <w:tc>
          <w:tcPr>
            <w:tcW w:w="1980" w:type="dxa"/>
            <w:vAlign w:val="bottom"/>
          </w:tcPr>
          <w:p>
            <w:pPr>
              <w:ind w:left="340"/>
              <w:spacing w:after="0"/>
              <w:rPr>
                <w:sz w:val="20"/>
                <w:szCs w:val="20"/>
                <w:color w:val="auto"/>
              </w:rPr>
            </w:pPr>
            <w:r>
              <w:rPr>
                <w:rFonts w:ascii="Arial" w:cs="Arial" w:eastAsia="Arial" w:hAnsi="Arial"/>
                <w:sz w:val="13"/>
                <w:szCs w:val="13"/>
                <w:color w:val="003A70"/>
              </w:rPr>
              <w:t>Legal, Regulatory &amp;</w:t>
            </w:r>
          </w:p>
        </w:tc>
        <w:tc>
          <w:tcPr>
            <w:tcW w:w="1820" w:type="dxa"/>
            <w:vAlign w:val="bottom"/>
          </w:tcPr>
          <w:p>
            <w:pPr>
              <w:ind w:left="400"/>
              <w:spacing w:after="0"/>
              <w:rPr>
                <w:sz w:val="20"/>
                <w:szCs w:val="20"/>
                <w:color w:val="auto"/>
              </w:rPr>
            </w:pPr>
            <w:r>
              <w:rPr>
                <w:rFonts w:ascii="Arial" w:cs="Arial" w:eastAsia="Arial" w:hAnsi="Arial"/>
                <w:sz w:val="13"/>
                <w:szCs w:val="13"/>
                <w:color w:val="003A70"/>
              </w:rPr>
              <w:t>Digital &amp; Social</w:t>
            </w:r>
          </w:p>
        </w:tc>
        <w:tc>
          <w:tcPr>
            <w:tcW w:w="1920" w:type="dxa"/>
            <w:vAlign w:val="bottom"/>
          </w:tcPr>
          <w:p>
            <w:pPr>
              <w:spacing w:after="0"/>
              <w:rPr>
                <w:sz w:val="22"/>
                <w:szCs w:val="22"/>
                <w:color w:val="auto"/>
              </w:rPr>
            </w:pPr>
          </w:p>
        </w:tc>
      </w:tr>
      <w:tr>
        <w:trPr>
          <w:trHeight w:val="175"/>
        </w:trPr>
        <w:tc>
          <w:tcPr>
            <w:tcW w:w="260" w:type="dxa"/>
            <w:vAlign w:val="bottom"/>
          </w:tcPr>
          <w:p>
            <w:pPr>
              <w:spacing w:after="0"/>
              <w:rPr>
                <w:sz w:val="15"/>
                <w:szCs w:val="15"/>
                <w:color w:val="auto"/>
              </w:rPr>
            </w:pPr>
          </w:p>
        </w:tc>
        <w:tc>
          <w:tcPr>
            <w:tcW w:w="1400" w:type="dxa"/>
            <w:vAlign w:val="bottom"/>
          </w:tcPr>
          <w:p>
            <w:pPr>
              <w:ind w:left="240"/>
              <w:spacing w:after="0"/>
              <w:rPr>
                <w:sz w:val="20"/>
                <w:szCs w:val="20"/>
                <w:color w:val="auto"/>
              </w:rPr>
            </w:pPr>
            <w:r>
              <w:rPr>
                <w:rFonts w:ascii="Arial" w:cs="Arial" w:eastAsia="Arial" w:hAnsi="Arial"/>
                <w:sz w:val="13"/>
                <w:szCs w:val="13"/>
                <w:color w:val="003A70"/>
              </w:rPr>
              <w:t>Compliance</w:t>
            </w:r>
          </w:p>
        </w:tc>
        <w:tc>
          <w:tcPr>
            <w:tcW w:w="1960" w:type="dxa"/>
            <w:vAlign w:val="bottom"/>
          </w:tcPr>
          <w:p>
            <w:pPr>
              <w:ind w:left="500"/>
              <w:spacing w:after="0"/>
              <w:rPr>
                <w:sz w:val="20"/>
                <w:szCs w:val="20"/>
                <w:color w:val="auto"/>
              </w:rPr>
            </w:pPr>
            <w:r>
              <w:rPr>
                <w:rFonts w:ascii="Arial" w:cs="Arial" w:eastAsia="Arial" w:hAnsi="Arial"/>
                <w:sz w:val="13"/>
                <w:szCs w:val="13"/>
                <w:color w:val="003A70"/>
              </w:rPr>
              <w:t>Consumer Insights</w:t>
            </w:r>
          </w:p>
        </w:tc>
        <w:tc>
          <w:tcPr>
            <w:tcW w:w="1520" w:type="dxa"/>
            <w:vAlign w:val="bottom"/>
          </w:tcPr>
          <w:p>
            <w:pPr>
              <w:ind w:left="400"/>
              <w:spacing w:after="0"/>
              <w:rPr>
                <w:sz w:val="20"/>
                <w:szCs w:val="20"/>
                <w:color w:val="auto"/>
              </w:rPr>
            </w:pPr>
            <w:r>
              <w:rPr>
                <w:rFonts w:ascii="Arial" w:cs="Arial" w:eastAsia="Arial" w:hAnsi="Arial"/>
                <w:sz w:val="13"/>
                <w:szCs w:val="13"/>
                <w:color w:val="003A70"/>
              </w:rPr>
              <w:t>Cybersecurity</w:t>
            </w:r>
          </w:p>
        </w:tc>
        <w:tc>
          <w:tcPr>
            <w:tcW w:w="1980" w:type="dxa"/>
            <w:vAlign w:val="bottom"/>
          </w:tcPr>
          <w:p>
            <w:pPr>
              <w:ind w:left="340"/>
              <w:spacing w:after="0"/>
              <w:rPr>
                <w:sz w:val="20"/>
                <w:szCs w:val="20"/>
                <w:color w:val="auto"/>
              </w:rPr>
            </w:pPr>
            <w:r>
              <w:rPr>
                <w:rFonts w:ascii="Arial" w:cs="Arial" w:eastAsia="Arial" w:hAnsi="Arial"/>
                <w:sz w:val="13"/>
                <w:szCs w:val="13"/>
                <w:color w:val="003A70"/>
              </w:rPr>
              <w:t>Government Relations</w:t>
            </w:r>
          </w:p>
        </w:tc>
        <w:tc>
          <w:tcPr>
            <w:tcW w:w="1820" w:type="dxa"/>
            <w:vAlign w:val="bottom"/>
          </w:tcPr>
          <w:p>
            <w:pPr>
              <w:ind w:left="400"/>
              <w:spacing w:after="0"/>
              <w:rPr>
                <w:sz w:val="20"/>
                <w:szCs w:val="20"/>
                <w:color w:val="auto"/>
              </w:rPr>
            </w:pPr>
            <w:r>
              <w:rPr>
                <w:rFonts w:ascii="Arial" w:cs="Arial" w:eastAsia="Arial" w:hAnsi="Arial"/>
                <w:sz w:val="13"/>
                <w:szCs w:val="13"/>
                <w:color w:val="003A70"/>
              </w:rPr>
              <w:t>Media</w:t>
            </w:r>
          </w:p>
        </w:tc>
        <w:tc>
          <w:tcPr>
            <w:tcW w:w="1920" w:type="dxa"/>
            <w:vAlign w:val="bottom"/>
          </w:tcPr>
          <w:p>
            <w:pPr>
              <w:ind w:left="380"/>
              <w:spacing w:after="0"/>
              <w:rPr>
                <w:sz w:val="20"/>
                <w:szCs w:val="20"/>
                <w:color w:val="auto"/>
              </w:rPr>
            </w:pPr>
            <w:r>
              <w:rPr>
                <w:rFonts w:ascii="Arial" w:cs="Arial" w:eastAsia="Arial" w:hAnsi="Arial"/>
                <w:sz w:val="13"/>
                <w:szCs w:val="13"/>
                <w:color w:val="003A70"/>
                <w:w w:val="96"/>
              </w:rPr>
              <w:t>Financial &amp; Capital Markets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-445135</wp:posOffset>
            </wp:positionV>
            <wp:extent cx="9461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-419100</wp:posOffset>
            </wp:positionV>
            <wp:extent cx="163195"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3195" cy="13716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-419100</wp:posOffset>
            </wp:positionV>
            <wp:extent cx="14541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-419100</wp:posOffset>
            </wp:positionV>
            <wp:extent cx="13716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-419100</wp:posOffset>
            </wp:positionV>
            <wp:extent cx="14605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-419100</wp:posOffset>
            </wp:positionV>
            <wp:extent cx="154305"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-153670</wp:posOffset>
            </wp:positionV>
            <wp:extent cx="18859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8595" cy="137160"/>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-144780</wp:posOffset>
            </wp:positionV>
            <wp:extent cx="145415"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-144780</wp:posOffset>
            </wp:positionV>
            <wp:extent cx="13716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-144780</wp:posOffset>
            </wp:positionV>
            <wp:extent cx="13716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-144780</wp:posOffset>
            </wp:positionV>
            <wp:extent cx="14605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-144780</wp:posOffset>
            </wp:positionV>
            <wp:extent cx="163195"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3195" cy="13716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66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DIANNA F. MORGAN</w:t>
            </w:r>
          </w:p>
        </w:tc>
        <w:tc>
          <w:tcPr>
            <w:tcW w:w="2180" w:type="dxa"/>
            <w:vAlign w:val="bottom"/>
            <w:tcBorders>
              <w:top w:val="single" w:sz="8" w:color="003A70"/>
            </w:tcBorders>
          </w:tcPr>
          <w:p>
            <w:pPr>
              <w:spacing w:after="0"/>
              <w:rPr>
                <w:sz w:val="20"/>
                <w:szCs w:val="20"/>
                <w:color w:val="auto"/>
              </w:rPr>
            </w:pPr>
          </w:p>
        </w:tc>
        <w:tc>
          <w:tcPr>
            <w:tcW w:w="5180" w:type="dxa"/>
            <w:vAlign w:val="bottom"/>
            <w:tcBorders>
              <w:top w:val="single" w:sz="8" w:color="003A70"/>
            </w:tcBorders>
          </w:tcPr>
          <w:p>
            <w:pPr>
              <w:spacing w:after="0"/>
              <w:rPr>
                <w:sz w:val="20"/>
                <w:szCs w:val="20"/>
                <w:color w:val="auto"/>
              </w:rPr>
            </w:pPr>
          </w:p>
        </w:tc>
      </w:tr>
      <w:tr>
        <w:trPr>
          <w:trHeight w:val="249"/>
        </w:trPr>
        <w:tc>
          <w:tcPr>
            <w:tcW w:w="366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74</w:t>
            </w:r>
          </w:p>
        </w:tc>
        <w:tc>
          <w:tcPr>
            <w:tcW w:w="7360" w:type="dxa"/>
            <w:vAlign w:val="bottom"/>
            <w:gridSpan w:val="2"/>
          </w:tcPr>
          <w:p>
            <w:pPr>
              <w:ind w:left="2080"/>
              <w:spacing w:after="0"/>
              <w:rPr>
                <w:sz w:val="20"/>
                <w:szCs w:val="20"/>
                <w:color w:val="auto"/>
              </w:rPr>
            </w:pPr>
            <w:r>
              <w:rPr>
                <w:rFonts w:ascii="Arial" w:cs="Arial" w:eastAsia="Arial" w:hAnsi="Arial"/>
                <w:sz w:val="16"/>
                <w:szCs w:val="16"/>
                <w:color w:val="auto"/>
              </w:rPr>
              <w:t>Committees:</w:t>
            </w:r>
          </w:p>
        </w:tc>
      </w:tr>
      <w:tr>
        <w:trPr>
          <w:trHeight w:val="189"/>
        </w:trPr>
        <w:tc>
          <w:tcPr>
            <w:tcW w:w="366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tc>
        <w:tc>
          <w:tcPr>
            <w:tcW w:w="2180" w:type="dxa"/>
            <w:vAlign w:val="bottom"/>
          </w:tcPr>
          <w:p>
            <w:pPr>
              <w:ind w:left="208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Compensation Policy (Chair)</w:t>
            </w:r>
          </w:p>
        </w:tc>
      </w:tr>
      <w:tr>
        <w:trPr>
          <w:trHeight w:val="228"/>
        </w:trPr>
        <w:tc>
          <w:tcPr>
            <w:tcW w:w="366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2180" w:type="dxa"/>
            <w:vAlign w:val="bottom"/>
          </w:tcPr>
          <w:p>
            <w:pPr>
              <w:ind w:left="208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Nominating and Corporate Governance</w:t>
            </w:r>
          </w:p>
        </w:tc>
      </w:tr>
    </w:tbl>
    <w:p>
      <w:pPr>
        <w:spacing w:after="0" w:line="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Experience</w:t>
      </w:r>
    </w:p>
    <w:p>
      <w:pPr>
        <w:spacing w:after="0" w:line="21"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auto"/>
        </w:rPr>
        <w:t>Ms. Morgan retired in 2001 from a 30-year career with Walt Disney World Company, a subsidiary of The Walt Disney Company, a publicly traded entertainment company, where she served most recently as Senior Vice President of Public Affairs and Senior Vice President of Human Resources. During her tenure at Walt Disney World Company, she oversaw the Disney Institute, a recognized leader in experiential training, leadership development, benchmarking and cultural change for business professionals around the world. She previously served on the Board of Directors of Chesapeake Utilities Corporation, a publicly traded diversified energy corporation, from August 2008 to May 2023, the Board of Trustees of Hersha Hospitality Trust, a publicly traded REIT, from March 2010 to December 2023, and the Board of Directors of CNL Health Care Properties II, Inc., a publicly traded REIT, from November 2015 to March 2020. She also previously served as Chair of the Board of Trustees for the University of Florida.</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Skills and Experience</w:t>
      </w:r>
    </w:p>
    <w:p>
      <w:pPr>
        <w:spacing w:after="0" w:line="21" w:lineRule="exact"/>
        <w:rPr>
          <w:sz w:val="20"/>
          <w:szCs w:val="20"/>
          <w:color w:val="auto"/>
        </w:rPr>
      </w:pPr>
    </w:p>
    <w:p>
      <w:pPr>
        <w:ind w:left="120" w:right="200"/>
        <w:spacing w:after="0" w:line="250" w:lineRule="auto"/>
        <w:rPr>
          <w:sz w:val="20"/>
          <w:szCs w:val="20"/>
          <w:color w:val="auto"/>
        </w:rPr>
      </w:pPr>
      <w:r>
        <w:rPr>
          <w:rFonts w:ascii="Arial" w:cs="Arial" w:eastAsia="Arial" w:hAnsi="Arial"/>
          <w:sz w:val="16"/>
          <w:szCs w:val="16"/>
          <w:color w:val="auto"/>
        </w:rPr>
        <w:t>As an accomplished senior manager at Walt Disney World Company in various areas, Ms. Morgan brings to the Board best practice expertise in human capital and the customer experience. Ms. Morgan’s previous experience overseeing the Disney Institute, which provides leading professional development programs, and serving as Senior Vice President of Human Resources for Walt Disney World Company have provided her with extensive knowledge of leadership development programs and organizational culture. In addition, Ms. Morgan’s experience as Senior Vice President of Public Affairs for Walt Disney World Company has provided her with a solid foundation in media relations and government relations. She also has extensive experience as a board member of publicly traded and private companies.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3120" w:type="dxa"/>
            <w:vAlign w:val="bottom"/>
          </w:tcPr>
          <w:p>
            <w:pPr>
              <w:ind w:left="240"/>
              <w:spacing w:after="0"/>
              <w:rPr>
                <w:sz w:val="20"/>
                <w:szCs w:val="20"/>
                <w:color w:val="auto"/>
              </w:rPr>
            </w:pPr>
            <w:r>
              <w:rPr>
                <w:rFonts w:ascii="Arial" w:cs="Arial" w:eastAsia="Arial" w:hAnsi="Arial"/>
                <w:sz w:val="13"/>
                <w:szCs w:val="13"/>
                <w:color w:val="003A70"/>
              </w:rPr>
              <w:t>Corporate</w:t>
            </w:r>
          </w:p>
        </w:tc>
        <w:tc>
          <w:tcPr>
            <w:tcW w:w="1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120" w:type="dxa"/>
            <w:vAlign w:val="bottom"/>
          </w:tcPr>
          <w:p>
            <w:pPr>
              <w:ind w:left="460"/>
              <w:spacing w:after="0"/>
              <w:rPr>
                <w:sz w:val="20"/>
                <w:szCs w:val="20"/>
                <w:color w:val="auto"/>
              </w:rPr>
            </w:pPr>
            <w:r>
              <w:rPr>
                <w:rFonts w:ascii="Arial" w:cs="Arial" w:eastAsia="Arial" w:hAnsi="Arial"/>
                <w:sz w:val="13"/>
                <w:szCs w:val="13"/>
                <w:color w:val="003A70"/>
              </w:rPr>
              <w:t>Public Company Board</w:t>
            </w:r>
          </w:p>
        </w:tc>
        <w:tc>
          <w:tcPr>
            <w:tcW w:w="1660" w:type="dxa"/>
            <w:vAlign w:val="bottom"/>
          </w:tcPr>
          <w:p>
            <w:pPr>
              <w:spacing w:after="0"/>
              <w:rPr>
                <w:sz w:val="12"/>
                <w:szCs w:val="12"/>
                <w:color w:val="auto"/>
              </w:rPr>
            </w:pPr>
          </w:p>
        </w:tc>
      </w:tr>
      <w:tr>
        <w:trPr>
          <w:trHeight w:val="179"/>
        </w:trPr>
        <w:tc>
          <w:tcPr>
            <w:tcW w:w="300" w:type="dxa"/>
            <w:vAlign w:val="bottom"/>
          </w:tcPr>
          <w:p>
            <w:pPr>
              <w:ind w:left="40"/>
              <w:spacing w:after="0"/>
              <w:rPr>
                <w:sz w:val="20"/>
                <w:szCs w:val="20"/>
                <w:color w:val="auto"/>
              </w:rPr>
            </w:pPr>
            <w:r>
              <w:rPr>
                <w:rFonts w:ascii="Arial" w:cs="Arial" w:eastAsia="Arial" w:hAnsi="Arial"/>
                <w:sz w:val="13"/>
                <w:szCs w:val="13"/>
                <w:color w:val="auto"/>
              </w:rPr>
              <w:t> </w:t>
            </w:r>
          </w:p>
        </w:tc>
        <w:tc>
          <w:tcPr>
            <w:tcW w:w="3120" w:type="dxa"/>
            <w:vAlign w:val="bottom"/>
          </w:tcPr>
          <w:p>
            <w:pPr>
              <w:ind w:left="240"/>
              <w:spacing w:after="0"/>
              <w:rPr>
                <w:sz w:val="20"/>
                <w:szCs w:val="20"/>
                <w:color w:val="auto"/>
              </w:rPr>
            </w:pPr>
            <w:r>
              <w:rPr>
                <w:rFonts w:ascii="Arial" w:cs="Arial" w:eastAsia="Arial" w:hAnsi="Arial"/>
                <w:sz w:val="13"/>
                <w:szCs w:val="13"/>
                <w:color w:val="003A70"/>
              </w:rPr>
              <w:t>Leadership</w:t>
            </w:r>
          </w:p>
        </w:tc>
        <w:tc>
          <w:tcPr>
            <w:tcW w:w="1800" w:type="dxa"/>
            <w:vAlign w:val="bottom"/>
          </w:tcPr>
          <w:p>
            <w:pPr>
              <w:ind w:left="140"/>
              <w:spacing w:after="0"/>
              <w:rPr>
                <w:sz w:val="20"/>
                <w:szCs w:val="20"/>
                <w:color w:val="auto"/>
              </w:rPr>
            </w:pPr>
            <w:r>
              <w:rPr>
                <w:rFonts w:ascii="Arial" w:cs="Arial" w:eastAsia="Arial" w:hAnsi="Arial"/>
                <w:sz w:val="13"/>
                <w:szCs w:val="13"/>
                <w:color w:val="003A70"/>
              </w:rPr>
              <w:t>Independence</w:t>
            </w:r>
          </w:p>
        </w:tc>
        <w:tc>
          <w:tcPr>
            <w:tcW w:w="2020" w:type="dxa"/>
            <w:vAlign w:val="bottom"/>
          </w:tcPr>
          <w:p>
            <w:pPr>
              <w:ind w:left="400"/>
              <w:spacing w:after="0"/>
              <w:rPr>
                <w:sz w:val="20"/>
                <w:szCs w:val="20"/>
                <w:color w:val="auto"/>
              </w:rPr>
            </w:pPr>
            <w:r>
              <w:rPr>
                <w:rFonts w:ascii="Arial" w:cs="Arial" w:eastAsia="Arial" w:hAnsi="Arial"/>
                <w:sz w:val="13"/>
                <w:szCs w:val="13"/>
                <w:color w:val="003A70"/>
              </w:rPr>
              <w:t>Diversity</w:t>
            </w:r>
          </w:p>
        </w:tc>
        <w:tc>
          <w:tcPr>
            <w:tcW w:w="2120" w:type="dxa"/>
            <w:vAlign w:val="bottom"/>
          </w:tcPr>
          <w:p>
            <w:pPr>
              <w:ind w:left="460"/>
              <w:spacing w:after="0"/>
              <w:rPr>
                <w:sz w:val="20"/>
                <w:szCs w:val="20"/>
                <w:color w:val="auto"/>
              </w:rPr>
            </w:pPr>
            <w:r>
              <w:rPr>
                <w:rFonts w:ascii="Arial" w:cs="Arial" w:eastAsia="Arial" w:hAnsi="Arial"/>
                <w:sz w:val="13"/>
                <w:szCs w:val="13"/>
                <w:color w:val="003A70"/>
              </w:rPr>
              <w:t>Service &amp; Governance</w:t>
            </w:r>
          </w:p>
        </w:tc>
        <w:tc>
          <w:tcPr>
            <w:tcW w:w="1660" w:type="dxa"/>
            <w:vAlign w:val="bottom"/>
          </w:tcPr>
          <w:p>
            <w:pPr>
              <w:ind w:left="340"/>
              <w:spacing w:after="0"/>
              <w:rPr>
                <w:sz w:val="20"/>
                <w:szCs w:val="20"/>
                <w:color w:val="auto"/>
              </w:rPr>
            </w:pPr>
            <w:r>
              <w:rPr>
                <w:rFonts w:ascii="Arial" w:cs="Arial" w:eastAsia="Arial" w:hAnsi="Arial"/>
                <w:sz w:val="13"/>
                <w:szCs w:val="13"/>
                <w:color w:val="003A70"/>
              </w:rPr>
              <w:t>Risk Management</w:t>
            </w:r>
          </w:p>
        </w:tc>
      </w:tr>
      <w:tr>
        <w:trPr>
          <w:trHeight w:val="325"/>
        </w:trPr>
        <w:tc>
          <w:tcPr>
            <w:tcW w:w="300" w:type="dxa"/>
            <w:vAlign w:val="bottom"/>
          </w:tcPr>
          <w:p>
            <w:pPr>
              <w:spacing w:after="0"/>
              <w:rPr>
                <w:sz w:val="24"/>
                <w:szCs w:val="24"/>
                <w:color w:val="auto"/>
              </w:rPr>
            </w:pPr>
          </w:p>
        </w:tc>
        <w:tc>
          <w:tcPr>
            <w:tcW w:w="3120" w:type="dxa"/>
            <w:vAlign w:val="bottom"/>
          </w:tcPr>
          <w:p>
            <w:pPr>
              <w:ind w:left="240"/>
              <w:spacing w:after="0"/>
              <w:rPr>
                <w:sz w:val="20"/>
                <w:szCs w:val="20"/>
                <w:color w:val="auto"/>
              </w:rPr>
            </w:pPr>
            <w:r>
              <w:rPr>
                <w:rFonts w:ascii="Arial" w:cs="Arial" w:eastAsia="Arial" w:hAnsi="Arial"/>
                <w:sz w:val="13"/>
                <w:szCs w:val="13"/>
                <w:color w:val="003A70"/>
              </w:rPr>
              <w:t>Vacation Ownership &amp;</w:t>
            </w:r>
          </w:p>
        </w:tc>
        <w:tc>
          <w:tcPr>
            <w:tcW w:w="1800" w:type="dxa"/>
            <w:vAlign w:val="bottom"/>
          </w:tcPr>
          <w:p>
            <w:pPr>
              <w:ind w:left="140"/>
              <w:spacing w:after="0"/>
              <w:rPr>
                <w:sz w:val="20"/>
                <w:szCs w:val="20"/>
                <w:color w:val="auto"/>
              </w:rPr>
            </w:pPr>
            <w:r>
              <w:rPr>
                <w:rFonts w:ascii="Arial" w:cs="Arial" w:eastAsia="Arial" w:hAnsi="Arial"/>
                <w:sz w:val="13"/>
                <w:szCs w:val="13"/>
                <w:color w:val="003A70"/>
              </w:rPr>
              <w:t>Legal, Regulatory &amp;</w:t>
            </w:r>
          </w:p>
        </w:tc>
        <w:tc>
          <w:tcPr>
            <w:tcW w:w="2020" w:type="dxa"/>
            <w:vAlign w:val="bottom"/>
          </w:tcPr>
          <w:p>
            <w:pPr>
              <w:ind w:left="400"/>
              <w:spacing w:after="0"/>
              <w:rPr>
                <w:sz w:val="20"/>
                <w:szCs w:val="20"/>
                <w:color w:val="auto"/>
              </w:rPr>
            </w:pPr>
            <w:r>
              <w:rPr>
                <w:rFonts w:ascii="Arial" w:cs="Arial" w:eastAsia="Arial" w:hAnsi="Arial"/>
                <w:sz w:val="13"/>
                <w:szCs w:val="13"/>
                <w:color w:val="003A70"/>
              </w:rPr>
              <w:t>Sales &amp; Marketing/</w:t>
            </w:r>
          </w:p>
        </w:tc>
        <w:tc>
          <w:tcPr>
            <w:tcW w:w="2120" w:type="dxa"/>
            <w:vAlign w:val="bottom"/>
          </w:tcPr>
          <w:p>
            <w:pPr>
              <w:ind w:left="460"/>
              <w:spacing w:after="0"/>
              <w:rPr>
                <w:sz w:val="20"/>
                <w:szCs w:val="20"/>
                <w:color w:val="auto"/>
              </w:rPr>
            </w:pPr>
            <w:r>
              <w:rPr>
                <w:rFonts w:ascii="Arial" w:cs="Arial" w:eastAsia="Arial" w:hAnsi="Arial"/>
                <w:sz w:val="13"/>
                <w:szCs w:val="13"/>
                <w:color w:val="003A70"/>
              </w:rPr>
              <w:t>Real Estate &amp; Business</w:t>
            </w:r>
          </w:p>
        </w:tc>
        <w:tc>
          <w:tcPr>
            <w:tcW w:w="1660" w:type="dxa"/>
            <w:vAlign w:val="bottom"/>
          </w:tcPr>
          <w:p>
            <w:pPr>
              <w:spacing w:after="0"/>
              <w:rPr>
                <w:sz w:val="24"/>
                <w:szCs w:val="24"/>
                <w:color w:val="auto"/>
              </w:rPr>
            </w:pPr>
          </w:p>
        </w:tc>
      </w:tr>
      <w:tr>
        <w:trPr>
          <w:trHeight w:val="175"/>
        </w:trPr>
        <w:tc>
          <w:tcPr>
            <w:tcW w:w="300" w:type="dxa"/>
            <w:vAlign w:val="bottom"/>
          </w:tcPr>
          <w:p>
            <w:pPr>
              <w:spacing w:after="0"/>
              <w:rPr>
                <w:sz w:val="15"/>
                <w:szCs w:val="15"/>
                <w:color w:val="auto"/>
              </w:rPr>
            </w:pPr>
          </w:p>
        </w:tc>
        <w:tc>
          <w:tcPr>
            <w:tcW w:w="3120" w:type="dxa"/>
            <w:vAlign w:val="bottom"/>
          </w:tcPr>
          <w:p>
            <w:pPr>
              <w:ind w:left="240"/>
              <w:spacing w:after="0"/>
              <w:rPr>
                <w:sz w:val="20"/>
                <w:szCs w:val="20"/>
                <w:color w:val="auto"/>
              </w:rPr>
            </w:pPr>
            <w:r>
              <w:rPr>
                <w:rFonts w:ascii="Arial" w:cs="Arial" w:eastAsia="Arial" w:hAnsi="Arial"/>
                <w:sz w:val="13"/>
                <w:szCs w:val="13"/>
                <w:color w:val="003A70"/>
              </w:rPr>
              <w:t>Lodging Industry</w:t>
            </w:r>
          </w:p>
        </w:tc>
        <w:tc>
          <w:tcPr>
            <w:tcW w:w="1800" w:type="dxa"/>
            <w:vAlign w:val="bottom"/>
          </w:tcPr>
          <w:p>
            <w:pPr>
              <w:ind w:left="140"/>
              <w:spacing w:after="0"/>
              <w:rPr>
                <w:sz w:val="20"/>
                <w:szCs w:val="20"/>
                <w:color w:val="auto"/>
              </w:rPr>
            </w:pPr>
            <w:r>
              <w:rPr>
                <w:rFonts w:ascii="Arial" w:cs="Arial" w:eastAsia="Arial" w:hAnsi="Arial"/>
                <w:sz w:val="13"/>
                <w:szCs w:val="13"/>
                <w:color w:val="003A70"/>
              </w:rPr>
              <w:t>Government Relations</w:t>
            </w:r>
          </w:p>
        </w:tc>
        <w:tc>
          <w:tcPr>
            <w:tcW w:w="2020" w:type="dxa"/>
            <w:vAlign w:val="bottom"/>
          </w:tcPr>
          <w:p>
            <w:pPr>
              <w:ind w:left="400"/>
              <w:spacing w:after="0"/>
              <w:rPr>
                <w:sz w:val="20"/>
                <w:szCs w:val="20"/>
                <w:color w:val="auto"/>
              </w:rPr>
            </w:pPr>
            <w:r>
              <w:rPr>
                <w:rFonts w:ascii="Arial" w:cs="Arial" w:eastAsia="Arial" w:hAnsi="Arial"/>
                <w:sz w:val="13"/>
                <w:szCs w:val="13"/>
                <w:color w:val="003A70"/>
              </w:rPr>
              <w:t>Consumer Insights</w:t>
            </w:r>
          </w:p>
        </w:tc>
        <w:tc>
          <w:tcPr>
            <w:tcW w:w="2120" w:type="dxa"/>
            <w:vAlign w:val="bottom"/>
          </w:tcPr>
          <w:p>
            <w:pPr>
              <w:ind w:left="460"/>
              <w:spacing w:after="0"/>
              <w:rPr>
                <w:sz w:val="20"/>
                <w:szCs w:val="20"/>
                <w:color w:val="auto"/>
              </w:rPr>
            </w:pPr>
            <w:r>
              <w:rPr>
                <w:rFonts w:ascii="Arial" w:cs="Arial" w:eastAsia="Arial" w:hAnsi="Arial"/>
                <w:sz w:val="13"/>
                <w:szCs w:val="13"/>
                <w:color w:val="003A70"/>
              </w:rPr>
              <w:t>Development</w:t>
            </w:r>
          </w:p>
        </w:tc>
        <w:tc>
          <w:tcPr>
            <w:tcW w:w="1660" w:type="dxa"/>
            <w:vAlign w:val="bottom"/>
          </w:tcPr>
          <w:p>
            <w:pPr>
              <w:ind w:left="340"/>
              <w:spacing w:after="0"/>
              <w:rPr>
                <w:sz w:val="20"/>
                <w:szCs w:val="20"/>
                <w:color w:val="auto"/>
              </w:rPr>
            </w:pPr>
            <w:r>
              <w:rPr>
                <w:rFonts w:ascii="Arial" w:cs="Arial" w:eastAsia="Arial" w:hAnsi="Arial"/>
                <w:sz w:val="13"/>
                <w:szCs w:val="13"/>
                <w:color w:val="003A70"/>
              </w:rPr>
              <w:t>Strategic Planning</w:t>
            </w:r>
          </w:p>
        </w:tc>
      </w:tr>
      <w:tr>
        <w:trPr>
          <w:trHeight w:val="374"/>
        </w:trPr>
        <w:tc>
          <w:tcPr>
            <w:tcW w:w="300" w:type="dxa"/>
            <w:vAlign w:val="bottom"/>
          </w:tcPr>
          <w:p>
            <w:pPr>
              <w:spacing w:after="0"/>
              <w:rPr>
                <w:sz w:val="24"/>
                <w:szCs w:val="24"/>
                <w:color w:val="auto"/>
              </w:rPr>
            </w:pPr>
          </w:p>
        </w:tc>
        <w:tc>
          <w:tcPr>
            <w:tcW w:w="3120" w:type="dxa"/>
            <w:vAlign w:val="bottom"/>
          </w:tcPr>
          <w:p>
            <w:pPr>
              <w:ind w:left="240"/>
              <w:spacing w:after="0"/>
              <w:rPr>
                <w:sz w:val="20"/>
                <w:szCs w:val="20"/>
                <w:color w:val="auto"/>
              </w:rPr>
            </w:pPr>
            <w:r>
              <w:rPr>
                <w:rFonts w:ascii="Arial" w:cs="Arial" w:eastAsia="Arial" w:hAnsi="Arial"/>
                <w:sz w:val="13"/>
                <w:szCs w:val="13"/>
                <w:color w:val="003A70"/>
              </w:rPr>
              <w:t>Human Capital, Professional</w:t>
            </w:r>
          </w:p>
        </w:tc>
        <w:tc>
          <w:tcPr>
            <w:tcW w:w="18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3120" w:type="dxa"/>
            <w:vAlign w:val="bottom"/>
          </w:tcPr>
          <w:p>
            <w:pPr>
              <w:ind w:left="240"/>
              <w:spacing w:after="0"/>
              <w:rPr>
                <w:sz w:val="20"/>
                <w:szCs w:val="20"/>
                <w:color w:val="auto"/>
              </w:rPr>
            </w:pPr>
            <w:r>
              <w:rPr>
                <w:rFonts w:ascii="Arial" w:cs="Arial" w:eastAsia="Arial" w:hAnsi="Arial"/>
                <w:sz w:val="13"/>
                <w:szCs w:val="13"/>
                <w:color w:val="003A70"/>
              </w:rPr>
              <w:t>Development &amp; Organizational Culture</w:t>
            </w:r>
          </w:p>
        </w:tc>
        <w:tc>
          <w:tcPr>
            <w:tcW w:w="1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71"/>
        </w:trPr>
        <w:tc>
          <w:tcPr>
            <w:tcW w:w="3420" w:type="dxa"/>
            <w:vAlign w:val="bottom"/>
            <w:tcBorders>
              <w:bottom w:val="single" w:sz="8" w:color="003A70"/>
            </w:tcBorders>
            <w:gridSpan w:val="2"/>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p>
        </w:tc>
        <w:tc>
          <w:tcPr>
            <w:tcW w:w="3820" w:type="dxa"/>
            <w:vAlign w:val="bottom"/>
            <w:tcBorders>
              <w:bottom w:val="single" w:sz="8" w:color="003A70"/>
            </w:tcBorders>
            <w:gridSpan w:val="2"/>
          </w:tcPr>
          <w:p>
            <w:pPr>
              <w:ind w:left="840"/>
              <w:spacing w:after="0"/>
              <w:rPr>
                <w:sz w:val="20"/>
                <w:szCs w:val="20"/>
                <w:color w:val="auto"/>
              </w:rPr>
            </w:pPr>
            <w:r>
              <w:rPr>
                <w:rFonts w:ascii="Arial" w:cs="Arial" w:eastAsia="Arial" w:hAnsi="Arial"/>
                <w:sz w:val="11"/>
                <w:szCs w:val="11"/>
                <w:color w:val="auto"/>
              </w:rPr>
              <w:t>Report on the Board of Directors and its Committees</w:t>
            </w:r>
          </w:p>
        </w:tc>
        <w:tc>
          <w:tcPr>
            <w:tcW w:w="2120" w:type="dxa"/>
            <w:vAlign w:val="bottom"/>
            <w:tcBorders>
              <w:bottom w:val="single" w:sz="8" w:color="003A70"/>
            </w:tcBorders>
          </w:tcPr>
          <w:p>
            <w:pPr>
              <w:spacing w:after="0"/>
              <w:rPr>
                <w:sz w:val="23"/>
                <w:szCs w:val="23"/>
                <w:color w:val="auto"/>
              </w:rPr>
            </w:pPr>
          </w:p>
        </w:tc>
        <w:tc>
          <w:tcPr>
            <w:tcW w:w="1660" w:type="dxa"/>
            <w:vAlign w:val="bottom"/>
            <w:tcBorders>
              <w:bottom w:val="single" w:sz="8" w:color="003A70"/>
            </w:tcBorders>
          </w:tcPr>
          <w:p>
            <w:pPr>
              <w:jc w:val="right"/>
              <w:spacing w:after="0"/>
              <w:rPr>
                <w:sz w:val="20"/>
                <w:szCs w:val="20"/>
                <w:color w:val="auto"/>
              </w:rPr>
            </w:pPr>
            <w:r>
              <w:rPr>
                <w:rFonts w:ascii="Arial" w:cs="Arial" w:eastAsia="Arial" w:hAnsi="Arial"/>
                <w:sz w:val="11"/>
                <w:szCs w:val="11"/>
                <w:b w:val="1"/>
                <w:bCs w:val="1"/>
                <w:color w:val="003A70"/>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-1010920</wp:posOffset>
            </wp:positionV>
            <wp:extent cx="94615"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-985520</wp:posOffset>
            </wp:positionV>
            <wp:extent cx="16256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-985520</wp:posOffset>
            </wp:positionV>
            <wp:extent cx="14605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-985520</wp:posOffset>
            </wp:positionV>
            <wp:extent cx="154305"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-985520</wp:posOffset>
            </wp:positionV>
            <wp:extent cx="13716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-676910</wp:posOffset>
            </wp:positionV>
            <wp:extent cx="120015"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13716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-668020</wp:posOffset>
            </wp:positionV>
            <wp:extent cx="13716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-668020</wp:posOffset>
            </wp:positionV>
            <wp:extent cx="14605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-668020</wp:posOffset>
            </wp:positionV>
            <wp:extent cx="13716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-668020</wp:posOffset>
            </wp:positionV>
            <wp:extent cx="14605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-334010</wp:posOffset>
            </wp:positionV>
            <wp:extent cx="13716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72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STEPHEN R. QUAZZO</w:t>
            </w:r>
          </w:p>
        </w:tc>
        <w:tc>
          <w:tcPr>
            <w:tcW w:w="2120" w:type="dxa"/>
            <w:vAlign w:val="bottom"/>
            <w:tcBorders>
              <w:top w:val="single" w:sz="8" w:color="003A70"/>
            </w:tcBorders>
          </w:tcPr>
          <w:p>
            <w:pPr>
              <w:spacing w:after="0"/>
              <w:rPr>
                <w:sz w:val="20"/>
                <w:szCs w:val="20"/>
                <w:color w:val="auto"/>
              </w:rPr>
            </w:pPr>
          </w:p>
        </w:tc>
        <w:tc>
          <w:tcPr>
            <w:tcW w:w="5180" w:type="dxa"/>
            <w:vAlign w:val="bottom"/>
            <w:tcBorders>
              <w:top w:val="single" w:sz="8" w:color="003A70"/>
            </w:tcBorders>
          </w:tcPr>
          <w:p>
            <w:pPr>
              <w:spacing w:after="0"/>
              <w:rPr>
                <w:sz w:val="20"/>
                <w:szCs w:val="20"/>
                <w:color w:val="auto"/>
              </w:rPr>
            </w:pPr>
          </w:p>
        </w:tc>
      </w:tr>
      <w:tr>
        <w:trPr>
          <w:trHeight w:val="249"/>
        </w:trPr>
        <w:tc>
          <w:tcPr>
            <w:tcW w:w="372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tc>
        <w:tc>
          <w:tcPr>
            <w:tcW w:w="7300" w:type="dxa"/>
            <w:vAlign w:val="bottom"/>
            <w:gridSpan w:val="2"/>
          </w:tcPr>
          <w:p>
            <w:pPr>
              <w:ind w:left="2020"/>
              <w:spacing w:after="0"/>
              <w:rPr>
                <w:sz w:val="20"/>
                <w:szCs w:val="20"/>
                <w:color w:val="auto"/>
              </w:rPr>
            </w:pPr>
            <w:r>
              <w:rPr>
                <w:rFonts w:ascii="Arial" w:cs="Arial" w:eastAsia="Arial" w:hAnsi="Arial"/>
                <w:sz w:val="16"/>
                <w:szCs w:val="16"/>
                <w:color w:val="auto"/>
              </w:rPr>
              <w:t>Committees:</w:t>
            </w:r>
          </w:p>
        </w:tc>
      </w:tr>
      <w:tr>
        <w:trPr>
          <w:trHeight w:val="189"/>
        </w:trPr>
        <w:tc>
          <w:tcPr>
            <w:tcW w:w="372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tc>
        <w:tc>
          <w:tcPr>
            <w:tcW w:w="2120" w:type="dxa"/>
            <w:vAlign w:val="bottom"/>
          </w:tcPr>
          <w:p>
            <w:pPr>
              <w:ind w:left="202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Audit</w:t>
            </w:r>
          </w:p>
        </w:tc>
      </w:tr>
      <w:tr>
        <w:trPr>
          <w:trHeight w:val="228"/>
        </w:trPr>
        <w:tc>
          <w:tcPr>
            <w:tcW w:w="372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2120" w:type="dxa"/>
            <w:vAlign w:val="bottom"/>
          </w:tcPr>
          <w:p>
            <w:pPr>
              <w:ind w:left="202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Nominating and Corporate Governance (Chair)</w:t>
            </w:r>
          </w:p>
        </w:tc>
      </w:tr>
    </w:tbl>
    <w:p>
      <w:pPr>
        <w:spacing w:after="0" w:line="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Experience</w:t>
      </w:r>
    </w:p>
    <w:p>
      <w:pPr>
        <w:spacing w:after="0" w:line="21"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Mr. Quazzo is the CEO, and has been the Managing Director and co-founder, of Pearlmark Real Estate, LLC, a real estate principal investment firm, since March 1996. From April 1991 to March 1996, Mr. Quazzo was President of Equity Institutional Investors, Inc., a private investment firm and a subsidiary of Equity Group Investments, Inc. He is currently a director of Phillips Edison &amp; Company, Inc., a publicly traded REIT, and was a director of Starwood from 1995 to September 2016. Mr. Quazzo is a member and trustee of the Urban Land Institute; past chair of the ULI Foundation; a member of the Pension Real Estate Association; and a licensed real estate broker in Illinois. He was a director of ILG from May 2016 through August 2018, prior to the Company’s acquisition of ILG.</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Skills and Experience</w:t>
      </w:r>
    </w:p>
    <w:p>
      <w:pPr>
        <w:spacing w:after="0" w:line="21" w:lineRule="exact"/>
        <w:rPr>
          <w:sz w:val="20"/>
          <w:szCs w:val="20"/>
          <w:color w:val="auto"/>
        </w:rPr>
      </w:pPr>
    </w:p>
    <w:p>
      <w:pPr>
        <w:jc w:val="both"/>
        <w:ind w:left="120" w:right="120"/>
        <w:spacing w:after="0" w:line="256" w:lineRule="auto"/>
        <w:rPr>
          <w:sz w:val="20"/>
          <w:szCs w:val="20"/>
          <w:color w:val="auto"/>
        </w:rPr>
      </w:pPr>
      <w:r>
        <w:rPr>
          <w:rFonts w:ascii="Arial" w:cs="Arial" w:eastAsia="Arial" w:hAnsi="Arial"/>
          <w:sz w:val="16"/>
          <w:szCs w:val="16"/>
          <w:color w:val="auto"/>
        </w:rPr>
        <w:t>Mr. Quazzo provides the Board with the benefit of his extensive experience in real estate, investment and development and strategy experience as CEO of Pearlmark Real Estate, as well as his senior leadership experience. He also has broad experience in corporate governance, having served as a board member of other publicly traded companies.</w:t>
      </w:r>
    </w:p>
    <w:p>
      <w:pPr>
        <w:spacing w:after="0" w:line="124"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1800" w:type="dxa"/>
            <w:vAlign w:val="bottom"/>
          </w:tcPr>
          <w:p>
            <w:pPr>
              <w:ind w:left="220"/>
              <w:spacing w:after="0"/>
              <w:rPr>
                <w:sz w:val="20"/>
                <w:szCs w:val="20"/>
                <w:color w:val="auto"/>
              </w:rPr>
            </w:pPr>
            <w:r>
              <w:rPr>
                <w:rFonts w:ascii="Arial" w:cs="Arial" w:eastAsia="Arial" w:hAnsi="Arial"/>
                <w:sz w:val="13"/>
                <w:szCs w:val="13"/>
                <w:color w:val="003A70"/>
              </w:rPr>
              <w:t>Corporate</w:t>
            </w:r>
          </w:p>
        </w:tc>
        <w:tc>
          <w:tcPr>
            <w:tcW w:w="22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180" w:type="dxa"/>
            <w:vAlign w:val="bottom"/>
          </w:tcPr>
          <w:p>
            <w:pPr>
              <w:ind w:left="400"/>
              <w:spacing w:after="0"/>
              <w:rPr>
                <w:sz w:val="20"/>
                <w:szCs w:val="20"/>
                <w:color w:val="auto"/>
              </w:rPr>
            </w:pPr>
            <w:r>
              <w:rPr>
                <w:rFonts w:ascii="Arial" w:cs="Arial" w:eastAsia="Arial" w:hAnsi="Arial"/>
                <w:sz w:val="13"/>
                <w:szCs w:val="13"/>
                <w:color w:val="003A70"/>
              </w:rPr>
              <w:t>Accounting &amp;</w:t>
            </w:r>
          </w:p>
        </w:tc>
        <w:tc>
          <w:tcPr>
            <w:tcW w:w="2000" w:type="dxa"/>
            <w:vAlign w:val="bottom"/>
          </w:tcPr>
          <w:p>
            <w:pPr>
              <w:ind w:left="720"/>
              <w:spacing w:after="0"/>
              <w:rPr>
                <w:sz w:val="20"/>
                <w:szCs w:val="20"/>
                <w:color w:val="auto"/>
              </w:rPr>
            </w:pPr>
            <w:r>
              <w:rPr>
                <w:rFonts w:ascii="Arial" w:cs="Arial" w:eastAsia="Arial" w:hAnsi="Arial"/>
                <w:sz w:val="13"/>
                <w:szCs w:val="13"/>
                <w:color w:val="003A70"/>
                <w:w w:val="94"/>
              </w:rPr>
              <w:t>Public Company Board</w:t>
            </w:r>
          </w:p>
        </w:tc>
      </w:tr>
      <w:tr>
        <w:trPr>
          <w:trHeight w:val="175"/>
        </w:trPr>
        <w:tc>
          <w:tcPr>
            <w:tcW w:w="240" w:type="dxa"/>
            <w:vAlign w:val="bottom"/>
          </w:tcPr>
          <w:p>
            <w:pPr>
              <w:spacing w:after="0"/>
              <w:rPr>
                <w:sz w:val="20"/>
                <w:szCs w:val="20"/>
                <w:color w:val="auto"/>
              </w:rPr>
            </w:pPr>
            <w:r>
              <w:rPr>
                <w:rFonts w:ascii="Arial" w:cs="Arial" w:eastAsia="Arial" w:hAnsi="Arial"/>
                <w:sz w:val="13"/>
                <w:szCs w:val="13"/>
                <w:color w:val="auto"/>
              </w:rPr>
              <w:t> </w:t>
            </w:r>
          </w:p>
        </w:tc>
        <w:tc>
          <w:tcPr>
            <w:tcW w:w="1800" w:type="dxa"/>
            <w:vAlign w:val="bottom"/>
          </w:tcPr>
          <w:p>
            <w:pPr>
              <w:ind w:left="220"/>
              <w:spacing w:after="0"/>
              <w:rPr>
                <w:sz w:val="20"/>
                <w:szCs w:val="20"/>
                <w:color w:val="auto"/>
              </w:rPr>
            </w:pPr>
            <w:r>
              <w:rPr>
                <w:rFonts w:ascii="Arial" w:cs="Arial" w:eastAsia="Arial" w:hAnsi="Arial"/>
                <w:sz w:val="13"/>
                <w:szCs w:val="13"/>
                <w:color w:val="003A70"/>
              </w:rPr>
              <w:t>Leadership</w:t>
            </w:r>
          </w:p>
        </w:tc>
        <w:tc>
          <w:tcPr>
            <w:tcW w:w="2220" w:type="dxa"/>
            <w:vAlign w:val="bottom"/>
          </w:tcPr>
          <w:p>
            <w:pPr>
              <w:ind w:left="480"/>
              <w:spacing w:after="0"/>
              <w:rPr>
                <w:sz w:val="20"/>
                <w:szCs w:val="20"/>
                <w:color w:val="auto"/>
              </w:rPr>
            </w:pPr>
            <w:r>
              <w:rPr>
                <w:rFonts w:ascii="Arial" w:cs="Arial" w:eastAsia="Arial" w:hAnsi="Arial"/>
                <w:sz w:val="13"/>
                <w:szCs w:val="13"/>
                <w:color w:val="003A70"/>
              </w:rPr>
              <w:t>Independence</w:t>
            </w:r>
          </w:p>
        </w:tc>
        <w:tc>
          <w:tcPr>
            <w:tcW w:w="2340" w:type="dxa"/>
            <w:vAlign w:val="bottom"/>
          </w:tcPr>
          <w:p>
            <w:pPr>
              <w:ind w:left="440"/>
              <w:spacing w:after="0"/>
              <w:rPr>
                <w:sz w:val="20"/>
                <w:szCs w:val="20"/>
                <w:color w:val="auto"/>
              </w:rPr>
            </w:pPr>
            <w:r>
              <w:rPr>
                <w:rFonts w:ascii="Arial" w:cs="Arial" w:eastAsia="Arial" w:hAnsi="Arial"/>
                <w:sz w:val="13"/>
                <w:szCs w:val="13"/>
                <w:color w:val="003A70"/>
              </w:rPr>
              <w:t>Financial &amp; Capital Markets</w:t>
            </w:r>
          </w:p>
        </w:tc>
        <w:tc>
          <w:tcPr>
            <w:tcW w:w="2180" w:type="dxa"/>
            <w:vAlign w:val="bottom"/>
          </w:tcPr>
          <w:p>
            <w:pPr>
              <w:ind w:left="400"/>
              <w:spacing w:after="0"/>
              <w:rPr>
                <w:sz w:val="20"/>
                <w:szCs w:val="20"/>
                <w:color w:val="auto"/>
              </w:rPr>
            </w:pPr>
            <w:r>
              <w:rPr>
                <w:rFonts w:ascii="Arial" w:cs="Arial" w:eastAsia="Arial" w:hAnsi="Arial"/>
                <w:sz w:val="13"/>
                <w:szCs w:val="13"/>
                <w:color w:val="003A70"/>
              </w:rPr>
              <w:t>Financial Reporting</w:t>
            </w:r>
          </w:p>
        </w:tc>
        <w:tc>
          <w:tcPr>
            <w:tcW w:w="2000" w:type="dxa"/>
            <w:vAlign w:val="bottom"/>
          </w:tcPr>
          <w:p>
            <w:pPr>
              <w:ind w:left="720"/>
              <w:spacing w:after="0"/>
              <w:rPr>
                <w:sz w:val="20"/>
                <w:szCs w:val="20"/>
                <w:color w:val="auto"/>
              </w:rPr>
            </w:pPr>
            <w:r>
              <w:rPr>
                <w:rFonts w:ascii="Arial" w:cs="Arial" w:eastAsia="Arial" w:hAnsi="Arial"/>
                <w:sz w:val="13"/>
                <w:szCs w:val="13"/>
                <w:color w:val="003A70"/>
                <w:w w:val="96"/>
              </w:rPr>
              <w:t>Service &amp; Governance</w:t>
            </w:r>
          </w:p>
        </w:tc>
      </w:tr>
      <w:tr>
        <w:trPr>
          <w:trHeight w:val="374"/>
        </w:trPr>
        <w:tc>
          <w:tcPr>
            <w:tcW w:w="240" w:type="dxa"/>
            <w:vAlign w:val="bottom"/>
          </w:tcPr>
          <w:p>
            <w:pPr>
              <w:spacing w:after="0"/>
              <w:rPr>
                <w:sz w:val="24"/>
                <w:szCs w:val="24"/>
                <w:color w:val="auto"/>
              </w:rPr>
            </w:pPr>
          </w:p>
        </w:tc>
        <w:tc>
          <w:tcPr>
            <w:tcW w:w="1800" w:type="dxa"/>
            <w:vAlign w:val="bottom"/>
          </w:tcPr>
          <w:p>
            <w:pPr>
              <w:ind w:left="220"/>
              <w:spacing w:after="0"/>
              <w:rPr>
                <w:sz w:val="20"/>
                <w:szCs w:val="20"/>
                <w:color w:val="auto"/>
              </w:rPr>
            </w:pPr>
            <w:r>
              <w:rPr>
                <w:rFonts w:ascii="Arial" w:cs="Arial" w:eastAsia="Arial" w:hAnsi="Arial"/>
                <w:sz w:val="13"/>
                <w:szCs w:val="13"/>
                <w:color w:val="003A70"/>
              </w:rPr>
              <w:t>Vacation Ownership</w:t>
            </w:r>
          </w:p>
        </w:tc>
        <w:tc>
          <w:tcPr>
            <w:tcW w:w="2220" w:type="dxa"/>
            <w:vAlign w:val="bottom"/>
          </w:tcPr>
          <w:p>
            <w:pPr>
              <w:ind w:left="480"/>
              <w:spacing w:after="0"/>
              <w:rPr>
                <w:sz w:val="20"/>
                <w:szCs w:val="20"/>
                <w:color w:val="auto"/>
              </w:rPr>
            </w:pPr>
            <w:r>
              <w:rPr>
                <w:rFonts w:ascii="Arial" w:cs="Arial" w:eastAsia="Arial" w:hAnsi="Arial"/>
                <w:sz w:val="13"/>
                <w:szCs w:val="13"/>
                <w:color w:val="003A70"/>
              </w:rPr>
              <w:t>Real Estate &amp;</w:t>
            </w:r>
          </w:p>
        </w:tc>
        <w:tc>
          <w:tcPr>
            <w:tcW w:w="2340" w:type="dxa"/>
            <w:vAlign w:val="bottom"/>
          </w:tcPr>
          <w:p>
            <w:pPr>
              <w:ind w:left="440"/>
              <w:spacing w:after="0"/>
              <w:rPr>
                <w:sz w:val="20"/>
                <w:szCs w:val="20"/>
                <w:color w:val="auto"/>
              </w:rPr>
            </w:pPr>
            <w:r>
              <w:rPr>
                <w:rFonts w:ascii="Arial" w:cs="Arial" w:eastAsia="Arial" w:hAnsi="Arial"/>
                <w:sz w:val="13"/>
                <w:szCs w:val="13"/>
                <w:color w:val="003A70"/>
              </w:rPr>
              <w:t>Business Development /</w:t>
            </w:r>
          </w:p>
        </w:tc>
        <w:tc>
          <w:tcPr>
            <w:tcW w:w="21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66"/>
        </w:trPr>
        <w:tc>
          <w:tcPr>
            <w:tcW w:w="240" w:type="dxa"/>
            <w:vAlign w:val="bottom"/>
          </w:tcPr>
          <w:p>
            <w:pPr>
              <w:spacing w:after="0"/>
              <w:rPr>
                <w:sz w:val="14"/>
                <w:szCs w:val="14"/>
                <w:color w:val="auto"/>
              </w:rPr>
            </w:pPr>
          </w:p>
        </w:tc>
        <w:tc>
          <w:tcPr>
            <w:tcW w:w="1800" w:type="dxa"/>
            <w:vAlign w:val="bottom"/>
          </w:tcPr>
          <w:p>
            <w:pPr>
              <w:ind w:left="220"/>
              <w:spacing w:after="0"/>
              <w:rPr>
                <w:sz w:val="20"/>
                <w:szCs w:val="20"/>
                <w:color w:val="auto"/>
              </w:rPr>
            </w:pPr>
            <w:r>
              <w:rPr>
                <w:rFonts w:ascii="Arial" w:cs="Arial" w:eastAsia="Arial" w:hAnsi="Arial"/>
                <w:sz w:val="13"/>
                <w:szCs w:val="13"/>
                <w:color w:val="003A70"/>
              </w:rPr>
              <w:t>&amp; Lodging Industry</w:t>
            </w:r>
          </w:p>
        </w:tc>
        <w:tc>
          <w:tcPr>
            <w:tcW w:w="2220" w:type="dxa"/>
            <w:vAlign w:val="bottom"/>
          </w:tcPr>
          <w:p>
            <w:pPr>
              <w:ind w:left="480"/>
              <w:spacing w:after="0"/>
              <w:rPr>
                <w:sz w:val="20"/>
                <w:szCs w:val="20"/>
                <w:color w:val="auto"/>
              </w:rPr>
            </w:pPr>
            <w:r>
              <w:rPr>
                <w:rFonts w:ascii="Arial" w:cs="Arial" w:eastAsia="Arial" w:hAnsi="Arial"/>
                <w:sz w:val="13"/>
                <w:szCs w:val="13"/>
                <w:color w:val="003A70"/>
              </w:rPr>
              <w:t>Business Development</w:t>
            </w:r>
          </w:p>
        </w:tc>
        <w:tc>
          <w:tcPr>
            <w:tcW w:w="2340" w:type="dxa"/>
            <w:vAlign w:val="bottom"/>
          </w:tcPr>
          <w:p>
            <w:pPr>
              <w:ind w:left="440"/>
              <w:spacing w:after="0"/>
              <w:rPr>
                <w:sz w:val="20"/>
                <w:szCs w:val="20"/>
                <w:color w:val="auto"/>
              </w:rPr>
            </w:pPr>
            <w:r>
              <w:rPr>
                <w:rFonts w:ascii="Arial" w:cs="Arial" w:eastAsia="Arial" w:hAnsi="Arial"/>
                <w:sz w:val="13"/>
                <w:szCs w:val="13"/>
                <w:color w:val="003A70"/>
              </w:rPr>
              <w:t>Mergers &amp; Acquisitions</w:t>
            </w:r>
          </w:p>
        </w:tc>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-513715</wp:posOffset>
            </wp:positionV>
            <wp:extent cx="9398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-487680</wp:posOffset>
            </wp:positionV>
            <wp:extent cx="16256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-487680</wp:posOffset>
            </wp:positionV>
            <wp:extent cx="163195"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3195" cy="13716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-487680</wp:posOffset>
            </wp:positionV>
            <wp:extent cx="13716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-487680</wp:posOffset>
            </wp:positionV>
            <wp:extent cx="15430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-136525</wp:posOffset>
            </wp:positionV>
            <wp:extent cx="12890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-136525</wp:posOffset>
            </wp:positionV>
            <wp:extent cx="13716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-136525</wp:posOffset>
            </wp:positionV>
            <wp:extent cx="14605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406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WILLIAM J. SHAW, CHAIRMAN</w:t>
            </w:r>
          </w:p>
        </w:tc>
        <w:tc>
          <w:tcPr>
            <w:tcW w:w="6960" w:type="dxa"/>
            <w:vAlign w:val="bottom"/>
            <w:tcBorders>
              <w:top w:val="single" w:sz="8" w:color="003A70"/>
            </w:tcBorders>
          </w:tcPr>
          <w:p>
            <w:pPr>
              <w:spacing w:after="0"/>
              <w:rPr>
                <w:sz w:val="20"/>
                <w:szCs w:val="20"/>
                <w:color w:val="auto"/>
              </w:rPr>
            </w:pPr>
          </w:p>
        </w:tc>
      </w:tr>
      <w:tr>
        <w:trPr>
          <w:trHeight w:val="241"/>
        </w:trPr>
        <w:tc>
          <w:tcPr>
            <w:tcW w:w="4060" w:type="dxa"/>
            <w:vAlign w:val="bottom"/>
          </w:tcPr>
          <w:p>
            <w:pPr>
              <w:spacing w:after="0"/>
              <w:rPr>
                <w:sz w:val="20"/>
                <w:szCs w:val="20"/>
                <w:color w:val="auto"/>
              </w:rPr>
            </w:pPr>
            <w:r>
              <w:rPr>
                <w:rFonts w:ascii="Arial" w:cs="Arial" w:eastAsia="Arial" w:hAnsi="Arial"/>
                <w:sz w:val="17"/>
                <w:szCs w:val="17"/>
                <w:b w:val="1"/>
                <w:bCs w:val="1"/>
                <w:color w:val="auto"/>
              </w:rPr>
              <w:t>Age</w:t>
            </w:r>
            <w:r>
              <w:rPr>
                <w:rFonts w:ascii="Arial" w:cs="Arial" w:eastAsia="Arial" w:hAnsi="Arial"/>
                <w:sz w:val="17"/>
                <w:szCs w:val="17"/>
                <w:color w:val="auto"/>
              </w:rPr>
              <w:t>: 80</w:t>
            </w:r>
          </w:p>
        </w:tc>
        <w:tc>
          <w:tcPr>
            <w:tcW w:w="6960" w:type="dxa"/>
            <w:vAlign w:val="bottom"/>
          </w:tcPr>
          <w:p>
            <w:pPr>
              <w:spacing w:after="0"/>
              <w:rPr>
                <w:sz w:val="20"/>
                <w:szCs w:val="20"/>
                <w:color w:val="auto"/>
              </w:rPr>
            </w:pP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2011</w:t>
            </w:r>
          </w:p>
        </w:tc>
        <w:tc>
          <w:tcPr>
            <w:tcW w:w="6960" w:type="dxa"/>
            <w:vAlign w:val="bottom"/>
          </w:tcPr>
          <w:p>
            <w:pPr>
              <w:ind w:left="1720"/>
              <w:spacing w:after="0"/>
              <w:rPr>
                <w:sz w:val="20"/>
                <w:szCs w:val="20"/>
                <w:color w:val="auto"/>
              </w:rPr>
            </w:pPr>
            <w:r>
              <w:rPr>
                <w:rFonts w:ascii="Arial" w:cs="Arial" w:eastAsia="Arial" w:hAnsi="Arial"/>
                <w:sz w:val="16"/>
                <w:szCs w:val="16"/>
                <w:b w:val="1"/>
                <w:bCs w:val="1"/>
                <w:color w:val="auto"/>
              </w:rPr>
              <w:t>Committees:</w:t>
            </w:r>
          </w:p>
        </w:tc>
      </w:tr>
      <w:tr>
        <w:trPr>
          <w:trHeight w:val="235"/>
        </w:trPr>
        <w:tc>
          <w:tcPr>
            <w:tcW w:w="4060" w:type="dxa"/>
            <w:vAlign w:val="bottom"/>
          </w:tcPr>
          <w:p>
            <w:pPr>
              <w:spacing w:after="0"/>
              <w:rPr>
                <w:sz w:val="20"/>
                <w:szCs w:val="20"/>
                <w:color w:val="auto"/>
              </w:rPr>
            </w:pPr>
            <w:r>
              <w:rPr>
                <w:rFonts w:ascii="Arial" w:cs="Arial" w:eastAsia="Arial" w:hAnsi="Arial"/>
                <w:sz w:val="17"/>
                <w:szCs w:val="17"/>
                <w:b w:val="1"/>
                <w:bCs w:val="1"/>
                <w:color w:val="auto"/>
              </w:rPr>
              <w:t xml:space="preserve">Independent: </w:t>
            </w:r>
            <w:r>
              <w:rPr>
                <w:rFonts w:ascii="Arial" w:cs="Arial" w:eastAsia="Arial" w:hAnsi="Arial"/>
                <w:sz w:val="17"/>
                <w:szCs w:val="17"/>
                <w:color w:val="auto"/>
              </w:rPr>
              <w:t>Yes</w:t>
            </w:r>
          </w:p>
        </w:tc>
        <w:tc>
          <w:tcPr>
            <w:tcW w:w="6960" w:type="dxa"/>
            <w:vAlign w:val="bottom"/>
          </w:tcPr>
          <w:p>
            <w:pPr>
              <w:ind w:left="1720"/>
              <w:spacing w:after="0"/>
              <w:rPr>
                <w:sz w:val="20"/>
                <w:szCs w:val="20"/>
                <w:color w:val="auto"/>
              </w:rPr>
            </w:pPr>
            <w:r>
              <w:rPr>
                <w:rFonts w:ascii="Arial" w:cs="Arial" w:eastAsia="Arial" w:hAnsi="Arial"/>
                <w:sz w:val="17"/>
                <w:szCs w:val="17"/>
                <w:color w:val="003A70"/>
              </w:rPr>
              <w:t xml:space="preserve">• </w:t>
            </w:r>
            <w:r>
              <w:rPr>
                <w:rFonts w:ascii="Arial" w:cs="Arial" w:eastAsia="Arial" w:hAnsi="Arial"/>
                <w:sz w:val="17"/>
                <w:szCs w:val="17"/>
                <w:color w:val="000000"/>
              </w:rPr>
              <w:t>None</w:t>
            </w:r>
          </w:p>
        </w:tc>
      </w:tr>
    </w:tbl>
    <w:p>
      <w:pPr>
        <w:spacing w:after="0" w:line="8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Experience</w:t>
      </w:r>
    </w:p>
    <w:p>
      <w:pPr>
        <w:spacing w:after="0" w:line="21"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Mr. Shaw is Chairman of the Board. He served as Vice Chairman of the board of directors of Marriott International, the company from which we spun off, from May 2009 until his retirement in March 2011. He previously served as President and Chief Operating Officer of Marriott International from 1997 until May 2009. He joined Marriott International in 1974 and held various positions, including Corporate Controller, Corporate Vice President, Senior Vice President—Finance, Treasurer, Chief Financial Officer, Executive Vice President and President of Marriott Service Group. Mr. Shaw serves on the boards of directors of The Carlyle Group Inc., a publicly traded private equity, alternative asset management and financial services corporation; and DiamondRock Hospitality Company, a publicly traded lodging REIT. He also serves on the Board of Trustees of the University of Notre Dame.</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Skills and Experience</w:t>
      </w:r>
    </w:p>
    <w:p>
      <w:pPr>
        <w:spacing w:after="0" w:line="21"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Mr. Shaw brings to the Board extensive management experience with Marriott International, his prominent status in the hospitality industry and a wealth of knowledge in dealing with financial and accounting matters as a result of his prior service in financial and accounting positions at Marriott International, including as its Chief Financial Officer. Mr. Shaw also has experience as a board member of publicly traded companies.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1820" w:type="dxa"/>
            <w:vAlign w:val="bottom"/>
          </w:tcPr>
          <w:p>
            <w:pPr>
              <w:ind w:left="140"/>
              <w:spacing w:after="0"/>
              <w:rPr>
                <w:sz w:val="20"/>
                <w:szCs w:val="20"/>
                <w:color w:val="auto"/>
              </w:rPr>
            </w:pPr>
            <w:r>
              <w:rPr>
                <w:rFonts w:ascii="Arial" w:cs="Arial" w:eastAsia="Arial" w:hAnsi="Arial"/>
                <w:sz w:val="13"/>
                <w:szCs w:val="13"/>
                <w:color w:val="003A70"/>
              </w:rPr>
              <w:t>Corporate</w:t>
            </w:r>
          </w:p>
        </w:tc>
        <w:tc>
          <w:tcPr>
            <w:tcW w:w="19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40" w:type="dxa"/>
            <w:vAlign w:val="bottom"/>
          </w:tcPr>
          <w:p>
            <w:pPr>
              <w:ind w:left="220"/>
              <w:spacing w:after="0"/>
              <w:rPr>
                <w:sz w:val="20"/>
                <w:szCs w:val="20"/>
                <w:color w:val="auto"/>
              </w:rPr>
            </w:pPr>
            <w:r>
              <w:rPr>
                <w:rFonts w:ascii="Arial" w:cs="Arial" w:eastAsia="Arial" w:hAnsi="Arial"/>
                <w:sz w:val="13"/>
                <w:szCs w:val="13"/>
                <w:color w:val="003A70"/>
              </w:rPr>
              <w:t>Accounting &amp;</w:t>
            </w:r>
          </w:p>
        </w:tc>
        <w:tc>
          <w:tcPr>
            <w:tcW w:w="2200" w:type="dxa"/>
            <w:vAlign w:val="bottom"/>
          </w:tcPr>
          <w:p>
            <w:pPr>
              <w:ind w:left="540"/>
              <w:spacing w:after="0"/>
              <w:rPr>
                <w:sz w:val="20"/>
                <w:szCs w:val="20"/>
                <w:color w:val="auto"/>
              </w:rPr>
            </w:pPr>
            <w:r>
              <w:rPr>
                <w:rFonts w:ascii="Arial" w:cs="Arial" w:eastAsia="Arial" w:hAnsi="Arial"/>
                <w:sz w:val="13"/>
                <w:szCs w:val="13"/>
                <w:color w:val="003A70"/>
              </w:rPr>
              <w:t>Business Development /</w:t>
            </w:r>
          </w:p>
        </w:tc>
      </w:tr>
      <w:tr>
        <w:trPr>
          <w:trHeight w:val="175"/>
        </w:trPr>
        <w:tc>
          <w:tcPr>
            <w:tcW w:w="260" w:type="dxa"/>
            <w:vAlign w:val="bottom"/>
          </w:tcPr>
          <w:p>
            <w:pPr>
              <w:jc w:val="center"/>
              <w:ind w:right="120"/>
              <w:spacing w:after="0"/>
              <w:rPr>
                <w:sz w:val="20"/>
                <w:szCs w:val="20"/>
                <w:color w:val="auto"/>
              </w:rPr>
            </w:pPr>
            <w:r>
              <w:rPr>
                <w:rFonts w:ascii="Arial" w:cs="Arial" w:eastAsia="Arial" w:hAnsi="Arial"/>
                <w:sz w:val="5"/>
                <w:szCs w:val="5"/>
                <w:color w:val="auto"/>
                <w:w w:val="78"/>
              </w:rPr>
              <w:t> </w:t>
            </w:r>
          </w:p>
        </w:tc>
        <w:tc>
          <w:tcPr>
            <w:tcW w:w="1820" w:type="dxa"/>
            <w:vAlign w:val="bottom"/>
          </w:tcPr>
          <w:p>
            <w:pPr>
              <w:ind w:left="140"/>
              <w:spacing w:after="0"/>
              <w:rPr>
                <w:sz w:val="20"/>
                <w:szCs w:val="20"/>
                <w:color w:val="auto"/>
              </w:rPr>
            </w:pPr>
            <w:r>
              <w:rPr>
                <w:rFonts w:ascii="Arial" w:cs="Arial" w:eastAsia="Arial" w:hAnsi="Arial"/>
                <w:sz w:val="13"/>
                <w:szCs w:val="13"/>
                <w:color w:val="003A70"/>
              </w:rPr>
              <w:t>Leadership</w:t>
            </w:r>
          </w:p>
        </w:tc>
        <w:tc>
          <w:tcPr>
            <w:tcW w:w="1920" w:type="dxa"/>
            <w:vAlign w:val="bottom"/>
          </w:tcPr>
          <w:p>
            <w:pPr>
              <w:ind w:left="380"/>
              <w:spacing w:after="0"/>
              <w:rPr>
                <w:sz w:val="20"/>
                <w:szCs w:val="20"/>
                <w:color w:val="auto"/>
              </w:rPr>
            </w:pPr>
            <w:r>
              <w:rPr>
                <w:rFonts w:ascii="Arial" w:cs="Arial" w:eastAsia="Arial" w:hAnsi="Arial"/>
                <w:sz w:val="13"/>
                <w:szCs w:val="13"/>
                <w:color w:val="003A70"/>
              </w:rPr>
              <w:t>Independence</w:t>
            </w:r>
          </w:p>
        </w:tc>
        <w:tc>
          <w:tcPr>
            <w:tcW w:w="2980" w:type="dxa"/>
            <w:vAlign w:val="bottom"/>
          </w:tcPr>
          <w:p>
            <w:pPr>
              <w:ind w:left="840"/>
              <w:spacing w:after="0"/>
              <w:rPr>
                <w:sz w:val="20"/>
                <w:szCs w:val="20"/>
                <w:color w:val="auto"/>
              </w:rPr>
            </w:pPr>
            <w:r>
              <w:rPr>
                <w:rFonts w:ascii="Arial" w:cs="Arial" w:eastAsia="Arial" w:hAnsi="Arial"/>
                <w:sz w:val="13"/>
                <w:szCs w:val="13"/>
                <w:color w:val="003A70"/>
              </w:rPr>
              <w:t>Financial &amp; Capital Markets</w:t>
            </w:r>
          </w:p>
        </w:tc>
        <w:tc>
          <w:tcPr>
            <w:tcW w:w="1840" w:type="dxa"/>
            <w:vAlign w:val="bottom"/>
          </w:tcPr>
          <w:p>
            <w:pPr>
              <w:ind w:left="220"/>
              <w:spacing w:after="0"/>
              <w:rPr>
                <w:sz w:val="20"/>
                <w:szCs w:val="20"/>
                <w:color w:val="auto"/>
              </w:rPr>
            </w:pPr>
            <w:r>
              <w:rPr>
                <w:rFonts w:ascii="Arial" w:cs="Arial" w:eastAsia="Arial" w:hAnsi="Arial"/>
                <w:sz w:val="13"/>
                <w:szCs w:val="13"/>
                <w:color w:val="003A70"/>
              </w:rPr>
              <w:t>Financial Reporting</w:t>
            </w:r>
          </w:p>
        </w:tc>
        <w:tc>
          <w:tcPr>
            <w:tcW w:w="2200" w:type="dxa"/>
            <w:vAlign w:val="bottom"/>
          </w:tcPr>
          <w:p>
            <w:pPr>
              <w:ind w:left="540"/>
              <w:spacing w:after="0"/>
              <w:rPr>
                <w:sz w:val="20"/>
                <w:szCs w:val="20"/>
                <w:color w:val="auto"/>
              </w:rPr>
            </w:pPr>
            <w:r>
              <w:rPr>
                <w:rFonts w:ascii="Arial" w:cs="Arial" w:eastAsia="Arial" w:hAnsi="Arial"/>
                <w:sz w:val="13"/>
                <w:szCs w:val="13"/>
                <w:color w:val="003A70"/>
              </w:rPr>
              <w:t>Mergers &amp; Acquisitions</w:t>
            </w:r>
          </w:p>
        </w:tc>
      </w:tr>
      <w:tr>
        <w:trPr>
          <w:trHeight w:val="243"/>
        </w:trPr>
        <w:tc>
          <w:tcPr>
            <w:tcW w:w="260" w:type="dxa"/>
            <w:vAlign w:val="bottom"/>
          </w:tcPr>
          <w:p>
            <w:pPr>
              <w:spacing w:after="0"/>
              <w:rPr>
                <w:sz w:val="21"/>
                <w:szCs w:val="21"/>
                <w:color w:val="auto"/>
              </w:rPr>
            </w:pPr>
          </w:p>
        </w:tc>
        <w:tc>
          <w:tcPr>
            <w:tcW w:w="1820" w:type="dxa"/>
            <w:vAlign w:val="bottom"/>
          </w:tcPr>
          <w:p>
            <w:pPr>
              <w:ind w:left="140"/>
              <w:spacing w:after="0"/>
              <w:rPr>
                <w:sz w:val="20"/>
                <w:szCs w:val="20"/>
                <w:color w:val="auto"/>
              </w:rPr>
            </w:pPr>
            <w:r>
              <w:rPr>
                <w:rFonts w:ascii="Arial" w:cs="Arial" w:eastAsia="Arial" w:hAnsi="Arial"/>
                <w:sz w:val="13"/>
                <w:szCs w:val="13"/>
                <w:color w:val="003A70"/>
              </w:rPr>
              <w:t>Public Company Board</w:t>
            </w:r>
          </w:p>
        </w:tc>
        <w:tc>
          <w:tcPr>
            <w:tcW w:w="1920" w:type="dxa"/>
            <w:vAlign w:val="bottom"/>
          </w:tcPr>
          <w:p>
            <w:pPr>
              <w:ind w:left="380"/>
              <w:spacing w:after="0"/>
              <w:rPr>
                <w:sz w:val="20"/>
                <w:szCs w:val="20"/>
                <w:color w:val="auto"/>
              </w:rPr>
            </w:pPr>
            <w:r>
              <w:rPr>
                <w:rFonts w:ascii="Arial" w:cs="Arial" w:eastAsia="Arial" w:hAnsi="Arial"/>
                <w:sz w:val="13"/>
                <w:szCs w:val="13"/>
                <w:color w:val="003A70"/>
              </w:rPr>
              <w:t>Risk</w:t>
            </w:r>
          </w:p>
        </w:tc>
        <w:tc>
          <w:tcPr>
            <w:tcW w:w="29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0" w:type="dxa"/>
            <w:vAlign w:val="bottom"/>
          </w:tcPr>
          <w:p>
            <w:pPr>
              <w:ind w:left="540"/>
              <w:spacing w:after="0"/>
              <w:rPr>
                <w:sz w:val="20"/>
                <w:szCs w:val="20"/>
                <w:color w:val="auto"/>
              </w:rPr>
            </w:pPr>
            <w:r>
              <w:rPr>
                <w:rFonts w:ascii="Arial" w:cs="Arial" w:eastAsia="Arial" w:hAnsi="Arial"/>
                <w:sz w:val="13"/>
                <w:szCs w:val="13"/>
                <w:color w:val="003A70"/>
              </w:rPr>
              <w:t>Vacation Ownership &amp;</w:t>
            </w:r>
          </w:p>
        </w:tc>
      </w:tr>
      <w:tr>
        <w:trPr>
          <w:trHeight w:val="175"/>
        </w:trPr>
        <w:tc>
          <w:tcPr>
            <w:tcW w:w="260" w:type="dxa"/>
            <w:vAlign w:val="bottom"/>
          </w:tcPr>
          <w:p>
            <w:pPr>
              <w:spacing w:after="0"/>
              <w:rPr>
                <w:sz w:val="15"/>
                <w:szCs w:val="15"/>
                <w:color w:val="auto"/>
              </w:rPr>
            </w:pPr>
          </w:p>
        </w:tc>
        <w:tc>
          <w:tcPr>
            <w:tcW w:w="1820" w:type="dxa"/>
            <w:vAlign w:val="bottom"/>
          </w:tcPr>
          <w:p>
            <w:pPr>
              <w:ind w:left="140"/>
              <w:spacing w:after="0"/>
              <w:rPr>
                <w:sz w:val="20"/>
                <w:szCs w:val="20"/>
                <w:color w:val="auto"/>
              </w:rPr>
            </w:pPr>
            <w:r>
              <w:rPr>
                <w:rFonts w:ascii="Arial" w:cs="Arial" w:eastAsia="Arial" w:hAnsi="Arial"/>
                <w:sz w:val="13"/>
                <w:szCs w:val="13"/>
                <w:color w:val="003A70"/>
              </w:rPr>
              <w:t>Service &amp; Governance</w:t>
            </w:r>
          </w:p>
        </w:tc>
        <w:tc>
          <w:tcPr>
            <w:tcW w:w="1920" w:type="dxa"/>
            <w:vAlign w:val="bottom"/>
          </w:tcPr>
          <w:p>
            <w:pPr>
              <w:ind w:left="380"/>
              <w:spacing w:after="0"/>
              <w:rPr>
                <w:sz w:val="20"/>
                <w:szCs w:val="20"/>
                <w:color w:val="auto"/>
              </w:rPr>
            </w:pPr>
            <w:r>
              <w:rPr>
                <w:rFonts w:ascii="Arial" w:cs="Arial" w:eastAsia="Arial" w:hAnsi="Arial"/>
                <w:sz w:val="13"/>
                <w:szCs w:val="13"/>
                <w:color w:val="003A70"/>
              </w:rPr>
              <w:t>Management</w:t>
            </w:r>
          </w:p>
        </w:tc>
        <w:tc>
          <w:tcPr>
            <w:tcW w:w="2980" w:type="dxa"/>
            <w:vAlign w:val="bottom"/>
          </w:tcPr>
          <w:p>
            <w:pPr>
              <w:ind w:left="840"/>
              <w:spacing w:after="0"/>
              <w:rPr>
                <w:sz w:val="20"/>
                <w:szCs w:val="20"/>
                <w:color w:val="auto"/>
              </w:rPr>
            </w:pPr>
            <w:r>
              <w:rPr>
                <w:rFonts w:ascii="Arial" w:cs="Arial" w:eastAsia="Arial" w:hAnsi="Arial"/>
                <w:sz w:val="13"/>
                <w:szCs w:val="13"/>
                <w:color w:val="003A70"/>
              </w:rPr>
              <w:t>Strategic Planning</w:t>
            </w:r>
          </w:p>
        </w:tc>
        <w:tc>
          <w:tcPr>
            <w:tcW w:w="1840" w:type="dxa"/>
            <w:vAlign w:val="bottom"/>
          </w:tcPr>
          <w:p>
            <w:pPr>
              <w:ind w:left="220"/>
              <w:spacing w:after="0"/>
              <w:rPr>
                <w:sz w:val="20"/>
                <w:szCs w:val="20"/>
                <w:color w:val="auto"/>
              </w:rPr>
            </w:pPr>
            <w:r>
              <w:rPr>
                <w:rFonts w:ascii="Arial" w:cs="Arial" w:eastAsia="Arial" w:hAnsi="Arial"/>
                <w:sz w:val="13"/>
                <w:szCs w:val="13"/>
                <w:color w:val="003A70"/>
              </w:rPr>
              <w:t>Global Expertise</w:t>
            </w:r>
          </w:p>
        </w:tc>
        <w:tc>
          <w:tcPr>
            <w:tcW w:w="2200" w:type="dxa"/>
            <w:vAlign w:val="bottom"/>
          </w:tcPr>
          <w:p>
            <w:pPr>
              <w:ind w:left="540"/>
              <w:spacing w:after="0"/>
              <w:rPr>
                <w:sz w:val="20"/>
                <w:szCs w:val="20"/>
                <w:color w:val="auto"/>
              </w:rPr>
            </w:pPr>
            <w:r>
              <w:rPr>
                <w:rFonts w:ascii="Arial" w:cs="Arial" w:eastAsia="Arial" w:hAnsi="Arial"/>
                <w:sz w:val="13"/>
                <w:szCs w:val="13"/>
                <w:color w:val="003A70"/>
              </w:rPr>
              <w:t>Lodging Industry</w:t>
            </w:r>
          </w:p>
        </w:tc>
      </w:tr>
      <w:tr>
        <w:trPr>
          <w:trHeight w:val="374"/>
        </w:trPr>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980" w:type="dxa"/>
            <w:vAlign w:val="bottom"/>
          </w:tcPr>
          <w:p>
            <w:pPr>
              <w:ind w:left="840"/>
              <w:spacing w:after="0"/>
              <w:rPr>
                <w:sz w:val="20"/>
                <w:szCs w:val="20"/>
                <w:color w:val="auto"/>
              </w:rPr>
            </w:pPr>
            <w:r>
              <w:rPr>
                <w:rFonts w:ascii="Arial" w:cs="Arial" w:eastAsia="Arial" w:hAnsi="Arial"/>
                <w:sz w:val="13"/>
                <w:szCs w:val="13"/>
                <w:color w:val="003A70"/>
              </w:rPr>
              <w:t>Human Capital, Professional</w:t>
            </w:r>
          </w:p>
        </w:tc>
        <w:tc>
          <w:tcPr>
            <w:tcW w:w="18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35"/>
        </w:trPr>
        <w:tc>
          <w:tcPr>
            <w:tcW w:w="260" w:type="dxa"/>
            <w:vAlign w:val="bottom"/>
          </w:tcPr>
          <w:p>
            <w:pPr>
              <w:spacing w:after="0"/>
              <w:rPr>
                <w:sz w:val="11"/>
                <w:szCs w:val="11"/>
                <w:color w:val="auto"/>
              </w:rPr>
            </w:pPr>
          </w:p>
        </w:tc>
        <w:tc>
          <w:tcPr>
            <w:tcW w:w="1820" w:type="dxa"/>
            <w:vAlign w:val="bottom"/>
          </w:tcPr>
          <w:p>
            <w:pPr>
              <w:ind w:left="140"/>
              <w:spacing w:after="0" w:line="135" w:lineRule="exact"/>
              <w:rPr>
                <w:sz w:val="20"/>
                <w:szCs w:val="20"/>
                <w:color w:val="auto"/>
              </w:rPr>
            </w:pPr>
            <w:r>
              <w:rPr>
                <w:rFonts w:ascii="Arial" w:cs="Arial" w:eastAsia="Arial" w:hAnsi="Arial"/>
                <w:sz w:val="13"/>
                <w:szCs w:val="13"/>
                <w:color w:val="003A70"/>
              </w:rPr>
              <w:t>Legal, Regulatory &amp;</w:t>
            </w:r>
          </w:p>
        </w:tc>
        <w:tc>
          <w:tcPr>
            <w:tcW w:w="1920" w:type="dxa"/>
            <w:vAlign w:val="bottom"/>
          </w:tcPr>
          <w:p>
            <w:pPr>
              <w:ind w:left="380"/>
              <w:spacing w:after="0" w:line="135" w:lineRule="exact"/>
              <w:rPr>
                <w:sz w:val="20"/>
                <w:szCs w:val="20"/>
                <w:color w:val="auto"/>
              </w:rPr>
            </w:pPr>
            <w:r>
              <w:rPr>
                <w:rFonts w:ascii="Arial" w:cs="Arial" w:eastAsia="Arial" w:hAnsi="Arial"/>
                <w:sz w:val="13"/>
                <w:szCs w:val="13"/>
                <w:color w:val="003A70"/>
              </w:rPr>
              <w:t>Real Estate &amp;</w:t>
            </w:r>
          </w:p>
        </w:tc>
        <w:tc>
          <w:tcPr>
            <w:tcW w:w="2980" w:type="dxa"/>
            <w:vAlign w:val="bottom"/>
          </w:tcPr>
          <w:p>
            <w:pPr>
              <w:ind w:left="840"/>
              <w:spacing w:after="0" w:line="135" w:lineRule="exact"/>
              <w:rPr>
                <w:sz w:val="20"/>
                <w:szCs w:val="20"/>
                <w:color w:val="auto"/>
              </w:rPr>
            </w:pPr>
            <w:r>
              <w:rPr>
                <w:rFonts w:ascii="Arial" w:cs="Arial" w:eastAsia="Arial" w:hAnsi="Arial"/>
                <w:sz w:val="13"/>
                <w:szCs w:val="13"/>
                <w:color w:val="003A70"/>
              </w:rPr>
              <w:t>Development &amp;</w:t>
            </w:r>
          </w:p>
        </w:tc>
        <w:tc>
          <w:tcPr>
            <w:tcW w:w="1840" w:type="dxa"/>
            <w:vAlign w:val="bottom"/>
          </w:tcPr>
          <w:p>
            <w:pPr>
              <w:ind w:left="220"/>
              <w:spacing w:after="0" w:line="135" w:lineRule="exact"/>
              <w:rPr>
                <w:sz w:val="20"/>
                <w:szCs w:val="20"/>
                <w:color w:val="auto"/>
              </w:rPr>
            </w:pPr>
            <w:r>
              <w:rPr>
                <w:rFonts w:ascii="Arial" w:cs="Arial" w:eastAsia="Arial" w:hAnsi="Arial"/>
                <w:sz w:val="13"/>
                <w:szCs w:val="13"/>
                <w:color w:val="003A70"/>
              </w:rPr>
              <w:t>Technology &amp;</w:t>
            </w:r>
          </w:p>
        </w:tc>
        <w:tc>
          <w:tcPr>
            <w:tcW w:w="2200" w:type="dxa"/>
            <w:vAlign w:val="bottom"/>
          </w:tcPr>
          <w:p>
            <w:pPr>
              <w:spacing w:after="0"/>
              <w:rPr>
                <w:sz w:val="11"/>
                <w:szCs w:val="11"/>
                <w:color w:val="auto"/>
              </w:rPr>
            </w:pPr>
          </w:p>
        </w:tc>
      </w:tr>
      <w:tr>
        <w:trPr>
          <w:trHeight w:val="166"/>
        </w:trPr>
        <w:tc>
          <w:tcPr>
            <w:tcW w:w="260" w:type="dxa"/>
            <w:vAlign w:val="bottom"/>
          </w:tcPr>
          <w:p>
            <w:pPr>
              <w:spacing w:after="0"/>
              <w:rPr>
                <w:sz w:val="14"/>
                <w:szCs w:val="14"/>
                <w:color w:val="auto"/>
              </w:rPr>
            </w:pPr>
          </w:p>
        </w:tc>
        <w:tc>
          <w:tcPr>
            <w:tcW w:w="1820" w:type="dxa"/>
            <w:vAlign w:val="bottom"/>
          </w:tcPr>
          <w:p>
            <w:pPr>
              <w:ind w:left="140"/>
              <w:spacing w:after="0"/>
              <w:rPr>
                <w:sz w:val="20"/>
                <w:szCs w:val="20"/>
                <w:color w:val="auto"/>
              </w:rPr>
            </w:pPr>
            <w:r>
              <w:rPr>
                <w:rFonts w:ascii="Arial" w:cs="Arial" w:eastAsia="Arial" w:hAnsi="Arial"/>
                <w:sz w:val="13"/>
                <w:szCs w:val="13"/>
                <w:color w:val="003A70"/>
              </w:rPr>
              <w:t>Government Relations</w:t>
            </w:r>
          </w:p>
        </w:tc>
        <w:tc>
          <w:tcPr>
            <w:tcW w:w="1920" w:type="dxa"/>
            <w:vAlign w:val="bottom"/>
          </w:tcPr>
          <w:p>
            <w:pPr>
              <w:ind w:left="380"/>
              <w:spacing w:after="0"/>
              <w:rPr>
                <w:sz w:val="20"/>
                <w:szCs w:val="20"/>
                <w:color w:val="auto"/>
              </w:rPr>
            </w:pPr>
            <w:r>
              <w:rPr>
                <w:rFonts w:ascii="Arial" w:cs="Arial" w:eastAsia="Arial" w:hAnsi="Arial"/>
                <w:sz w:val="13"/>
                <w:szCs w:val="13"/>
                <w:color w:val="003A70"/>
              </w:rPr>
              <w:t>Business Development</w:t>
            </w:r>
          </w:p>
        </w:tc>
        <w:tc>
          <w:tcPr>
            <w:tcW w:w="2980" w:type="dxa"/>
            <w:vAlign w:val="bottom"/>
          </w:tcPr>
          <w:p>
            <w:pPr>
              <w:ind w:left="840"/>
              <w:spacing w:after="0"/>
              <w:rPr>
                <w:sz w:val="20"/>
                <w:szCs w:val="20"/>
                <w:color w:val="auto"/>
              </w:rPr>
            </w:pPr>
            <w:r>
              <w:rPr>
                <w:rFonts w:ascii="Arial" w:cs="Arial" w:eastAsia="Arial" w:hAnsi="Arial"/>
                <w:sz w:val="13"/>
                <w:szCs w:val="13"/>
                <w:color w:val="003A70"/>
              </w:rPr>
              <w:t>Organizational Culture</w:t>
            </w:r>
          </w:p>
        </w:tc>
        <w:tc>
          <w:tcPr>
            <w:tcW w:w="1840" w:type="dxa"/>
            <w:vAlign w:val="bottom"/>
          </w:tcPr>
          <w:p>
            <w:pPr>
              <w:ind w:left="220"/>
              <w:spacing w:after="0"/>
              <w:rPr>
                <w:sz w:val="20"/>
                <w:szCs w:val="20"/>
                <w:color w:val="auto"/>
              </w:rPr>
            </w:pPr>
            <w:r>
              <w:rPr>
                <w:rFonts w:ascii="Arial" w:cs="Arial" w:eastAsia="Arial" w:hAnsi="Arial"/>
                <w:sz w:val="13"/>
                <w:szCs w:val="13"/>
                <w:color w:val="003A70"/>
              </w:rPr>
              <w:t>Cybersecurity</w:t>
            </w:r>
          </w:p>
        </w:tc>
        <w:tc>
          <w:tcPr>
            <w:tcW w:w="2200" w:type="dxa"/>
            <w:vAlign w:val="bottom"/>
          </w:tcPr>
          <w:p>
            <w:pPr>
              <w:spacing w:after="0"/>
              <w:rPr>
                <w:sz w:val="14"/>
                <w:szCs w:val="14"/>
                <w:color w:val="auto"/>
              </w:rPr>
            </w:pPr>
          </w:p>
        </w:tc>
      </w:tr>
      <w:tr>
        <w:trPr>
          <w:trHeight w:val="270"/>
        </w:trPr>
        <w:tc>
          <w:tcPr>
            <w:tcW w:w="260" w:type="dxa"/>
            <w:vAlign w:val="bottom"/>
            <w:tcBorders>
              <w:bottom w:val="single" w:sz="8" w:color="003A70"/>
            </w:tcBorders>
          </w:tcPr>
          <w:p>
            <w:pPr>
              <w:jc w:val="right"/>
              <w:ind w:right="100"/>
              <w:spacing w:after="0"/>
              <w:rPr>
                <w:sz w:val="20"/>
                <w:szCs w:val="20"/>
                <w:color w:val="auto"/>
              </w:rPr>
            </w:pPr>
            <w:r>
              <w:rPr>
                <w:rFonts w:ascii="Arial" w:cs="Arial" w:eastAsia="Arial" w:hAnsi="Arial"/>
                <w:sz w:val="11"/>
                <w:szCs w:val="11"/>
                <w:b w:val="1"/>
                <w:bCs w:val="1"/>
                <w:color w:val="003A70"/>
                <w:w w:val="81"/>
              </w:rPr>
              <w:t>22</w:t>
            </w:r>
          </w:p>
        </w:tc>
        <w:tc>
          <w:tcPr>
            <w:tcW w:w="1820" w:type="dxa"/>
            <w:vAlign w:val="bottom"/>
            <w:tcBorders>
              <w:bottom w:val="single" w:sz="8" w:color="003A70"/>
            </w:tcBorders>
          </w:tcPr>
          <w:p>
            <w:pPr>
              <w:spacing w:after="0"/>
              <w:rPr>
                <w:sz w:val="23"/>
                <w:szCs w:val="23"/>
                <w:color w:val="auto"/>
              </w:rPr>
            </w:pPr>
          </w:p>
        </w:tc>
        <w:tc>
          <w:tcPr>
            <w:tcW w:w="1920" w:type="dxa"/>
            <w:vAlign w:val="bottom"/>
            <w:tcBorders>
              <w:bottom w:val="single" w:sz="8" w:color="003A70"/>
            </w:tcBorders>
          </w:tcPr>
          <w:p>
            <w:pPr>
              <w:spacing w:after="0"/>
              <w:rPr>
                <w:sz w:val="23"/>
                <w:szCs w:val="23"/>
                <w:color w:val="auto"/>
              </w:rPr>
            </w:pPr>
          </w:p>
        </w:tc>
        <w:tc>
          <w:tcPr>
            <w:tcW w:w="2980" w:type="dxa"/>
            <w:vAlign w:val="bottom"/>
            <w:tcBorders>
              <w:bottom w:val="single" w:sz="8" w:color="003A70"/>
            </w:tcBorders>
          </w:tcPr>
          <w:p>
            <w:pPr>
              <w:ind w:left="260"/>
              <w:spacing w:after="0"/>
              <w:rPr>
                <w:sz w:val="20"/>
                <w:szCs w:val="20"/>
                <w:color w:val="auto"/>
              </w:rPr>
            </w:pPr>
            <w:r>
              <w:rPr>
                <w:rFonts w:ascii="Arial" w:cs="Arial" w:eastAsia="Arial" w:hAnsi="Arial"/>
                <w:sz w:val="11"/>
                <w:szCs w:val="11"/>
                <w:color w:val="auto"/>
              </w:rPr>
              <w:t>Report on the Board of Directors and its Committees</w:t>
            </w:r>
          </w:p>
        </w:tc>
        <w:tc>
          <w:tcPr>
            <w:tcW w:w="4040" w:type="dxa"/>
            <w:vAlign w:val="bottom"/>
            <w:tcBorders>
              <w:bottom w:val="single" w:sz="8" w:color="003A70"/>
            </w:tcBorders>
            <w:gridSpan w:val="2"/>
          </w:tcPr>
          <w:p>
            <w:pPr>
              <w:ind w:left="740"/>
              <w:spacing w:after="0"/>
              <w:rPr>
                <w:sz w:val="20"/>
                <w:szCs w:val="20"/>
                <w:color w:val="auto"/>
              </w:rPr>
            </w:pPr>
            <w:r>
              <w:rPr>
                <w:rFonts w:ascii="Arial" w:cs="Arial" w:eastAsia="Arial" w:hAnsi="Arial"/>
                <w:sz w:val="11"/>
                <w:szCs w:val="11"/>
                <w:color w:val="auto"/>
                <w:w w:val="97"/>
              </w:rPr>
              <w:t xml:space="preserve">2026 PROXY STATEMENT </w:t>
            </w:r>
            <w:r>
              <w:rPr>
                <w:rFonts w:ascii="Arial" w:cs="Arial" w:eastAsia="Arial" w:hAnsi="Arial"/>
                <w:sz w:val="11"/>
                <w:szCs w:val="11"/>
                <w:b w:val="1"/>
                <w:bCs w:val="1"/>
                <w:color w:val="003A70"/>
                <w:w w:val="97"/>
              </w:rPr>
              <w:t>MARRIOTT VACATIONS WORLDWIDE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-1045210</wp:posOffset>
            </wp:positionV>
            <wp:extent cx="9461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-1019810</wp:posOffset>
            </wp:positionV>
            <wp:extent cx="16256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-1019810</wp:posOffset>
            </wp:positionV>
            <wp:extent cx="16256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-1019810</wp:posOffset>
            </wp:positionV>
            <wp:extent cx="13716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-1019810</wp:posOffset>
            </wp:positionV>
            <wp:extent cx="14605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-762635</wp:posOffset>
            </wp:positionV>
            <wp:extent cx="154305"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305" cy="13716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-753745</wp:posOffset>
            </wp:positionV>
            <wp:extent cx="13716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-753745</wp:posOffset>
            </wp:positionV>
            <wp:extent cx="145415"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5415" cy="13716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-762635</wp:posOffset>
            </wp:positionV>
            <wp:extent cx="14605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050" cy="1371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-762635</wp:posOffset>
            </wp:positionV>
            <wp:extent cx="128905"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-316865</wp:posOffset>
            </wp:positionV>
            <wp:extent cx="13716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-316865</wp:posOffset>
            </wp:positionV>
            <wp:extent cx="13716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-334010</wp:posOffset>
            </wp:positionV>
            <wp:extent cx="13716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-325120</wp:posOffset>
            </wp:positionV>
            <wp:extent cx="13716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SUMMARY OF DIRECTOR ATTRIBUTES AND SKILLS AS OF THE ANNUAL MEETING</w:t>
      </w:r>
    </w:p>
    <w:p>
      <w:pPr>
        <w:spacing w:after="0" w:line="112"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Our Board members have a diversity of experience and bring a wide variety of skills, qualifications and viewpoints that strengthen the Board’s oversight role on behalf of our stockholders. The following highlights certain key characteristics of our directors. Additional information can be found in their biographies.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5320" w:type="dxa"/>
            <w:vAlign w:val="bottom"/>
            <w:tcBorders>
              <w:bottom w:val="single" w:sz="8" w:color="003A70"/>
            </w:tcBorders>
          </w:tcPr>
          <w:p>
            <w:pPr>
              <w:ind w:left="100"/>
              <w:spacing w:after="0"/>
              <w:rPr>
                <w:sz w:val="20"/>
                <w:szCs w:val="20"/>
                <w:color w:val="auto"/>
              </w:rPr>
            </w:pPr>
            <w:r>
              <w:rPr>
                <w:rFonts w:ascii="Arial" w:cs="Arial" w:eastAsia="Arial" w:hAnsi="Arial"/>
                <w:sz w:val="14"/>
                <w:szCs w:val="14"/>
                <w:b w:val="1"/>
                <w:bCs w:val="1"/>
                <w:color w:val="003A70"/>
              </w:rPr>
              <w:t xml:space="preserve">    </w:t>
            </w:r>
          </w:p>
        </w:tc>
        <w:tc>
          <w:tcPr>
            <w:tcW w:w="5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Shaw</w:t>
            </w:r>
          </w:p>
        </w:tc>
        <w:tc>
          <w:tcPr>
            <w:tcW w:w="7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Andrews</w:t>
            </w:r>
          </w:p>
        </w:tc>
        <w:tc>
          <w:tcPr>
            <w:tcW w:w="6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Asmar</w:t>
            </w:r>
          </w:p>
        </w:tc>
        <w:tc>
          <w:tcPr>
            <w:tcW w:w="4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Avril</w:t>
            </w:r>
          </w:p>
        </w:tc>
        <w:tc>
          <w:tcPr>
            <w:tcW w:w="7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Dausch</w:t>
            </w:r>
          </w:p>
        </w:tc>
        <w:tc>
          <w:tcPr>
            <w:tcW w:w="820" w:type="dxa"/>
            <w:vAlign w:val="bottom"/>
            <w:tcBorders>
              <w:bottom w:val="single" w:sz="8" w:color="003A70"/>
            </w:tcBorders>
          </w:tcPr>
          <w:p>
            <w:pPr>
              <w:ind w:left="80"/>
              <w:spacing w:after="0"/>
              <w:rPr>
                <w:sz w:val="20"/>
                <w:szCs w:val="20"/>
                <w:color w:val="auto"/>
              </w:rPr>
            </w:pPr>
            <w:r>
              <w:rPr>
                <w:rFonts w:ascii="Arial" w:cs="Arial" w:eastAsia="Arial" w:hAnsi="Arial"/>
                <w:sz w:val="14"/>
                <w:szCs w:val="14"/>
                <w:color w:val="003A70"/>
              </w:rPr>
              <w:t>Galbreath</w:t>
            </w:r>
          </w:p>
        </w:tc>
        <w:tc>
          <w:tcPr>
            <w:tcW w:w="5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w w:val="98"/>
              </w:rPr>
              <w:t>Gray</w:t>
            </w:r>
          </w:p>
        </w:tc>
        <w:tc>
          <w:tcPr>
            <w:tcW w:w="7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Morgan</w:t>
            </w:r>
          </w:p>
        </w:tc>
        <w:tc>
          <w:tcPr>
            <w:tcW w:w="600" w:type="dxa"/>
            <w:vAlign w:val="bottom"/>
            <w:tcBorders>
              <w:bottom w:val="single" w:sz="8" w:color="003A70"/>
            </w:tcBorders>
          </w:tcPr>
          <w:p>
            <w:pPr>
              <w:ind w:left="100"/>
              <w:spacing w:after="0"/>
              <w:rPr>
                <w:sz w:val="20"/>
                <w:szCs w:val="20"/>
                <w:color w:val="auto"/>
              </w:rPr>
            </w:pPr>
            <w:r>
              <w:rPr>
                <w:rFonts w:ascii="Arial" w:cs="Arial" w:eastAsia="Arial" w:hAnsi="Arial"/>
                <w:sz w:val="14"/>
                <w:szCs w:val="14"/>
                <w:color w:val="003A70"/>
                <w:w w:val="99"/>
              </w:rPr>
              <w:t>Quazzo</w:t>
            </w:r>
          </w:p>
        </w:tc>
        <w:tc>
          <w:tcPr>
            <w:tcW w:w="0" w:type="dxa"/>
            <w:vAlign w:val="bottom"/>
          </w:tcPr>
          <w:p>
            <w:pPr>
              <w:spacing w:after="0"/>
              <w:rPr>
                <w:sz w:val="1"/>
                <w:szCs w:val="1"/>
                <w:color w:val="auto"/>
              </w:rPr>
            </w:pPr>
          </w:p>
        </w:tc>
      </w:tr>
      <w:tr>
        <w:trPr>
          <w:trHeight w:val="247"/>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 xml:space="preserve">Corporate Leadership </w:t>
            </w:r>
            <w:r>
              <w:rPr>
                <w:rFonts w:ascii="Arial" w:cs="Arial" w:eastAsia="Arial" w:hAnsi="Arial"/>
                <w:sz w:val="14"/>
                <w:szCs w:val="14"/>
                <w:color w:val="000000"/>
              </w:rPr>
              <w:t>is important because directors with experience</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0" w:type="dxa"/>
            <w:vAlign w:val="bottom"/>
          </w:tcPr>
          <w:p>
            <w:pPr>
              <w:spacing w:after="0"/>
              <w:rPr>
                <w:sz w:val="1"/>
                <w:szCs w:val="1"/>
                <w:color w:val="auto"/>
              </w:rPr>
            </w:pPr>
          </w:p>
        </w:tc>
      </w:tr>
      <w:tr>
        <w:trPr>
          <w:trHeight w:val="162"/>
        </w:trPr>
        <w:tc>
          <w:tcPr>
            <w:tcW w:w="5320" w:type="dxa"/>
            <w:vAlign w:val="bottom"/>
          </w:tcPr>
          <w:p>
            <w:pPr>
              <w:ind w:left="660"/>
              <w:spacing w:after="0"/>
              <w:rPr>
                <w:sz w:val="20"/>
                <w:szCs w:val="20"/>
                <w:color w:val="auto"/>
              </w:rPr>
            </w:pPr>
            <w:r>
              <w:rPr>
                <w:rFonts w:ascii="Arial" w:cs="Arial" w:eastAsia="Arial" w:hAnsi="Arial"/>
                <w:sz w:val="14"/>
                <w:szCs w:val="14"/>
                <w:color w:val="auto"/>
              </w:rPr>
              <w:t>running public companies, private companies or other large</w:t>
            </w:r>
          </w:p>
        </w:tc>
        <w:tc>
          <w:tcPr>
            <w:tcW w:w="5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3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organizations typically possess strong leadership qualities.</w:t>
            </w:r>
          </w:p>
        </w:tc>
        <w:tc>
          <w:tcPr>
            <w:tcW w:w="5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 xml:space="preserve">Independence </w:t>
            </w:r>
            <w:r>
              <w:rPr>
                <w:rFonts w:ascii="Arial" w:cs="Arial" w:eastAsia="Arial" w:hAnsi="Arial"/>
                <w:sz w:val="14"/>
                <w:szCs w:val="14"/>
                <w:color w:val="000000"/>
              </w:rPr>
              <w:t>satisfies the independence requirement of the NYSE</w:t>
            </w:r>
          </w:p>
        </w:tc>
        <w:tc>
          <w:tcPr>
            <w:tcW w:w="56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4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62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460" w:type="dxa"/>
            <w:vAlign w:val="bottom"/>
          </w:tcPr>
          <w:p>
            <w:pPr>
              <w:spacing w:after="0"/>
              <w:rPr>
                <w:sz w:val="23"/>
                <w:szCs w:val="23"/>
                <w:color w:val="auto"/>
              </w:rPr>
            </w:pP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82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5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6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0" w:type="dxa"/>
            <w:vAlign w:val="bottom"/>
          </w:tcPr>
          <w:p>
            <w:pPr>
              <w:spacing w:after="0"/>
              <w:rPr>
                <w:sz w:val="1"/>
                <w:szCs w:val="1"/>
                <w:color w:val="auto"/>
              </w:rPr>
            </w:pPr>
          </w:p>
        </w:tc>
      </w:tr>
      <w:tr>
        <w:trPr>
          <w:trHeight w:val="190"/>
        </w:trPr>
        <w:tc>
          <w:tcPr>
            <w:tcW w:w="5320" w:type="dxa"/>
            <w:vAlign w:val="bottom"/>
          </w:tcPr>
          <w:p>
            <w:pPr>
              <w:ind w:left="660"/>
              <w:spacing w:after="0"/>
              <w:rPr>
                <w:sz w:val="20"/>
                <w:szCs w:val="20"/>
                <w:color w:val="auto"/>
              </w:rPr>
            </w:pPr>
            <w:r>
              <w:rPr>
                <w:rFonts w:ascii="Arial" w:cs="Arial" w:eastAsia="Arial" w:hAnsi="Arial"/>
                <w:sz w:val="14"/>
                <w:szCs w:val="14"/>
                <w:color w:val="auto"/>
              </w:rPr>
              <w:t>and our Corporate Governance Guidelines.</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5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 xml:space="preserve">Diversity </w:t>
            </w:r>
            <w:r>
              <w:rPr>
                <w:rFonts w:ascii="Arial" w:cs="Arial" w:eastAsia="Arial" w:hAnsi="Arial"/>
                <w:sz w:val="14"/>
                <w:szCs w:val="14"/>
                <w:color w:val="000000"/>
              </w:rPr>
              <w:t>adds perspective through diversity in, among other areas,</w:t>
            </w: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5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660"/>
              <w:spacing w:after="0"/>
              <w:rPr>
                <w:sz w:val="20"/>
                <w:szCs w:val="20"/>
                <w:color w:val="auto"/>
              </w:rPr>
            </w:pPr>
            <w:r>
              <w:rPr>
                <w:rFonts w:ascii="Arial" w:cs="Arial" w:eastAsia="Arial" w:hAnsi="Arial"/>
                <w:sz w:val="14"/>
                <w:szCs w:val="14"/>
                <w:color w:val="auto"/>
              </w:rPr>
              <w:t>backgrounds, perspectives and experiences.</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5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 xml:space="preserve">Financial &amp; Capital Markets </w:t>
            </w:r>
            <w:r>
              <w:rPr>
                <w:rFonts w:ascii="Arial" w:cs="Arial" w:eastAsia="Arial" w:hAnsi="Arial"/>
                <w:sz w:val="14"/>
                <w:szCs w:val="14"/>
                <w:color w:val="000000"/>
              </w:rPr>
              <w:t>experience helps Board members advise</w:t>
            </w:r>
          </w:p>
        </w:tc>
        <w:tc>
          <w:tcPr>
            <w:tcW w:w="56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4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62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46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820" w:type="dxa"/>
            <w:vAlign w:val="bottom"/>
          </w:tcPr>
          <w:p>
            <w:pPr>
              <w:spacing w:after="0"/>
              <w:rPr>
                <w:sz w:val="23"/>
                <w:szCs w:val="23"/>
                <w:color w:val="auto"/>
              </w:rPr>
            </w:pPr>
          </w:p>
        </w:tc>
        <w:tc>
          <w:tcPr>
            <w:tcW w:w="5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00" w:type="dxa"/>
            <w:vAlign w:val="bottom"/>
          </w:tcPr>
          <w:p>
            <w:pPr>
              <w:spacing w:after="0"/>
              <w:rPr>
                <w:sz w:val="23"/>
                <w:szCs w:val="23"/>
                <w:color w:val="auto"/>
              </w:rPr>
            </w:pPr>
          </w:p>
        </w:tc>
        <w:tc>
          <w:tcPr>
            <w:tcW w:w="6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0" w:type="dxa"/>
            <w:vAlign w:val="bottom"/>
          </w:tcPr>
          <w:p>
            <w:pPr>
              <w:spacing w:after="0"/>
              <w:rPr>
                <w:sz w:val="1"/>
                <w:szCs w:val="1"/>
                <w:color w:val="auto"/>
              </w:rPr>
            </w:pPr>
          </w:p>
        </w:tc>
      </w:tr>
      <w:tr>
        <w:trPr>
          <w:trHeight w:val="190"/>
        </w:trPr>
        <w:tc>
          <w:tcPr>
            <w:tcW w:w="5320" w:type="dxa"/>
            <w:vAlign w:val="bottom"/>
          </w:tcPr>
          <w:p>
            <w:pPr>
              <w:ind w:left="660"/>
              <w:spacing w:after="0"/>
              <w:rPr>
                <w:sz w:val="20"/>
                <w:szCs w:val="20"/>
                <w:color w:val="auto"/>
              </w:rPr>
            </w:pPr>
            <w:r>
              <w:rPr>
                <w:rFonts w:ascii="Arial" w:cs="Arial" w:eastAsia="Arial" w:hAnsi="Arial"/>
                <w:sz w:val="14"/>
                <w:szCs w:val="14"/>
                <w:color w:val="auto"/>
              </w:rPr>
              <w:t>on our capital structure and financing and investing activities.</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5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 xml:space="preserve">Accounting &amp; Financial Reporting </w:t>
            </w:r>
            <w:r>
              <w:rPr>
                <w:rFonts w:ascii="Arial" w:cs="Arial" w:eastAsia="Arial" w:hAnsi="Arial"/>
                <w:sz w:val="14"/>
                <w:szCs w:val="14"/>
                <w:color w:val="000000"/>
              </w:rPr>
              <w:t>experience is important in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0" w:type="dxa"/>
            <w:vAlign w:val="bottom"/>
          </w:tcPr>
          <w:p>
            <w:pPr>
              <w:spacing w:after="0"/>
              <w:rPr>
                <w:sz w:val="1"/>
                <w:szCs w:val="1"/>
                <w:color w:val="auto"/>
              </w:rPr>
            </w:pPr>
          </w:p>
        </w:tc>
      </w:tr>
      <w:tr>
        <w:trPr>
          <w:trHeight w:val="162"/>
        </w:trPr>
        <w:tc>
          <w:tcPr>
            <w:tcW w:w="5320" w:type="dxa"/>
            <w:vAlign w:val="bottom"/>
          </w:tcPr>
          <w:p>
            <w:pPr>
              <w:ind w:left="660"/>
              <w:spacing w:after="0"/>
              <w:rPr>
                <w:sz w:val="20"/>
                <w:szCs w:val="20"/>
                <w:color w:val="auto"/>
              </w:rPr>
            </w:pPr>
            <w:r>
              <w:rPr>
                <w:rFonts w:ascii="Arial" w:cs="Arial" w:eastAsia="Arial" w:hAnsi="Arial"/>
                <w:sz w:val="14"/>
                <w:szCs w:val="14"/>
                <w:color w:val="auto"/>
              </w:rPr>
              <w:t>overseeing our financial reporting and internal controls to assure</w:t>
            </w:r>
          </w:p>
        </w:tc>
        <w:tc>
          <w:tcPr>
            <w:tcW w:w="5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3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transparency and accuracy.</w:t>
            </w:r>
          </w:p>
        </w:tc>
        <w:tc>
          <w:tcPr>
            <w:tcW w:w="5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tcPr>
          <w:p>
            <w:pPr>
              <w:ind w:left="660"/>
              <w:spacing w:after="0" w:line="39" w:lineRule="exact"/>
              <w:rPr>
                <w:sz w:val="20"/>
                <w:szCs w:val="20"/>
                <w:color w:val="auto"/>
              </w:rPr>
            </w:pPr>
            <w:r>
              <w:rPr>
                <w:rFonts w:ascii="Arial" w:cs="Arial" w:eastAsia="Arial" w:hAnsi="Arial"/>
                <w:sz w:val="4"/>
                <w:szCs w:val="4"/>
                <w:color w:val="auto"/>
              </w:rPr>
              <w:t>opportunities.</w:t>
            </w:r>
          </w:p>
        </w:tc>
        <w:tc>
          <w:tcPr>
            <w:tcW w:w="560" w:type="dxa"/>
            <w:vAlign w:val="bottom"/>
          </w:tcPr>
          <w:p>
            <w:pPr>
              <w:jc w:val="center"/>
              <w:spacing w:after="0" w:line="39" w:lineRule="exact"/>
              <w:rPr>
                <w:sz w:val="20"/>
                <w:szCs w:val="20"/>
                <w:color w:val="auto"/>
              </w:rPr>
            </w:pPr>
            <w:r>
              <w:rPr>
                <w:rFonts w:ascii="Times New Roman" w:cs="Times New Roman" w:eastAsia="Times New Roman" w:hAnsi="Times New Roman"/>
                <w:sz w:val="4"/>
                <w:szCs w:val="4"/>
                <w:color w:val="003A70"/>
              </w:rPr>
              <w:t>•</w:t>
            </w:r>
          </w:p>
        </w:tc>
        <w:tc>
          <w:tcPr>
            <w:tcW w:w="740" w:type="dxa"/>
            <w:vAlign w:val="bottom"/>
          </w:tcPr>
          <w:p>
            <w:pPr>
              <w:jc w:val="center"/>
              <w:spacing w:after="0" w:line="39" w:lineRule="exact"/>
              <w:rPr>
                <w:sz w:val="20"/>
                <w:szCs w:val="20"/>
                <w:color w:val="auto"/>
              </w:rPr>
            </w:pPr>
            <w:r>
              <w:rPr>
                <w:rFonts w:ascii="Times New Roman" w:cs="Times New Roman" w:eastAsia="Times New Roman" w:hAnsi="Times New Roman"/>
                <w:sz w:val="4"/>
                <w:szCs w:val="4"/>
                <w:color w:val="003A70"/>
              </w:rPr>
              <w:t>•</w:t>
            </w:r>
          </w:p>
        </w:tc>
        <w:tc>
          <w:tcPr>
            <w:tcW w:w="620" w:type="dxa"/>
            <w:vAlign w:val="bottom"/>
          </w:tcPr>
          <w:p>
            <w:pPr>
              <w:jc w:val="center"/>
              <w:spacing w:after="0" w:line="39" w:lineRule="exact"/>
              <w:rPr>
                <w:sz w:val="20"/>
                <w:szCs w:val="20"/>
                <w:color w:val="auto"/>
              </w:rPr>
            </w:pPr>
            <w:r>
              <w:rPr>
                <w:rFonts w:ascii="Times New Roman" w:cs="Times New Roman" w:eastAsia="Times New Roman" w:hAnsi="Times New Roman"/>
                <w:sz w:val="4"/>
                <w:szCs w:val="4"/>
                <w:color w:val="003A70"/>
              </w:rPr>
              <w:t>•</w:t>
            </w:r>
          </w:p>
        </w:tc>
        <w:tc>
          <w:tcPr>
            <w:tcW w:w="460" w:type="dxa"/>
            <w:vAlign w:val="bottom"/>
          </w:tcPr>
          <w:p>
            <w:pPr>
              <w:jc w:val="center"/>
              <w:spacing w:after="0" w:line="39" w:lineRule="exact"/>
              <w:rPr>
                <w:sz w:val="20"/>
                <w:szCs w:val="20"/>
                <w:color w:val="auto"/>
              </w:rPr>
            </w:pPr>
            <w:r>
              <w:rPr>
                <w:rFonts w:ascii="Times New Roman" w:cs="Times New Roman" w:eastAsia="Times New Roman" w:hAnsi="Times New Roman"/>
                <w:sz w:val="4"/>
                <w:szCs w:val="4"/>
                <w:color w:val="003A70"/>
              </w:rPr>
              <w:t>•</w:t>
            </w:r>
          </w:p>
        </w:tc>
        <w:tc>
          <w:tcPr>
            <w:tcW w:w="700" w:type="dxa"/>
            <w:vAlign w:val="bottom"/>
          </w:tcPr>
          <w:p>
            <w:pPr>
              <w:jc w:val="center"/>
              <w:spacing w:after="0" w:line="39" w:lineRule="exact"/>
              <w:rPr>
                <w:sz w:val="20"/>
                <w:szCs w:val="20"/>
                <w:color w:val="auto"/>
              </w:rPr>
            </w:pPr>
            <w:r>
              <w:rPr>
                <w:rFonts w:ascii="Times New Roman" w:cs="Times New Roman" w:eastAsia="Times New Roman" w:hAnsi="Times New Roman"/>
                <w:sz w:val="4"/>
                <w:szCs w:val="4"/>
                <w:color w:val="003A70"/>
              </w:rPr>
              <w:t>•</w:t>
            </w:r>
          </w:p>
        </w:tc>
        <w:tc>
          <w:tcPr>
            <w:tcW w:w="820" w:type="dxa"/>
            <w:vAlign w:val="bottom"/>
          </w:tcPr>
          <w:p>
            <w:pPr>
              <w:jc w:val="center"/>
              <w:spacing w:after="0" w:line="39" w:lineRule="exact"/>
              <w:rPr>
                <w:sz w:val="20"/>
                <w:szCs w:val="20"/>
                <w:color w:val="auto"/>
              </w:rPr>
            </w:pPr>
            <w:r>
              <w:rPr>
                <w:rFonts w:ascii="Times New Roman" w:cs="Times New Roman" w:eastAsia="Times New Roman" w:hAnsi="Times New Roman"/>
                <w:sz w:val="4"/>
                <w:szCs w:val="4"/>
                <w:color w:val="003A70"/>
              </w:rPr>
              <w:t>•</w:t>
            </w: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jc w:val="center"/>
              <w:spacing w:after="0" w:line="39" w:lineRule="exact"/>
              <w:rPr>
                <w:sz w:val="20"/>
                <w:szCs w:val="20"/>
                <w:color w:val="auto"/>
              </w:rPr>
            </w:pPr>
            <w:r>
              <w:rPr>
                <w:rFonts w:ascii="Times New Roman" w:cs="Times New Roman" w:eastAsia="Times New Roman" w:hAnsi="Times New Roman"/>
                <w:sz w:val="4"/>
                <w:szCs w:val="4"/>
                <w:color w:val="003A70"/>
              </w:rPr>
              <w:t>•</w:t>
            </w:r>
          </w:p>
        </w:tc>
        <w:tc>
          <w:tcPr>
            <w:tcW w:w="0" w:type="dxa"/>
            <w:vAlign w:val="bottom"/>
          </w:tcPr>
          <w:p>
            <w:pPr>
              <w:spacing w:after="0" w:line="20" w:lineRule="exact"/>
              <w:rPr>
                <w:sz w:val="1"/>
                <w:szCs w:val="1"/>
                <w:color w:val="auto"/>
              </w:rPr>
            </w:pPr>
          </w:p>
        </w:tc>
      </w:tr>
      <w:tr>
        <w:trPr>
          <w:trHeight w:val="148"/>
        </w:trPr>
        <w:tc>
          <w:tcPr>
            <w:tcW w:w="5320" w:type="dxa"/>
            <w:vAlign w:val="bottom"/>
          </w:tcPr>
          <w:p>
            <w:pPr>
              <w:ind w:left="660"/>
              <w:spacing w:after="0" w:line="148" w:lineRule="exact"/>
              <w:rPr>
                <w:sz w:val="20"/>
                <w:szCs w:val="20"/>
                <w:color w:val="auto"/>
              </w:rPr>
            </w:pPr>
            <w:r>
              <w:rPr>
                <w:rFonts w:ascii="Arial" w:cs="Arial" w:eastAsia="Arial" w:hAnsi="Arial"/>
                <w:sz w:val="14"/>
                <w:szCs w:val="14"/>
                <w:b w:val="1"/>
                <w:bCs w:val="1"/>
                <w:color w:val="003A70"/>
              </w:rPr>
              <w:t xml:space="preserve">Business Development / Mergers &amp; Acquisitions </w:t>
            </w:r>
            <w:r>
              <w:rPr>
                <w:rFonts w:ascii="Arial" w:cs="Arial" w:eastAsia="Arial" w:hAnsi="Arial"/>
                <w:sz w:val="14"/>
                <w:szCs w:val="14"/>
                <w:color w:val="000000"/>
              </w:rPr>
              <w:t>experience</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660"/>
              <w:spacing w:after="0"/>
              <w:rPr>
                <w:sz w:val="20"/>
                <w:szCs w:val="20"/>
                <w:color w:val="auto"/>
              </w:rPr>
            </w:pPr>
            <w:r>
              <w:rPr>
                <w:rFonts w:ascii="Arial" w:cs="Arial" w:eastAsia="Arial" w:hAnsi="Arial"/>
                <w:sz w:val="14"/>
                <w:szCs w:val="14"/>
                <w:color w:val="auto"/>
              </w:rPr>
              <w:t>supports our goal of selectively pursuing compelling new business</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5320" w:type="dxa"/>
            <w:vAlign w:val="bottom"/>
          </w:tcPr>
          <w:p>
            <w:pPr>
              <w:ind w:left="660"/>
              <w:spacing w:after="0" w:line="93" w:lineRule="exact"/>
              <w:rPr>
                <w:sz w:val="20"/>
                <w:szCs w:val="20"/>
                <w:color w:val="auto"/>
              </w:rPr>
            </w:pPr>
            <w:r>
              <w:rPr>
                <w:rFonts w:ascii="Arial" w:cs="Arial" w:eastAsia="Arial" w:hAnsi="Arial"/>
                <w:sz w:val="10"/>
                <w:szCs w:val="10"/>
                <w:color w:val="auto"/>
              </w:rPr>
              <w:t>interests.</w:t>
            </w:r>
          </w:p>
        </w:tc>
        <w:tc>
          <w:tcPr>
            <w:tcW w:w="560" w:type="dxa"/>
            <w:vAlign w:val="bottom"/>
          </w:tcPr>
          <w:p>
            <w:pPr>
              <w:jc w:val="center"/>
              <w:spacing w:after="0" w:line="93" w:lineRule="exact"/>
              <w:rPr>
                <w:sz w:val="20"/>
                <w:szCs w:val="20"/>
                <w:color w:val="auto"/>
              </w:rPr>
            </w:pPr>
            <w:r>
              <w:rPr>
                <w:rFonts w:ascii="Times New Roman" w:cs="Times New Roman" w:eastAsia="Times New Roman" w:hAnsi="Times New Roman"/>
                <w:sz w:val="10"/>
                <w:szCs w:val="10"/>
                <w:color w:val="003A70"/>
              </w:rPr>
              <w:t>•</w:t>
            </w:r>
          </w:p>
        </w:tc>
        <w:tc>
          <w:tcPr>
            <w:tcW w:w="740" w:type="dxa"/>
            <w:vAlign w:val="bottom"/>
          </w:tcPr>
          <w:p>
            <w:pPr>
              <w:jc w:val="center"/>
              <w:spacing w:after="0" w:line="93" w:lineRule="exact"/>
              <w:rPr>
                <w:sz w:val="20"/>
                <w:szCs w:val="20"/>
                <w:color w:val="auto"/>
              </w:rPr>
            </w:pPr>
            <w:r>
              <w:rPr>
                <w:rFonts w:ascii="Times New Roman" w:cs="Times New Roman" w:eastAsia="Times New Roman" w:hAnsi="Times New Roman"/>
                <w:sz w:val="10"/>
                <w:szCs w:val="10"/>
                <w:color w:val="003A70"/>
              </w:rPr>
              <w:t>•</w:t>
            </w:r>
          </w:p>
        </w:tc>
        <w:tc>
          <w:tcPr>
            <w:tcW w:w="620" w:type="dxa"/>
            <w:vAlign w:val="bottom"/>
          </w:tcPr>
          <w:p>
            <w:pPr>
              <w:jc w:val="center"/>
              <w:spacing w:after="0" w:line="93" w:lineRule="exact"/>
              <w:rPr>
                <w:sz w:val="20"/>
                <w:szCs w:val="20"/>
                <w:color w:val="auto"/>
              </w:rPr>
            </w:pPr>
            <w:r>
              <w:rPr>
                <w:rFonts w:ascii="Times New Roman" w:cs="Times New Roman" w:eastAsia="Times New Roman" w:hAnsi="Times New Roman"/>
                <w:sz w:val="10"/>
                <w:szCs w:val="10"/>
                <w:color w:val="003A70"/>
              </w:rPr>
              <w:t>•</w:t>
            </w:r>
          </w:p>
        </w:tc>
        <w:tc>
          <w:tcPr>
            <w:tcW w:w="460" w:type="dxa"/>
            <w:vAlign w:val="bottom"/>
          </w:tcPr>
          <w:p>
            <w:pPr>
              <w:jc w:val="center"/>
              <w:spacing w:after="0" w:line="93" w:lineRule="exact"/>
              <w:rPr>
                <w:sz w:val="20"/>
                <w:szCs w:val="20"/>
                <w:color w:val="auto"/>
              </w:rPr>
            </w:pPr>
            <w:r>
              <w:rPr>
                <w:rFonts w:ascii="Times New Roman" w:cs="Times New Roman" w:eastAsia="Times New Roman" w:hAnsi="Times New Roman"/>
                <w:sz w:val="10"/>
                <w:szCs w:val="10"/>
                <w:color w:val="003A70"/>
              </w:rPr>
              <w:t>•</w:t>
            </w:r>
          </w:p>
        </w:tc>
        <w:tc>
          <w:tcPr>
            <w:tcW w:w="700" w:type="dxa"/>
            <w:vAlign w:val="bottom"/>
          </w:tcPr>
          <w:p>
            <w:pPr>
              <w:spacing w:after="0"/>
              <w:rPr>
                <w:sz w:val="8"/>
                <w:szCs w:val="8"/>
                <w:color w:val="auto"/>
              </w:rPr>
            </w:pPr>
          </w:p>
        </w:tc>
        <w:tc>
          <w:tcPr>
            <w:tcW w:w="820" w:type="dxa"/>
            <w:vAlign w:val="bottom"/>
          </w:tcPr>
          <w:p>
            <w:pPr>
              <w:jc w:val="center"/>
              <w:spacing w:after="0" w:line="93" w:lineRule="exact"/>
              <w:rPr>
                <w:sz w:val="20"/>
                <w:szCs w:val="20"/>
                <w:color w:val="auto"/>
              </w:rPr>
            </w:pPr>
            <w:r>
              <w:rPr>
                <w:rFonts w:ascii="Times New Roman" w:cs="Times New Roman" w:eastAsia="Times New Roman" w:hAnsi="Times New Roman"/>
                <w:sz w:val="10"/>
                <w:szCs w:val="10"/>
                <w:color w:val="003A70"/>
              </w:rPr>
              <w:t>•</w:t>
            </w:r>
          </w:p>
        </w:tc>
        <w:tc>
          <w:tcPr>
            <w:tcW w:w="500" w:type="dxa"/>
            <w:vAlign w:val="bottom"/>
          </w:tcPr>
          <w:p>
            <w:pPr>
              <w:jc w:val="center"/>
              <w:spacing w:after="0" w:line="93" w:lineRule="exact"/>
              <w:rPr>
                <w:sz w:val="20"/>
                <w:szCs w:val="20"/>
                <w:color w:val="auto"/>
              </w:rPr>
            </w:pPr>
            <w:r>
              <w:rPr>
                <w:rFonts w:ascii="Times New Roman" w:cs="Times New Roman" w:eastAsia="Times New Roman" w:hAnsi="Times New Roman"/>
                <w:sz w:val="10"/>
                <w:szCs w:val="10"/>
                <w:color w:val="003A70"/>
              </w:rPr>
              <w:t>•</w:t>
            </w:r>
          </w:p>
        </w:tc>
        <w:tc>
          <w:tcPr>
            <w:tcW w:w="700" w:type="dxa"/>
            <w:vAlign w:val="bottom"/>
          </w:tcPr>
          <w:p>
            <w:pPr>
              <w:jc w:val="center"/>
              <w:spacing w:after="0" w:line="93" w:lineRule="exact"/>
              <w:rPr>
                <w:sz w:val="20"/>
                <w:szCs w:val="20"/>
                <w:color w:val="auto"/>
              </w:rPr>
            </w:pPr>
            <w:r>
              <w:rPr>
                <w:rFonts w:ascii="Times New Roman" w:cs="Times New Roman" w:eastAsia="Times New Roman" w:hAnsi="Times New Roman"/>
                <w:sz w:val="10"/>
                <w:szCs w:val="10"/>
                <w:color w:val="003A70"/>
              </w:rPr>
              <w:t>•</w:t>
            </w:r>
          </w:p>
        </w:tc>
        <w:tc>
          <w:tcPr>
            <w:tcW w:w="600" w:type="dxa"/>
            <w:vAlign w:val="bottom"/>
          </w:tcPr>
          <w:p>
            <w:pPr>
              <w:jc w:val="center"/>
              <w:spacing w:after="0" w:line="93" w:lineRule="exact"/>
              <w:rPr>
                <w:sz w:val="20"/>
                <w:szCs w:val="20"/>
                <w:color w:val="auto"/>
              </w:rPr>
            </w:pPr>
            <w:r>
              <w:rPr>
                <w:rFonts w:ascii="Times New Roman" w:cs="Times New Roman" w:eastAsia="Times New Roman" w:hAnsi="Times New Roman"/>
                <w:sz w:val="10"/>
                <w:szCs w:val="10"/>
                <w:color w:val="003A70"/>
              </w:rPr>
              <w:t>•</w:t>
            </w:r>
          </w:p>
        </w:tc>
        <w:tc>
          <w:tcPr>
            <w:tcW w:w="0" w:type="dxa"/>
            <w:vAlign w:val="bottom"/>
          </w:tcPr>
          <w:p>
            <w:pPr>
              <w:spacing w:after="0"/>
              <w:rPr>
                <w:sz w:val="1"/>
                <w:szCs w:val="1"/>
                <w:color w:val="auto"/>
              </w:rPr>
            </w:pPr>
          </w:p>
        </w:tc>
      </w:tr>
      <w:tr>
        <w:trPr>
          <w:trHeight w:val="148"/>
        </w:trPr>
        <w:tc>
          <w:tcPr>
            <w:tcW w:w="5320" w:type="dxa"/>
            <w:vAlign w:val="bottom"/>
          </w:tcPr>
          <w:p>
            <w:pPr>
              <w:ind w:left="660"/>
              <w:spacing w:after="0" w:line="148" w:lineRule="exact"/>
              <w:rPr>
                <w:sz w:val="20"/>
                <w:szCs w:val="20"/>
                <w:color w:val="auto"/>
              </w:rPr>
            </w:pPr>
            <w:r>
              <w:rPr>
                <w:rFonts w:ascii="Arial" w:cs="Arial" w:eastAsia="Arial" w:hAnsi="Arial"/>
                <w:sz w:val="14"/>
                <w:szCs w:val="14"/>
                <w:b w:val="1"/>
                <w:bCs w:val="1"/>
                <w:color w:val="003A70"/>
              </w:rPr>
              <w:t xml:space="preserve">Public Company Board Service &amp; Governance </w:t>
            </w:r>
            <w:r>
              <w:rPr>
                <w:rFonts w:ascii="Arial" w:cs="Arial" w:eastAsia="Arial" w:hAnsi="Arial"/>
                <w:sz w:val="14"/>
                <w:szCs w:val="14"/>
                <w:color w:val="000000"/>
              </w:rPr>
              <w:t>experience supports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660"/>
              <w:spacing w:after="0"/>
              <w:rPr>
                <w:sz w:val="20"/>
                <w:szCs w:val="20"/>
                <w:color w:val="auto"/>
              </w:rPr>
            </w:pPr>
            <w:r>
              <w:rPr>
                <w:rFonts w:ascii="Arial" w:cs="Arial" w:eastAsia="Arial" w:hAnsi="Arial"/>
                <w:sz w:val="14"/>
                <w:szCs w:val="14"/>
                <w:color w:val="auto"/>
              </w:rPr>
              <w:t>our goals of accountability, transparency and protection of stockholder</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 xml:space="preserve">Risk Management </w:t>
            </w:r>
            <w:r>
              <w:rPr>
                <w:rFonts w:ascii="Arial" w:cs="Arial" w:eastAsia="Arial" w:hAnsi="Arial"/>
                <w:sz w:val="14"/>
                <w:szCs w:val="14"/>
                <w:color w:val="000000"/>
              </w:rPr>
              <w:t>experience supports oversight of our processes for</w:t>
            </w:r>
          </w:p>
        </w:tc>
        <w:tc>
          <w:tcPr>
            <w:tcW w:w="56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4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62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660"/>
              <w:spacing w:after="0"/>
              <w:rPr>
                <w:sz w:val="20"/>
                <w:szCs w:val="20"/>
                <w:color w:val="auto"/>
              </w:rPr>
            </w:pPr>
            <w:r>
              <w:rPr>
                <w:rFonts w:ascii="Arial" w:cs="Arial" w:eastAsia="Arial" w:hAnsi="Arial"/>
                <w:sz w:val="14"/>
                <w:szCs w:val="14"/>
                <w:color w:val="auto"/>
              </w:rPr>
              <w:t>assessing and managing risk.</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5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 xml:space="preserve">Strategic Planning </w:t>
            </w:r>
            <w:r>
              <w:rPr>
                <w:rFonts w:ascii="Arial" w:cs="Arial" w:eastAsia="Arial" w:hAnsi="Arial"/>
                <w:sz w:val="14"/>
                <w:szCs w:val="14"/>
                <w:color w:val="000000"/>
              </w:rPr>
              <w:t>experience allows the Board to evaluate and</w:t>
            </w:r>
          </w:p>
        </w:tc>
        <w:tc>
          <w:tcPr>
            <w:tcW w:w="56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4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62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46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82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5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660"/>
              <w:spacing w:after="0"/>
              <w:rPr>
                <w:sz w:val="20"/>
                <w:szCs w:val="20"/>
                <w:color w:val="auto"/>
              </w:rPr>
            </w:pPr>
            <w:r>
              <w:rPr>
                <w:rFonts w:ascii="Arial" w:cs="Arial" w:eastAsia="Arial" w:hAnsi="Arial"/>
                <w:sz w:val="14"/>
                <w:szCs w:val="14"/>
                <w:color w:val="auto"/>
              </w:rPr>
              <w:t>challenge our strategic plans.</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5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5320" w:type="dxa"/>
            <w:vAlign w:val="bottom"/>
            <w:vMerge w:val="restart"/>
          </w:tcPr>
          <w:p>
            <w:pPr>
              <w:ind w:left="660"/>
              <w:spacing w:after="0"/>
              <w:rPr>
                <w:sz w:val="20"/>
                <w:szCs w:val="20"/>
                <w:color w:val="auto"/>
              </w:rPr>
            </w:pPr>
            <w:r>
              <w:rPr>
                <w:rFonts w:ascii="Arial" w:cs="Arial" w:eastAsia="Arial" w:hAnsi="Arial"/>
                <w:sz w:val="14"/>
                <w:szCs w:val="14"/>
                <w:b w:val="1"/>
                <w:bCs w:val="1"/>
                <w:color w:val="003A70"/>
              </w:rPr>
              <w:t xml:space="preserve">Global Expertise </w:t>
            </w:r>
            <w:r>
              <w:rPr>
                <w:rFonts w:ascii="Arial" w:cs="Arial" w:eastAsia="Arial" w:hAnsi="Arial"/>
                <w:sz w:val="14"/>
                <w:szCs w:val="14"/>
                <w:color w:val="000000"/>
              </w:rPr>
              <w:t>supports our goal of continuing growth globally.</w:t>
            </w:r>
          </w:p>
        </w:tc>
        <w:tc>
          <w:tcPr>
            <w:tcW w:w="560" w:type="dxa"/>
            <w:vAlign w:val="bottom"/>
          </w:tcPr>
          <w:p>
            <w:pPr>
              <w:jc w:val="center"/>
              <w:spacing w:after="0" w:line="330" w:lineRule="exact"/>
              <w:rPr>
                <w:sz w:val="20"/>
                <w:szCs w:val="20"/>
                <w:color w:val="auto"/>
              </w:rPr>
            </w:pPr>
            <w:r>
              <w:rPr>
                <w:rFonts w:ascii="Times New Roman" w:cs="Times New Roman" w:eastAsia="Times New Roman" w:hAnsi="Times New Roman"/>
                <w:sz w:val="38"/>
                <w:szCs w:val="38"/>
                <w:color w:val="003A70"/>
              </w:rPr>
              <w:t>•</w:t>
            </w:r>
          </w:p>
        </w:tc>
        <w:tc>
          <w:tcPr>
            <w:tcW w:w="740" w:type="dxa"/>
            <w:vAlign w:val="bottom"/>
          </w:tcPr>
          <w:p>
            <w:pPr>
              <w:jc w:val="center"/>
              <w:spacing w:after="0" w:line="330" w:lineRule="exact"/>
              <w:rPr>
                <w:sz w:val="20"/>
                <w:szCs w:val="20"/>
                <w:color w:val="auto"/>
              </w:rPr>
            </w:pPr>
            <w:r>
              <w:rPr>
                <w:rFonts w:ascii="Times New Roman" w:cs="Times New Roman" w:eastAsia="Times New Roman" w:hAnsi="Times New Roman"/>
                <w:sz w:val="38"/>
                <w:szCs w:val="38"/>
                <w:color w:val="003A70"/>
              </w:rPr>
              <w:t>•</w:t>
            </w:r>
          </w:p>
        </w:tc>
        <w:tc>
          <w:tcPr>
            <w:tcW w:w="620" w:type="dxa"/>
            <w:vAlign w:val="bottom"/>
          </w:tcPr>
          <w:p>
            <w:pPr>
              <w:jc w:val="center"/>
              <w:spacing w:after="0" w:line="330" w:lineRule="exact"/>
              <w:rPr>
                <w:sz w:val="20"/>
                <w:szCs w:val="20"/>
                <w:color w:val="auto"/>
              </w:rPr>
            </w:pPr>
            <w:r>
              <w:rPr>
                <w:rFonts w:ascii="Times New Roman" w:cs="Times New Roman" w:eastAsia="Times New Roman" w:hAnsi="Times New Roman"/>
                <w:sz w:val="38"/>
                <w:szCs w:val="38"/>
                <w:color w:val="003A70"/>
              </w:rPr>
              <w:t>•</w:t>
            </w:r>
          </w:p>
        </w:tc>
        <w:tc>
          <w:tcPr>
            <w:tcW w:w="460" w:type="dxa"/>
            <w:vAlign w:val="bottom"/>
          </w:tcPr>
          <w:p>
            <w:pPr>
              <w:jc w:val="center"/>
              <w:spacing w:after="0" w:line="330" w:lineRule="exact"/>
              <w:rPr>
                <w:sz w:val="20"/>
                <w:szCs w:val="20"/>
                <w:color w:val="auto"/>
              </w:rPr>
            </w:pPr>
            <w:r>
              <w:rPr>
                <w:rFonts w:ascii="Times New Roman" w:cs="Times New Roman" w:eastAsia="Times New Roman" w:hAnsi="Times New Roman"/>
                <w:sz w:val="38"/>
                <w:szCs w:val="38"/>
                <w:color w:val="003A70"/>
              </w:rPr>
              <w:t>•</w:t>
            </w:r>
          </w:p>
        </w:tc>
        <w:tc>
          <w:tcPr>
            <w:tcW w:w="700" w:type="dxa"/>
            <w:vAlign w:val="bottom"/>
          </w:tcPr>
          <w:p>
            <w:pPr>
              <w:jc w:val="center"/>
              <w:spacing w:after="0" w:line="330" w:lineRule="exact"/>
              <w:rPr>
                <w:sz w:val="20"/>
                <w:szCs w:val="20"/>
                <w:color w:val="auto"/>
              </w:rPr>
            </w:pPr>
            <w:r>
              <w:rPr>
                <w:rFonts w:ascii="Times New Roman" w:cs="Times New Roman" w:eastAsia="Times New Roman" w:hAnsi="Times New Roman"/>
                <w:sz w:val="38"/>
                <w:szCs w:val="38"/>
                <w:color w:val="003A70"/>
              </w:rPr>
              <w:t>•</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53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5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 xml:space="preserve">Vacation Ownership &amp; Lodging Industry </w:t>
            </w:r>
            <w:r>
              <w:rPr>
                <w:rFonts w:ascii="Arial" w:cs="Arial" w:eastAsia="Arial" w:hAnsi="Arial"/>
                <w:sz w:val="14"/>
                <w:szCs w:val="14"/>
                <w:color w:val="000000"/>
              </w:rPr>
              <w:t>experience is important in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620" w:type="dxa"/>
            <w:vAlign w:val="bottom"/>
          </w:tcPr>
          <w:p>
            <w:pPr>
              <w:spacing w:after="0"/>
              <w:rPr>
                <w:sz w:val="16"/>
                <w:szCs w:val="16"/>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50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0" w:type="dxa"/>
            <w:vAlign w:val="bottom"/>
          </w:tcPr>
          <w:p>
            <w:pPr>
              <w:spacing w:after="0"/>
              <w:rPr>
                <w:sz w:val="1"/>
                <w:szCs w:val="1"/>
                <w:color w:val="auto"/>
              </w:rPr>
            </w:pPr>
          </w:p>
        </w:tc>
      </w:tr>
      <w:tr>
        <w:trPr>
          <w:trHeight w:val="162"/>
        </w:trPr>
        <w:tc>
          <w:tcPr>
            <w:tcW w:w="5320" w:type="dxa"/>
            <w:vAlign w:val="bottom"/>
          </w:tcPr>
          <w:p>
            <w:pPr>
              <w:ind w:left="660"/>
              <w:spacing w:after="0"/>
              <w:rPr>
                <w:sz w:val="20"/>
                <w:szCs w:val="20"/>
                <w:color w:val="auto"/>
              </w:rPr>
            </w:pPr>
            <w:r>
              <w:rPr>
                <w:rFonts w:ascii="Arial" w:cs="Arial" w:eastAsia="Arial" w:hAnsi="Arial"/>
                <w:sz w:val="14"/>
                <w:szCs w:val="14"/>
                <w:color w:val="auto"/>
              </w:rPr>
              <w:t>overseeing the development and implementation of our business</w:t>
            </w:r>
          </w:p>
        </w:tc>
        <w:tc>
          <w:tcPr>
            <w:tcW w:w="5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3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strategy and operating plan.</w:t>
            </w:r>
          </w:p>
        </w:tc>
        <w:tc>
          <w:tcPr>
            <w:tcW w:w="56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 xml:space="preserve">Legal, Regulatory &amp; Government Relations </w:t>
            </w:r>
            <w:r>
              <w:rPr>
                <w:rFonts w:ascii="Arial" w:cs="Arial" w:eastAsia="Arial" w:hAnsi="Arial"/>
                <w:sz w:val="14"/>
                <w:szCs w:val="14"/>
                <w:color w:val="000000"/>
              </w:rPr>
              <w:t>experience is relevant</w:t>
            </w:r>
          </w:p>
        </w:tc>
        <w:tc>
          <w:tcPr>
            <w:tcW w:w="56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4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620" w:type="dxa"/>
            <w:vAlign w:val="bottom"/>
          </w:tcPr>
          <w:p>
            <w:pPr>
              <w:spacing w:after="0"/>
              <w:rPr>
                <w:sz w:val="23"/>
                <w:szCs w:val="23"/>
                <w:color w:val="auto"/>
              </w:rPr>
            </w:pPr>
          </w:p>
        </w:tc>
        <w:tc>
          <w:tcPr>
            <w:tcW w:w="46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660"/>
              <w:spacing w:after="0"/>
              <w:rPr>
                <w:sz w:val="20"/>
                <w:szCs w:val="20"/>
                <w:color w:val="auto"/>
              </w:rPr>
            </w:pPr>
            <w:r>
              <w:rPr>
                <w:rFonts w:ascii="Arial" w:cs="Arial" w:eastAsia="Arial" w:hAnsi="Arial"/>
                <w:sz w:val="14"/>
                <w:szCs w:val="14"/>
                <w:color w:val="auto"/>
              </w:rPr>
              <w:t>because we operate in a heavily regulated industry.</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5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 xml:space="preserve">Compliance </w:t>
            </w:r>
            <w:r>
              <w:rPr>
                <w:rFonts w:ascii="Arial" w:cs="Arial" w:eastAsia="Arial" w:hAnsi="Arial"/>
                <w:sz w:val="14"/>
                <w:szCs w:val="14"/>
                <w:color w:val="000000"/>
              </w:rPr>
              <w:t>experience helps set the tone at the top to encourage our</w:t>
            </w:r>
          </w:p>
        </w:tc>
        <w:tc>
          <w:tcPr>
            <w:tcW w:w="560" w:type="dxa"/>
            <w:vAlign w:val="bottom"/>
          </w:tcPr>
          <w:p>
            <w:pPr>
              <w:spacing w:after="0"/>
              <w:rPr>
                <w:sz w:val="23"/>
                <w:szCs w:val="23"/>
                <w:color w:val="auto"/>
              </w:rPr>
            </w:pPr>
          </w:p>
        </w:tc>
        <w:tc>
          <w:tcPr>
            <w:tcW w:w="74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620" w:type="dxa"/>
            <w:vAlign w:val="bottom"/>
          </w:tcPr>
          <w:p>
            <w:pPr>
              <w:spacing w:after="0"/>
              <w:rPr>
                <w:sz w:val="23"/>
                <w:szCs w:val="23"/>
                <w:color w:val="auto"/>
              </w:rPr>
            </w:pPr>
          </w:p>
        </w:tc>
        <w:tc>
          <w:tcPr>
            <w:tcW w:w="46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660"/>
              <w:spacing w:after="0"/>
              <w:rPr>
                <w:sz w:val="20"/>
                <w:szCs w:val="20"/>
                <w:color w:val="auto"/>
              </w:rPr>
            </w:pPr>
            <w:r>
              <w:rPr>
                <w:rFonts w:ascii="Arial" w:cs="Arial" w:eastAsia="Arial" w:hAnsi="Arial"/>
                <w:sz w:val="14"/>
                <w:szCs w:val="14"/>
                <w:color w:val="auto"/>
              </w:rPr>
              <w:t>employees to act ethically and legally.</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5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 xml:space="preserve">Sales &amp; Marketing/Consumer Insights </w:t>
            </w:r>
            <w:r>
              <w:rPr>
                <w:rFonts w:ascii="Arial" w:cs="Arial" w:eastAsia="Arial" w:hAnsi="Arial"/>
                <w:sz w:val="14"/>
                <w:szCs w:val="14"/>
                <w:color w:val="000000"/>
              </w:rPr>
              <w:t>experience is important in</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82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660"/>
              <w:spacing w:after="0"/>
              <w:rPr>
                <w:sz w:val="20"/>
                <w:szCs w:val="20"/>
                <w:color w:val="auto"/>
              </w:rPr>
            </w:pPr>
            <w:r>
              <w:rPr>
                <w:rFonts w:ascii="Arial" w:cs="Arial" w:eastAsia="Arial" w:hAnsi="Arial"/>
                <w:sz w:val="14"/>
                <w:szCs w:val="14"/>
                <w:color w:val="auto"/>
              </w:rPr>
              <w:t>understanding the consumer-driven aspects of our business in order to</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3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deliver outstanding products and services.</w:t>
            </w: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 xml:space="preserve">Real Estate &amp; Business Development </w:t>
            </w:r>
            <w:r>
              <w:rPr>
                <w:rFonts w:ascii="Arial" w:cs="Arial" w:eastAsia="Arial" w:hAnsi="Arial"/>
                <w:sz w:val="14"/>
                <w:szCs w:val="14"/>
                <w:color w:val="000000"/>
              </w:rPr>
              <w:t>experience aids in</w:t>
            </w:r>
          </w:p>
        </w:tc>
        <w:tc>
          <w:tcPr>
            <w:tcW w:w="56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6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82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500" w:type="dxa"/>
            <w:vAlign w:val="bottom"/>
          </w:tcPr>
          <w:p>
            <w:pPr>
              <w:spacing w:after="0"/>
              <w:rPr>
                <w:sz w:val="23"/>
                <w:szCs w:val="23"/>
                <w:color w:val="auto"/>
              </w:rPr>
            </w:pP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6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0" w:type="dxa"/>
            <w:vAlign w:val="bottom"/>
          </w:tcPr>
          <w:p>
            <w:pPr>
              <w:spacing w:after="0"/>
              <w:rPr>
                <w:sz w:val="1"/>
                <w:szCs w:val="1"/>
                <w:color w:val="auto"/>
              </w:rPr>
            </w:pPr>
          </w:p>
        </w:tc>
      </w:tr>
      <w:tr>
        <w:trPr>
          <w:trHeight w:val="190"/>
        </w:trPr>
        <w:tc>
          <w:tcPr>
            <w:tcW w:w="5320" w:type="dxa"/>
            <w:vAlign w:val="bottom"/>
          </w:tcPr>
          <w:p>
            <w:pPr>
              <w:ind w:left="660"/>
              <w:spacing w:after="0"/>
              <w:rPr>
                <w:sz w:val="20"/>
                <w:szCs w:val="20"/>
                <w:color w:val="auto"/>
              </w:rPr>
            </w:pPr>
            <w:r>
              <w:rPr>
                <w:rFonts w:ascii="Arial" w:cs="Arial" w:eastAsia="Arial" w:hAnsi="Arial"/>
                <w:sz w:val="14"/>
                <w:szCs w:val="14"/>
                <w:color w:val="auto"/>
              </w:rPr>
              <w:t>understanding and reviewing our business and strategy.</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5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Human Capital, Professional Development &amp; Organizational</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620" w:type="dxa"/>
            <w:vAlign w:val="bottom"/>
          </w:tcPr>
          <w:p>
            <w:pPr>
              <w:spacing w:after="0"/>
              <w:rPr>
                <w:sz w:val="16"/>
                <w:szCs w:val="16"/>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50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 xml:space="preserve">Culture </w:t>
            </w:r>
            <w:r>
              <w:rPr>
                <w:rFonts w:ascii="Arial" w:cs="Arial" w:eastAsia="Arial" w:hAnsi="Arial"/>
                <w:sz w:val="14"/>
                <w:szCs w:val="14"/>
                <w:color w:val="000000"/>
              </w:rPr>
              <w:t>experience helps us attract, motivate and retain top candidates</w:t>
            </w:r>
          </w:p>
        </w:tc>
        <w:tc>
          <w:tcPr>
            <w:tcW w:w="5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3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for positions throughout our global workforce.</w:t>
            </w:r>
          </w:p>
        </w:tc>
        <w:tc>
          <w:tcPr>
            <w:tcW w:w="56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 xml:space="preserve">Technology &amp; Cybersecurity </w:t>
            </w:r>
            <w:r>
              <w:rPr>
                <w:rFonts w:ascii="Arial" w:cs="Arial" w:eastAsia="Arial" w:hAnsi="Arial"/>
                <w:sz w:val="14"/>
                <w:szCs w:val="14"/>
                <w:color w:val="000000"/>
              </w:rPr>
              <w:t>experience is relevant as we look for</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46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82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50"/>
                <w:szCs w:val="50"/>
                <w:color w:val="003A70"/>
              </w:rPr>
              <w:t>•</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660"/>
              <w:spacing w:after="0"/>
              <w:rPr>
                <w:sz w:val="20"/>
                <w:szCs w:val="20"/>
                <w:color w:val="auto"/>
              </w:rPr>
            </w:pPr>
            <w:r>
              <w:rPr>
                <w:rFonts w:ascii="Arial" w:cs="Arial" w:eastAsia="Arial" w:hAnsi="Arial"/>
                <w:sz w:val="14"/>
                <w:szCs w:val="14"/>
                <w:color w:val="auto"/>
              </w:rPr>
              <w:t>ways to assess and address the risks associated with our technology</w:t>
            </w:r>
          </w:p>
        </w:tc>
        <w:tc>
          <w:tcPr>
            <w:tcW w:w="5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3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and cyber activities.</w:t>
            </w:r>
          </w:p>
        </w:tc>
        <w:tc>
          <w:tcPr>
            <w:tcW w:w="56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5320" w:type="dxa"/>
            <w:vAlign w:val="bottom"/>
          </w:tcPr>
          <w:p>
            <w:pPr>
              <w:ind w:left="660"/>
              <w:spacing w:after="0"/>
              <w:rPr>
                <w:sz w:val="20"/>
                <w:szCs w:val="20"/>
                <w:color w:val="auto"/>
              </w:rPr>
            </w:pPr>
            <w:r>
              <w:rPr>
                <w:rFonts w:ascii="Arial" w:cs="Arial" w:eastAsia="Arial" w:hAnsi="Arial"/>
                <w:sz w:val="14"/>
                <w:szCs w:val="14"/>
                <w:b w:val="1"/>
                <w:bCs w:val="1"/>
                <w:color w:val="003A70"/>
              </w:rPr>
              <w:t xml:space="preserve">Digital &amp; Social Media </w:t>
            </w:r>
            <w:r>
              <w:rPr>
                <w:rFonts w:ascii="Arial" w:cs="Arial" w:eastAsia="Arial" w:hAnsi="Arial"/>
                <w:sz w:val="14"/>
                <w:szCs w:val="14"/>
                <w:color w:val="000000"/>
              </w:rPr>
              <w:t>experience is relevant as we look for ways to</w:t>
            </w: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820" w:type="dxa"/>
            <w:vAlign w:val="bottom"/>
          </w:tcPr>
          <w:p>
            <w:pPr>
              <w:spacing w:after="0"/>
              <w:rPr>
                <w:sz w:val="23"/>
                <w:szCs w:val="23"/>
                <w:color w:val="auto"/>
              </w:rPr>
            </w:pPr>
          </w:p>
        </w:tc>
        <w:tc>
          <w:tcPr>
            <w:tcW w:w="50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003A70"/>
              </w:rPr>
              <w:t>•</w:t>
            </w: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320" w:type="dxa"/>
            <w:vAlign w:val="bottom"/>
          </w:tcPr>
          <w:p>
            <w:pPr>
              <w:ind w:left="660"/>
              <w:spacing w:after="0"/>
              <w:rPr>
                <w:sz w:val="20"/>
                <w:szCs w:val="20"/>
                <w:color w:val="auto"/>
              </w:rPr>
            </w:pPr>
            <w:r>
              <w:rPr>
                <w:rFonts w:ascii="Arial" w:cs="Arial" w:eastAsia="Arial" w:hAnsi="Arial"/>
                <w:sz w:val="14"/>
                <w:szCs w:val="14"/>
                <w:color w:val="auto"/>
              </w:rPr>
              <w:t>enhance the customer experience and internal operations.</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5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320" w:type="dxa"/>
            <w:vAlign w:val="bottom"/>
          </w:tcPr>
          <w:p>
            <w:pPr>
              <w:ind w:left="660"/>
              <w:spacing w:after="0"/>
              <w:rPr>
                <w:sz w:val="20"/>
                <w:szCs w:val="20"/>
                <w:color w:val="auto"/>
              </w:rPr>
            </w:pPr>
            <w:r>
              <w:rPr>
                <w:rFonts w:ascii="Arial" w:cs="Arial" w:eastAsia="Arial" w:hAnsi="Arial"/>
                <w:sz w:val="14"/>
                <w:szCs w:val="14"/>
                <w:color w:val="003A70"/>
              </w:rPr>
              <w:t>Total</w:t>
            </w:r>
          </w:p>
        </w:tc>
        <w:tc>
          <w:tcPr>
            <w:tcW w:w="560" w:type="dxa"/>
            <w:vAlign w:val="bottom"/>
          </w:tcPr>
          <w:p>
            <w:pPr>
              <w:jc w:val="center"/>
              <w:spacing w:after="0"/>
              <w:rPr>
                <w:sz w:val="20"/>
                <w:szCs w:val="20"/>
                <w:color w:val="auto"/>
              </w:rPr>
            </w:pPr>
            <w:r>
              <w:rPr>
                <w:rFonts w:ascii="Arial" w:cs="Arial" w:eastAsia="Arial" w:hAnsi="Arial"/>
                <w:sz w:val="16"/>
                <w:szCs w:val="16"/>
                <w:color w:val="003A70"/>
              </w:rPr>
              <w:t>14</w:t>
            </w:r>
          </w:p>
        </w:tc>
        <w:tc>
          <w:tcPr>
            <w:tcW w:w="740" w:type="dxa"/>
            <w:vAlign w:val="bottom"/>
          </w:tcPr>
          <w:p>
            <w:pPr>
              <w:jc w:val="center"/>
              <w:spacing w:after="0"/>
              <w:rPr>
                <w:sz w:val="20"/>
                <w:szCs w:val="20"/>
                <w:color w:val="auto"/>
              </w:rPr>
            </w:pPr>
            <w:r>
              <w:rPr>
                <w:rFonts w:ascii="Arial" w:cs="Arial" w:eastAsia="Arial" w:hAnsi="Arial"/>
                <w:sz w:val="16"/>
                <w:szCs w:val="16"/>
                <w:color w:val="003A70"/>
              </w:rPr>
              <w:t>14</w:t>
            </w:r>
          </w:p>
        </w:tc>
        <w:tc>
          <w:tcPr>
            <w:tcW w:w="620" w:type="dxa"/>
            <w:vAlign w:val="bottom"/>
          </w:tcPr>
          <w:p>
            <w:pPr>
              <w:jc w:val="center"/>
              <w:spacing w:after="0"/>
              <w:rPr>
                <w:sz w:val="20"/>
                <w:szCs w:val="20"/>
                <w:color w:val="auto"/>
              </w:rPr>
            </w:pPr>
            <w:r>
              <w:rPr>
                <w:rFonts w:ascii="Arial" w:cs="Arial" w:eastAsia="Arial" w:hAnsi="Arial"/>
                <w:sz w:val="16"/>
                <w:szCs w:val="16"/>
                <w:color w:val="003A70"/>
              </w:rPr>
              <w:t>11</w:t>
            </w:r>
          </w:p>
        </w:tc>
        <w:tc>
          <w:tcPr>
            <w:tcW w:w="460" w:type="dxa"/>
            <w:vAlign w:val="bottom"/>
          </w:tcPr>
          <w:p>
            <w:pPr>
              <w:jc w:val="center"/>
              <w:spacing w:after="0"/>
              <w:rPr>
                <w:sz w:val="20"/>
                <w:szCs w:val="20"/>
                <w:color w:val="auto"/>
              </w:rPr>
            </w:pPr>
            <w:r>
              <w:rPr>
                <w:rFonts w:ascii="Arial" w:cs="Arial" w:eastAsia="Arial" w:hAnsi="Arial"/>
                <w:sz w:val="16"/>
                <w:szCs w:val="16"/>
                <w:color w:val="003A70"/>
              </w:rPr>
              <w:t>13</w:t>
            </w:r>
          </w:p>
        </w:tc>
        <w:tc>
          <w:tcPr>
            <w:tcW w:w="700" w:type="dxa"/>
            <w:vAlign w:val="bottom"/>
          </w:tcPr>
          <w:p>
            <w:pPr>
              <w:jc w:val="center"/>
              <w:spacing w:after="0"/>
              <w:rPr>
                <w:sz w:val="20"/>
                <w:szCs w:val="20"/>
                <w:color w:val="auto"/>
              </w:rPr>
            </w:pPr>
            <w:r>
              <w:rPr>
                <w:rFonts w:ascii="Arial" w:cs="Arial" w:eastAsia="Arial" w:hAnsi="Arial"/>
                <w:sz w:val="16"/>
                <w:szCs w:val="16"/>
                <w:color w:val="003A70"/>
              </w:rPr>
              <w:t>12</w:t>
            </w:r>
          </w:p>
        </w:tc>
        <w:tc>
          <w:tcPr>
            <w:tcW w:w="820" w:type="dxa"/>
            <w:vAlign w:val="bottom"/>
          </w:tcPr>
          <w:p>
            <w:pPr>
              <w:jc w:val="center"/>
              <w:spacing w:after="0"/>
              <w:rPr>
                <w:sz w:val="20"/>
                <w:szCs w:val="20"/>
                <w:color w:val="auto"/>
              </w:rPr>
            </w:pPr>
            <w:r>
              <w:rPr>
                <w:rFonts w:ascii="Arial" w:cs="Arial" w:eastAsia="Arial" w:hAnsi="Arial"/>
                <w:sz w:val="16"/>
                <w:szCs w:val="16"/>
                <w:color w:val="003A70"/>
                <w:w w:val="89"/>
              </w:rPr>
              <w:t>9</w:t>
            </w:r>
          </w:p>
        </w:tc>
        <w:tc>
          <w:tcPr>
            <w:tcW w:w="500" w:type="dxa"/>
            <w:vAlign w:val="bottom"/>
          </w:tcPr>
          <w:p>
            <w:pPr>
              <w:jc w:val="center"/>
              <w:spacing w:after="0"/>
              <w:rPr>
                <w:sz w:val="20"/>
                <w:szCs w:val="20"/>
                <w:color w:val="auto"/>
              </w:rPr>
            </w:pPr>
            <w:r>
              <w:rPr>
                <w:rFonts w:ascii="Arial" w:cs="Arial" w:eastAsia="Arial" w:hAnsi="Arial"/>
                <w:sz w:val="16"/>
                <w:szCs w:val="16"/>
                <w:color w:val="003A70"/>
              </w:rPr>
              <w:t>12</w:t>
            </w:r>
          </w:p>
        </w:tc>
        <w:tc>
          <w:tcPr>
            <w:tcW w:w="700" w:type="dxa"/>
            <w:vAlign w:val="bottom"/>
          </w:tcPr>
          <w:p>
            <w:pPr>
              <w:jc w:val="center"/>
              <w:spacing w:after="0"/>
              <w:rPr>
                <w:sz w:val="20"/>
                <w:szCs w:val="20"/>
                <w:color w:val="auto"/>
              </w:rPr>
            </w:pPr>
            <w:r>
              <w:rPr>
                <w:rFonts w:ascii="Arial" w:cs="Arial" w:eastAsia="Arial" w:hAnsi="Arial"/>
                <w:sz w:val="16"/>
                <w:szCs w:val="16"/>
                <w:color w:val="003A70"/>
              </w:rPr>
              <w:t>11</w:t>
            </w:r>
          </w:p>
        </w:tc>
        <w:tc>
          <w:tcPr>
            <w:tcW w:w="600" w:type="dxa"/>
            <w:vAlign w:val="bottom"/>
          </w:tcPr>
          <w:p>
            <w:pPr>
              <w:jc w:val="center"/>
              <w:spacing w:after="0"/>
              <w:rPr>
                <w:sz w:val="20"/>
                <w:szCs w:val="20"/>
                <w:color w:val="auto"/>
              </w:rPr>
            </w:pPr>
            <w:r>
              <w:rPr>
                <w:rFonts w:ascii="Arial" w:cs="Arial" w:eastAsia="Arial" w:hAnsi="Arial"/>
                <w:sz w:val="16"/>
                <w:szCs w:val="16"/>
                <w:color w:val="003A70"/>
                <w:w w:val="89"/>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-6942455</wp:posOffset>
            </wp:positionV>
            <wp:extent cx="146050"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6050" cy="20574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-6522085</wp:posOffset>
            </wp:positionV>
            <wp:extent cx="248285"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8285" cy="20574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-6144895</wp:posOffset>
            </wp:positionV>
            <wp:extent cx="213995"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3995" cy="20574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-5767705</wp:posOffset>
            </wp:positionV>
            <wp:extent cx="248285" cy="2057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8285" cy="20574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-5390515</wp:posOffset>
            </wp:positionV>
            <wp:extent cx="196850"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-4970780</wp:posOffset>
            </wp:positionV>
            <wp:extent cx="213995" cy="205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3995" cy="20574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-4593590</wp:posOffset>
            </wp:positionV>
            <wp:extent cx="231140" cy="205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31140" cy="20574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-4173220</wp:posOffset>
            </wp:positionV>
            <wp:extent cx="213995"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3995" cy="20574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-3796030</wp:posOffset>
            </wp:positionV>
            <wp:extent cx="213995" cy="205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3995" cy="20574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-3418840</wp:posOffset>
            </wp:positionV>
            <wp:extent cx="213995" cy="205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3995" cy="20574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-3041650</wp:posOffset>
            </wp:positionV>
            <wp:extent cx="196850"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-2664460</wp:posOffset>
            </wp:positionV>
            <wp:extent cx="196850" cy="205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-2287270</wp:posOffset>
            </wp:positionV>
            <wp:extent cx="282575"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2575" cy="20574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-1910080</wp:posOffset>
            </wp:positionV>
            <wp:extent cx="213995"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3995" cy="20574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-1541780</wp:posOffset>
            </wp:positionV>
            <wp:extent cx="213995"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3995" cy="20574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-1155700</wp:posOffset>
            </wp:positionV>
            <wp:extent cx="213995" cy="205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3995" cy="20574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-847090</wp:posOffset>
            </wp:positionV>
            <wp:extent cx="205740"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-427355</wp:posOffset>
            </wp:positionV>
            <wp:extent cx="231140" cy="2146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77" w:lineRule="exact"/>
        <w:rPr>
          <w:sz w:val="20"/>
          <w:szCs w:val="20"/>
          <w:color w:val="auto"/>
        </w:rPr>
      </w:pPr>
    </w:p>
    <w:p>
      <w:pPr>
        <w:ind w:left="120"/>
        <w:spacing w:after="0"/>
        <w:tabs>
          <w:tab w:leader="none" w:pos="436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Report on the Board of Directors and its Committees</w:t>
      </w:r>
      <w:r>
        <w:rPr>
          <w:sz w:val="20"/>
          <w:szCs w:val="20"/>
          <w:color w:val="auto"/>
        </w:rPr>
        <w:tab/>
      </w:r>
      <w:r>
        <w:rPr>
          <w:rFonts w:ascii="Arial" w:cs="Arial" w:eastAsia="Arial" w:hAnsi="Arial"/>
          <w:sz w:val="10"/>
          <w:szCs w:val="10"/>
          <w:b w:val="1"/>
          <w:bCs w:val="1"/>
          <w:color w:val="003A7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880" w:type="dxa"/>
            <w:vAlign w:val="bottom"/>
            <w:tcBorders>
              <w:bottom w:val="single" w:sz="8" w:color="003A70"/>
            </w:tcBorders>
            <w:gridSpan w:val="2"/>
          </w:tcPr>
          <w:p>
            <w:pPr>
              <w:spacing w:after="0"/>
              <w:rPr>
                <w:sz w:val="20"/>
                <w:szCs w:val="20"/>
                <w:color w:val="auto"/>
              </w:rPr>
            </w:pPr>
            <w:r>
              <w:rPr>
                <w:rFonts w:ascii="Arial" w:cs="Arial" w:eastAsia="Arial" w:hAnsi="Arial"/>
                <w:sz w:val="14"/>
                <w:szCs w:val="14"/>
                <w:b w:val="1"/>
                <w:bCs w:val="1"/>
                <w:color w:val="003A70"/>
              </w:rPr>
              <w:t xml:space="preserve">    </w:t>
            </w:r>
          </w:p>
        </w:tc>
        <w:tc>
          <w:tcPr>
            <w:tcW w:w="1980" w:type="dxa"/>
            <w:vAlign w:val="bottom"/>
            <w:tcBorders>
              <w:bottom w:val="single" w:sz="8" w:color="003A70"/>
            </w:tcBorders>
          </w:tcPr>
          <w:p>
            <w:pPr>
              <w:jc w:val="center"/>
              <w:ind w:left="1388"/>
              <w:spacing w:after="0"/>
              <w:rPr>
                <w:sz w:val="20"/>
                <w:szCs w:val="20"/>
                <w:color w:val="auto"/>
              </w:rPr>
            </w:pPr>
            <w:r>
              <w:rPr>
                <w:rFonts w:ascii="Arial" w:cs="Arial" w:eastAsia="Arial" w:hAnsi="Arial"/>
                <w:sz w:val="14"/>
                <w:szCs w:val="14"/>
                <w:color w:val="003A70"/>
              </w:rPr>
              <w:t>Shaw</w:t>
            </w:r>
          </w:p>
        </w:tc>
        <w:tc>
          <w:tcPr>
            <w:tcW w:w="7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Andrews</w:t>
            </w:r>
          </w:p>
        </w:tc>
        <w:tc>
          <w:tcPr>
            <w:tcW w:w="6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Asmar</w:t>
            </w:r>
          </w:p>
        </w:tc>
        <w:tc>
          <w:tcPr>
            <w:tcW w:w="4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Avril</w:t>
            </w:r>
          </w:p>
        </w:tc>
        <w:tc>
          <w:tcPr>
            <w:tcW w:w="7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Dausch</w:t>
            </w:r>
          </w:p>
        </w:tc>
        <w:tc>
          <w:tcPr>
            <w:tcW w:w="8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Galbreath</w:t>
            </w:r>
          </w:p>
        </w:tc>
        <w:tc>
          <w:tcPr>
            <w:tcW w:w="5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w w:val="98"/>
              </w:rPr>
              <w:t>Gray</w:t>
            </w:r>
          </w:p>
        </w:tc>
        <w:tc>
          <w:tcPr>
            <w:tcW w:w="7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Morgan</w:t>
            </w:r>
          </w:p>
        </w:tc>
        <w:tc>
          <w:tcPr>
            <w:tcW w:w="600" w:type="dxa"/>
            <w:vAlign w:val="bottom"/>
            <w:tcBorders>
              <w:bottom w:val="single" w:sz="8" w:color="003A70"/>
            </w:tcBorders>
          </w:tcPr>
          <w:p>
            <w:pPr>
              <w:jc w:val="center"/>
              <w:ind w:left="28"/>
              <w:spacing w:after="0"/>
              <w:rPr>
                <w:sz w:val="20"/>
                <w:szCs w:val="20"/>
                <w:color w:val="auto"/>
              </w:rPr>
            </w:pPr>
            <w:r>
              <w:rPr>
                <w:rFonts w:ascii="Arial" w:cs="Arial" w:eastAsia="Arial" w:hAnsi="Arial"/>
                <w:sz w:val="14"/>
                <w:szCs w:val="14"/>
                <w:color w:val="003A70"/>
              </w:rPr>
              <w:t>Quazzo</w:t>
            </w:r>
          </w:p>
        </w:tc>
      </w:tr>
      <w:tr>
        <w:trPr>
          <w:trHeight w:val="175"/>
        </w:trPr>
        <w:tc>
          <w:tcPr>
            <w:tcW w:w="3880" w:type="dxa"/>
            <w:vAlign w:val="bottom"/>
            <w:gridSpan w:val="2"/>
          </w:tcPr>
          <w:p>
            <w:pPr>
              <w:spacing w:after="0" w:line="175" w:lineRule="exact"/>
              <w:rPr>
                <w:sz w:val="20"/>
                <w:szCs w:val="20"/>
                <w:color w:val="auto"/>
              </w:rPr>
            </w:pPr>
            <w:r>
              <w:rPr>
                <w:rFonts w:ascii="Arial" w:cs="Arial" w:eastAsia="Arial" w:hAnsi="Arial"/>
                <w:sz w:val="16"/>
                <w:szCs w:val="16"/>
                <w:b w:val="1"/>
                <w:bCs w:val="1"/>
                <w:color w:val="003A70"/>
              </w:rPr>
              <w:t>Demographics</w:t>
            </w:r>
          </w:p>
        </w:tc>
        <w:tc>
          <w:tcPr>
            <w:tcW w:w="1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03"/>
        </w:trPr>
        <w:tc>
          <w:tcPr>
            <w:tcW w:w="300" w:type="dxa"/>
            <w:vAlign w:val="bottom"/>
          </w:tcPr>
          <w:p>
            <w:pPr>
              <w:spacing w:after="0"/>
              <w:rPr>
                <w:sz w:val="17"/>
                <w:szCs w:val="17"/>
                <w:color w:val="auto"/>
              </w:rPr>
            </w:pPr>
          </w:p>
        </w:tc>
        <w:tc>
          <w:tcPr>
            <w:tcW w:w="35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003A70"/>
              </w:rPr>
              <w:t>Race/Ethnicity</w:t>
            </w:r>
          </w:p>
        </w:tc>
        <w:tc>
          <w:tcPr>
            <w:tcW w:w="19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83"/>
        </w:trPr>
        <w:tc>
          <w:tcPr>
            <w:tcW w:w="300" w:type="dxa"/>
            <w:vAlign w:val="bottom"/>
          </w:tcPr>
          <w:p>
            <w:pPr>
              <w:spacing w:after="0"/>
              <w:rPr>
                <w:sz w:val="15"/>
                <w:szCs w:val="15"/>
                <w:color w:val="auto"/>
              </w:rPr>
            </w:pPr>
          </w:p>
        </w:tc>
        <w:tc>
          <w:tcPr>
            <w:tcW w:w="35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White</w:t>
            </w:r>
          </w:p>
        </w:tc>
        <w:tc>
          <w:tcPr>
            <w:tcW w:w="19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83"/>
        </w:trPr>
        <w:tc>
          <w:tcPr>
            <w:tcW w:w="300" w:type="dxa"/>
            <w:vAlign w:val="bottom"/>
          </w:tcPr>
          <w:p>
            <w:pPr>
              <w:spacing w:after="0"/>
              <w:rPr>
                <w:sz w:val="15"/>
                <w:szCs w:val="15"/>
                <w:color w:val="auto"/>
              </w:rPr>
            </w:pPr>
          </w:p>
        </w:tc>
        <w:tc>
          <w:tcPr>
            <w:tcW w:w="35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Hispanic or Latin American</w:t>
            </w:r>
          </w:p>
        </w:tc>
        <w:tc>
          <w:tcPr>
            <w:tcW w:w="19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83"/>
        </w:trPr>
        <w:tc>
          <w:tcPr>
            <w:tcW w:w="300" w:type="dxa"/>
            <w:vAlign w:val="bottom"/>
          </w:tcPr>
          <w:p>
            <w:pPr>
              <w:spacing w:after="0"/>
              <w:rPr>
                <w:sz w:val="15"/>
                <w:szCs w:val="15"/>
                <w:color w:val="auto"/>
              </w:rPr>
            </w:pPr>
          </w:p>
        </w:tc>
        <w:tc>
          <w:tcPr>
            <w:tcW w:w="35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Black or African American</w:t>
            </w:r>
          </w:p>
        </w:tc>
        <w:tc>
          <w:tcPr>
            <w:tcW w:w="19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83"/>
        </w:trPr>
        <w:tc>
          <w:tcPr>
            <w:tcW w:w="300" w:type="dxa"/>
            <w:vAlign w:val="bottom"/>
          </w:tcPr>
          <w:p>
            <w:pPr>
              <w:spacing w:after="0"/>
              <w:rPr>
                <w:sz w:val="15"/>
                <w:szCs w:val="15"/>
                <w:color w:val="auto"/>
              </w:rPr>
            </w:pPr>
          </w:p>
        </w:tc>
        <w:tc>
          <w:tcPr>
            <w:tcW w:w="358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6"/>
                <w:szCs w:val="16"/>
                <w:b w:val="1"/>
                <w:bCs w:val="1"/>
                <w:color w:val="003A70"/>
              </w:rPr>
              <w:t>Gender</w:t>
            </w:r>
          </w:p>
        </w:tc>
        <w:tc>
          <w:tcPr>
            <w:tcW w:w="19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83"/>
        </w:trPr>
        <w:tc>
          <w:tcPr>
            <w:tcW w:w="300" w:type="dxa"/>
            <w:vAlign w:val="bottom"/>
          </w:tcPr>
          <w:p>
            <w:pPr>
              <w:spacing w:after="0"/>
              <w:rPr>
                <w:sz w:val="15"/>
                <w:szCs w:val="15"/>
                <w:color w:val="auto"/>
              </w:rPr>
            </w:pPr>
          </w:p>
        </w:tc>
        <w:tc>
          <w:tcPr>
            <w:tcW w:w="35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Male</w:t>
            </w:r>
          </w:p>
        </w:tc>
        <w:tc>
          <w:tcPr>
            <w:tcW w:w="19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83"/>
        </w:trPr>
        <w:tc>
          <w:tcPr>
            <w:tcW w:w="3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Female</w:t>
            </w:r>
          </w:p>
        </w:tc>
        <w:tc>
          <w:tcPr>
            <w:tcW w:w="19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bl>
    <w:p>
      <w:pPr>
        <w:spacing w:after="0" w:line="30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Board Composition as of the Annual Meeting</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377"/>
        </w:trPr>
        <w:tc>
          <w:tcPr>
            <w:tcW w:w="3720" w:type="dxa"/>
            <w:vAlign w:val="bottom"/>
            <w:tcBorders>
              <w:top w:val="single" w:sz="8" w:color="003A70"/>
            </w:tcBorders>
          </w:tcPr>
          <w:p>
            <w:pPr>
              <w:jc w:val="center"/>
              <w:spacing w:after="0"/>
              <w:rPr>
                <w:sz w:val="20"/>
                <w:szCs w:val="20"/>
                <w:color w:val="auto"/>
              </w:rPr>
            </w:pPr>
            <w:r>
              <w:rPr>
                <w:rFonts w:ascii="Arial" w:cs="Arial" w:eastAsia="Arial" w:hAnsi="Arial"/>
                <w:sz w:val="32"/>
                <w:szCs w:val="32"/>
                <w:b w:val="1"/>
                <w:bCs w:val="1"/>
                <w:color w:val="003A70"/>
              </w:rPr>
              <w:t>8 of 9</w:t>
            </w:r>
          </w:p>
        </w:tc>
        <w:tc>
          <w:tcPr>
            <w:tcW w:w="3860" w:type="dxa"/>
            <w:vAlign w:val="bottom"/>
            <w:tcBorders>
              <w:top w:val="single" w:sz="8" w:color="003A70"/>
            </w:tcBorders>
          </w:tcPr>
          <w:p>
            <w:pPr>
              <w:jc w:val="center"/>
              <w:ind w:left="59"/>
              <w:spacing w:after="0"/>
              <w:rPr>
                <w:sz w:val="20"/>
                <w:szCs w:val="20"/>
                <w:color w:val="auto"/>
              </w:rPr>
            </w:pPr>
            <w:r>
              <w:rPr>
                <w:rFonts w:ascii="Arial" w:cs="Arial" w:eastAsia="Arial" w:hAnsi="Arial"/>
                <w:sz w:val="32"/>
                <w:szCs w:val="32"/>
                <w:b w:val="1"/>
                <w:bCs w:val="1"/>
                <w:color w:val="003A70"/>
              </w:rPr>
              <w:t>7.9 years</w:t>
            </w:r>
          </w:p>
        </w:tc>
        <w:tc>
          <w:tcPr>
            <w:tcW w:w="3440" w:type="dxa"/>
            <w:vAlign w:val="bottom"/>
            <w:tcBorders>
              <w:top w:val="single" w:sz="8" w:color="003A70"/>
            </w:tcBorders>
          </w:tcPr>
          <w:p>
            <w:pPr>
              <w:jc w:val="center"/>
              <w:spacing w:after="0"/>
              <w:rPr>
                <w:sz w:val="20"/>
                <w:szCs w:val="20"/>
                <w:color w:val="auto"/>
              </w:rPr>
            </w:pPr>
            <w:r>
              <w:rPr>
                <w:rFonts w:ascii="Arial" w:cs="Arial" w:eastAsia="Arial" w:hAnsi="Arial"/>
                <w:sz w:val="32"/>
                <w:szCs w:val="32"/>
                <w:b w:val="1"/>
                <w:bCs w:val="1"/>
                <w:color w:val="003A70"/>
              </w:rPr>
              <w:t>63.6 years</w:t>
            </w:r>
          </w:p>
        </w:tc>
      </w:tr>
      <w:tr>
        <w:trPr>
          <w:trHeight w:val="216"/>
        </w:trPr>
        <w:tc>
          <w:tcPr>
            <w:tcW w:w="372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Independent Directors</w:t>
            </w:r>
          </w:p>
        </w:tc>
        <w:tc>
          <w:tcPr>
            <w:tcW w:w="3860" w:type="dxa"/>
            <w:vAlign w:val="bottom"/>
            <w:tcBorders>
              <w:bottom w:val="single" w:sz="8" w:color="003A70"/>
            </w:tcBorders>
          </w:tcPr>
          <w:p>
            <w:pPr>
              <w:jc w:val="center"/>
              <w:ind w:left="59"/>
              <w:spacing w:after="0"/>
              <w:rPr>
                <w:sz w:val="20"/>
                <w:szCs w:val="20"/>
                <w:color w:val="auto"/>
              </w:rPr>
            </w:pPr>
            <w:r>
              <w:rPr>
                <w:rFonts w:ascii="Arial" w:cs="Arial" w:eastAsia="Arial" w:hAnsi="Arial"/>
                <w:sz w:val="16"/>
                <w:szCs w:val="16"/>
                <w:color w:val="auto"/>
                <w:w w:val="99"/>
              </w:rPr>
              <w:t>Average Tenure of Directors</w:t>
            </w:r>
          </w:p>
        </w:tc>
        <w:tc>
          <w:tcPr>
            <w:tcW w:w="344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Average Age of Directors</w:t>
            </w: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Please refer to Item 1, “Business,” of our 2025 Annual Report for information regarding our executive officers.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2025 BOARD AND COMMITTEE MEETINGS AND ATTENDANCE</w:t>
      </w:r>
    </w:p>
    <w:p>
      <w:pPr>
        <w:spacing w:after="0" w:line="112"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Our Board met five times in 2025. No incumbent member of the Board attended fewer than 75% of the aggregate of the total number of meetings of the Board and the total number of meetings held by all committees of the Board on which such director served. Directors are expected to attend annual meetings of stockholders, and each of our then current directors attended the 2025 Annual Meeting of Stockholders.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COMMITTEE CHARTERS</w:t>
      </w:r>
    </w:p>
    <w:p>
      <w:pPr>
        <w:spacing w:after="0" w:line="112" w:lineRule="exact"/>
        <w:rPr>
          <w:sz w:val="20"/>
          <w:szCs w:val="20"/>
          <w:color w:val="auto"/>
        </w:rPr>
      </w:pPr>
    </w:p>
    <w:p>
      <w:pPr>
        <w:ind w:left="120" w:right="20"/>
        <w:spacing w:after="0" w:line="257" w:lineRule="auto"/>
        <w:rPr>
          <w:sz w:val="20"/>
          <w:szCs w:val="20"/>
          <w:color w:val="auto"/>
        </w:rPr>
      </w:pPr>
      <w:r>
        <w:rPr>
          <w:rFonts w:ascii="Arial" w:cs="Arial" w:eastAsia="Arial" w:hAnsi="Arial"/>
          <w:sz w:val="16"/>
          <w:szCs w:val="16"/>
          <w:color w:val="auto"/>
        </w:rPr>
        <w:t>The charters of the Audit, Compensation Policy, and Nominating and Corporate Governance Committees, as well as the charters of the Ad Hoc Committee on Strategic Modernization and the Ad Hoc Committee on Technology and Innovation Strategy and our Corporate Governance Guidelines, are available via the Investor Relations section of our website (www.marriottvacationsworldwide.com) by clicking on “Corporate Governance.” Copies of the committee charters also may be obtained upon request from our Corporate Secretary. Other committees may also be established by our Board from time to time.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composition of our committees during 2025 and through the date of this Proxy Statement is set forth in the chart below.</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56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   Audit Committee</w:t>
            </w:r>
          </w:p>
        </w:tc>
        <w:tc>
          <w:tcPr>
            <w:tcW w:w="3520" w:type="dxa"/>
            <w:vAlign w:val="bottom"/>
            <w:tcBorders>
              <w:bottom w:val="single" w:sz="8" w:color="003A70"/>
            </w:tcBorders>
          </w:tcPr>
          <w:p>
            <w:pPr>
              <w:ind w:left="420"/>
              <w:spacing w:after="0"/>
              <w:rPr>
                <w:sz w:val="20"/>
                <w:szCs w:val="20"/>
                <w:color w:val="auto"/>
              </w:rPr>
            </w:pPr>
            <w:r>
              <w:rPr>
                <w:rFonts w:ascii="Arial" w:cs="Arial" w:eastAsia="Arial" w:hAnsi="Arial"/>
                <w:sz w:val="14"/>
                <w:szCs w:val="14"/>
                <w:color w:val="003A70"/>
              </w:rPr>
              <w:t>   Compensation Policy Committee</w:t>
            </w:r>
          </w:p>
        </w:tc>
        <w:tc>
          <w:tcPr>
            <w:tcW w:w="3940" w:type="dxa"/>
            <w:vAlign w:val="bottom"/>
            <w:tcBorders>
              <w:bottom w:val="single" w:sz="8" w:color="003A70"/>
            </w:tcBorders>
          </w:tcPr>
          <w:p>
            <w:pPr>
              <w:ind w:left="540"/>
              <w:spacing w:after="0"/>
              <w:rPr>
                <w:sz w:val="20"/>
                <w:szCs w:val="20"/>
                <w:color w:val="auto"/>
              </w:rPr>
            </w:pPr>
            <w:r>
              <w:rPr>
                <w:rFonts w:ascii="Arial" w:cs="Arial" w:eastAsia="Arial" w:hAnsi="Arial"/>
                <w:sz w:val="14"/>
                <w:szCs w:val="14"/>
                <w:color w:val="003A70"/>
              </w:rPr>
              <w:t>   Nominating and Corporate Governance Committee</w:t>
            </w: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6"/>
                <w:szCs w:val="16"/>
                <w:color w:val="auto"/>
              </w:rPr>
              <w:t>   C.E. Andrews (Chair)</w:t>
            </w:r>
          </w:p>
        </w:tc>
        <w:tc>
          <w:tcPr>
            <w:tcW w:w="3520" w:type="dxa"/>
            <w:vAlign w:val="bottom"/>
          </w:tcPr>
          <w:p>
            <w:pPr>
              <w:ind w:left="520"/>
              <w:spacing w:after="0" w:line="175" w:lineRule="exact"/>
              <w:rPr>
                <w:sz w:val="20"/>
                <w:szCs w:val="20"/>
                <w:color w:val="auto"/>
              </w:rPr>
            </w:pPr>
            <w:r>
              <w:rPr>
                <w:rFonts w:ascii="Arial" w:cs="Arial" w:eastAsia="Arial" w:hAnsi="Arial"/>
                <w:sz w:val="16"/>
                <w:szCs w:val="16"/>
                <w:color w:val="auto"/>
              </w:rPr>
              <w:t>Dianna F. Morgan (Chair)</w:t>
            </w:r>
          </w:p>
        </w:tc>
        <w:tc>
          <w:tcPr>
            <w:tcW w:w="3940" w:type="dxa"/>
            <w:vAlign w:val="bottom"/>
          </w:tcPr>
          <w:p>
            <w:pPr>
              <w:ind w:left="540"/>
              <w:spacing w:after="0" w:line="175" w:lineRule="exact"/>
              <w:rPr>
                <w:sz w:val="20"/>
                <w:szCs w:val="20"/>
                <w:color w:val="auto"/>
              </w:rPr>
            </w:pPr>
            <w:r>
              <w:rPr>
                <w:rFonts w:ascii="Arial" w:cs="Arial" w:eastAsia="Arial" w:hAnsi="Arial"/>
                <w:sz w:val="16"/>
                <w:szCs w:val="16"/>
                <w:color w:val="auto"/>
              </w:rPr>
              <w:t>   Stephen R. Quazzo (Chair)</w:t>
            </w: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   Jonice M. Gray</w:t>
            </w:r>
          </w:p>
        </w:tc>
        <w:tc>
          <w:tcPr>
            <w:tcW w:w="3520" w:type="dxa"/>
            <w:vAlign w:val="bottom"/>
          </w:tcPr>
          <w:p>
            <w:pPr>
              <w:ind w:left="520"/>
              <w:spacing w:after="0" w:line="189" w:lineRule="exact"/>
              <w:rPr>
                <w:sz w:val="20"/>
                <w:szCs w:val="20"/>
                <w:color w:val="auto"/>
              </w:rPr>
            </w:pPr>
            <w:r>
              <w:rPr>
                <w:rFonts w:ascii="Arial" w:cs="Arial" w:eastAsia="Arial" w:hAnsi="Arial"/>
                <w:sz w:val="14"/>
                <w:szCs w:val="14"/>
                <w:color w:val="auto"/>
              </w:rPr>
              <w:t>Christian A. Asmar</w:t>
            </w:r>
            <w:r>
              <w:rPr>
                <w:rFonts w:ascii="Arial" w:cs="Arial" w:eastAsia="Arial" w:hAnsi="Arial"/>
                <w:sz w:val="21"/>
                <w:szCs w:val="21"/>
                <w:color w:val="auto"/>
                <w:vertAlign w:val="superscript"/>
              </w:rPr>
              <w:t>1</w:t>
            </w:r>
          </w:p>
        </w:tc>
        <w:tc>
          <w:tcPr>
            <w:tcW w:w="3940" w:type="dxa"/>
            <w:vAlign w:val="bottom"/>
          </w:tcPr>
          <w:p>
            <w:pPr>
              <w:ind w:left="540"/>
              <w:spacing w:after="0"/>
              <w:rPr>
                <w:sz w:val="20"/>
                <w:szCs w:val="20"/>
                <w:color w:val="auto"/>
              </w:rPr>
            </w:pPr>
            <w:r>
              <w:rPr>
                <w:rFonts w:ascii="Arial" w:cs="Arial" w:eastAsia="Arial" w:hAnsi="Arial"/>
                <w:sz w:val="16"/>
                <w:szCs w:val="16"/>
                <w:color w:val="auto"/>
              </w:rPr>
              <w:t>   C.E. Andrews</w:t>
            </w: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   William W. McCarten</w:t>
            </w:r>
          </w:p>
        </w:tc>
        <w:tc>
          <w:tcPr>
            <w:tcW w:w="3520" w:type="dxa"/>
            <w:vAlign w:val="bottom"/>
          </w:tcPr>
          <w:p>
            <w:pPr>
              <w:ind w:left="520"/>
              <w:spacing w:after="0" w:line="189" w:lineRule="exact"/>
              <w:rPr>
                <w:sz w:val="20"/>
                <w:szCs w:val="20"/>
                <w:color w:val="auto"/>
              </w:rPr>
            </w:pPr>
            <w:r>
              <w:rPr>
                <w:rFonts w:ascii="Arial" w:cs="Arial" w:eastAsia="Arial" w:hAnsi="Arial"/>
                <w:sz w:val="14"/>
                <w:szCs w:val="14"/>
                <w:color w:val="auto"/>
              </w:rPr>
              <w:t>James A. Dausch</w:t>
            </w:r>
            <w:r>
              <w:rPr>
                <w:rFonts w:ascii="Arial" w:cs="Arial" w:eastAsia="Arial" w:hAnsi="Arial"/>
                <w:sz w:val="21"/>
                <w:szCs w:val="21"/>
                <w:color w:val="auto"/>
                <w:vertAlign w:val="superscript"/>
              </w:rPr>
              <w:t>2</w:t>
            </w:r>
          </w:p>
        </w:tc>
        <w:tc>
          <w:tcPr>
            <w:tcW w:w="3940" w:type="dxa"/>
            <w:vAlign w:val="bottom"/>
          </w:tcPr>
          <w:p>
            <w:pPr>
              <w:ind w:left="540"/>
              <w:spacing w:after="0"/>
              <w:rPr>
                <w:sz w:val="20"/>
                <w:szCs w:val="20"/>
                <w:color w:val="auto"/>
              </w:rPr>
            </w:pPr>
            <w:r>
              <w:rPr>
                <w:rFonts w:ascii="Arial" w:cs="Arial" w:eastAsia="Arial" w:hAnsi="Arial"/>
                <w:sz w:val="16"/>
                <w:szCs w:val="16"/>
                <w:color w:val="auto"/>
              </w:rPr>
              <w:t>   Lizanne Galbreath</w:t>
            </w: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   Stephen R. Quazzo</w:t>
            </w:r>
          </w:p>
        </w:tc>
        <w:tc>
          <w:tcPr>
            <w:tcW w:w="3520" w:type="dxa"/>
            <w:vAlign w:val="bottom"/>
          </w:tcPr>
          <w:p>
            <w:pPr>
              <w:ind w:left="520"/>
              <w:spacing w:after="0"/>
              <w:rPr>
                <w:sz w:val="20"/>
                <w:szCs w:val="20"/>
                <w:color w:val="auto"/>
              </w:rPr>
            </w:pPr>
            <w:r>
              <w:rPr>
                <w:rFonts w:ascii="Arial" w:cs="Arial" w:eastAsia="Arial" w:hAnsi="Arial"/>
                <w:sz w:val="16"/>
                <w:szCs w:val="16"/>
                <w:color w:val="auto"/>
              </w:rPr>
              <w:t xml:space="preserve">Lizanne Galbreath          </w:t>
            </w:r>
          </w:p>
        </w:tc>
        <w:tc>
          <w:tcPr>
            <w:tcW w:w="3940" w:type="dxa"/>
            <w:vAlign w:val="bottom"/>
          </w:tcPr>
          <w:p>
            <w:pPr>
              <w:ind w:left="540"/>
              <w:spacing w:after="0"/>
              <w:rPr>
                <w:sz w:val="20"/>
                <w:szCs w:val="20"/>
                <w:color w:val="auto"/>
              </w:rPr>
            </w:pPr>
            <w:r>
              <w:rPr>
                <w:rFonts w:ascii="Arial" w:cs="Arial" w:eastAsia="Arial" w:hAnsi="Arial"/>
                <w:sz w:val="16"/>
                <w:szCs w:val="16"/>
                <w:color w:val="auto"/>
              </w:rPr>
              <w:t>   Jonice M. Gray</w:t>
            </w:r>
          </w:p>
        </w:tc>
      </w:tr>
      <w:tr>
        <w:trPr>
          <w:trHeight w:val="189"/>
        </w:trPr>
        <w:tc>
          <w:tcPr>
            <w:tcW w:w="3560" w:type="dxa"/>
            <w:vAlign w:val="bottom"/>
          </w:tcPr>
          <w:p>
            <w:pPr>
              <w:spacing w:after="0"/>
              <w:rPr>
                <w:sz w:val="16"/>
                <w:szCs w:val="16"/>
                <w:color w:val="auto"/>
              </w:rPr>
            </w:pPr>
          </w:p>
        </w:tc>
        <w:tc>
          <w:tcPr>
            <w:tcW w:w="3520" w:type="dxa"/>
            <w:vAlign w:val="bottom"/>
          </w:tcPr>
          <w:p>
            <w:pPr>
              <w:ind w:left="520"/>
              <w:spacing w:after="0"/>
              <w:rPr>
                <w:sz w:val="20"/>
                <w:szCs w:val="20"/>
                <w:color w:val="auto"/>
              </w:rPr>
            </w:pPr>
            <w:r>
              <w:rPr>
                <w:rFonts w:ascii="Arial" w:cs="Arial" w:eastAsia="Arial" w:hAnsi="Arial"/>
                <w:sz w:val="16"/>
                <w:szCs w:val="16"/>
                <w:color w:val="auto"/>
              </w:rPr>
              <w:t>Mary E. Galligan</w:t>
            </w:r>
          </w:p>
        </w:tc>
        <w:tc>
          <w:tcPr>
            <w:tcW w:w="3940" w:type="dxa"/>
            <w:vAlign w:val="bottom"/>
          </w:tcPr>
          <w:p>
            <w:pPr>
              <w:ind w:left="540"/>
              <w:spacing w:after="0"/>
              <w:rPr>
                <w:sz w:val="20"/>
                <w:szCs w:val="20"/>
                <w:color w:val="auto"/>
              </w:rPr>
            </w:pPr>
            <w:r>
              <w:rPr>
                <w:rFonts w:ascii="Arial" w:cs="Arial" w:eastAsia="Arial" w:hAnsi="Arial"/>
                <w:sz w:val="16"/>
                <w:szCs w:val="16"/>
                <w:color w:val="auto"/>
              </w:rPr>
              <w:t>   Dianna F. Morgan</w:t>
            </w:r>
          </w:p>
        </w:tc>
      </w:tr>
      <w:tr>
        <w:trPr>
          <w:trHeight w:val="216"/>
        </w:trPr>
        <w:tc>
          <w:tcPr>
            <w:tcW w:w="3560" w:type="dxa"/>
            <w:vAlign w:val="bottom"/>
            <w:tcBorders>
              <w:bottom w:val="single" w:sz="8" w:color="003A70"/>
            </w:tcBorders>
          </w:tcPr>
          <w:p>
            <w:pPr>
              <w:spacing w:after="0"/>
              <w:rPr>
                <w:sz w:val="18"/>
                <w:szCs w:val="18"/>
                <w:color w:val="auto"/>
              </w:rPr>
            </w:pPr>
          </w:p>
        </w:tc>
        <w:tc>
          <w:tcPr>
            <w:tcW w:w="3520" w:type="dxa"/>
            <w:vAlign w:val="bottom"/>
            <w:tcBorders>
              <w:bottom w:val="single" w:sz="8" w:color="003A70"/>
            </w:tcBorders>
          </w:tcPr>
          <w:p>
            <w:pPr>
              <w:ind w:left="520"/>
              <w:spacing w:after="0"/>
              <w:rPr>
                <w:sz w:val="20"/>
                <w:szCs w:val="20"/>
                <w:color w:val="auto"/>
              </w:rPr>
            </w:pPr>
            <w:r>
              <w:rPr>
                <w:rFonts w:ascii="Arial" w:cs="Arial" w:eastAsia="Arial" w:hAnsi="Arial"/>
                <w:sz w:val="16"/>
                <w:szCs w:val="16"/>
                <w:color w:val="auto"/>
              </w:rPr>
              <w:t>William W. McCarten</w:t>
            </w:r>
          </w:p>
        </w:tc>
        <w:tc>
          <w:tcPr>
            <w:tcW w:w="3940" w:type="dxa"/>
            <w:vAlign w:val="bottom"/>
            <w:tcBorders>
              <w:bottom w:val="single" w:sz="8" w:color="003A70"/>
            </w:tcBorders>
          </w:tcPr>
          <w:p>
            <w:pPr>
              <w:spacing w:after="0"/>
              <w:rPr>
                <w:sz w:val="18"/>
                <w:szCs w:val="18"/>
                <w:color w:val="auto"/>
              </w:rPr>
            </w:pPr>
          </w:p>
        </w:tc>
      </w:tr>
      <w:tr>
        <w:trPr>
          <w:trHeight w:val="238"/>
        </w:trPr>
        <w:tc>
          <w:tcPr>
            <w:tcW w:w="3560" w:type="dxa"/>
            <w:vAlign w:val="bottom"/>
          </w:tcPr>
          <w:p>
            <w:pPr>
              <w:spacing w:after="0"/>
              <w:rPr>
                <w:sz w:val="20"/>
                <w:szCs w:val="20"/>
                <w:color w:val="auto"/>
              </w:rPr>
            </w:pPr>
          </w:p>
        </w:tc>
        <w:tc>
          <w:tcPr>
            <w:tcW w:w="3520" w:type="dxa"/>
            <w:vAlign w:val="bottom"/>
          </w:tcPr>
          <w:p>
            <w:pPr>
              <w:ind w:left="420"/>
              <w:spacing w:after="0"/>
              <w:rPr>
                <w:sz w:val="20"/>
                <w:szCs w:val="20"/>
                <w:color w:val="auto"/>
              </w:rPr>
            </w:pPr>
            <w:r>
              <w:rPr>
                <w:rFonts w:ascii="Arial" w:cs="Arial" w:eastAsia="Arial" w:hAnsi="Arial"/>
                <w:sz w:val="14"/>
                <w:szCs w:val="14"/>
                <w:color w:val="003A70"/>
              </w:rPr>
              <w:t>   Ad Hoc Committee on Technology and</w:t>
            </w:r>
          </w:p>
        </w:tc>
        <w:tc>
          <w:tcPr>
            <w:tcW w:w="3940" w:type="dxa"/>
            <w:vAlign w:val="bottom"/>
          </w:tcPr>
          <w:p>
            <w:pPr>
              <w:spacing w:after="0"/>
              <w:rPr>
                <w:sz w:val="20"/>
                <w:szCs w:val="20"/>
                <w:color w:val="auto"/>
              </w:rPr>
            </w:pPr>
          </w:p>
        </w:tc>
      </w:tr>
      <w:tr>
        <w:trPr>
          <w:trHeight w:val="196"/>
        </w:trPr>
        <w:tc>
          <w:tcPr>
            <w:tcW w:w="3560" w:type="dxa"/>
            <w:vAlign w:val="bottom"/>
            <w:tcBorders>
              <w:bottom w:val="single" w:sz="8" w:color="003A70"/>
            </w:tcBorders>
          </w:tcPr>
          <w:p>
            <w:pPr>
              <w:spacing w:after="0" w:line="189" w:lineRule="exact"/>
              <w:rPr>
                <w:sz w:val="20"/>
                <w:szCs w:val="20"/>
                <w:color w:val="auto"/>
              </w:rPr>
            </w:pPr>
            <w:r>
              <w:rPr>
                <w:rFonts w:ascii="Arial" w:cs="Arial" w:eastAsia="Arial" w:hAnsi="Arial"/>
                <w:sz w:val="14"/>
                <w:szCs w:val="14"/>
                <w:color w:val="003A70"/>
              </w:rPr>
              <w:t>   Ad Hoc Committee on Strategic Modernization</w:t>
            </w:r>
            <w:r>
              <w:rPr>
                <w:rFonts w:ascii="Arial" w:cs="Arial" w:eastAsia="Arial" w:hAnsi="Arial"/>
                <w:sz w:val="21"/>
                <w:szCs w:val="21"/>
                <w:color w:val="003A70"/>
                <w:vertAlign w:val="superscript"/>
              </w:rPr>
              <w:t>3</w:t>
            </w:r>
          </w:p>
        </w:tc>
        <w:tc>
          <w:tcPr>
            <w:tcW w:w="3520" w:type="dxa"/>
            <w:vAlign w:val="bottom"/>
            <w:tcBorders>
              <w:bottom w:val="single" w:sz="8" w:color="003A70"/>
            </w:tcBorders>
          </w:tcPr>
          <w:p>
            <w:pPr>
              <w:ind w:left="420"/>
              <w:spacing w:after="0" w:line="189" w:lineRule="exact"/>
              <w:rPr>
                <w:sz w:val="20"/>
                <w:szCs w:val="20"/>
                <w:color w:val="auto"/>
              </w:rPr>
            </w:pPr>
            <w:r>
              <w:rPr>
                <w:rFonts w:ascii="Arial" w:cs="Arial" w:eastAsia="Arial" w:hAnsi="Arial"/>
                <w:sz w:val="14"/>
                <w:szCs w:val="14"/>
                <w:color w:val="003A70"/>
              </w:rPr>
              <w:t>   Innovation Strategy</w:t>
            </w:r>
            <w:r>
              <w:rPr>
                <w:rFonts w:ascii="Arial" w:cs="Arial" w:eastAsia="Arial" w:hAnsi="Arial"/>
                <w:sz w:val="21"/>
                <w:szCs w:val="21"/>
                <w:color w:val="003A70"/>
                <w:vertAlign w:val="superscript"/>
              </w:rPr>
              <w:t>3</w:t>
            </w:r>
          </w:p>
        </w:tc>
        <w:tc>
          <w:tcPr>
            <w:tcW w:w="3940" w:type="dxa"/>
            <w:vAlign w:val="bottom"/>
            <w:tcBorders>
              <w:bottom w:val="single" w:sz="8" w:color="003A70"/>
            </w:tcBorders>
          </w:tcPr>
          <w:p>
            <w:pPr>
              <w:spacing w:after="0"/>
              <w:rPr>
                <w:sz w:val="17"/>
                <w:szCs w:val="17"/>
                <w:color w:val="auto"/>
              </w:rPr>
            </w:pP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4"/>
                <w:szCs w:val="14"/>
                <w:color w:val="auto"/>
              </w:rPr>
              <w:t>   Matthew E. Avril (Chair)</w:t>
            </w:r>
            <w:r>
              <w:rPr>
                <w:rFonts w:ascii="Arial" w:cs="Arial" w:eastAsia="Arial" w:hAnsi="Arial"/>
                <w:sz w:val="20"/>
                <w:szCs w:val="20"/>
                <w:color w:val="auto"/>
                <w:vertAlign w:val="superscript"/>
              </w:rPr>
              <w:t>3</w:t>
            </w:r>
          </w:p>
        </w:tc>
        <w:tc>
          <w:tcPr>
            <w:tcW w:w="3520" w:type="dxa"/>
            <w:vAlign w:val="bottom"/>
          </w:tcPr>
          <w:p>
            <w:pPr>
              <w:ind w:left="520"/>
              <w:spacing w:after="0" w:line="175" w:lineRule="exact"/>
              <w:rPr>
                <w:sz w:val="20"/>
                <w:szCs w:val="20"/>
                <w:color w:val="auto"/>
              </w:rPr>
            </w:pPr>
            <w:r>
              <w:rPr>
                <w:rFonts w:ascii="Arial" w:cs="Arial" w:eastAsia="Arial" w:hAnsi="Arial"/>
                <w:sz w:val="14"/>
                <w:szCs w:val="14"/>
                <w:color w:val="auto"/>
              </w:rPr>
              <w:t>James A. Dausch (Chair)</w:t>
            </w:r>
            <w:r>
              <w:rPr>
                <w:rFonts w:ascii="Arial" w:cs="Arial" w:eastAsia="Arial" w:hAnsi="Arial"/>
                <w:sz w:val="20"/>
                <w:szCs w:val="20"/>
                <w:color w:val="auto"/>
                <w:vertAlign w:val="superscript"/>
              </w:rPr>
              <w:t>3</w:t>
            </w:r>
          </w:p>
        </w:tc>
        <w:tc>
          <w:tcPr>
            <w:tcW w:w="3940" w:type="dxa"/>
            <w:vAlign w:val="bottom"/>
          </w:tcPr>
          <w:p>
            <w:pPr>
              <w:spacing w:after="0"/>
              <w:rPr>
                <w:sz w:val="15"/>
                <w:szCs w:val="15"/>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4"/>
                <w:szCs w:val="14"/>
                <w:color w:val="auto"/>
              </w:rPr>
              <w:t>   C.E. Andrews</w:t>
            </w:r>
            <w:r>
              <w:rPr>
                <w:rFonts w:ascii="Arial" w:cs="Arial" w:eastAsia="Arial" w:hAnsi="Arial"/>
                <w:sz w:val="21"/>
                <w:szCs w:val="21"/>
                <w:color w:val="auto"/>
                <w:vertAlign w:val="superscript"/>
              </w:rPr>
              <w:t>3</w:t>
            </w:r>
          </w:p>
        </w:tc>
        <w:tc>
          <w:tcPr>
            <w:tcW w:w="3520" w:type="dxa"/>
            <w:vAlign w:val="bottom"/>
          </w:tcPr>
          <w:p>
            <w:pPr>
              <w:ind w:left="520"/>
              <w:spacing w:after="0" w:line="189" w:lineRule="exact"/>
              <w:rPr>
                <w:sz w:val="20"/>
                <w:szCs w:val="20"/>
                <w:color w:val="auto"/>
              </w:rPr>
            </w:pPr>
            <w:r>
              <w:rPr>
                <w:rFonts w:ascii="Arial" w:cs="Arial" w:eastAsia="Arial" w:hAnsi="Arial"/>
                <w:sz w:val="14"/>
                <w:szCs w:val="14"/>
                <w:color w:val="auto"/>
              </w:rPr>
              <w:t>Lizanne Galbreath</w:t>
            </w:r>
            <w:r>
              <w:rPr>
                <w:rFonts w:ascii="Arial" w:cs="Arial" w:eastAsia="Arial" w:hAnsi="Arial"/>
                <w:sz w:val="21"/>
                <w:szCs w:val="21"/>
                <w:color w:val="auto"/>
                <w:vertAlign w:val="superscript"/>
              </w:rPr>
              <w:t>3</w:t>
            </w:r>
          </w:p>
        </w:tc>
        <w:tc>
          <w:tcPr>
            <w:tcW w:w="3940" w:type="dxa"/>
            <w:vAlign w:val="bottom"/>
          </w:tcPr>
          <w:p>
            <w:pPr>
              <w:spacing w:after="0"/>
              <w:rPr>
                <w:sz w:val="16"/>
                <w:szCs w:val="16"/>
                <w:color w:val="auto"/>
              </w:rPr>
            </w:pPr>
          </w:p>
        </w:tc>
      </w:tr>
      <w:tr>
        <w:trPr>
          <w:trHeight w:val="217"/>
        </w:trPr>
        <w:tc>
          <w:tcPr>
            <w:tcW w:w="3560" w:type="dxa"/>
            <w:vAlign w:val="bottom"/>
            <w:tcBorders>
              <w:bottom w:val="single" w:sz="8" w:color="003A70"/>
            </w:tcBorders>
          </w:tcPr>
          <w:p>
            <w:pPr>
              <w:spacing w:after="0" w:line="217" w:lineRule="exact"/>
              <w:rPr>
                <w:sz w:val="20"/>
                <w:szCs w:val="20"/>
                <w:color w:val="auto"/>
              </w:rPr>
            </w:pPr>
            <w:r>
              <w:rPr>
                <w:rFonts w:ascii="Arial" w:cs="Arial" w:eastAsia="Arial" w:hAnsi="Arial"/>
                <w:sz w:val="16"/>
                <w:szCs w:val="16"/>
                <w:color w:val="auto"/>
              </w:rPr>
              <w:t>   Christian A. Asmar</w:t>
            </w:r>
            <w:r>
              <w:rPr>
                <w:rFonts w:ascii="Arial" w:cs="Arial" w:eastAsia="Arial" w:hAnsi="Arial"/>
                <w:sz w:val="24"/>
                <w:szCs w:val="24"/>
                <w:color w:val="auto"/>
                <w:vertAlign w:val="superscript"/>
              </w:rPr>
              <w:t>3</w:t>
            </w:r>
          </w:p>
        </w:tc>
        <w:tc>
          <w:tcPr>
            <w:tcW w:w="3520" w:type="dxa"/>
            <w:vAlign w:val="bottom"/>
            <w:tcBorders>
              <w:bottom w:val="single" w:sz="8" w:color="003A70"/>
            </w:tcBorders>
          </w:tcPr>
          <w:p>
            <w:pPr>
              <w:ind w:left="520"/>
              <w:spacing w:after="0" w:line="217" w:lineRule="exact"/>
              <w:rPr>
                <w:sz w:val="20"/>
                <w:szCs w:val="20"/>
                <w:color w:val="auto"/>
              </w:rPr>
            </w:pPr>
            <w:r>
              <w:rPr>
                <w:rFonts w:ascii="Arial" w:cs="Arial" w:eastAsia="Arial" w:hAnsi="Arial"/>
                <w:sz w:val="16"/>
                <w:szCs w:val="16"/>
                <w:color w:val="auto"/>
              </w:rPr>
              <w:t>Mary E. Galligan</w:t>
            </w:r>
            <w:r>
              <w:rPr>
                <w:rFonts w:ascii="Arial" w:cs="Arial" w:eastAsia="Arial" w:hAnsi="Arial"/>
                <w:sz w:val="24"/>
                <w:szCs w:val="24"/>
                <w:color w:val="auto"/>
                <w:vertAlign w:val="superscript"/>
              </w:rPr>
              <w:t>3</w:t>
            </w:r>
          </w:p>
        </w:tc>
        <w:tc>
          <w:tcPr>
            <w:tcW w:w="3940" w:type="dxa"/>
            <w:vAlign w:val="bottom"/>
            <w:tcBorders>
              <w:bottom w:val="single" w:sz="8" w:color="003A70"/>
            </w:tcBorders>
          </w:tcPr>
          <w:p>
            <w:pPr>
              <w:spacing w:after="0"/>
              <w:rPr>
                <w:sz w:val="18"/>
                <w:szCs w:val="18"/>
                <w:color w:val="auto"/>
              </w:rPr>
            </w:pPr>
          </w:p>
        </w:tc>
      </w:tr>
    </w:tbl>
    <w:p>
      <w:pPr>
        <w:spacing w:after="0" w:line="9" w:lineRule="exact"/>
        <w:rPr>
          <w:sz w:val="20"/>
          <w:szCs w:val="20"/>
          <w:color w:val="auto"/>
        </w:rPr>
      </w:pPr>
    </w:p>
    <w:p>
      <w:pPr>
        <w:ind w:left="440" w:hanging="324"/>
        <w:spacing w:after="0"/>
        <w:tabs>
          <w:tab w:leader="none" w:pos="44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Effective May 27, 2025.</w:t>
      </w:r>
    </w:p>
    <w:p>
      <w:pPr>
        <w:ind w:left="440" w:hanging="324"/>
        <w:spacing w:after="0" w:line="230" w:lineRule="auto"/>
        <w:tabs>
          <w:tab w:leader="none" w:pos="44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Effective May 13, 2025.</w:t>
      </w:r>
    </w:p>
    <w:p>
      <w:pPr>
        <w:ind w:left="440" w:hanging="324"/>
        <w:spacing w:after="0" w:line="231" w:lineRule="auto"/>
        <w:tabs>
          <w:tab w:leader="none" w:pos="44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Effective August 1, 2025.</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Committees of the Board of Directors</w:t>
      </w:r>
    </w:p>
    <w:p>
      <w:pPr>
        <w:spacing w:after="0" w:line="104"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Board has determined that each of the members of the Audit Committee is independent as defined under our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Principles, the NYSE Listing Standards and applicable SEC rules for audit committee members. The internal and independent auditors have unrestricted access to the Audit Committee. The Audit Committee meets privately with each of the independent auditors, the internal auditors and members of management. The Audit Committee met seven times in 2025. Each member of the Audit Committee is financially literate under applicable SEC and NYSE standards. In addition, Mr. Andrews, Mr. McCarten and Mr. Quazzo each possesses accounting or related financial management expertise within the meaning</w:t>
      </w:r>
    </w:p>
    <w:p>
      <w:pPr>
        <w:spacing w:after="0" w:line="115" w:lineRule="exact"/>
        <w:rPr>
          <w:sz w:val="20"/>
          <w:szCs w:val="20"/>
          <w:color w:val="auto"/>
        </w:rPr>
      </w:pPr>
    </w:p>
    <w:p>
      <w:pPr>
        <w:ind w:left="120"/>
        <w:spacing w:after="0"/>
        <w:tabs>
          <w:tab w:leader="none" w:pos="4360" w:val="left"/>
          <w:tab w:leader="none" w:pos="7820" w:val="left"/>
        </w:tabs>
        <w:rPr>
          <w:sz w:val="20"/>
          <w:szCs w:val="20"/>
          <w:color w:val="auto"/>
        </w:rPr>
      </w:pPr>
      <w:r>
        <w:rPr>
          <w:rFonts w:ascii="Arial" w:cs="Arial" w:eastAsia="Arial" w:hAnsi="Arial"/>
          <w:sz w:val="11"/>
          <w:szCs w:val="11"/>
          <w:b w:val="1"/>
          <w:bCs w:val="1"/>
          <w:color w:val="003A70"/>
        </w:rPr>
        <w:t>24</w:t>
      </w:r>
      <w:r>
        <w:rPr>
          <w:sz w:val="20"/>
          <w:szCs w:val="20"/>
          <w:color w:val="auto"/>
        </w:rPr>
        <w:tab/>
      </w:r>
      <w:r>
        <w:rPr>
          <w:rFonts w:ascii="Arial" w:cs="Arial" w:eastAsia="Arial" w:hAnsi="Arial"/>
          <w:sz w:val="11"/>
          <w:szCs w:val="11"/>
          <w:color w:val="auto"/>
        </w:rPr>
        <w:t>Report on the Board of Directors and its Committees</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right="480"/>
        <w:spacing w:after="0" w:line="266" w:lineRule="auto"/>
        <w:rPr>
          <w:sz w:val="20"/>
          <w:szCs w:val="20"/>
          <w:color w:val="auto"/>
        </w:rPr>
      </w:pPr>
      <w:r>
        <w:rPr>
          <w:rFonts w:ascii="Arial" w:cs="Arial" w:eastAsia="Arial" w:hAnsi="Arial"/>
          <w:sz w:val="16"/>
          <w:szCs w:val="16"/>
          <w:color w:val="auto"/>
        </w:rPr>
        <w:t>of the NYSE Listing Standards and qualifies as an “audit committee financial expert” as defined under the applicable SEC rules. Our Corporate Governance Principles establish a limit on the number of audit committees of publicly traded companies on which members of the Company’s Audit Committee may serve, including our Audit Committee, at three.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responsibilities of the Audit Committee include, among other things:</w:t>
      </w:r>
    </w:p>
    <w:p>
      <w:pPr>
        <w:spacing w:after="0" w:line="46" w:lineRule="exact"/>
        <w:rPr>
          <w:sz w:val="20"/>
          <w:szCs w:val="20"/>
          <w:color w:val="auto"/>
        </w:rPr>
      </w:pPr>
    </w:p>
    <w:p>
      <w:pPr>
        <w:ind w:left="340" w:hanging="224"/>
        <w:spacing w:after="0"/>
        <w:tabs>
          <w:tab w:leader="none" w:pos="340" w:val="left"/>
        </w:tabs>
        <w:numPr>
          <w:ilvl w:val="0"/>
          <w:numId w:val="47"/>
        </w:numPr>
        <w:rPr>
          <w:rFonts w:ascii="Arial" w:cs="Arial" w:eastAsia="Arial" w:hAnsi="Arial"/>
          <w:sz w:val="16"/>
          <w:szCs w:val="16"/>
          <w:color w:val="003A70"/>
        </w:rPr>
      </w:pPr>
      <w:r>
        <w:rPr>
          <w:rFonts w:ascii="Arial" w:cs="Arial" w:eastAsia="Arial" w:hAnsi="Arial"/>
          <w:sz w:val="16"/>
          <w:szCs w:val="16"/>
          <w:color w:val="auto"/>
        </w:rPr>
        <w:t>appointing, retaining, overseeing and determining the compensation of our independent auditor;</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47"/>
        </w:numPr>
        <w:rPr>
          <w:rFonts w:ascii="Arial" w:cs="Arial" w:eastAsia="Arial" w:hAnsi="Arial"/>
          <w:sz w:val="16"/>
          <w:szCs w:val="16"/>
          <w:color w:val="003A70"/>
        </w:rPr>
      </w:pPr>
      <w:r>
        <w:rPr>
          <w:rFonts w:ascii="Arial" w:cs="Arial" w:eastAsia="Arial" w:hAnsi="Arial"/>
          <w:sz w:val="16"/>
          <w:szCs w:val="16"/>
          <w:color w:val="auto"/>
        </w:rPr>
        <w:t>approving all terms and fees associated with any audit engagement of our independent auditor;</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47"/>
        </w:numPr>
        <w:rPr>
          <w:rFonts w:ascii="Arial" w:cs="Arial" w:eastAsia="Arial" w:hAnsi="Arial"/>
          <w:sz w:val="16"/>
          <w:szCs w:val="16"/>
          <w:color w:val="003A70"/>
        </w:rPr>
      </w:pPr>
      <w:r>
        <w:rPr>
          <w:rFonts w:ascii="Arial" w:cs="Arial" w:eastAsia="Arial" w:hAnsi="Arial"/>
          <w:sz w:val="16"/>
          <w:szCs w:val="16"/>
          <w:color w:val="auto"/>
        </w:rPr>
        <w:t>overseeing our accounting, reporting, financial, cybersecurity, data privacy, data security and artificial intelligence practices;</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47"/>
        </w:numPr>
        <w:rPr>
          <w:rFonts w:ascii="Arial" w:cs="Arial" w:eastAsia="Arial" w:hAnsi="Arial"/>
          <w:sz w:val="16"/>
          <w:szCs w:val="16"/>
          <w:color w:val="003A70"/>
        </w:rPr>
      </w:pPr>
      <w:r>
        <w:rPr>
          <w:rFonts w:ascii="Arial" w:cs="Arial" w:eastAsia="Arial" w:hAnsi="Arial"/>
          <w:sz w:val="16"/>
          <w:szCs w:val="16"/>
          <w:color w:val="auto"/>
        </w:rPr>
        <w:t>overseeing our internal control environment and compliance with legal and regulatory requirements;</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47"/>
        </w:numPr>
        <w:rPr>
          <w:rFonts w:ascii="Arial" w:cs="Arial" w:eastAsia="Arial" w:hAnsi="Arial"/>
          <w:sz w:val="16"/>
          <w:szCs w:val="16"/>
          <w:color w:val="003A70"/>
        </w:rPr>
      </w:pPr>
      <w:r>
        <w:rPr>
          <w:rFonts w:ascii="Arial" w:cs="Arial" w:eastAsia="Arial" w:hAnsi="Arial"/>
          <w:sz w:val="16"/>
          <w:szCs w:val="16"/>
          <w:color w:val="auto"/>
        </w:rPr>
        <w:t>overseeing our independent auditor’s qualifications and independence;</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47"/>
        </w:numPr>
        <w:rPr>
          <w:rFonts w:ascii="Arial" w:cs="Arial" w:eastAsia="Arial" w:hAnsi="Arial"/>
          <w:sz w:val="16"/>
          <w:szCs w:val="16"/>
          <w:color w:val="003A70"/>
        </w:rPr>
      </w:pPr>
      <w:r>
        <w:rPr>
          <w:rFonts w:ascii="Arial" w:cs="Arial" w:eastAsia="Arial" w:hAnsi="Arial"/>
          <w:sz w:val="16"/>
          <w:szCs w:val="16"/>
          <w:color w:val="auto"/>
        </w:rPr>
        <w:t>overseeing the performance of our internal audit function and the independent auditor; and</w:t>
      </w:r>
    </w:p>
    <w:p>
      <w:pPr>
        <w:spacing w:after="0" w:line="45" w:lineRule="exact"/>
        <w:rPr>
          <w:rFonts w:ascii="Arial" w:cs="Arial" w:eastAsia="Arial" w:hAnsi="Arial"/>
          <w:sz w:val="16"/>
          <w:szCs w:val="16"/>
          <w:color w:val="003A70"/>
        </w:rPr>
      </w:pPr>
    </w:p>
    <w:p>
      <w:pPr>
        <w:ind w:left="340" w:right="500" w:hanging="224"/>
        <w:spacing w:after="0" w:line="286" w:lineRule="auto"/>
        <w:tabs>
          <w:tab w:leader="none" w:pos="340" w:val="left"/>
        </w:tabs>
        <w:numPr>
          <w:ilvl w:val="0"/>
          <w:numId w:val="47"/>
        </w:numPr>
        <w:rPr>
          <w:rFonts w:ascii="Arial" w:cs="Arial" w:eastAsia="Arial" w:hAnsi="Arial"/>
          <w:sz w:val="16"/>
          <w:szCs w:val="16"/>
          <w:color w:val="003A70"/>
        </w:rPr>
      </w:pPr>
      <w:r>
        <w:rPr>
          <w:rFonts w:ascii="Arial" w:cs="Arial" w:eastAsia="Arial" w:hAnsi="Arial"/>
          <w:sz w:val="16"/>
          <w:szCs w:val="16"/>
          <w:color w:val="auto"/>
        </w:rPr>
        <w:t>overseeing the Company’s corporate responsibility reporting and internal controls and disclosure procedures concerning corporate responsibility matters.</w:t>
      </w:r>
    </w:p>
    <w:p>
      <w:pPr>
        <w:spacing w:after="0" w:line="48" w:lineRule="exact"/>
        <w:rPr>
          <w:sz w:val="20"/>
          <w:szCs w:val="20"/>
          <w:color w:val="auto"/>
        </w:rPr>
      </w:pPr>
    </w:p>
    <w:p>
      <w:pPr>
        <w:ind w:left="120" w:right="560"/>
        <w:spacing w:after="0" w:line="286" w:lineRule="auto"/>
        <w:rPr>
          <w:sz w:val="20"/>
          <w:szCs w:val="20"/>
          <w:color w:val="auto"/>
        </w:rPr>
      </w:pPr>
      <w:r>
        <w:rPr>
          <w:rFonts w:ascii="Arial" w:cs="Arial" w:eastAsia="Arial" w:hAnsi="Arial"/>
          <w:sz w:val="16"/>
          <w:szCs w:val="16"/>
          <w:i w:val="1"/>
          <w:iCs w:val="1"/>
          <w:color w:val="auto"/>
        </w:rPr>
        <w:t xml:space="preserve">Compensation Policy Committee. </w:t>
      </w:r>
      <w:r>
        <w:rPr>
          <w:rFonts w:ascii="Arial" w:cs="Arial" w:eastAsia="Arial" w:hAnsi="Arial"/>
          <w:sz w:val="16"/>
          <w:szCs w:val="16"/>
          <w:color w:val="auto"/>
        </w:rPr>
        <w:t>The Board has determined that each of the members of the CPC is independent as defined under our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Principles and the NYSE Listing Standards for compensation committee members. The CPC met seven times in 2025.</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responsibilities of the CPC include, among other things:</w:t>
      </w:r>
    </w:p>
    <w:p>
      <w:pPr>
        <w:spacing w:after="0" w:line="46" w:lineRule="exact"/>
        <w:rPr>
          <w:sz w:val="20"/>
          <w:szCs w:val="20"/>
          <w:color w:val="auto"/>
        </w:rPr>
      </w:pPr>
    </w:p>
    <w:p>
      <w:pPr>
        <w:ind w:left="340" w:hanging="224"/>
        <w:spacing w:after="0"/>
        <w:tabs>
          <w:tab w:leader="none" w:pos="340" w:val="left"/>
        </w:tabs>
        <w:numPr>
          <w:ilvl w:val="0"/>
          <w:numId w:val="48"/>
        </w:numPr>
        <w:rPr>
          <w:rFonts w:ascii="Arial" w:cs="Arial" w:eastAsia="Arial" w:hAnsi="Arial"/>
          <w:sz w:val="16"/>
          <w:szCs w:val="16"/>
          <w:color w:val="003A70"/>
        </w:rPr>
      </w:pPr>
      <w:r>
        <w:rPr>
          <w:rFonts w:ascii="Arial" w:cs="Arial" w:eastAsia="Arial" w:hAnsi="Arial"/>
          <w:sz w:val="16"/>
          <w:szCs w:val="16"/>
          <w:color w:val="auto"/>
        </w:rPr>
        <w:t>assisting the Board in discharging its responsibilities relating to executive compensation;</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48"/>
        </w:numPr>
        <w:rPr>
          <w:rFonts w:ascii="Arial" w:cs="Arial" w:eastAsia="Arial" w:hAnsi="Arial"/>
          <w:sz w:val="16"/>
          <w:szCs w:val="16"/>
          <w:color w:val="003A70"/>
        </w:rPr>
      </w:pPr>
      <w:r>
        <w:rPr>
          <w:rFonts w:ascii="Arial" w:cs="Arial" w:eastAsia="Arial" w:hAnsi="Arial"/>
          <w:sz w:val="16"/>
          <w:szCs w:val="16"/>
          <w:color w:val="auto"/>
        </w:rPr>
        <w:t>overseeing our overall compensation structure, policies and programs;</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48"/>
        </w:numPr>
        <w:rPr>
          <w:rFonts w:ascii="Arial" w:cs="Arial" w:eastAsia="Arial" w:hAnsi="Arial"/>
          <w:sz w:val="16"/>
          <w:szCs w:val="16"/>
          <w:color w:val="003A70"/>
        </w:rPr>
      </w:pPr>
      <w:r>
        <w:rPr>
          <w:rFonts w:ascii="Arial" w:cs="Arial" w:eastAsia="Arial" w:hAnsi="Arial"/>
          <w:sz w:val="16"/>
          <w:szCs w:val="16"/>
          <w:color w:val="auto"/>
        </w:rPr>
        <w:t>reviewing and approving on an annual basis the corporate goals and objectives with respect to compensation for the CEO;</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48"/>
        </w:numPr>
        <w:rPr>
          <w:rFonts w:ascii="Arial" w:cs="Arial" w:eastAsia="Arial" w:hAnsi="Arial"/>
          <w:sz w:val="16"/>
          <w:szCs w:val="16"/>
          <w:color w:val="003A70"/>
        </w:rPr>
      </w:pPr>
      <w:r>
        <w:rPr>
          <w:rFonts w:ascii="Arial" w:cs="Arial" w:eastAsia="Arial" w:hAnsi="Arial"/>
          <w:sz w:val="16"/>
          <w:szCs w:val="16"/>
          <w:color w:val="auto"/>
        </w:rPr>
        <w:t>overseeing the evaluation and setting the compensation of our other executive officers;</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48"/>
        </w:numPr>
        <w:rPr>
          <w:rFonts w:ascii="Arial" w:cs="Arial" w:eastAsia="Arial" w:hAnsi="Arial"/>
          <w:sz w:val="16"/>
          <w:szCs w:val="16"/>
          <w:color w:val="003A70"/>
        </w:rPr>
      </w:pPr>
      <w:r>
        <w:rPr>
          <w:rFonts w:ascii="Arial" w:cs="Arial" w:eastAsia="Arial" w:hAnsi="Arial"/>
          <w:sz w:val="16"/>
          <w:szCs w:val="16"/>
          <w:color w:val="auto"/>
        </w:rPr>
        <w:t>maintaining management succession plans;</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48"/>
        </w:numPr>
        <w:rPr>
          <w:rFonts w:ascii="Arial" w:cs="Arial" w:eastAsia="Arial" w:hAnsi="Arial"/>
          <w:sz w:val="16"/>
          <w:szCs w:val="16"/>
          <w:color w:val="003A70"/>
        </w:rPr>
      </w:pPr>
      <w:r>
        <w:rPr>
          <w:rFonts w:ascii="Arial" w:cs="Arial" w:eastAsia="Arial" w:hAnsi="Arial"/>
          <w:sz w:val="16"/>
          <w:szCs w:val="16"/>
          <w:color w:val="auto"/>
        </w:rPr>
        <w:t>reviewing the compensation of non-employee directors and recommending any changes in compensation to the Board; and</w:t>
      </w:r>
    </w:p>
    <w:p>
      <w:pPr>
        <w:spacing w:after="0" w:line="45" w:lineRule="exact"/>
        <w:rPr>
          <w:rFonts w:ascii="Arial" w:cs="Arial" w:eastAsia="Arial" w:hAnsi="Arial"/>
          <w:sz w:val="16"/>
          <w:szCs w:val="16"/>
          <w:color w:val="003A70"/>
        </w:rPr>
      </w:pPr>
    </w:p>
    <w:p>
      <w:pPr>
        <w:ind w:left="340" w:hanging="224"/>
        <w:spacing w:after="0" w:line="286" w:lineRule="auto"/>
        <w:tabs>
          <w:tab w:leader="none" w:pos="340" w:val="left"/>
        </w:tabs>
        <w:numPr>
          <w:ilvl w:val="0"/>
          <w:numId w:val="48"/>
        </w:numPr>
        <w:rPr>
          <w:rFonts w:ascii="Arial" w:cs="Arial" w:eastAsia="Arial" w:hAnsi="Arial"/>
          <w:sz w:val="16"/>
          <w:szCs w:val="16"/>
          <w:color w:val="003A70"/>
        </w:rPr>
      </w:pPr>
      <w:r>
        <w:rPr>
          <w:rFonts w:ascii="Arial" w:cs="Arial" w:eastAsia="Arial" w:hAnsi="Arial"/>
          <w:sz w:val="16"/>
          <w:szCs w:val="16"/>
          <w:color w:val="auto"/>
        </w:rPr>
        <w:t>reviewing corporate responsibility matters relating to the Company’s workforce and key aspects of the Company’s human resources strategies, policies and programs.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CPC may delegate any of its responsibilities to subcommittees as the CPC may deem appropriate.</w:t>
      </w:r>
    </w:p>
    <w:p>
      <w:pPr>
        <w:spacing w:after="0" w:line="113"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The Board has determined that each of the members of the Nominating and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is independent as defined under our Corporate Governance Principles and the NYSE Listing Standards. The Nominating and Corporate Governance Committee met five times in 2025.</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responsibilities of the Nominating and Corporate Governance Committee include, among other things:</w:t>
      </w:r>
    </w:p>
    <w:p>
      <w:pPr>
        <w:spacing w:after="0" w:line="46" w:lineRule="exact"/>
        <w:rPr>
          <w:sz w:val="20"/>
          <w:szCs w:val="20"/>
          <w:color w:val="auto"/>
        </w:rPr>
      </w:pPr>
    </w:p>
    <w:p>
      <w:pPr>
        <w:ind w:left="340" w:hanging="224"/>
        <w:spacing w:after="0"/>
        <w:tabs>
          <w:tab w:leader="none" w:pos="340" w:val="left"/>
        </w:tabs>
        <w:numPr>
          <w:ilvl w:val="0"/>
          <w:numId w:val="49"/>
        </w:numPr>
        <w:rPr>
          <w:rFonts w:ascii="Arial" w:cs="Arial" w:eastAsia="Arial" w:hAnsi="Arial"/>
          <w:sz w:val="16"/>
          <w:szCs w:val="16"/>
          <w:color w:val="003A70"/>
        </w:rPr>
      </w:pPr>
      <w:r>
        <w:rPr>
          <w:rFonts w:ascii="Arial" w:cs="Arial" w:eastAsia="Arial" w:hAnsi="Arial"/>
          <w:sz w:val="16"/>
          <w:szCs w:val="16"/>
          <w:color w:val="auto"/>
        </w:rPr>
        <w:t>identifying and evaluating director candidates;</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49"/>
        </w:numPr>
        <w:rPr>
          <w:rFonts w:ascii="Arial" w:cs="Arial" w:eastAsia="Arial" w:hAnsi="Arial"/>
          <w:sz w:val="16"/>
          <w:szCs w:val="16"/>
          <w:color w:val="003A70"/>
        </w:rPr>
      </w:pPr>
      <w:r>
        <w:rPr>
          <w:rFonts w:ascii="Arial" w:cs="Arial" w:eastAsia="Arial" w:hAnsi="Arial"/>
          <w:sz w:val="16"/>
          <w:szCs w:val="16"/>
          <w:color w:val="auto"/>
        </w:rPr>
        <w:t>recommending to the Board director candidates for election;</w:t>
      </w:r>
    </w:p>
    <w:p>
      <w:pPr>
        <w:spacing w:after="0" w:line="45" w:lineRule="exact"/>
        <w:rPr>
          <w:rFonts w:ascii="Arial" w:cs="Arial" w:eastAsia="Arial" w:hAnsi="Arial"/>
          <w:sz w:val="16"/>
          <w:szCs w:val="16"/>
          <w:color w:val="003A70"/>
        </w:rPr>
      </w:pPr>
    </w:p>
    <w:p>
      <w:pPr>
        <w:ind w:left="340" w:right="740" w:hanging="224"/>
        <w:spacing w:after="0" w:line="272" w:lineRule="auto"/>
        <w:tabs>
          <w:tab w:leader="none" w:pos="340" w:val="left"/>
        </w:tabs>
        <w:numPr>
          <w:ilvl w:val="0"/>
          <w:numId w:val="49"/>
        </w:numPr>
        <w:rPr>
          <w:rFonts w:ascii="Arial" w:cs="Arial" w:eastAsia="Arial" w:hAnsi="Arial"/>
          <w:sz w:val="16"/>
          <w:szCs w:val="16"/>
          <w:color w:val="003A70"/>
        </w:rPr>
      </w:pPr>
      <w:r>
        <w:rPr>
          <w:rFonts w:ascii="Arial" w:cs="Arial" w:eastAsia="Arial" w:hAnsi="Arial"/>
          <w:sz w:val="16"/>
          <w:szCs w:val="16"/>
          <w:color w:val="auto"/>
        </w:rPr>
        <w:t>recommending to the Board implementation of corporate governance principles and annually reviewing and recommending changes to these principles as appropriate;</w:t>
      </w:r>
    </w:p>
    <w:p>
      <w:pPr>
        <w:spacing w:after="0" w:line="1" w:lineRule="exact"/>
        <w:rPr>
          <w:rFonts w:ascii="Arial" w:cs="Arial" w:eastAsia="Arial" w:hAnsi="Arial"/>
          <w:sz w:val="16"/>
          <w:szCs w:val="16"/>
          <w:color w:val="003A70"/>
        </w:rPr>
      </w:pPr>
    </w:p>
    <w:p>
      <w:pPr>
        <w:ind w:left="340" w:right="640" w:hanging="224"/>
        <w:spacing w:after="0" w:line="272" w:lineRule="auto"/>
        <w:tabs>
          <w:tab w:leader="none" w:pos="340" w:val="left"/>
        </w:tabs>
        <w:numPr>
          <w:ilvl w:val="0"/>
          <w:numId w:val="49"/>
        </w:numPr>
        <w:rPr>
          <w:rFonts w:ascii="Arial" w:cs="Arial" w:eastAsia="Arial" w:hAnsi="Arial"/>
          <w:sz w:val="16"/>
          <w:szCs w:val="16"/>
          <w:color w:val="003A70"/>
        </w:rPr>
      </w:pPr>
      <w:r>
        <w:rPr>
          <w:rFonts w:ascii="Arial" w:cs="Arial" w:eastAsia="Arial" w:hAnsi="Arial"/>
          <w:sz w:val="16"/>
          <w:szCs w:val="16"/>
          <w:color w:val="auto"/>
        </w:rPr>
        <w:t>reviewing our conflict of interest and related party transactions policies and approving certain related party transactions as provided for in such policies;</w:t>
      </w:r>
    </w:p>
    <w:p>
      <w:pPr>
        <w:spacing w:after="0" w:line="1" w:lineRule="exact"/>
        <w:rPr>
          <w:rFonts w:ascii="Arial" w:cs="Arial" w:eastAsia="Arial" w:hAnsi="Arial"/>
          <w:sz w:val="16"/>
          <w:szCs w:val="16"/>
          <w:color w:val="003A70"/>
        </w:rPr>
      </w:pPr>
    </w:p>
    <w:p>
      <w:pPr>
        <w:ind w:left="340" w:hanging="224"/>
        <w:spacing w:after="0"/>
        <w:tabs>
          <w:tab w:leader="none" w:pos="340" w:val="left"/>
        </w:tabs>
        <w:numPr>
          <w:ilvl w:val="0"/>
          <w:numId w:val="49"/>
        </w:numPr>
        <w:rPr>
          <w:rFonts w:ascii="Arial" w:cs="Arial" w:eastAsia="Arial" w:hAnsi="Arial"/>
          <w:sz w:val="16"/>
          <w:szCs w:val="16"/>
          <w:color w:val="003A70"/>
        </w:rPr>
      </w:pPr>
      <w:r>
        <w:rPr>
          <w:rFonts w:ascii="Arial" w:cs="Arial" w:eastAsia="Arial" w:hAnsi="Arial"/>
          <w:sz w:val="16"/>
          <w:szCs w:val="16"/>
          <w:color w:val="auto"/>
        </w:rPr>
        <w:t>performing a leadership role in shaping our corporate governance; and</w:t>
      </w:r>
    </w:p>
    <w:p>
      <w:pPr>
        <w:spacing w:after="0" w:line="45" w:lineRule="exact"/>
        <w:rPr>
          <w:rFonts w:ascii="Arial" w:cs="Arial" w:eastAsia="Arial" w:hAnsi="Arial"/>
          <w:sz w:val="16"/>
          <w:szCs w:val="16"/>
          <w:color w:val="003A70"/>
        </w:rPr>
      </w:pPr>
    </w:p>
    <w:p>
      <w:pPr>
        <w:ind w:left="340" w:right="160" w:hanging="224"/>
        <w:spacing w:after="0" w:line="286" w:lineRule="auto"/>
        <w:tabs>
          <w:tab w:leader="none" w:pos="340" w:val="left"/>
        </w:tabs>
        <w:numPr>
          <w:ilvl w:val="0"/>
          <w:numId w:val="49"/>
        </w:numPr>
        <w:rPr>
          <w:rFonts w:ascii="Arial" w:cs="Arial" w:eastAsia="Arial" w:hAnsi="Arial"/>
          <w:sz w:val="16"/>
          <w:szCs w:val="16"/>
          <w:color w:val="003A70"/>
        </w:rPr>
      </w:pPr>
      <w:r>
        <w:rPr>
          <w:rFonts w:ascii="Arial" w:cs="Arial" w:eastAsia="Arial" w:hAnsi="Arial"/>
          <w:sz w:val="16"/>
          <w:szCs w:val="16"/>
          <w:color w:val="auto"/>
        </w:rPr>
        <w:t>reviewing and making recommendations to the Board regarding sustainability matters, including corporate responsibility matters, except to the extent specifically allocated to another committee of the Board.</w:t>
      </w:r>
    </w:p>
    <w:p>
      <w:pPr>
        <w:spacing w:after="0" w:line="48"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i w:val="1"/>
          <w:iCs w:val="1"/>
          <w:color w:val="auto"/>
        </w:rPr>
        <w:t>Ad Hoc Committees</w:t>
      </w:r>
      <w:r>
        <w:rPr>
          <w:rFonts w:ascii="Arial" w:cs="Arial" w:eastAsia="Arial" w:hAnsi="Arial"/>
          <w:sz w:val="16"/>
          <w:szCs w:val="16"/>
          <w:color w:val="auto"/>
        </w:rPr>
        <w:t>. In connection with the Company’s strategic modernization initiatives, effective August 1, 2025, upon the recommendation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Nominating and Corporate Governance Committee, the Board established (i) an ad hoc committee of the Board to assist the Board in overseeing the Company’s strategic modernization program (the “Ad Hoc Committee on Strategic Modernization”), and (ii) an ad hoc committee of the Board to assist the Board in overseeing the Company’s strategies and initiatives related to technology and innovation (the “Ad Hoc Committee on Technology and Innovation Strategy”). Each of the ad hoc committees has a defined term ending on June 30, 2027, subject to earlier termination or extension at the discretion of the Board. During 2025, the Ad Hoc Committee on Strategic Modernization met two times, and the Ad Hoc Committee on Technology and Innovation Strategy met one time.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12" w:lineRule="exact"/>
        <w:rPr>
          <w:sz w:val="20"/>
          <w:szCs w:val="20"/>
          <w:color w:val="auto"/>
        </w:rPr>
      </w:pPr>
    </w:p>
    <w:p>
      <w:pPr>
        <w:ind w:left="120" w:right="460"/>
        <w:spacing w:after="0" w:line="286" w:lineRule="auto"/>
        <w:rPr>
          <w:sz w:val="20"/>
          <w:szCs w:val="20"/>
          <w:color w:val="auto"/>
        </w:rPr>
      </w:pPr>
      <w:r>
        <w:rPr>
          <w:rFonts w:ascii="Arial" w:cs="Arial" w:eastAsia="Arial" w:hAnsi="Arial"/>
          <w:sz w:val="16"/>
          <w:szCs w:val="16"/>
          <w:color w:val="auto"/>
        </w:rPr>
        <w:t>None of the members of the CPC is or has been an officer or employee of the Company or had any relationship that is required to be disclosed as a transaction with a related party or as an interlocking relationship.</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MEETINGS OF INDEPENDENT DIRECTORS</w:t>
      </w:r>
    </w:p>
    <w:p>
      <w:pPr>
        <w:spacing w:after="0" w:line="112" w:lineRule="exact"/>
        <w:rPr>
          <w:sz w:val="20"/>
          <w:szCs w:val="20"/>
          <w:color w:val="auto"/>
        </w:rPr>
      </w:pPr>
    </w:p>
    <w:p>
      <w:pPr>
        <w:ind w:left="120" w:right="400"/>
        <w:spacing w:after="0" w:line="266" w:lineRule="auto"/>
        <w:rPr>
          <w:sz w:val="20"/>
          <w:szCs w:val="20"/>
          <w:color w:val="auto"/>
        </w:rPr>
      </w:pPr>
      <w:r>
        <w:rPr>
          <w:rFonts w:ascii="Arial" w:cs="Arial" w:eastAsia="Arial" w:hAnsi="Arial"/>
          <w:sz w:val="16"/>
          <w:szCs w:val="16"/>
          <w:color w:val="auto"/>
        </w:rPr>
        <w:t>Our Corporate Governance Principles require the Board to have at least two regularly scheduled executive sessions a year for the non-management directors without management present and require the independent directors to meet in executive session at least annually. The Chairman, who is currently Mr. Shaw, presides at such executive sessions.</w:t>
      </w:r>
    </w:p>
    <w:p>
      <w:pPr>
        <w:spacing w:after="0" w:line="105" w:lineRule="exact"/>
        <w:rPr>
          <w:sz w:val="20"/>
          <w:szCs w:val="20"/>
          <w:color w:val="auto"/>
        </w:rPr>
      </w:pPr>
    </w:p>
    <w:p>
      <w:pPr>
        <w:ind w:left="120"/>
        <w:spacing w:after="0"/>
        <w:tabs>
          <w:tab w:leader="none" w:pos="436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Report on the Board of Directors and its Committees</w:t>
      </w:r>
      <w:r>
        <w:rPr>
          <w:sz w:val="20"/>
          <w:szCs w:val="20"/>
          <w:color w:val="auto"/>
        </w:rPr>
        <w:tab/>
      </w:r>
      <w:r>
        <w:rPr>
          <w:rFonts w:ascii="Arial" w:cs="Arial" w:eastAsia="Arial" w:hAnsi="Arial"/>
          <w:sz w:val="10"/>
          <w:szCs w:val="10"/>
          <w:b w:val="1"/>
          <w:bCs w:val="1"/>
          <w:color w:val="003A7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27" w:lineRule="exact"/>
        <w:rPr>
          <w:sz w:val="20"/>
          <w:szCs w:val="20"/>
          <w:color w:val="auto"/>
        </w:rPr>
      </w:pPr>
    </w:p>
    <w:p>
      <w:pPr>
        <w:ind w:left="40"/>
        <w:spacing w:after="0"/>
        <w:rPr>
          <w:sz w:val="20"/>
          <w:szCs w:val="20"/>
          <w:color w:val="auto"/>
        </w:rPr>
      </w:pPr>
      <w:r>
        <w:rPr>
          <w:sz w:val="1"/>
          <w:szCs w:val="1"/>
          <w:color w:val="auto"/>
        </w:rPr>
        <w:drawing>
          <wp:inline distT="0" distB="0" distL="0" distR="0">
            <wp:extent cx="85725" cy="44577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445770"/>
                    </a:xfrm>
                    <a:prstGeom prst="rect">
                      <a:avLst/>
                    </a:prstGeom>
                    <a:noFill/>
                    <a:ln>
                      <a:noFill/>
                    </a:ln>
                  </pic:spPr>
                </pic:pic>
              </a:graphicData>
            </a:graphic>
          </wp:inline>
        </w:drawing>
      </w:r>
      <w:r>
        <w:rPr>
          <w:rFonts w:ascii="Arial" w:cs="Arial" w:eastAsia="Arial" w:hAnsi="Arial"/>
          <w:sz w:val="54"/>
          <w:szCs w:val="54"/>
          <w:color w:val="auto"/>
        </w:rPr>
        <w:t xml:space="preserve"> CORPORATE GOVERNANCE</w:t>
      </w:r>
    </w:p>
    <w:p>
      <w:pPr>
        <w:spacing w:after="0" w:line="200" w:lineRule="exact"/>
        <w:rPr>
          <w:sz w:val="20"/>
          <w:szCs w:val="20"/>
          <w:color w:val="auto"/>
        </w:rPr>
      </w:pPr>
    </w:p>
    <w:p>
      <w:pPr>
        <w:spacing w:after="0" w:line="218"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Board is committed to good corporate governance, good business practices and transparency in financial reporting. The Nominating and Corporate Governance Committee annually reviews the Company’s Corporate Governance Principles, a copy of which is available via the Investor Relations section of our website (www.marriottvacationsworldwide.com) by clicking on “Corporate Governance” under the “Investor Relations” tab. A copy of the Company’s Corporate Governance Principles also may be obtained upon request from our Corporate Secretary.</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SEPARATION OF BOARD CHAIRMAN AND CHIEF EXECUTIVE OFFICER</w:t>
      </w:r>
    </w:p>
    <w:p>
      <w:pPr>
        <w:spacing w:after="0" w:line="112"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While the Board has no formal policy requiring the separation of the positions of Chairman of the Board and CEO, William J. Shaw, an independent director, currently serves as Chairman of the Board. Our Board regularly reviews our leadership structure and has determined that separating the roles of Chairman and CEO is the optimal leadership structure for the Company at this time, allowing our CEO to focus on his duties while benefiting from the Chairman’s significant experience at Marriott International and in the hospitality industry. The Board believes that having an independent Chairman improves the ability of the Board to exercise its oversight role over management and provides opportunities for discussion and evaluation of management decisions and the direction of the Company.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AND COMMITTEE EVALUATIONS</w:t>
      </w:r>
    </w:p>
    <w:p>
      <w:pPr>
        <w:spacing w:after="0" w:line="112" w:lineRule="exact"/>
        <w:rPr>
          <w:sz w:val="20"/>
          <w:szCs w:val="20"/>
          <w:color w:val="auto"/>
        </w:rPr>
      </w:pPr>
    </w:p>
    <w:p>
      <w:pPr>
        <w:ind w:left="120" w:right="260"/>
        <w:spacing w:after="0" w:line="259" w:lineRule="auto"/>
        <w:rPr>
          <w:sz w:val="20"/>
          <w:szCs w:val="20"/>
          <w:color w:val="auto"/>
        </w:rPr>
      </w:pPr>
      <w:r>
        <w:rPr>
          <w:rFonts w:ascii="Arial" w:cs="Arial" w:eastAsia="Arial" w:hAnsi="Arial"/>
          <w:sz w:val="16"/>
          <w:szCs w:val="16"/>
          <w:color w:val="auto"/>
        </w:rPr>
        <w:t>The Board and its committees annually evaluate their own performance. The evaluation process is overseen by the Nominating and Corporate Governance Committee, which recommends enhancements to Board and committee effectiveness as appropriate. The process includes distribution of questionnaires to each director, Board and committee discussions in executive session led by the Chairman or relevant committee chair, and opportunities for discussions between individual directors and the Chairman, committee chairs, and/or the Corporate Secretary.</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3A70"/>
        </w:rPr>
        <w:t>Topics covered by the 2025 evaluation process included:</w:t>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0" w:type="dxa"/>
            <w:vAlign w:val="bottom"/>
            <w:tcBorders>
              <w:top w:val="single" w:sz="8" w:color="003A70"/>
            </w:tcBorders>
          </w:tcPr>
          <w:p>
            <w:pPr>
              <w:spacing w:after="0"/>
              <w:rPr>
                <w:sz w:val="20"/>
                <w:szCs w:val="20"/>
                <w:color w:val="auto"/>
              </w:rPr>
            </w:pPr>
            <w:r>
              <w:rPr>
                <w:rFonts w:ascii="Arial" w:cs="Arial" w:eastAsia="Arial" w:hAnsi="Arial"/>
                <w:sz w:val="16"/>
                <w:szCs w:val="16"/>
                <w:color w:val="003A70"/>
              </w:rPr>
              <w:t>•</w:t>
            </w:r>
          </w:p>
        </w:tc>
        <w:tc>
          <w:tcPr>
            <w:tcW w:w="4620" w:type="dxa"/>
            <w:vAlign w:val="bottom"/>
            <w:tcBorders>
              <w:top w:val="single" w:sz="8" w:color="003A70"/>
            </w:tcBorders>
          </w:tcPr>
          <w:p>
            <w:pPr>
              <w:ind w:left="40"/>
              <w:spacing w:after="0"/>
              <w:rPr>
                <w:sz w:val="20"/>
                <w:szCs w:val="20"/>
                <w:color w:val="auto"/>
              </w:rPr>
            </w:pPr>
            <w:r>
              <w:rPr>
                <w:rFonts w:ascii="Arial" w:cs="Arial" w:eastAsia="Arial" w:hAnsi="Arial"/>
                <w:sz w:val="16"/>
                <w:szCs w:val="16"/>
                <w:color w:val="auto"/>
              </w:rPr>
              <w:t>Board and committee structure; overall evaluation</w:t>
            </w:r>
          </w:p>
        </w:tc>
        <w:tc>
          <w:tcPr>
            <w:tcW w:w="1120" w:type="dxa"/>
            <w:vAlign w:val="bottom"/>
            <w:tcBorders>
              <w:top w:val="single" w:sz="8" w:color="003A70"/>
            </w:tcBorders>
          </w:tcPr>
          <w:p>
            <w:pPr>
              <w:ind w:left="1020"/>
              <w:spacing w:after="0"/>
              <w:rPr>
                <w:sz w:val="20"/>
                <w:szCs w:val="20"/>
                <w:color w:val="auto"/>
              </w:rPr>
            </w:pPr>
            <w:r>
              <w:rPr>
                <w:rFonts w:ascii="Arial" w:cs="Arial" w:eastAsia="Arial" w:hAnsi="Arial"/>
                <w:sz w:val="16"/>
                <w:szCs w:val="16"/>
                <w:color w:val="003A70"/>
              </w:rPr>
              <w:t>•</w:t>
            </w:r>
          </w:p>
        </w:tc>
        <w:tc>
          <w:tcPr>
            <w:tcW w:w="5180" w:type="dxa"/>
            <w:vAlign w:val="bottom"/>
            <w:tcBorders>
              <w:top w:val="single" w:sz="8" w:color="003A70"/>
            </w:tcBorders>
          </w:tcPr>
          <w:p>
            <w:pPr>
              <w:ind w:left="40"/>
              <w:spacing w:after="0"/>
              <w:rPr>
                <w:sz w:val="20"/>
                <w:szCs w:val="20"/>
                <w:color w:val="auto"/>
              </w:rPr>
            </w:pPr>
            <w:r>
              <w:rPr>
                <w:rFonts w:ascii="Arial" w:cs="Arial" w:eastAsia="Arial" w:hAnsi="Arial"/>
                <w:sz w:val="16"/>
                <w:szCs w:val="16"/>
                <w:color w:val="auto"/>
              </w:rPr>
              <w:t>Oversight of key strategic, operational and compliance risks</w:t>
            </w:r>
          </w:p>
        </w:tc>
      </w:tr>
      <w:tr>
        <w:trPr>
          <w:trHeight w:val="215"/>
        </w:trPr>
        <w:tc>
          <w:tcPr>
            <w:tcW w:w="100" w:type="dxa"/>
            <w:vAlign w:val="bottom"/>
          </w:tcPr>
          <w:p>
            <w:pPr>
              <w:spacing w:after="0"/>
              <w:rPr>
                <w:sz w:val="20"/>
                <w:szCs w:val="20"/>
                <w:color w:val="auto"/>
              </w:rPr>
            </w:pPr>
            <w:r>
              <w:rPr>
                <w:rFonts w:ascii="Arial" w:cs="Arial" w:eastAsia="Arial" w:hAnsi="Arial"/>
                <w:sz w:val="16"/>
                <w:szCs w:val="16"/>
                <w:color w:val="003A70"/>
              </w:rPr>
              <w:t>•</w:t>
            </w:r>
          </w:p>
        </w:tc>
        <w:tc>
          <w:tcPr>
            <w:tcW w:w="4620" w:type="dxa"/>
            <w:vAlign w:val="bottom"/>
          </w:tcPr>
          <w:p>
            <w:pPr>
              <w:ind w:left="40"/>
              <w:spacing w:after="0"/>
              <w:rPr>
                <w:sz w:val="20"/>
                <w:szCs w:val="20"/>
                <w:color w:val="auto"/>
              </w:rPr>
            </w:pPr>
            <w:r>
              <w:rPr>
                <w:rFonts w:ascii="Arial" w:cs="Arial" w:eastAsia="Arial" w:hAnsi="Arial"/>
                <w:sz w:val="16"/>
                <w:szCs w:val="16"/>
                <w:color w:val="auto"/>
              </w:rPr>
              <w:t>Effectiveness of meetings</w:t>
            </w:r>
          </w:p>
        </w:tc>
        <w:tc>
          <w:tcPr>
            <w:tcW w:w="1120" w:type="dxa"/>
            <w:vAlign w:val="bottom"/>
          </w:tcPr>
          <w:p>
            <w:pPr>
              <w:ind w:left="102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Frequency and breadth of executive sessions</w:t>
            </w:r>
          </w:p>
        </w:tc>
      </w:tr>
      <w:tr>
        <w:trPr>
          <w:trHeight w:val="216"/>
        </w:trPr>
        <w:tc>
          <w:tcPr>
            <w:tcW w:w="100" w:type="dxa"/>
            <w:vAlign w:val="bottom"/>
          </w:tcPr>
          <w:p>
            <w:pPr>
              <w:spacing w:after="0"/>
              <w:rPr>
                <w:sz w:val="20"/>
                <w:szCs w:val="20"/>
                <w:color w:val="auto"/>
              </w:rPr>
            </w:pPr>
            <w:r>
              <w:rPr>
                <w:rFonts w:ascii="Arial" w:cs="Arial" w:eastAsia="Arial" w:hAnsi="Arial"/>
                <w:sz w:val="16"/>
                <w:szCs w:val="16"/>
                <w:color w:val="003A70"/>
              </w:rPr>
              <w:t>•</w:t>
            </w:r>
          </w:p>
        </w:tc>
        <w:tc>
          <w:tcPr>
            <w:tcW w:w="4620" w:type="dxa"/>
            <w:vAlign w:val="bottom"/>
          </w:tcPr>
          <w:p>
            <w:pPr>
              <w:ind w:left="40"/>
              <w:spacing w:after="0"/>
              <w:rPr>
                <w:sz w:val="20"/>
                <w:szCs w:val="20"/>
                <w:color w:val="auto"/>
              </w:rPr>
            </w:pPr>
            <w:r>
              <w:rPr>
                <w:rFonts w:ascii="Arial" w:cs="Arial" w:eastAsia="Arial" w:hAnsi="Arial"/>
                <w:sz w:val="16"/>
                <w:szCs w:val="16"/>
                <w:color w:val="auto"/>
              </w:rPr>
              <w:t>Adequacy of materials</w:t>
            </w:r>
          </w:p>
        </w:tc>
        <w:tc>
          <w:tcPr>
            <w:tcW w:w="1120" w:type="dxa"/>
            <w:vAlign w:val="bottom"/>
          </w:tcPr>
          <w:p>
            <w:pPr>
              <w:ind w:left="1020"/>
              <w:spacing w:after="0"/>
              <w:rPr>
                <w:sz w:val="20"/>
                <w:szCs w:val="20"/>
                <w:color w:val="auto"/>
              </w:rPr>
            </w:pPr>
            <w:r>
              <w:rPr>
                <w:rFonts w:ascii="Arial" w:cs="Arial" w:eastAsia="Arial" w:hAnsi="Arial"/>
                <w:sz w:val="16"/>
                <w:szCs w:val="16"/>
                <w:color w:val="003A70"/>
              </w:rPr>
              <w:t>•</w:t>
            </w:r>
          </w:p>
        </w:tc>
        <w:tc>
          <w:tcPr>
            <w:tcW w:w="5180" w:type="dxa"/>
            <w:vAlign w:val="bottom"/>
          </w:tcPr>
          <w:p>
            <w:pPr>
              <w:ind w:left="40"/>
              <w:spacing w:after="0"/>
              <w:rPr>
                <w:sz w:val="20"/>
                <w:szCs w:val="20"/>
                <w:color w:val="auto"/>
              </w:rPr>
            </w:pPr>
            <w:r>
              <w:rPr>
                <w:rFonts w:ascii="Arial" w:cs="Arial" w:eastAsia="Arial" w:hAnsi="Arial"/>
                <w:sz w:val="16"/>
                <w:szCs w:val="16"/>
                <w:color w:val="auto"/>
              </w:rPr>
              <w:t>Skills and qualifications of Board and committee members</w:t>
            </w:r>
          </w:p>
        </w:tc>
      </w:tr>
    </w:tbl>
    <w:p>
      <w:pPr>
        <w:spacing w:after="0" w:line="1" w:lineRule="exact"/>
        <w:rPr>
          <w:sz w:val="20"/>
          <w:szCs w:val="20"/>
          <w:color w:val="auto"/>
        </w:rPr>
      </w:pPr>
    </w:p>
    <w:p>
      <w:pPr>
        <w:ind w:left="260" w:hanging="144"/>
        <w:spacing w:after="0"/>
        <w:tabs>
          <w:tab w:leader="none" w:pos="260" w:val="left"/>
        </w:tabs>
        <w:numPr>
          <w:ilvl w:val="0"/>
          <w:numId w:val="50"/>
        </w:numPr>
        <w:rPr>
          <w:rFonts w:ascii="Arial" w:cs="Arial" w:eastAsia="Arial" w:hAnsi="Arial"/>
          <w:sz w:val="16"/>
          <w:szCs w:val="16"/>
          <w:color w:val="003A70"/>
        </w:rPr>
      </w:pPr>
      <w:r>
        <w:rPr>
          <w:rFonts w:ascii="Arial" w:cs="Arial" w:eastAsia="Arial" w:hAnsi="Arial"/>
          <w:sz w:val="16"/>
          <w:szCs w:val="16"/>
          <w:color w:val="auto"/>
        </w:rPr>
        <w:t>Quality of deliberations and communication with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4" w:lineRule="exact"/>
        <w:rPr>
          <w:sz w:val="20"/>
          <w:szCs w:val="20"/>
          <w:color w:val="auto"/>
        </w:rPr>
      </w:pPr>
    </w:p>
    <w:p>
      <w:pPr>
        <w:ind w:left="120" w:right="500"/>
        <w:spacing w:after="0" w:line="286" w:lineRule="auto"/>
        <w:rPr>
          <w:sz w:val="20"/>
          <w:szCs w:val="20"/>
          <w:color w:val="auto"/>
        </w:rPr>
      </w:pPr>
      <w:r>
        <w:rPr>
          <w:rFonts w:ascii="Arial" w:cs="Arial" w:eastAsia="Arial" w:hAnsi="Arial"/>
          <w:sz w:val="16"/>
          <w:szCs w:val="16"/>
          <w:color w:val="auto"/>
        </w:rPr>
        <w:t>The results from the 2025 evaluation process were positive and confirmed our belief that our Board upholds a high level of Board effectiveness and governance.</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INCLUSION</w:t>
      </w:r>
    </w:p>
    <w:p>
      <w:pPr>
        <w:spacing w:after="0" w:line="112"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At Marriott Vacations Worldwide, we are in the business of bringing people together. Like our customers, our associates come from diverse backgrounds, offering invaluably distinct perspectives. Throughout the year, we infused our associate communications and associate experience programming with touchpoints designed to educate, commemorate, and celebrate key events and milestones, and further build on our vibrant culture of inclusion. We have an Executive Inclusion Council, which is composed of senior leaders dedicated to enabling and championing inclusion initiatives throughout the organization.</w:t>
      </w:r>
    </w:p>
    <w:p>
      <w:pPr>
        <w:spacing w:after="0" w:line="113" w:lineRule="exact"/>
        <w:rPr>
          <w:sz w:val="20"/>
          <w:szCs w:val="20"/>
          <w:color w:val="auto"/>
        </w:rPr>
      </w:pPr>
    </w:p>
    <w:p>
      <w:pPr>
        <w:ind w:left="120"/>
        <w:spacing w:after="0"/>
        <w:tabs>
          <w:tab w:leader="none" w:pos="5060" w:val="left"/>
          <w:tab w:leader="none" w:pos="7820" w:val="left"/>
        </w:tabs>
        <w:rPr>
          <w:sz w:val="20"/>
          <w:szCs w:val="20"/>
          <w:color w:val="auto"/>
        </w:rPr>
      </w:pPr>
      <w:r>
        <w:rPr>
          <w:rFonts w:ascii="Arial" w:cs="Arial" w:eastAsia="Arial" w:hAnsi="Arial"/>
          <w:sz w:val="11"/>
          <w:szCs w:val="11"/>
          <w:b w:val="1"/>
          <w:bCs w:val="1"/>
          <w:color w:val="003A70"/>
        </w:rPr>
        <w:t>26</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SELECTION OF DIRECTOR NOMINEES</w:t>
      </w:r>
    </w:p>
    <w:p>
      <w:pPr>
        <w:spacing w:after="0" w:line="112"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auto"/>
        </w:rPr>
        <w:t>The Nominating and Corporate Governance Committee identifies and recruits candidates for election to the Board. The Nominating and Corporate Governance Committee evaluates the composition of the Board at least annually to assess the skills and experience that are currently represented on the Board as a whole, and in individual directors, as well as the skills and experience that the Board may find valuable in the future. The Nominating and Corporate Governance Committee selects and recommends to the Board director candidates based on the Nominating and Corporate Governance Committee’s evaluation of each candidate’s character, judgment, personal and professional ethics, personal and professional integrity, values, background experience, technical skills, affiliations, familiarity with national and international issues affecting our business and demonstrated exceptional ability and judgment. Although we do not have a formal policy regarding diversity, our Board seeks diverse backgrounds, experiences, and perspectives among its members. Candidates are selected who not only bring a depth of experience but also provide skills and knowledge complementary to the Board and our business. Candidates must be committed to representing the long-term interests of our stockholders and fulfilling a director’s duties and responsibilities, which include attending Board meetings and our annual stockholders meeting, and preparing for Board meetings by advance review of any meeting materials. The Nominating and Corporate Governance Committee recommends to the Board the Company’s candidates for election or reelection to the Board at each annual meeting of stockholders, as well as candidates to be elected by the Board as necessary to fill vacancies and newly created directorships. The Board proposes a slate of nominees to the stockholders for election to the Board. The Board also determines the number of directors on the Board. Pursuant to the Support Agreement with Impactive Capital, the Company agreed to appoint Mr. Asmar to the Board. Before entering into the Support Agreement, members of the Nominating and Corporate Governance Committee interviewed Mr. Asmar, the Nominating and Corporate Governance Committee discussed and evaluated Mr. Asmar’s candidacy in accordance with the criteria described above, and the Board unanimously approved Mr. Asmar’s appointment to the Board. The Support Agreement provides for customary director replacement procedures in the event Mr. Asmar ceases to serve as a director under certain circumstances as specified in the Support Agreement. Please refer to Transactions with Certain Stockholders for more information regarding the Support Agreement.</w:t>
      </w:r>
    </w:p>
    <w:p>
      <w:pPr>
        <w:spacing w:after="0" w:line="87" w:lineRule="exact"/>
        <w:rPr>
          <w:sz w:val="20"/>
          <w:szCs w:val="20"/>
          <w:color w:val="auto"/>
        </w:rPr>
      </w:pPr>
    </w:p>
    <w:p>
      <w:pPr>
        <w:ind w:left="120" w:right="300"/>
        <w:spacing w:after="0" w:line="254" w:lineRule="auto"/>
        <w:rPr>
          <w:sz w:val="20"/>
          <w:szCs w:val="20"/>
          <w:color w:val="auto"/>
        </w:rPr>
      </w:pPr>
      <w:r>
        <w:rPr>
          <w:rFonts w:ascii="Arial" w:cs="Arial" w:eastAsia="Arial" w:hAnsi="Arial"/>
          <w:sz w:val="16"/>
          <w:szCs w:val="16"/>
          <w:color w:val="auto"/>
        </w:rPr>
        <w:t>The Nominating and Corporate Governance Committee identifies candidates for director on its own as well as by considering recommendations from other members of the Board, officers and employees of the Company, and other sources that the Nominating and Corporate Governance Committee deems appropriate. The Nominating and Corporate Governance Committee will also consider candidates for Board membership recommended by stockholders. Stockholders may recommend candidates for consideration by the Nominating and Corporate Governance Committee by submitting the names and supporting information to: Marriott Vacations Worldwide Corporation, 7812 Palm Parkway, Orlando, Florida, 32836, Attention: Corporate Secretary. Candidates recommended by stockholders are considered on the same basis as those from other sources.</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supporting information should include the information required by our Bylaws in connection with the nominations of persons for election to the Board.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Nominating and Corporate Governance Committee will evaluate all candidates, regardless of source, in light of the Board-approved criteria.</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INDEPENDENCE</w:t>
      </w:r>
    </w:p>
    <w:p>
      <w:pPr>
        <w:spacing w:after="0" w:line="112"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auto"/>
        </w:rPr>
        <w:t>The Company has determined that all of the current directors, other than Matthew E. Avril, have no material relationship with the Company and are independent under the criteria set forth in the applicable rules of the SEC, the NYSE Listing Standards and the Company’s Corporate Governance Principles. Additionally, the Company determined that Raymond Gellein and Melquiades Martinez, each of whom served as director until May 13, 2025, were independent during the time they served as directors. John Geller, who served as a director concurrent with his service as President and CEO until November 10, 2025, was not independent. All of the members of the Audit Committee, Compensation Policy Committee, and Nominating and Corporate Governance Committee are independent under such standards, including any heightened standards applicable to committee members.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 OVERSIGHT</w:t>
      </w:r>
    </w:p>
    <w:p>
      <w:pPr>
        <w:spacing w:after="0" w:line="112"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Our Board is responsible for overseeing our processes for assessing and managing risk. The Board considers our risk profile when reviewing our annual business plan and incorporates risk assessment into its decisions. In performing its oversight responsibilities, our Board receives an annual enterprise risk assessment report from our Executive Vice President and Chief Financial Officer and our Senior Vice President, Internal Audit and Corporate Responsibility (who is our Chief Audit Executive), and discusses the most significant risks facing us. The Board believes that its risk oversight process would be effective under a variety of Board leadership structures, and therefore, it does not materially affect the Board’s choice of leadership structure.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of the Board’s committees addresses risks that fall within that committee’s area of responsibility.</w:t>
      </w:r>
    </w:p>
    <w:p>
      <w:pPr>
        <w:spacing w:after="0" w:line="113" w:lineRule="exact"/>
        <w:rPr>
          <w:sz w:val="20"/>
          <w:szCs w:val="20"/>
          <w:color w:val="auto"/>
        </w:rPr>
      </w:pPr>
    </w:p>
    <w:p>
      <w:pPr>
        <w:ind w:left="120" w:right="260"/>
        <w:spacing w:after="0" w:line="254" w:lineRule="auto"/>
        <w:rPr>
          <w:sz w:val="20"/>
          <w:szCs w:val="20"/>
          <w:color w:val="auto"/>
        </w:rPr>
      </w:pPr>
      <w:r>
        <w:rPr>
          <w:rFonts w:ascii="Arial" w:cs="Arial" w:eastAsia="Arial" w:hAnsi="Arial"/>
          <w:sz w:val="16"/>
          <w:szCs w:val="16"/>
          <w:color w:val="auto"/>
        </w:rPr>
        <w:t>Our Audit Committee is responsible for a number of risk oversight functions, including the periodic review of the audit plan of the internal audit department, the tax function, treasury operations, and insurance, as well as conducting oversight of legal and regulatory risks, data privacy and related regulations, artificial intelligence and related regulations, cybersecurity and data security. The Audit Committee receives regular reports from: the corporate controllership and our outside independent accounting firm on financial reporting matters; the internal audit department about significant findings; and the General Counsel regarding legal and regulatory risks; and as discussed below with respect to cybersecurity. The Audit Committee incorporates its risk assessment function into its reports to the Board.</w:t>
      </w:r>
    </w:p>
    <w:p>
      <w:pPr>
        <w:spacing w:after="0" w:line="7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Our CPC evaluates any incentives and risks arising from or related to our compensation programs and plans and assesses whether the incentives and risks are appropriate. As discussed in the Compensation Discussion and Analysis below, the CPC believes that our compensation programs do not present risks that are reasonably likely to have a material adverse effect on the Company. The CPC is also responsible for oversight of risks related to our workforce and key aspects of the Company’s human resources strategies, policies and programs with respect to organizational development activities, including, but not limited to, initiatives relating to inclusion and other social responsibility matters.</w:t>
      </w:r>
    </w:p>
    <w:p>
      <w:pPr>
        <w:spacing w:after="0" w:line="72"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auto"/>
        </w:rPr>
        <w:t>Our Nominating and Corporate Governance Committee plays a central role in oversight of corporate responsibility risk and the Company’s corporate responsibility functions, objectives, strategy, and performance, as further discussed below.</w:t>
      </w:r>
    </w:p>
    <w:p>
      <w:pPr>
        <w:spacing w:after="0" w:line="89" w:lineRule="exact"/>
        <w:rPr>
          <w:sz w:val="20"/>
          <w:szCs w:val="20"/>
          <w:color w:val="auto"/>
        </w:rPr>
      </w:pPr>
    </w:p>
    <w:p>
      <w:pPr>
        <w:ind w:left="120"/>
        <w:spacing w:after="0"/>
        <w:tabs>
          <w:tab w:leader="none" w:pos="506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003A7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Our Ad Hoc Committee on Technology and Innovation Strategy reviews and discusses with management the effectiveness of the Company’s risk assessment and risk management guidelines and policies regarding information technology systems and security, including disaster recovery capabilities and enterprise data management. The Ad Hoc Committee on Technology and Innovation Strategy also reviews the Company’s assessment of technology-related risks, including risks relating to cybersecurity, data privacy, artificial intelligence, and operational resilience, in coordination with the Audit Committee as appropriate.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OVERSIGHT OF CYBERSECURITY</w:t>
      </w:r>
    </w:p>
    <w:p>
      <w:pPr>
        <w:spacing w:after="0" w:line="112"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Our Audit Committee is responsible for oversight of cybersecurity risk. The Audit Committee regularly reviews our cybersecurity and data security risks and mitigation strategies. The Audit Committee periodically receives reports and presentations from members of our team responsible for overseeing our cybersecurity risk management, including our Senior Vice President, Global Information Security, and our Executive Vice President and Chief Information Officer and presentations from third parties. The Company has a dedicated team that is responsible for managing enterprise-wide information security strategy, policy, standards, architecture and processes. This team follows a documented process to identify, quantify and mitigate security risks. Risks are reported to and reviewed by senior leadership, and more significant risks are reported to our executive officers and the Audit Committee. In addition, we require our associates to receive annual training on our information security policies. This includes but is not limited to information classification and handling, data privacy, physical security, phishing, malware and ransomware, social engineering, identifying and reporting information security incidents and secure credit card handling as well as additional topics based on job roles and responsibilities.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AND COMMITTEE OVERSIGHT OF CORPORATE RESPONSIBILITY</w:t>
      </w:r>
    </w:p>
    <w:p>
      <w:pPr>
        <w:spacing w:after="0" w:line="11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Oversight of corporate responsibility matters happens at multiple levels within our corporate responsibility governance structure. Our Board has overall responsibility for managing corporate responsibility risks and opportunities and is provided with periodic updates on corporate responsibility matters. Each of the Board’s committees assists the Board in fulfilling this responsibility by overseeing the corporate responsibility-related risks in areas over which they have responsibility.</w:t>
      </w:r>
    </w:p>
    <w:p>
      <w:pPr>
        <w:spacing w:after="0" w:line="218"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Board has overall responsibility for overseeing corporate responsibility risks and opportunities and is provided with updates on corporate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responsibility matters. Our Board plays a critical role in understanding how corporate responsibility issues affect our business strategy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0"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Nominating and Corporate Governance Committee oversees the Company’s corporate responsibility priorities, objectives, strategy, and performance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and makes recommendations to the Board and reviews corporate responsibility risks and opportunities with management.</w:t>
      </w:r>
    </w:p>
    <w:p>
      <w:pPr>
        <w:spacing w:after="0" w:line="7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Compensation Policy Committee oversees initiatives relating to inclusion and other social responsibility matters.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Audit Committee oversees reporting, internal control, and disclosure procedures with respect to corporate responsibility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6995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Corporate Responsibility Steering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07" w:lineRule="exact"/>
        <w:rPr>
          <w:sz w:val="20"/>
          <w:szCs w:val="20"/>
          <w:color w:val="auto"/>
        </w:rPr>
      </w:pPr>
    </w:p>
    <w:p>
      <w:pPr>
        <w:jc w:val="center"/>
        <w:ind w:left="420" w:right="40"/>
        <w:spacing w:after="0" w:line="254" w:lineRule="auto"/>
        <w:rPr>
          <w:sz w:val="20"/>
          <w:szCs w:val="20"/>
          <w:color w:val="auto"/>
        </w:rPr>
      </w:pPr>
      <w:r>
        <w:rPr>
          <w:rFonts w:ascii="Arial" w:cs="Arial" w:eastAsia="Arial" w:hAnsi="Arial"/>
          <w:sz w:val="16"/>
          <w:szCs w:val="16"/>
          <w:color w:val="auto"/>
        </w:rPr>
        <w:t>The Corporate Responsibility Steering Committee has overall responsibility for managing corporate responsibility-related risks and opportunities. The Corporate Responsibility Steering Committee is a cross-functional management committee of the Company comprised of C-Suite executives that is responsible for (a) setting general strategy relating to corporate responsibility matters, (b) developing, implementing, and monitoring initiatives and policies based on that strategy, (c) overseeing communications with employees, investors, and other stakeholders with respect to corporate responsibility matters, and (d) monitoring and assessing developments relating to, and improving our understanding of, corporate responsibility matters. The Corporate Responsibility Steering Committee established the Corporate Responsibility Task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38735</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Corporate Responsibility Task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76" w:lineRule="exact"/>
        <w:rPr>
          <w:sz w:val="20"/>
          <w:szCs w:val="20"/>
          <w:color w:val="auto"/>
        </w:rPr>
      </w:pPr>
    </w:p>
    <w:p>
      <w:pPr>
        <w:jc w:val="center"/>
        <w:ind w:left="420" w:right="520"/>
        <w:spacing w:after="0" w:line="266" w:lineRule="auto"/>
        <w:rPr>
          <w:sz w:val="20"/>
          <w:szCs w:val="20"/>
          <w:color w:val="auto"/>
        </w:rPr>
      </w:pPr>
      <w:r>
        <w:rPr>
          <w:rFonts w:ascii="Arial" w:cs="Arial" w:eastAsia="Arial" w:hAnsi="Arial"/>
          <w:sz w:val="16"/>
          <w:szCs w:val="16"/>
          <w:color w:val="auto"/>
        </w:rPr>
        <w:t>The Corporate Responsibility Task Force is responsible for the day-to-day progress of the Company’s corporate responsibility activities. The Corporate Responsibility Task Force is a cross-functional team of senior leaders that is responsible for specific corporate responsibility programs and is overseen by the Corporate Responsibility Steering Committee.</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task force consists of associates from these departments:</w:t>
      </w: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2440" w:type="dxa"/>
            <w:vAlign w:val="bottom"/>
          </w:tcPr>
          <w:p>
            <w:pPr>
              <w:ind w:left="2340"/>
              <w:spacing w:after="0"/>
              <w:rPr>
                <w:sz w:val="20"/>
                <w:szCs w:val="20"/>
                <w:color w:val="auto"/>
              </w:rPr>
            </w:pPr>
            <w:r>
              <w:rPr>
                <w:rFonts w:ascii="Arial" w:cs="Arial" w:eastAsia="Arial" w:hAnsi="Arial"/>
                <w:sz w:val="16"/>
                <w:szCs w:val="16"/>
                <w:color w:val="003A70"/>
              </w:rPr>
              <w:t>•</w:t>
            </w:r>
          </w:p>
        </w:tc>
        <w:tc>
          <w:tcPr>
            <w:tcW w:w="2140" w:type="dxa"/>
            <w:vAlign w:val="bottom"/>
          </w:tcPr>
          <w:p>
            <w:pPr>
              <w:ind w:left="40"/>
              <w:spacing w:after="0"/>
              <w:rPr>
                <w:sz w:val="20"/>
                <w:szCs w:val="20"/>
                <w:color w:val="auto"/>
              </w:rPr>
            </w:pPr>
            <w:r>
              <w:rPr>
                <w:rFonts w:ascii="Arial" w:cs="Arial" w:eastAsia="Arial" w:hAnsi="Arial"/>
                <w:sz w:val="16"/>
                <w:szCs w:val="16"/>
                <w:color w:val="auto"/>
              </w:rPr>
              <w:t>Investor Relations</w:t>
            </w:r>
          </w:p>
        </w:tc>
        <w:tc>
          <w:tcPr>
            <w:tcW w:w="1600" w:type="dxa"/>
            <w:vAlign w:val="bottom"/>
          </w:tcPr>
          <w:p>
            <w:pPr>
              <w:ind w:left="1500"/>
              <w:spacing w:after="0"/>
              <w:rPr>
                <w:sz w:val="20"/>
                <w:szCs w:val="20"/>
                <w:color w:val="auto"/>
              </w:rPr>
            </w:pPr>
            <w:r>
              <w:rPr>
                <w:rFonts w:ascii="Arial" w:cs="Arial" w:eastAsia="Arial" w:hAnsi="Arial"/>
                <w:sz w:val="16"/>
                <w:szCs w:val="16"/>
                <w:color w:val="003A70"/>
              </w:rPr>
              <w:t>•</w:t>
            </w:r>
          </w:p>
        </w:tc>
        <w:tc>
          <w:tcPr>
            <w:tcW w:w="4840" w:type="dxa"/>
            <w:vAlign w:val="bottom"/>
          </w:tcPr>
          <w:p>
            <w:pPr>
              <w:ind w:left="40"/>
              <w:spacing w:after="0"/>
              <w:rPr>
                <w:sz w:val="20"/>
                <w:szCs w:val="20"/>
                <w:color w:val="auto"/>
              </w:rPr>
            </w:pPr>
            <w:r>
              <w:rPr>
                <w:rFonts w:ascii="Arial" w:cs="Arial" w:eastAsia="Arial" w:hAnsi="Arial"/>
                <w:sz w:val="16"/>
                <w:szCs w:val="16"/>
                <w:color w:val="auto"/>
              </w:rPr>
              <w:t>Procurement</w:t>
            </w:r>
          </w:p>
        </w:tc>
      </w:tr>
      <w:tr>
        <w:trPr>
          <w:trHeight w:val="216"/>
        </w:trPr>
        <w:tc>
          <w:tcPr>
            <w:tcW w:w="2440" w:type="dxa"/>
            <w:vAlign w:val="bottom"/>
          </w:tcPr>
          <w:p>
            <w:pPr>
              <w:ind w:left="2340"/>
              <w:spacing w:after="0"/>
              <w:rPr>
                <w:sz w:val="20"/>
                <w:szCs w:val="20"/>
                <w:color w:val="auto"/>
              </w:rPr>
            </w:pPr>
            <w:r>
              <w:rPr>
                <w:rFonts w:ascii="Arial" w:cs="Arial" w:eastAsia="Arial" w:hAnsi="Arial"/>
                <w:sz w:val="16"/>
                <w:szCs w:val="16"/>
                <w:color w:val="003A70"/>
              </w:rPr>
              <w:t>•</w:t>
            </w:r>
          </w:p>
        </w:tc>
        <w:tc>
          <w:tcPr>
            <w:tcW w:w="2140" w:type="dxa"/>
            <w:vAlign w:val="bottom"/>
          </w:tcPr>
          <w:p>
            <w:pPr>
              <w:ind w:left="40"/>
              <w:spacing w:after="0"/>
              <w:rPr>
                <w:sz w:val="20"/>
                <w:szCs w:val="20"/>
                <w:color w:val="auto"/>
              </w:rPr>
            </w:pPr>
            <w:r>
              <w:rPr>
                <w:rFonts w:ascii="Arial" w:cs="Arial" w:eastAsia="Arial" w:hAnsi="Arial"/>
                <w:sz w:val="16"/>
                <w:szCs w:val="16"/>
                <w:color w:val="auto"/>
              </w:rPr>
              <w:t>Legal</w:t>
            </w:r>
          </w:p>
        </w:tc>
        <w:tc>
          <w:tcPr>
            <w:tcW w:w="1600" w:type="dxa"/>
            <w:vAlign w:val="bottom"/>
          </w:tcPr>
          <w:p>
            <w:pPr>
              <w:ind w:left="1500"/>
              <w:spacing w:after="0"/>
              <w:rPr>
                <w:sz w:val="20"/>
                <w:szCs w:val="20"/>
                <w:color w:val="auto"/>
              </w:rPr>
            </w:pPr>
            <w:r>
              <w:rPr>
                <w:rFonts w:ascii="Arial" w:cs="Arial" w:eastAsia="Arial" w:hAnsi="Arial"/>
                <w:sz w:val="16"/>
                <w:szCs w:val="16"/>
                <w:color w:val="003A70"/>
              </w:rPr>
              <w:t>•</w:t>
            </w:r>
          </w:p>
        </w:tc>
        <w:tc>
          <w:tcPr>
            <w:tcW w:w="4840" w:type="dxa"/>
            <w:vAlign w:val="bottom"/>
          </w:tcPr>
          <w:p>
            <w:pPr>
              <w:ind w:left="40"/>
              <w:spacing w:after="0"/>
              <w:rPr>
                <w:sz w:val="20"/>
                <w:szCs w:val="20"/>
                <w:color w:val="auto"/>
              </w:rPr>
            </w:pPr>
            <w:r>
              <w:rPr>
                <w:rFonts w:ascii="Arial" w:cs="Arial" w:eastAsia="Arial" w:hAnsi="Arial"/>
                <w:sz w:val="16"/>
                <w:szCs w:val="16"/>
                <w:color w:val="auto"/>
              </w:rPr>
              <w:t>Financial Reporting</w:t>
            </w:r>
          </w:p>
        </w:tc>
      </w:tr>
      <w:tr>
        <w:trPr>
          <w:trHeight w:val="216"/>
        </w:trPr>
        <w:tc>
          <w:tcPr>
            <w:tcW w:w="2440" w:type="dxa"/>
            <w:vAlign w:val="bottom"/>
          </w:tcPr>
          <w:p>
            <w:pPr>
              <w:ind w:left="2340"/>
              <w:spacing w:after="0"/>
              <w:rPr>
                <w:sz w:val="20"/>
                <w:szCs w:val="20"/>
                <w:color w:val="auto"/>
              </w:rPr>
            </w:pPr>
            <w:r>
              <w:rPr>
                <w:rFonts w:ascii="Arial" w:cs="Arial" w:eastAsia="Arial" w:hAnsi="Arial"/>
                <w:sz w:val="16"/>
                <w:szCs w:val="16"/>
                <w:color w:val="003A70"/>
              </w:rPr>
              <w:t>•</w:t>
            </w:r>
          </w:p>
        </w:tc>
        <w:tc>
          <w:tcPr>
            <w:tcW w:w="2140" w:type="dxa"/>
            <w:vAlign w:val="bottom"/>
          </w:tcPr>
          <w:p>
            <w:pPr>
              <w:ind w:left="40"/>
              <w:spacing w:after="0"/>
              <w:rPr>
                <w:sz w:val="20"/>
                <w:szCs w:val="20"/>
                <w:color w:val="auto"/>
              </w:rPr>
            </w:pPr>
            <w:r>
              <w:rPr>
                <w:rFonts w:ascii="Arial" w:cs="Arial" w:eastAsia="Arial" w:hAnsi="Arial"/>
                <w:sz w:val="16"/>
                <w:szCs w:val="16"/>
                <w:color w:val="auto"/>
              </w:rPr>
              <w:t>Global Communications</w:t>
            </w:r>
          </w:p>
        </w:tc>
        <w:tc>
          <w:tcPr>
            <w:tcW w:w="1600" w:type="dxa"/>
            <w:vAlign w:val="bottom"/>
          </w:tcPr>
          <w:p>
            <w:pPr>
              <w:ind w:left="1500"/>
              <w:spacing w:after="0"/>
              <w:rPr>
                <w:sz w:val="20"/>
                <w:szCs w:val="20"/>
                <w:color w:val="auto"/>
              </w:rPr>
            </w:pPr>
            <w:r>
              <w:rPr>
                <w:rFonts w:ascii="Arial" w:cs="Arial" w:eastAsia="Arial" w:hAnsi="Arial"/>
                <w:sz w:val="16"/>
                <w:szCs w:val="16"/>
                <w:color w:val="003A70"/>
              </w:rPr>
              <w:t>•</w:t>
            </w:r>
          </w:p>
        </w:tc>
        <w:tc>
          <w:tcPr>
            <w:tcW w:w="4840" w:type="dxa"/>
            <w:vAlign w:val="bottom"/>
          </w:tcPr>
          <w:p>
            <w:pPr>
              <w:ind w:left="40"/>
              <w:spacing w:after="0"/>
              <w:rPr>
                <w:sz w:val="20"/>
                <w:szCs w:val="20"/>
                <w:color w:val="auto"/>
              </w:rPr>
            </w:pPr>
            <w:r>
              <w:rPr>
                <w:rFonts w:ascii="Arial" w:cs="Arial" w:eastAsia="Arial" w:hAnsi="Arial"/>
                <w:sz w:val="16"/>
                <w:szCs w:val="16"/>
                <w:color w:val="auto"/>
              </w:rPr>
              <w:t>Capital Markets</w:t>
            </w:r>
          </w:p>
        </w:tc>
      </w:tr>
      <w:tr>
        <w:trPr>
          <w:trHeight w:val="216"/>
        </w:trPr>
        <w:tc>
          <w:tcPr>
            <w:tcW w:w="4580" w:type="dxa"/>
            <w:vAlign w:val="bottom"/>
            <w:gridSpan w:val="2"/>
          </w:tcPr>
          <w:p>
            <w:pPr>
              <w:ind w:left="234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Human Resources</w:t>
            </w:r>
          </w:p>
        </w:tc>
        <w:tc>
          <w:tcPr>
            <w:tcW w:w="6440" w:type="dxa"/>
            <w:vAlign w:val="bottom"/>
            <w:gridSpan w:val="2"/>
          </w:tcPr>
          <w:p>
            <w:pPr>
              <w:ind w:left="150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Market Operations</w:t>
            </w:r>
          </w:p>
        </w:tc>
      </w:tr>
      <w:tr>
        <w:trPr>
          <w:trHeight w:val="216"/>
        </w:trPr>
        <w:tc>
          <w:tcPr>
            <w:tcW w:w="2440" w:type="dxa"/>
            <w:vAlign w:val="bottom"/>
          </w:tcPr>
          <w:p>
            <w:pPr>
              <w:ind w:left="2340"/>
              <w:spacing w:after="0"/>
              <w:rPr>
                <w:sz w:val="20"/>
                <w:szCs w:val="20"/>
                <w:color w:val="auto"/>
              </w:rPr>
            </w:pPr>
            <w:r>
              <w:rPr>
                <w:rFonts w:ascii="Arial" w:cs="Arial" w:eastAsia="Arial" w:hAnsi="Arial"/>
                <w:sz w:val="16"/>
                <w:szCs w:val="16"/>
                <w:color w:val="003A70"/>
              </w:rPr>
              <w:t>•</w:t>
            </w:r>
          </w:p>
        </w:tc>
        <w:tc>
          <w:tcPr>
            <w:tcW w:w="2140" w:type="dxa"/>
            <w:vAlign w:val="bottom"/>
          </w:tcPr>
          <w:p>
            <w:pPr>
              <w:ind w:left="40"/>
              <w:spacing w:after="0"/>
              <w:rPr>
                <w:sz w:val="20"/>
                <w:szCs w:val="20"/>
                <w:color w:val="auto"/>
              </w:rPr>
            </w:pPr>
            <w:r>
              <w:rPr>
                <w:rFonts w:ascii="Arial" w:cs="Arial" w:eastAsia="Arial" w:hAnsi="Arial"/>
                <w:sz w:val="16"/>
                <w:szCs w:val="16"/>
                <w:color w:val="auto"/>
              </w:rPr>
              <w:t>Internal Audit</w:t>
            </w:r>
          </w:p>
        </w:tc>
        <w:tc>
          <w:tcPr>
            <w:tcW w:w="1600" w:type="dxa"/>
            <w:vAlign w:val="bottom"/>
          </w:tcPr>
          <w:p>
            <w:pPr>
              <w:ind w:left="1500"/>
              <w:spacing w:after="0"/>
              <w:rPr>
                <w:sz w:val="20"/>
                <w:szCs w:val="20"/>
                <w:color w:val="auto"/>
              </w:rPr>
            </w:pPr>
            <w:r>
              <w:rPr>
                <w:rFonts w:ascii="Arial" w:cs="Arial" w:eastAsia="Arial" w:hAnsi="Arial"/>
                <w:sz w:val="16"/>
                <w:szCs w:val="16"/>
                <w:color w:val="003A70"/>
              </w:rPr>
              <w:t>•</w:t>
            </w:r>
          </w:p>
        </w:tc>
        <w:tc>
          <w:tcPr>
            <w:tcW w:w="4840" w:type="dxa"/>
            <w:vAlign w:val="bottom"/>
          </w:tcPr>
          <w:p>
            <w:pPr>
              <w:ind w:left="40"/>
              <w:spacing w:after="0"/>
              <w:rPr>
                <w:sz w:val="20"/>
                <w:szCs w:val="20"/>
                <w:color w:val="auto"/>
              </w:rPr>
            </w:pPr>
            <w:r>
              <w:rPr>
                <w:rFonts w:ascii="Arial" w:cs="Arial" w:eastAsia="Arial" w:hAnsi="Arial"/>
                <w:sz w:val="16"/>
                <w:szCs w:val="16"/>
                <w:color w:val="auto"/>
              </w:rPr>
              <w:t>Global Information Security</w:t>
            </w:r>
          </w:p>
        </w:tc>
      </w:tr>
      <w:tr>
        <w:trPr>
          <w:trHeight w:val="225"/>
        </w:trPr>
        <w:tc>
          <w:tcPr>
            <w:tcW w:w="2440" w:type="dxa"/>
            <w:vAlign w:val="bottom"/>
            <w:tcBorders>
              <w:bottom w:val="single" w:sz="8" w:color="003A70"/>
            </w:tcBorders>
          </w:tcPr>
          <w:p>
            <w:pPr>
              <w:ind w:left="2340"/>
              <w:spacing w:after="0"/>
              <w:rPr>
                <w:sz w:val="20"/>
                <w:szCs w:val="20"/>
                <w:color w:val="auto"/>
              </w:rPr>
            </w:pPr>
            <w:r>
              <w:rPr>
                <w:rFonts w:ascii="Arial" w:cs="Arial" w:eastAsia="Arial" w:hAnsi="Arial"/>
                <w:sz w:val="16"/>
                <w:szCs w:val="16"/>
                <w:color w:val="003A70"/>
              </w:rPr>
              <w:t>•</w:t>
            </w:r>
          </w:p>
        </w:tc>
        <w:tc>
          <w:tcPr>
            <w:tcW w:w="2140" w:type="dxa"/>
            <w:vAlign w:val="bottom"/>
            <w:tcBorders>
              <w:bottom w:val="single" w:sz="8" w:color="003A70"/>
            </w:tcBorders>
          </w:tcPr>
          <w:p>
            <w:pPr>
              <w:ind w:left="40"/>
              <w:spacing w:after="0"/>
              <w:rPr>
                <w:sz w:val="20"/>
                <w:szCs w:val="20"/>
                <w:color w:val="auto"/>
              </w:rPr>
            </w:pPr>
            <w:r>
              <w:rPr>
                <w:rFonts w:ascii="Arial" w:cs="Arial" w:eastAsia="Arial" w:hAnsi="Arial"/>
                <w:sz w:val="16"/>
                <w:szCs w:val="16"/>
                <w:color w:val="auto"/>
              </w:rPr>
              <w:t>Architecture and Design</w:t>
            </w:r>
          </w:p>
        </w:tc>
        <w:tc>
          <w:tcPr>
            <w:tcW w:w="1600" w:type="dxa"/>
            <w:vAlign w:val="bottom"/>
            <w:tcBorders>
              <w:bottom w:val="single" w:sz="8" w:color="003A70"/>
            </w:tcBorders>
          </w:tcPr>
          <w:p>
            <w:pPr>
              <w:ind w:left="1500"/>
              <w:spacing w:after="0"/>
              <w:rPr>
                <w:sz w:val="20"/>
                <w:szCs w:val="20"/>
                <w:color w:val="auto"/>
              </w:rPr>
            </w:pPr>
            <w:r>
              <w:rPr>
                <w:rFonts w:ascii="Arial" w:cs="Arial" w:eastAsia="Arial" w:hAnsi="Arial"/>
                <w:sz w:val="16"/>
                <w:szCs w:val="16"/>
                <w:color w:val="003A70"/>
              </w:rPr>
              <w:t>•</w:t>
            </w:r>
          </w:p>
        </w:tc>
        <w:tc>
          <w:tcPr>
            <w:tcW w:w="4840" w:type="dxa"/>
            <w:vAlign w:val="bottom"/>
            <w:tcBorders>
              <w:bottom w:val="single" w:sz="8" w:color="003A70"/>
            </w:tcBorders>
          </w:tcPr>
          <w:p>
            <w:pPr>
              <w:ind w:left="40"/>
              <w:spacing w:after="0"/>
              <w:rPr>
                <w:sz w:val="20"/>
                <w:szCs w:val="20"/>
                <w:color w:val="auto"/>
              </w:rPr>
            </w:pPr>
            <w:r>
              <w:rPr>
                <w:rFonts w:ascii="Arial" w:cs="Arial" w:eastAsia="Arial" w:hAnsi="Arial"/>
                <w:sz w:val="16"/>
                <w:szCs w:val="16"/>
                <w:color w:val="auto"/>
              </w:rPr>
              <w:t>Insurance and Risk Management</w:t>
            </w:r>
          </w:p>
        </w:tc>
      </w:tr>
      <w:tr>
        <w:trPr>
          <w:trHeight w:val="270"/>
        </w:trPr>
        <w:tc>
          <w:tcPr>
            <w:tcW w:w="2440" w:type="dxa"/>
            <w:vAlign w:val="bottom"/>
            <w:tcBorders>
              <w:bottom w:val="single" w:sz="8" w:color="003A70"/>
            </w:tcBorders>
          </w:tcPr>
          <w:p>
            <w:pPr>
              <w:spacing w:after="0"/>
              <w:rPr>
                <w:sz w:val="20"/>
                <w:szCs w:val="20"/>
                <w:color w:val="auto"/>
              </w:rPr>
            </w:pPr>
            <w:r>
              <w:rPr>
                <w:rFonts w:ascii="Arial" w:cs="Arial" w:eastAsia="Arial" w:hAnsi="Arial"/>
                <w:sz w:val="11"/>
                <w:szCs w:val="11"/>
                <w:b w:val="1"/>
                <w:bCs w:val="1"/>
                <w:color w:val="003A70"/>
              </w:rPr>
              <w:t>28</w:t>
            </w:r>
          </w:p>
        </w:tc>
        <w:tc>
          <w:tcPr>
            <w:tcW w:w="2140" w:type="dxa"/>
            <w:vAlign w:val="bottom"/>
            <w:tcBorders>
              <w:bottom w:val="single" w:sz="8" w:color="003A70"/>
            </w:tcBorders>
          </w:tcPr>
          <w:p>
            <w:pPr>
              <w:spacing w:after="0"/>
              <w:rPr>
                <w:sz w:val="23"/>
                <w:szCs w:val="23"/>
                <w:color w:val="auto"/>
              </w:rPr>
            </w:pPr>
          </w:p>
        </w:tc>
        <w:tc>
          <w:tcPr>
            <w:tcW w:w="1600" w:type="dxa"/>
            <w:vAlign w:val="bottom"/>
            <w:tcBorders>
              <w:bottom w:val="single" w:sz="8" w:color="003A70"/>
            </w:tcBorders>
          </w:tcPr>
          <w:p>
            <w:pPr>
              <w:ind w:left="380"/>
              <w:spacing w:after="0"/>
              <w:rPr>
                <w:sz w:val="20"/>
                <w:szCs w:val="20"/>
                <w:color w:val="auto"/>
              </w:rPr>
            </w:pPr>
            <w:r>
              <w:rPr>
                <w:rFonts w:ascii="Arial" w:cs="Arial" w:eastAsia="Arial" w:hAnsi="Arial"/>
                <w:sz w:val="11"/>
                <w:szCs w:val="11"/>
                <w:color w:val="auto"/>
              </w:rPr>
              <w:t>Corporate Governance</w:t>
            </w:r>
          </w:p>
        </w:tc>
        <w:tc>
          <w:tcPr>
            <w:tcW w:w="4840" w:type="dxa"/>
            <w:vAlign w:val="bottom"/>
            <w:tcBorders>
              <w:bottom w:val="single" w:sz="8" w:color="003A70"/>
            </w:tcBorders>
          </w:tcPr>
          <w:p>
            <w:pPr>
              <w:ind w:left="1540"/>
              <w:spacing w:after="0"/>
              <w:rPr>
                <w:sz w:val="20"/>
                <w:szCs w:val="20"/>
                <w:color w:val="auto"/>
              </w:rPr>
            </w:pPr>
            <w:r>
              <w:rPr>
                <w:rFonts w:ascii="Arial" w:cs="Arial" w:eastAsia="Arial" w:hAnsi="Arial"/>
                <w:sz w:val="11"/>
                <w:szCs w:val="11"/>
                <w:color w:val="auto"/>
                <w:w w:val="97"/>
              </w:rPr>
              <w:t xml:space="preserve">2026 PROXY STATEMENT </w:t>
            </w:r>
            <w:r>
              <w:rPr>
                <w:rFonts w:ascii="Arial" w:cs="Arial" w:eastAsia="Arial" w:hAnsi="Arial"/>
                <w:sz w:val="11"/>
                <w:szCs w:val="11"/>
                <w:b w:val="1"/>
                <w:bCs w:val="1"/>
                <w:color w:val="003A70"/>
                <w:w w:val="97"/>
              </w:rPr>
              <w:t>MARRIOTT VACATIONS WORLDWIDE</w:t>
            </w:r>
          </w:p>
        </w:tc>
      </w:tr>
    </w:tbl>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right="340"/>
        <w:spacing w:after="0" w:line="266" w:lineRule="auto"/>
        <w:rPr>
          <w:sz w:val="20"/>
          <w:szCs w:val="20"/>
          <w:color w:val="auto"/>
        </w:rPr>
      </w:pPr>
      <w:r>
        <w:rPr>
          <w:rFonts w:ascii="Arial" w:cs="Arial" w:eastAsia="Arial" w:hAnsi="Arial"/>
          <w:sz w:val="16"/>
          <w:szCs w:val="16"/>
          <w:color w:val="auto"/>
        </w:rPr>
        <w:t>Our business conduct guide, supplier code of conduct, human rights policy and 2024 Corporate Responsibility Report are posted on our website at www.marriottvacationsworldwide.com under the “Our Values” tab and the “Investor Relations” tab. We encourage you to read more about how we are working to build a more inclusive and purpose-driven culture on our Investor Relations and Our Values sections of our website.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COMMUNICATIONS WITH THE BOARD</w:t>
      </w:r>
    </w:p>
    <w:p>
      <w:pPr>
        <w:spacing w:after="0" w:line="112"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Stockholders and other interested parties wishing to communicate with our Board as a group or with any individual director (including the Chairman of the Board) may do so by sending an e-mail to business.ethics@mvwc.com or sending a letter to Marriott Vacations Worldwide Corporation, 7812 Palm Parkway, Orlando, Florida, 32836, Attention: Chief Audit Executive. Such communications may be confidential and/or anonymous. The Chief Audit Executive will then review such correspondence and forward it to the Board, or to the specified director(s), or for inquiries most properly addressed by other departments such as solicitations, customer service or accounts payable, to the appropriate department to ensure that the inquiries are responded to in a timely manner. Any inquiry that presents a matter relevant to accounting, audit, internal controls, or similar issues that is not addressed to a specific director, will be forwarded to the Chairman of the Audit Committee.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DIRECTORSHIPS</w:t>
      </w:r>
    </w:p>
    <w:p>
      <w:pPr>
        <w:spacing w:after="0" w:line="112"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Our Corporate Governance Principles limit the number of boards of publicly traded companies on which the Company’s directors may serve, including our Board, to two for directors who are executive officers of publicly traded companies and four for other directors.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CODE OF CONDUCT</w:t>
      </w:r>
    </w:p>
    <w:p>
      <w:pPr>
        <w:spacing w:after="0" w:line="112" w:lineRule="exact"/>
        <w:rPr>
          <w:sz w:val="20"/>
          <w:szCs w:val="20"/>
          <w:color w:val="auto"/>
        </w:rPr>
      </w:pPr>
    </w:p>
    <w:p>
      <w:pPr>
        <w:ind w:left="120" w:right="160"/>
        <w:spacing w:after="0" w:line="254" w:lineRule="auto"/>
        <w:rPr>
          <w:sz w:val="20"/>
          <w:szCs w:val="20"/>
          <w:color w:val="auto"/>
        </w:rPr>
      </w:pPr>
      <w:r>
        <w:rPr>
          <w:rFonts w:ascii="Arial" w:cs="Arial" w:eastAsia="Arial" w:hAnsi="Arial"/>
          <w:sz w:val="16"/>
          <w:szCs w:val="16"/>
          <w:color w:val="auto"/>
        </w:rPr>
        <w:t>Our Board has adopted a code of conduct, our Business Conduct Guide, that applies to all of our directors, officers and associates, including our CEO, President and Chief Operating Officer, Chief Financial Officer and Principal Accounting Officer. Our Business Conduct Guide is available in the Investor Relations section of our website (www.marriottvacationsworldwide.com) and is accessible by clicking on “Corporate Governance.” Any amendments to our Business Conduct Guide and any grant of a waiver from a provision of our Business Conduct Guide requiring disclosure under applicable SEC rules may be disclosed at the same location as the Business Conduct Guide in the Investor Relations section of our website or on a Current Report on Form 8-K.</w:t>
      </w:r>
    </w:p>
    <w:p>
      <w:pPr>
        <w:spacing w:after="0" w:line="115" w:lineRule="exact"/>
        <w:rPr>
          <w:sz w:val="20"/>
          <w:szCs w:val="20"/>
          <w:color w:val="auto"/>
        </w:rPr>
      </w:pPr>
    </w:p>
    <w:p>
      <w:pPr>
        <w:ind w:left="120"/>
        <w:spacing w:after="0"/>
        <w:tabs>
          <w:tab w:leader="none" w:pos="506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003A7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3" w:lineRule="exact"/>
        <w:rPr>
          <w:sz w:val="20"/>
          <w:szCs w:val="20"/>
          <w:color w:val="auto"/>
        </w:rPr>
      </w:pPr>
    </w:p>
    <w:p>
      <w:pPr>
        <w:ind w:left="600" w:right="1780"/>
        <w:spacing w:after="0" w:line="293" w:lineRule="auto"/>
        <w:rPr>
          <w:sz w:val="20"/>
          <w:szCs w:val="20"/>
          <w:color w:val="auto"/>
        </w:rPr>
      </w:pPr>
      <w:r>
        <w:rPr>
          <w:rFonts w:ascii="Arial" w:cs="Arial" w:eastAsia="Arial" w:hAnsi="Arial"/>
          <w:sz w:val="53"/>
          <w:szCs w:val="53"/>
          <w:b w:val="1"/>
          <w:bCs w:val="1"/>
          <w:color w:val="auto"/>
        </w:rPr>
        <w:t>AUDIT COMMITTEE REPORT AND INDEPENDENT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-906780</wp:posOffset>
            </wp:positionV>
            <wp:extent cx="85725" cy="7715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771525"/>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REPORT OF THE AUDIT COMMITTEE</w:t>
      </w:r>
    </w:p>
    <w:p>
      <w:pPr>
        <w:spacing w:after="0" w:line="112"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The Audit Committee is composed solely of independent directors meeting the requirements of applicable SEC and NYSE rules. Each member is financially literate for audit committee purposes under the NYSE rules, and three of the current members of the Audit Committee also qualify as an “audit committee financial expert” within the meaning of SEC regulations. The key responsibilities of the Audit Committee are set forth in its charter, which was adopted by us and approved by the Board and is posted under “Corporate Governance” in the Investor Relations section of our website at www.marriottvacationsworldwide.com.</w:t>
      </w:r>
    </w:p>
    <w:p>
      <w:pPr>
        <w:spacing w:after="0" w:line="72"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As more fully described in the Audit Committee charter, our Audit Committee assists the Board in its oversight of risks related to financial reporting, accounting, financial practices, legal and regulatory matters, artificial intelligence, cybersecurity, data privacy and data security. Our Audit Committee also oversees reporting and internal controls and disclosure procedures concerning the Company’s corporate responsibility program. Management is responsible for the preparation, presentation and integrity of our consolidated financial statements, accounting and financial reporting principles, and maintaining an effective system of internal controls over financial reporting. Ernst &amp; Young, our independent registered public accountant, is responsible for performing an independent audit of our consolidated financial statements and the effectiveness of internal controls over financial reporting in accordance with the auditing standards of the Public Company Accounting Oversight Board (“PCAOB”).</w:t>
      </w:r>
    </w:p>
    <w:p>
      <w:pPr>
        <w:spacing w:after="0" w:line="73"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The Audit Committee has selected Ernst &amp; Young as our independent registered public accountant for 2026. Ernst &amp; Young has served as our independent registered public accountant since 2011. The Audit Committee is responsible for the appointment, compensation and oversight of our independent registered public accountant. The Audit Committee regularly reviews Ernst &amp; Young’s independence and performance in deciding whether to retain Ernst &amp; Young or engage another firm as our independent registered public accountant. In the course of these reviews, the Audit Committee considers, among other things:</w:t>
      </w:r>
    </w:p>
    <w:p>
      <w:pPr>
        <w:spacing w:after="0" w:line="4" w:lineRule="exact"/>
        <w:rPr>
          <w:sz w:val="20"/>
          <w:szCs w:val="20"/>
          <w:color w:val="auto"/>
        </w:rPr>
      </w:pPr>
    </w:p>
    <w:p>
      <w:pPr>
        <w:ind w:left="340" w:hanging="224"/>
        <w:spacing w:after="0"/>
        <w:tabs>
          <w:tab w:leader="none" w:pos="340" w:val="left"/>
        </w:tabs>
        <w:numPr>
          <w:ilvl w:val="0"/>
          <w:numId w:val="51"/>
        </w:numPr>
        <w:rPr>
          <w:rFonts w:ascii="Arial" w:cs="Arial" w:eastAsia="Arial" w:hAnsi="Arial"/>
          <w:sz w:val="16"/>
          <w:szCs w:val="16"/>
          <w:color w:val="003A70"/>
        </w:rPr>
      </w:pPr>
      <w:r>
        <w:rPr>
          <w:rFonts w:ascii="Arial" w:cs="Arial" w:eastAsia="Arial" w:hAnsi="Arial"/>
          <w:sz w:val="16"/>
          <w:szCs w:val="16"/>
          <w:color w:val="auto"/>
        </w:rPr>
        <w:t>Ernst &amp; Young’s historical and recent performance on our audit;</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51"/>
        </w:numPr>
        <w:rPr>
          <w:rFonts w:ascii="Arial" w:cs="Arial" w:eastAsia="Arial" w:hAnsi="Arial"/>
          <w:sz w:val="16"/>
          <w:szCs w:val="16"/>
          <w:color w:val="003A70"/>
        </w:rPr>
      </w:pPr>
      <w:r>
        <w:rPr>
          <w:rFonts w:ascii="Arial" w:cs="Arial" w:eastAsia="Arial" w:hAnsi="Arial"/>
          <w:sz w:val="16"/>
          <w:szCs w:val="16"/>
          <w:color w:val="auto"/>
        </w:rPr>
        <w:t>Ernst &amp; Young’s capability and expertise in handling the breadth and complexity of our operations;</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51"/>
        </w:numPr>
        <w:rPr>
          <w:rFonts w:ascii="Arial" w:cs="Arial" w:eastAsia="Arial" w:hAnsi="Arial"/>
          <w:sz w:val="16"/>
          <w:szCs w:val="16"/>
          <w:color w:val="003A70"/>
        </w:rPr>
      </w:pPr>
      <w:r>
        <w:rPr>
          <w:rFonts w:ascii="Arial" w:cs="Arial" w:eastAsia="Arial" w:hAnsi="Arial"/>
          <w:sz w:val="16"/>
          <w:szCs w:val="16"/>
          <w:color w:val="auto"/>
        </w:rPr>
        <w:t>data on audit quality and performance, including recent PCAOB reports on Ernst &amp; Young and its peer firms;</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51"/>
        </w:numPr>
        <w:rPr>
          <w:rFonts w:ascii="Arial" w:cs="Arial" w:eastAsia="Arial" w:hAnsi="Arial"/>
          <w:sz w:val="16"/>
          <w:szCs w:val="16"/>
          <w:color w:val="003A70"/>
        </w:rPr>
      </w:pPr>
      <w:r>
        <w:rPr>
          <w:rFonts w:ascii="Arial" w:cs="Arial" w:eastAsia="Arial" w:hAnsi="Arial"/>
          <w:sz w:val="16"/>
          <w:szCs w:val="16"/>
          <w:color w:val="auto"/>
        </w:rPr>
        <w:t>the appropriateness of Ernst &amp; Young’s fees for audit and non-audit services, on both an absolute basis and as compared to its peer firms;</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51"/>
        </w:numPr>
        <w:rPr>
          <w:rFonts w:ascii="Arial" w:cs="Arial" w:eastAsia="Arial" w:hAnsi="Arial"/>
          <w:sz w:val="16"/>
          <w:szCs w:val="16"/>
          <w:color w:val="003A70"/>
        </w:rPr>
      </w:pPr>
      <w:r>
        <w:rPr>
          <w:rFonts w:ascii="Arial" w:cs="Arial" w:eastAsia="Arial" w:hAnsi="Arial"/>
          <w:sz w:val="16"/>
          <w:szCs w:val="16"/>
          <w:color w:val="auto"/>
        </w:rPr>
        <w:t>Ernst &amp; Young’s independence, including the possible effects of its provision of non-audit services and associated fees on its independence;</w:t>
      </w:r>
    </w:p>
    <w:p>
      <w:pPr>
        <w:spacing w:after="0" w:line="45" w:lineRule="exact"/>
        <w:rPr>
          <w:rFonts w:ascii="Arial" w:cs="Arial" w:eastAsia="Arial" w:hAnsi="Arial"/>
          <w:sz w:val="16"/>
          <w:szCs w:val="16"/>
          <w:color w:val="003A70"/>
        </w:rPr>
      </w:pPr>
    </w:p>
    <w:p>
      <w:pPr>
        <w:ind w:left="340" w:right="100" w:hanging="224"/>
        <w:spacing w:after="0" w:line="272" w:lineRule="auto"/>
        <w:tabs>
          <w:tab w:leader="none" w:pos="340" w:val="left"/>
        </w:tabs>
        <w:numPr>
          <w:ilvl w:val="0"/>
          <w:numId w:val="51"/>
        </w:numPr>
        <w:rPr>
          <w:rFonts w:ascii="Arial" w:cs="Arial" w:eastAsia="Arial" w:hAnsi="Arial"/>
          <w:sz w:val="16"/>
          <w:szCs w:val="16"/>
          <w:color w:val="003A70"/>
        </w:rPr>
      </w:pPr>
      <w:r>
        <w:rPr>
          <w:rFonts w:ascii="Arial" w:cs="Arial" w:eastAsia="Arial" w:hAnsi="Arial"/>
          <w:sz w:val="16"/>
          <w:szCs w:val="16"/>
          <w:color w:val="auto"/>
        </w:rPr>
        <w:t>Ernst &amp; Young’s tenure as our independent registered public accountant, including the benefits of having an independent registered public accountant that is familiar with us; and</w:t>
      </w:r>
    </w:p>
    <w:p>
      <w:pPr>
        <w:spacing w:after="0" w:line="1" w:lineRule="exact"/>
        <w:rPr>
          <w:rFonts w:ascii="Arial" w:cs="Arial" w:eastAsia="Arial" w:hAnsi="Arial"/>
          <w:sz w:val="16"/>
          <w:szCs w:val="16"/>
          <w:color w:val="003A70"/>
        </w:rPr>
      </w:pPr>
    </w:p>
    <w:p>
      <w:pPr>
        <w:ind w:left="340" w:hanging="224"/>
        <w:spacing w:after="0"/>
        <w:tabs>
          <w:tab w:leader="none" w:pos="340" w:val="left"/>
        </w:tabs>
        <w:numPr>
          <w:ilvl w:val="0"/>
          <w:numId w:val="51"/>
        </w:numPr>
        <w:rPr>
          <w:rFonts w:ascii="Arial" w:cs="Arial" w:eastAsia="Arial" w:hAnsi="Arial"/>
          <w:sz w:val="16"/>
          <w:szCs w:val="16"/>
          <w:color w:val="003A70"/>
        </w:rPr>
      </w:pPr>
      <w:r>
        <w:rPr>
          <w:rFonts w:ascii="Arial" w:cs="Arial" w:eastAsia="Arial" w:hAnsi="Arial"/>
          <w:sz w:val="16"/>
          <w:szCs w:val="16"/>
          <w:color w:val="auto"/>
        </w:rPr>
        <w:t>the controls and processes that help ensure Ernst &amp; Young’s independence.</w:t>
      </w:r>
    </w:p>
    <w:p>
      <w:pPr>
        <w:spacing w:after="0" w:line="113"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In accordance with SEC rules and Ernst &amp; Young policies, audit partners are subject to rotation requirements to limit the number of consecutive years an individual partner may provide service to us. For lead and concurring audit partners, the maximum number of consecutive years of service in that capacity is five years. The process for selection of our lead audit partner pursuant to this rotation policy involves a meeting between the Chair of the Audit Committee and the candidate for the role, as well as discussion by the full Audit Committee and with management. The lead partner from Ernst &amp; Young was assigned to us in 2025 and will complete his five years of service with us upon the issuance of the 2029 audit report.</w:t>
      </w:r>
    </w:p>
    <w:p>
      <w:pPr>
        <w:spacing w:after="0" w:line="72"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The Audit Committee engages in an annual evaluation of our independent registered public accounting firm’s qualifications, assessing the firm’s quality of service, the firm’s sufficiency of resources, the quality of the communication and interaction with the firm, and the firm’s independence, objectivity, and professional skepticism. The Audit Committee also considers the advisability and potential impact of selecting a different independent public accounting firm.</w:t>
      </w:r>
    </w:p>
    <w:p>
      <w:pPr>
        <w:spacing w:after="0" w:line="70"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The Audit Committee and the Board believe that the continued retention of Ernst &amp; Young as our independent registered public accounting firm is in the best interest of our stockholders.</w:t>
      </w:r>
    </w:p>
    <w:p>
      <w:pPr>
        <w:spacing w:after="0" w:line="48"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The Audit Committee regularly meets and holds separate discussions with management, our internal auditors, and Ernst &amp; Young. Prior to their issuance, the Audit Committee reviewed and discussed our quarterly and annual consolidated financial statements (including the presentation of non-GAAP financial information) and disclosures under “Management’s Discussion and Analysis of Financial Condition and Results of Operations” (including significant accounting policies and judgments) with management, our internal auditors and Ernst &amp; Young. During 2025, management, our internal auditors and Ernst &amp; Young also made presentations to the Audit Committee on specific topics of interest, including: corporate responsibility matters, our information technology systems and controls; changes in significant estimates; our critical accounting policies; our critical audit matters; new accounting guidance and the potential impact of new accounting pronouncements; integration and transformation initiatives; our strategy and the implementation of new systems; and cybersecurity.</w:t>
      </w:r>
    </w:p>
    <w:p>
      <w:pPr>
        <w:spacing w:after="0" w:line="75"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color w:val="auto"/>
        </w:rPr>
        <w:t>The Audit Committee has met and held discussions with management and Ernst &amp; Young regarding the fair and complete presentation of our results and the assessment of our internal control over financial reporting. Management has represented to the Audit Committee that our consolidated financial statements were prepared in accordance with accounting principles generally accepted in the United States of America, and the Audit Committee has reviewed and discussed the consolidated financial statements with management and Ernst &amp; Young. The Audit Committee has discussed with Ernst &amp; Young the matters that are required to be discussed by the applicable requirements of the PCAOB and the SEC. The Audit Committee discussed with Ernst &amp; Young their independence from the Company and our management, including the matters, if any, in the written disclosures delivered pursuant to the applicable requirements of the PCAOB. The Audit Committee has concluded that Ernst &amp; Young’s provision of audit and non-audit services to us and our affiliates is compatible with Ernst &amp; Young’s independence.</w:t>
      </w:r>
    </w:p>
    <w:p>
      <w:pPr>
        <w:sectPr>
          <w:pgSz w:w="11900" w:h="16838" w:orient="portrait"/>
          <w:cols w:equalWidth="0" w:num="1">
            <w:col w:w="11140"/>
          </w:cols>
          <w:pgMar w:left="320" w:top="482" w:right="439" w:bottom="1440" w:gutter="0" w:footer="0" w:header="0"/>
        </w:sectPr>
      </w:pPr>
    </w:p>
    <w:p>
      <w:pPr>
        <w:spacing w:after="0" w:line="116" w:lineRule="exact"/>
        <w:rPr>
          <w:sz w:val="20"/>
          <w:szCs w:val="20"/>
          <w:color w:val="auto"/>
        </w:rPr>
      </w:pPr>
    </w:p>
    <w:p>
      <w:pPr>
        <w:ind w:left="120"/>
        <w:spacing w:after="0"/>
        <w:tabs>
          <w:tab w:leader="none" w:pos="4300" w:val="left"/>
          <w:tab w:leader="none" w:pos="7820" w:val="left"/>
        </w:tabs>
        <w:rPr>
          <w:sz w:val="20"/>
          <w:szCs w:val="20"/>
          <w:color w:val="auto"/>
        </w:rPr>
      </w:pPr>
      <w:r>
        <w:rPr>
          <w:rFonts w:ascii="Arial" w:cs="Arial" w:eastAsia="Arial" w:hAnsi="Arial"/>
          <w:sz w:val="11"/>
          <w:szCs w:val="11"/>
          <w:b w:val="1"/>
          <w:bCs w:val="1"/>
          <w:color w:val="003A70"/>
        </w:rPr>
        <w:t>30</w:t>
      </w:r>
      <w:r>
        <w:rPr>
          <w:sz w:val="20"/>
          <w:szCs w:val="20"/>
          <w:color w:val="auto"/>
        </w:rPr>
        <w:tab/>
      </w:r>
      <w:r>
        <w:rPr>
          <w:rFonts w:ascii="Arial" w:cs="Arial" w:eastAsia="Arial" w:hAnsi="Arial"/>
          <w:sz w:val="11"/>
          <w:szCs w:val="11"/>
          <w:color w:val="auto"/>
        </w:rPr>
        <w:t>Audit Committee Report and Independent Auditor Fees</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color w:val="auto"/>
        </w:rPr>
        <w:t>The Audit Committee discussed with Ernst &amp; Young the overall scope and plans for their audit, including the estimated audit fees and non-audit fees. The Audit Committee has also discussed with our Senior Vice President, Internal Audit and Corporate Responsibility, the overall scope of and plans for our internal audits. The Audit Committee met with Ernst &amp; Young and with our internal auditors, in each case, with and without other members of management present, to discuss the results of their respective examinations, the evaluations of our internal controls and the overall quality and integrity of our financial reporting. Additionally, the Audit Committee has reviewed the performance, responsibilities, budget, and staffing of our internal audit department.</w:t>
      </w:r>
    </w:p>
    <w:p>
      <w:pPr>
        <w:spacing w:after="0" w:line="265"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16"/>
          <w:szCs w:val="16"/>
          <w:color w:val="auto"/>
        </w:rPr>
        <w:t>Based on the reviews and discussions referred to above, the Audit Committee recommended to the Board, and the Board has approved, that the audited financial statements be included in the Company’s Annual Report on Form 10-K for the year ended December 31, 2025, for filing with the Securities and Exchange Commission.</w:t>
      </w:r>
    </w:p>
    <w:p>
      <w:pPr>
        <w:spacing w:after="0" w:line="77"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Members of the Audit Committee:</w:t>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C.E. Andrews, Chair</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Matthew E. Avril (until November 10, 2025)</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Jonice M. Gray</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William W. McCarten</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Stephen R. Quazzo</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PRE-APPROVAL OF INDEPENDENT AUDITOR FEES AND SERVICES POLICY</w:t>
      </w:r>
    </w:p>
    <w:p>
      <w:pPr>
        <w:spacing w:after="0" w:line="112"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Audit Committee’s Pre-Approval of Independent Auditor Fees and Services Policy provides for pre-approval of all audit, audit-related, tax and other permissible non-audit services provided by our principal independent auditor on an annual basis and as needed. The Audit Committee has delegated authority to the Audit Committee Chair to pre-approve principal independent auditor services where we deem it necessary or advisable that such services commence prior to the next regularly scheduled meeting (provided that the Audit Committee Chair informs the Audit Committee of any such services and the estimated fees that were pre-approved at the next regularly scheduled meeting). During 2025, all such services were pre-approved by the Audit Committee.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INDEPENDENT REGISTERED PUBLIC ACCOUNTING FIRM FEE DISCLOSURE</w:t>
      </w:r>
    </w:p>
    <w:p>
      <w:pPr>
        <w:spacing w:after="0" w:line="112"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The following table presents aggregate fees billed for professional services rendered by our independent registered public accounting firm, Ernst &amp; Young, for the audit of our annual consolidated financial statements and statutory audits for fiscal 2025 and fiscal 2024 and aggregate fees billed in fiscal 2025 and fiscal 2024 for audit-related services, tax services and all other permissible non-audit services rendered by our independent registered public accounting firm. The Audit Committee approved all of the fees presented in the table below. The Audit Committee is also responsible for overseeing the fee negotiations associated with the retention of Ernst &amp; Young for the audit of our financial statements and internal control over financial reporting.</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5200" w:type="dxa"/>
            <w:vAlign w:val="bottom"/>
            <w:tcBorders>
              <w:bottom w:val="single" w:sz="8" w:color="003A70"/>
            </w:tcBorders>
          </w:tcPr>
          <w:p>
            <w:pPr>
              <w:spacing w:after="0"/>
              <w:rPr>
                <w:sz w:val="15"/>
                <w:szCs w:val="15"/>
                <w:color w:val="auto"/>
              </w:rPr>
            </w:pPr>
          </w:p>
        </w:tc>
        <w:tc>
          <w:tcPr>
            <w:tcW w:w="4860" w:type="dxa"/>
            <w:vAlign w:val="bottom"/>
            <w:tcBorders>
              <w:bottom w:val="single" w:sz="8" w:color="003A70"/>
            </w:tcBorders>
          </w:tcPr>
          <w:p>
            <w:pPr>
              <w:jc w:val="right"/>
              <w:ind w:right="261"/>
              <w:spacing w:after="0"/>
              <w:rPr>
                <w:sz w:val="20"/>
                <w:szCs w:val="20"/>
                <w:color w:val="auto"/>
              </w:rPr>
            </w:pPr>
            <w:r>
              <w:rPr>
                <w:rFonts w:ascii="Arial" w:cs="Arial" w:eastAsia="Arial" w:hAnsi="Arial"/>
                <w:sz w:val="14"/>
                <w:szCs w:val="14"/>
                <w:color w:val="003A70"/>
              </w:rPr>
              <w:t>2025</w:t>
            </w:r>
          </w:p>
        </w:tc>
        <w:tc>
          <w:tcPr>
            <w:tcW w:w="960" w:type="dxa"/>
            <w:vAlign w:val="bottom"/>
            <w:tcBorders>
              <w:bottom w:val="single" w:sz="8" w:color="003A70"/>
            </w:tcBorders>
          </w:tcPr>
          <w:p>
            <w:pPr>
              <w:jc w:val="right"/>
              <w:ind w:right="241"/>
              <w:spacing w:after="0"/>
              <w:rPr>
                <w:sz w:val="20"/>
                <w:szCs w:val="20"/>
                <w:color w:val="auto"/>
              </w:rPr>
            </w:pPr>
            <w:r>
              <w:rPr>
                <w:rFonts w:ascii="Arial" w:cs="Arial" w:eastAsia="Arial" w:hAnsi="Arial"/>
                <w:sz w:val="14"/>
                <w:szCs w:val="14"/>
                <w:color w:val="003A70"/>
              </w:rPr>
              <w:t>2024</w:t>
            </w:r>
          </w:p>
        </w:tc>
      </w:tr>
      <w:tr>
        <w:trPr>
          <w:trHeight w:val="189"/>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Audit fees</w:t>
            </w:r>
          </w:p>
        </w:tc>
        <w:tc>
          <w:tcPr>
            <w:tcW w:w="4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$8,787,019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$8,661,417</w:t>
            </w:r>
          </w:p>
        </w:tc>
      </w:tr>
      <w:tr>
        <w:trPr>
          <w:trHeight w:val="183"/>
        </w:trPr>
        <w:tc>
          <w:tcPr>
            <w:tcW w:w="52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Audit-related fees</w:t>
            </w:r>
          </w:p>
        </w:tc>
        <w:tc>
          <w:tcPr>
            <w:tcW w:w="4860" w:type="dxa"/>
            <w:vAlign w:val="bottom"/>
            <w:tcBorders>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292,519</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266,110</w:t>
            </w:r>
          </w:p>
        </w:tc>
      </w:tr>
      <w:tr>
        <w:trPr>
          <w:trHeight w:val="183"/>
        </w:trPr>
        <w:tc>
          <w:tcPr>
            <w:tcW w:w="52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Tax fees</w:t>
            </w:r>
          </w:p>
        </w:tc>
        <w:tc>
          <w:tcPr>
            <w:tcW w:w="4860" w:type="dxa"/>
            <w:vAlign w:val="bottom"/>
            <w:tcBorders>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332,540</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399,304</w:t>
            </w:r>
          </w:p>
        </w:tc>
      </w:tr>
      <w:tr>
        <w:trPr>
          <w:trHeight w:val="183"/>
        </w:trPr>
        <w:tc>
          <w:tcPr>
            <w:tcW w:w="52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All other fees</w:t>
            </w:r>
          </w:p>
        </w:tc>
        <w:tc>
          <w:tcPr>
            <w:tcW w:w="4860" w:type="dxa"/>
            <w:vAlign w:val="bottom"/>
            <w:tcBorders>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3,600</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3,600</w:t>
            </w:r>
          </w:p>
        </w:tc>
      </w:tr>
      <w:tr>
        <w:trPr>
          <w:trHeight w:val="183"/>
        </w:trPr>
        <w:tc>
          <w:tcPr>
            <w:tcW w:w="5200" w:type="dxa"/>
            <w:vAlign w:val="bottom"/>
            <w:tcBorders>
              <w:bottom w:val="single" w:sz="8" w:color="003A70"/>
            </w:tcBorders>
          </w:tcPr>
          <w:p>
            <w:pPr>
              <w:ind w:left="160"/>
              <w:spacing w:after="0" w:line="183" w:lineRule="exact"/>
              <w:rPr>
                <w:sz w:val="20"/>
                <w:szCs w:val="20"/>
                <w:color w:val="auto"/>
              </w:rPr>
            </w:pPr>
            <w:r>
              <w:rPr>
                <w:rFonts w:ascii="Arial" w:cs="Arial" w:eastAsia="Arial" w:hAnsi="Arial"/>
                <w:sz w:val="16"/>
                <w:szCs w:val="16"/>
                <w:b w:val="1"/>
                <w:bCs w:val="1"/>
                <w:color w:val="auto"/>
              </w:rPr>
              <w:t>Total</w:t>
            </w:r>
          </w:p>
        </w:tc>
        <w:tc>
          <w:tcPr>
            <w:tcW w:w="4860" w:type="dxa"/>
            <w:vAlign w:val="bottom"/>
            <w:tcBorders>
              <w:bottom w:val="single" w:sz="8" w:color="003A70"/>
            </w:tcBorders>
          </w:tcPr>
          <w:p>
            <w:pPr>
              <w:jc w:val="right"/>
              <w:ind w:right="1"/>
              <w:spacing w:after="0" w:line="183" w:lineRule="exact"/>
              <w:rPr>
                <w:sz w:val="20"/>
                <w:szCs w:val="20"/>
                <w:color w:val="auto"/>
              </w:rPr>
            </w:pPr>
            <w:r>
              <w:rPr>
                <w:rFonts w:ascii="Arial" w:cs="Arial" w:eastAsia="Arial" w:hAnsi="Arial"/>
                <w:sz w:val="16"/>
                <w:szCs w:val="16"/>
                <w:b w:val="1"/>
                <w:bCs w:val="1"/>
                <w:color w:val="auto"/>
              </w:rPr>
              <w:t>$9,415,678</w:t>
            </w:r>
          </w:p>
        </w:tc>
        <w:tc>
          <w:tcPr>
            <w:tcW w:w="960" w:type="dxa"/>
            <w:vAlign w:val="bottom"/>
            <w:tcBorders>
              <w:bottom w:val="single" w:sz="8" w:color="003A70"/>
            </w:tcBorders>
          </w:tcPr>
          <w:p>
            <w:pPr>
              <w:jc w:val="right"/>
              <w:spacing w:after="0" w:line="183" w:lineRule="exact"/>
              <w:rPr>
                <w:sz w:val="20"/>
                <w:szCs w:val="20"/>
                <w:color w:val="auto"/>
              </w:rPr>
            </w:pPr>
            <w:r>
              <w:rPr>
                <w:rFonts w:ascii="Arial" w:cs="Arial" w:eastAsia="Arial" w:hAnsi="Arial"/>
                <w:sz w:val="16"/>
                <w:szCs w:val="16"/>
                <w:b w:val="1"/>
                <w:bCs w:val="1"/>
                <w:color w:val="auto"/>
              </w:rPr>
              <w:t>$9,330,431</w:t>
            </w: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purposes of the preceding table, the professional fees are classified as follows:</w:t>
      </w:r>
    </w:p>
    <w:p>
      <w:pPr>
        <w:spacing w:after="0" w:line="46" w:lineRule="exact"/>
        <w:rPr>
          <w:sz w:val="20"/>
          <w:szCs w:val="20"/>
          <w:color w:val="auto"/>
        </w:rPr>
      </w:pPr>
    </w:p>
    <w:p>
      <w:pPr>
        <w:ind w:left="340" w:right="20" w:hanging="224"/>
        <w:spacing w:after="0" w:line="254" w:lineRule="auto"/>
        <w:tabs>
          <w:tab w:leader="none" w:pos="340" w:val="left"/>
        </w:tabs>
        <w:numPr>
          <w:ilvl w:val="0"/>
          <w:numId w:val="52"/>
        </w:numPr>
        <w:rPr>
          <w:rFonts w:ascii="Arial" w:cs="Arial" w:eastAsia="Arial" w:hAnsi="Arial"/>
          <w:sz w:val="16"/>
          <w:szCs w:val="16"/>
          <w:color w:val="003A70"/>
        </w:rPr>
      </w:pPr>
      <w:r>
        <w:rPr>
          <w:rFonts w:ascii="Arial" w:cs="Arial" w:eastAsia="Arial" w:hAnsi="Arial"/>
          <w:sz w:val="16"/>
          <w:szCs w:val="16"/>
          <w:color w:val="auto"/>
        </w:rPr>
        <w:t>Audit fees – These are fees for professional services performed for the audit of our annual financial statements and the required review of quarterly financial statements and other procedures performed by our independent registered public accounting firm in order for them to be able to form an opinion on our consolidated financial statements. These fees also cover services that are normally provided by independent auditors in connection with statutory and regulatory filings or engagements and other services that generally only the independent auditor reasonably can provide, such as services associated with filing registration statements, periodic reports and other filings with the SEC, and audits of acquired properties or businesses or statutory audits for our subsidiaries or affiliates.</w:t>
      </w:r>
    </w:p>
    <w:p>
      <w:pPr>
        <w:spacing w:after="0" w:line="6" w:lineRule="exact"/>
        <w:rPr>
          <w:rFonts w:ascii="Arial" w:cs="Arial" w:eastAsia="Arial" w:hAnsi="Arial"/>
          <w:sz w:val="16"/>
          <w:szCs w:val="16"/>
          <w:color w:val="003A70"/>
        </w:rPr>
      </w:pPr>
    </w:p>
    <w:p>
      <w:pPr>
        <w:ind w:left="340" w:hanging="224"/>
        <w:spacing w:after="0"/>
        <w:tabs>
          <w:tab w:leader="none" w:pos="340" w:val="left"/>
        </w:tabs>
        <w:numPr>
          <w:ilvl w:val="0"/>
          <w:numId w:val="52"/>
        </w:numPr>
        <w:rPr>
          <w:rFonts w:ascii="Arial" w:cs="Arial" w:eastAsia="Arial" w:hAnsi="Arial"/>
          <w:sz w:val="16"/>
          <w:szCs w:val="16"/>
          <w:color w:val="003A70"/>
        </w:rPr>
      </w:pPr>
      <w:r>
        <w:rPr>
          <w:rFonts w:ascii="Arial" w:cs="Arial" w:eastAsia="Arial" w:hAnsi="Arial"/>
          <w:sz w:val="16"/>
          <w:szCs w:val="16"/>
          <w:color w:val="auto"/>
        </w:rPr>
        <w:t>Audit-related fees – These are fees for assurance and related services for agreed-upon procedures and attestation reports.</w:t>
      </w:r>
    </w:p>
    <w:p>
      <w:pPr>
        <w:spacing w:after="0" w:line="45" w:lineRule="exact"/>
        <w:rPr>
          <w:rFonts w:ascii="Arial" w:cs="Arial" w:eastAsia="Arial" w:hAnsi="Arial"/>
          <w:sz w:val="16"/>
          <w:szCs w:val="16"/>
          <w:color w:val="003A70"/>
        </w:rPr>
      </w:pPr>
    </w:p>
    <w:p>
      <w:pPr>
        <w:ind w:left="340" w:right="100" w:hanging="224"/>
        <w:spacing w:after="0" w:line="259" w:lineRule="auto"/>
        <w:tabs>
          <w:tab w:leader="none" w:pos="340" w:val="left"/>
        </w:tabs>
        <w:numPr>
          <w:ilvl w:val="0"/>
          <w:numId w:val="52"/>
        </w:numPr>
        <w:rPr>
          <w:rFonts w:ascii="Arial" w:cs="Arial" w:eastAsia="Arial" w:hAnsi="Arial"/>
          <w:sz w:val="16"/>
          <w:szCs w:val="16"/>
          <w:color w:val="003A70"/>
        </w:rPr>
      </w:pPr>
      <w:r>
        <w:rPr>
          <w:rFonts w:ascii="Arial" w:cs="Arial" w:eastAsia="Arial" w:hAnsi="Arial"/>
          <w:sz w:val="16"/>
          <w:szCs w:val="16"/>
          <w:color w:val="auto"/>
        </w:rPr>
        <w:t>Tax fees – These are fees for all professional services performed by professional staff in Ernst &amp; Young’s tax division, except those services related to the audit of our consolidated financial statements. These include fees for tax compliance, tax planning, and tax advice, including federal, state, and local issues. Services may also include assistance with tax audits and appeals before the IRS and similar state and local agencies, as well as federal, state, and local tax issues related to due diligence.</w:t>
      </w:r>
    </w:p>
    <w:p>
      <w:pPr>
        <w:spacing w:after="0" w:line="2" w:lineRule="exact"/>
        <w:rPr>
          <w:rFonts w:ascii="Arial" w:cs="Arial" w:eastAsia="Arial" w:hAnsi="Arial"/>
          <w:sz w:val="16"/>
          <w:szCs w:val="16"/>
          <w:color w:val="003A70"/>
        </w:rPr>
      </w:pPr>
    </w:p>
    <w:p>
      <w:pPr>
        <w:ind w:left="340" w:right="220" w:hanging="224"/>
        <w:spacing w:after="0" w:line="286" w:lineRule="auto"/>
        <w:tabs>
          <w:tab w:leader="none" w:pos="340" w:val="left"/>
        </w:tabs>
        <w:numPr>
          <w:ilvl w:val="0"/>
          <w:numId w:val="52"/>
        </w:numPr>
        <w:rPr>
          <w:rFonts w:ascii="Arial" w:cs="Arial" w:eastAsia="Arial" w:hAnsi="Arial"/>
          <w:sz w:val="16"/>
          <w:szCs w:val="16"/>
          <w:color w:val="003A70"/>
        </w:rPr>
      </w:pPr>
      <w:r>
        <w:rPr>
          <w:rFonts w:ascii="Arial" w:cs="Arial" w:eastAsia="Arial" w:hAnsi="Arial"/>
          <w:sz w:val="16"/>
          <w:szCs w:val="16"/>
          <w:color w:val="auto"/>
        </w:rPr>
        <w:t>All other fees – These are fees for other permissible work performed that do not meet the above-described categories, including a subscription to an accounting research website.</w:t>
      </w:r>
    </w:p>
    <w:p>
      <w:pPr>
        <w:spacing w:after="0" w:line="89" w:lineRule="exact"/>
        <w:rPr>
          <w:sz w:val="20"/>
          <w:szCs w:val="20"/>
          <w:color w:val="auto"/>
        </w:rPr>
      </w:pPr>
    </w:p>
    <w:p>
      <w:pPr>
        <w:ind w:left="120"/>
        <w:spacing w:after="0"/>
        <w:tabs>
          <w:tab w:leader="none" w:pos="430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Audit Committee Report and Independent Auditor Fees</w:t>
      </w:r>
      <w:r>
        <w:rPr>
          <w:sz w:val="20"/>
          <w:szCs w:val="20"/>
          <w:color w:val="auto"/>
        </w:rPr>
        <w:tab/>
      </w:r>
      <w:r>
        <w:rPr>
          <w:rFonts w:ascii="Arial" w:cs="Arial" w:eastAsia="Arial" w:hAnsi="Arial"/>
          <w:sz w:val="10"/>
          <w:szCs w:val="10"/>
          <w:b w:val="1"/>
          <w:bCs w:val="1"/>
          <w:color w:val="003A7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5" w:lineRule="exact"/>
        <w:rPr>
          <w:sz w:val="20"/>
          <w:szCs w:val="20"/>
          <w:color w:val="auto"/>
        </w:rPr>
      </w:pPr>
    </w:p>
    <w:p>
      <w:pPr>
        <w:ind w:left="600" w:right="3240"/>
        <w:spacing w:after="0" w:line="281" w:lineRule="auto"/>
        <w:rPr>
          <w:sz w:val="20"/>
          <w:szCs w:val="20"/>
          <w:color w:val="auto"/>
        </w:rPr>
      </w:pPr>
      <w:r>
        <w:rPr>
          <w:rFonts w:ascii="Arial" w:cs="Arial" w:eastAsia="Arial" w:hAnsi="Arial"/>
          <w:sz w:val="53"/>
          <w:szCs w:val="53"/>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-869315</wp:posOffset>
            </wp:positionV>
            <wp:extent cx="85725" cy="8318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31850"/>
                    </a:xfrm>
                    <a:prstGeom prst="rect">
                      <a:avLst/>
                    </a:prstGeom>
                    <a:noFill/>
                  </pic:spPr>
                </pic:pic>
              </a:graphicData>
            </a:graphic>
          </wp:anchor>
        </w:drawing>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NEOs for whom compensation information is presented in the Summary Compensation Table below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6995160" cy="11398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139825"/>
                    </a:xfrm>
                    <a:prstGeom prst="rect">
                      <a:avLst/>
                    </a:prstGeom>
                    <a:noFill/>
                  </pic:spPr>
                </pic:pic>
              </a:graphicData>
            </a:graphic>
          </wp:anchor>
        </w:drawing>
      </w:r>
    </w:p>
    <w:p>
      <w:pPr>
        <w:spacing w:after="0" w:line="35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70"/>
        </w:rPr>
        <w:t>Matthew E. Avril</w:t>
      </w:r>
      <w:r>
        <w:rPr>
          <w:rFonts w:ascii="Arial" w:cs="Arial" w:eastAsia="Arial" w:hAnsi="Arial"/>
          <w:sz w:val="16"/>
          <w:szCs w:val="16"/>
          <w:color w:val="000000"/>
        </w:rPr>
        <w:t>, Chief Executive Officer, former interim President</w:t>
      </w:r>
      <w:r>
        <w:rPr>
          <w:rFonts w:ascii="Arial" w:cs="Arial" w:eastAsia="Arial" w:hAnsi="Arial"/>
          <w:sz w:val="16"/>
          <w:szCs w:val="16"/>
          <w:b w:val="1"/>
          <w:bCs w:val="1"/>
          <w:color w:val="003A70"/>
        </w:rPr>
        <w:t xml:space="preserve"> </w:t>
      </w:r>
      <w:r>
        <w:rPr>
          <w:rFonts w:ascii="Arial" w:cs="Arial" w:eastAsia="Arial" w:hAnsi="Arial"/>
          <w:sz w:val="24"/>
          <w:szCs w:val="24"/>
          <w:color w:val="000000"/>
          <w:vertAlign w:val="superscript"/>
        </w:rPr>
        <w:t>1</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70"/>
        </w:rPr>
        <w:t>John E. Geller, Jr.</w:t>
      </w:r>
      <w:r>
        <w:rPr>
          <w:rFonts w:ascii="Arial" w:cs="Arial" w:eastAsia="Arial" w:hAnsi="Arial"/>
          <w:sz w:val="16"/>
          <w:szCs w:val="16"/>
          <w:color w:val="000000"/>
        </w:rPr>
        <w:t>, Former President and Chief Executive Officer</w:t>
      </w:r>
      <w:r>
        <w:rPr>
          <w:rFonts w:ascii="Arial" w:cs="Arial" w:eastAsia="Arial" w:hAnsi="Arial"/>
          <w:sz w:val="16"/>
          <w:szCs w:val="16"/>
          <w:b w:val="1"/>
          <w:bCs w:val="1"/>
          <w:color w:val="003A70"/>
        </w:rPr>
        <w:t xml:space="preserve"> </w:t>
      </w:r>
      <w:r>
        <w:rPr>
          <w:rFonts w:ascii="Arial" w:cs="Arial" w:eastAsia="Arial" w:hAnsi="Arial"/>
          <w:sz w:val="24"/>
          <w:szCs w:val="24"/>
          <w:color w:val="000000"/>
          <w:vertAlign w:val="superscript"/>
        </w:rPr>
        <w:t>1</w:t>
      </w:r>
    </w:p>
    <w:p>
      <w:pPr>
        <w:ind w:left="220"/>
        <w:spacing w:after="0"/>
        <w:rPr>
          <w:sz w:val="20"/>
          <w:szCs w:val="20"/>
          <w:color w:val="auto"/>
        </w:rPr>
      </w:pPr>
      <w:r>
        <w:rPr>
          <w:rFonts w:ascii="Arial" w:cs="Arial" w:eastAsia="Arial" w:hAnsi="Arial"/>
          <w:sz w:val="16"/>
          <w:szCs w:val="16"/>
          <w:b w:val="1"/>
          <w:bCs w:val="1"/>
          <w:color w:val="003A70"/>
        </w:rPr>
        <w:t>Jason P. Marino</w:t>
      </w:r>
      <w:r>
        <w:rPr>
          <w:rFonts w:ascii="Arial" w:cs="Arial" w:eastAsia="Arial" w:hAnsi="Arial"/>
          <w:sz w:val="16"/>
          <w:szCs w:val="16"/>
          <w:color w:val="000000"/>
        </w:rPr>
        <w:t>, Executive Vice President and Chief Financial Officer</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70"/>
        </w:rPr>
        <w:t>Brian E. Miller</w:t>
      </w:r>
      <w:r>
        <w:rPr>
          <w:rFonts w:ascii="Arial" w:cs="Arial" w:eastAsia="Arial" w:hAnsi="Arial"/>
          <w:sz w:val="16"/>
          <w:szCs w:val="16"/>
          <w:color w:val="000000"/>
        </w:rPr>
        <w:t>, Former President, Vacation Ownership</w:t>
      </w:r>
      <w:r>
        <w:rPr>
          <w:rFonts w:ascii="Arial" w:cs="Arial" w:eastAsia="Arial" w:hAnsi="Arial"/>
          <w:sz w:val="16"/>
          <w:szCs w:val="16"/>
          <w:b w:val="1"/>
          <w:bCs w:val="1"/>
          <w:color w:val="003A70"/>
        </w:rPr>
        <w:t xml:space="preserve"> </w:t>
      </w:r>
      <w:r>
        <w:rPr>
          <w:rFonts w:ascii="Arial" w:cs="Arial" w:eastAsia="Arial" w:hAnsi="Arial"/>
          <w:sz w:val="24"/>
          <w:szCs w:val="24"/>
          <w:color w:val="000000"/>
          <w:vertAlign w:val="superscript"/>
        </w:rPr>
        <w:t>2</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3A70"/>
        </w:rPr>
        <w:t>James H Hunter, IV</w:t>
      </w:r>
      <w:r>
        <w:rPr>
          <w:rFonts w:ascii="Arial" w:cs="Arial" w:eastAsia="Arial" w:hAnsi="Arial"/>
          <w:sz w:val="16"/>
          <w:szCs w:val="16"/>
          <w:color w:val="000000"/>
        </w:rPr>
        <w:t>, Former Executive Vice President and General Counsel</w:t>
      </w:r>
      <w:r>
        <w:rPr>
          <w:rFonts w:ascii="Arial" w:cs="Arial" w:eastAsia="Arial" w:hAnsi="Arial"/>
          <w:sz w:val="16"/>
          <w:szCs w:val="16"/>
          <w:b w:val="1"/>
          <w:bCs w:val="1"/>
          <w:color w:val="003A70"/>
        </w:rPr>
        <w:t xml:space="preserve"> </w:t>
      </w:r>
      <w:r>
        <w:rPr>
          <w:rFonts w:ascii="Arial" w:cs="Arial" w:eastAsia="Arial" w:hAnsi="Arial"/>
          <w:sz w:val="24"/>
          <w:szCs w:val="24"/>
          <w:color w:val="000000"/>
          <w:vertAlign w:val="superscript"/>
        </w:rPr>
        <w:t>3</w:t>
      </w:r>
    </w:p>
    <w:p>
      <w:pPr>
        <w:ind w:left="220"/>
        <w:spacing w:after="0"/>
        <w:rPr>
          <w:sz w:val="20"/>
          <w:szCs w:val="20"/>
          <w:color w:val="auto"/>
        </w:rPr>
      </w:pPr>
      <w:r>
        <w:rPr>
          <w:rFonts w:ascii="Arial" w:cs="Arial" w:eastAsia="Arial" w:hAnsi="Arial"/>
          <w:sz w:val="16"/>
          <w:szCs w:val="16"/>
          <w:b w:val="1"/>
          <w:bCs w:val="1"/>
          <w:color w:val="003A70"/>
        </w:rPr>
        <w:t>Lori M. Gustafson</w:t>
      </w:r>
      <w:r>
        <w:rPr>
          <w:rFonts w:ascii="Arial" w:cs="Arial" w:eastAsia="Arial" w:hAnsi="Arial"/>
          <w:sz w:val="16"/>
          <w:szCs w:val="16"/>
          <w:color w:val="000000"/>
        </w:rPr>
        <w:t>, Executive Vice President and Chief Membership &amp; Commercial Services Officer</w:t>
      </w:r>
    </w:p>
    <w:p>
      <w:pPr>
        <w:spacing w:after="0" w:line="250" w:lineRule="exact"/>
        <w:rPr>
          <w:sz w:val="20"/>
          <w:szCs w:val="20"/>
          <w:color w:val="auto"/>
        </w:rPr>
      </w:pPr>
    </w:p>
    <w:p>
      <w:pPr>
        <w:ind w:left="440" w:right="140" w:hanging="324"/>
        <w:spacing w:after="0" w:line="220" w:lineRule="auto"/>
        <w:tabs>
          <w:tab w:leader="none" w:pos="44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Effective November 10, 2025, Mr. Geller resigned from his employment with the Company and as a member of the Board at the request of the Board and Mr. Avril was appointed to the role of interim President and CEO. Effective February 16, 2026, Mr. Avril was appointed as CEO. Prior to his appointment as interim President and CEO, Mr. Avril served as a non-employee director of the Board and received compensation pursuant to the Company’s non-employee director compensation program. Upon assuming the role of interim President and CEO, Mr. Avril ceased being compensated as a non-employee director.</w:t>
      </w:r>
    </w:p>
    <w:p>
      <w:pPr>
        <w:spacing w:after="0" w:line="32" w:lineRule="exact"/>
        <w:rPr>
          <w:sz w:val="20"/>
          <w:szCs w:val="20"/>
          <w:color w:val="auto"/>
        </w:rPr>
      </w:pPr>
    </w:p>
    <w:p>
      <w:pPr>
        <w:ind w:left="440" w:hanging="324"/>
        <w:spacing w:after="0"/>
        <w:tabs>
          <w:tab w:leader="none" w:pos="440" w:val="left"/>
        </w:tabs>
        <w:numPr>
          <w:ilvl w:val="0"/>
          <w:numId w:val="54"/>
        </w:numPr>
        <w:rPr>
          <w:rFonts w:ascii="Arial" w:cs="Arial" w:eastAsia="Arial" w:hAnsi="Arial"/>
          <w:sz w:val="22"/>
          <w:szCs w:val="22"/>
          <w:color w:val="auto"/>
          <w:vertAlign w:val="superscript"/>
        </w:rPr>
      </w:pPr>
      <w:r>
        <w:rPr>
          <w:rFonts w:ascii="Arial" w:cs="Arial" w:eastAsia="Arial" w:hAnsi="Arial"/>
          <w:sz w:val="14"/>
          <w:szCs w:val="14"/>
          <w:color w:val="auto"/>
        </w:rPr>
        <w:t>Mr. Miller retired as President, Vacation Ownership, effective December 31, 2025, and remains as an advisor to the CEO through March 27, 2026.</w:t>
      </w:r>
    </w:p>
    <w:p>
      <w:pPr>
        <w:spacing w:after="0" w:line="94" w:lineRule="exact"/>
        <w:rPr>
          <w:sz w:val="20"/>
          <w:szCs w:val="20"/>
          <w:color w:val="auto"/>
        </w:rPr>
      </w:pPr>
    </w:p>
    <w:p>
      <w:pPr>
        <w:ind w:left="440" w:right="600" w:hanging="324"/>
        <w:spacing w:after="0" w:line="203" w:lineRule="auto"/>
        <w:tabs>
          <w:tab w:leader="none" w:pos="44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Mr. Hunter resigned as Executive Vice President and General Counsel effective March 9, 2026 at the request of the Company, and remains as a non-executive employee through April 1, 2026.</w:t>
      </w:r>
    </w:p>
    <w:p>
      <w:pPr>
        <w:spacing w:after="0" w:line="76" w:lineRule="exact"/>
        <w:rPr>
          <w:sz w:val="20"/>
          <w:szCs w:val="20"/>
          <w:color w:val="auto"/>
        </w:rPr>
      </w:pPr>
    </w:p>
    <w:p>
      <w:pPr>
        <w:ind w:left="120" w:right="860"/>
        <w:spacing w:after="0" w:line="286" w:lineRule="auto"/>
        <w:rPr>
          <w:sz w:val="20"/>
          <w:szCs w:val="20"/>
          <w:color w:val="auto"/>
        </w:rPr>
      </w:pPr>
      <w:r>
        <w:rPr>
          <w:rFonts w:ascii="Arial" w:cs="Arial" w:eastAsia="Arial" w:hAnsi="Arial"/>
          <w:sz w:val="16"/>
          <w:szCs w:val="16"/>
          <w:color w:val="auto"/>
        </w:rPr>
        <w:t>Our executive compensation programs are designed to reward financial results and effective strategic leadership to build sustainable value for stockholders by correlating the timing and amount of actual pay with performance over various time horizons without excessive risk-taking.</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executive compensation program includes the following key elements:</w:t>
      </w:r>
    </w:p>
    <w:p>
      <w:pPr>
        <w:spacing w:after="0" w:line="46" w:lineRule="exact"/>
        <w:rPr>
          <w:sz w:val="20"/>
          <w:szCs w:val="20"/>
          <w:color w:val="auto"/>
        </w:rPr>
      </w:pPr>
    </w:p>
    <w:p>
      <w:pPr>
        <w:ind w:left="340" w:hanging="224"/>
        <w:spacing w:after="0"/>
        <w:tabs>
          <w:tab w:leader="none" w:pos="340" w:val="left"/>
        </w:tabs>
        <w:numPr>
          <w:ilvl w:val="0"/>
          <w:numId w:val="56"/>
        </w:numPr>
        <w:rPr>
          <w:rFonts w:ascii="Arial" w:cs="Arial" w:eastAsia="Arial" w:hAnsi="Arial"/>
          <w:sz w:val="16"/>
          <w:szCs w:val="16"/>
          <w:color w:val="003A70"/>
        </w:rPr>
      </w:pPr>
      <w:r>
        <w:rPr>
          <w:rFonts w:ascii="Arial" w:cs="Arial" w:eastAsia="Arial" w:hAnsi="Arial"/>
          <w:sz w:val="16"/>
          <w:szCs w:val="16"/>
          <w:color w:val="auto"/>
        </w:rPr>
        <w:t>base salary, which provides our NEOs a fixed level of compensation;</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56"/>
        </w:numPr>
        <w:rPr>
          <w:rFonts w:ascii="Arial" w:cs="Arial" w:eastAsia="Arial" w:hAnsi="Arial"/>
          <w:sz w:val="16"/>
          <w:szCs w:val="16"/>
          <w:color w:val="003A70"/>
        </w:rPr>
      </w:pPr>
      <w:r>
        <w:rPr>
          <w:rFonts w:ascii="Arial" w:cs="Arial" w:eastAsia="Arial" w:hAnsi="Arial"/>
          <w:sz w:val="16"/>
          <w:szCs w:val="16"/>
          <w:color w:val="auto"/>
        </w:rPr>
        <w:t>annual bonus, which encourages the achievement of current year objectives; and</w:t>
      </w:r>
    </w:p>
    <w:p>
      <w:pPr>
        <w:spacing w:after="0" w:line="45" w:lineRule="exact"/>
        <w:rPr>
          <w:rFonts w:ascii="Arial" w:cs="Arial" w:eastAsia="Arial" w:hAnsi="Arial"/>
          <w:sz w:val="16"/>
          <w:szCs w:val="16"/>
          <w:color w:val="003A70"/>
        </w:rPr>
      </w:pPr>
    </w:p>
    <w:p>
      <w:pPr>
        <w:ind w:left="340" w:right="120" w:hanging="224"/>
        <w:spacing w:after="0" w:line="286" w:lineRule="auto"/>
        <w:tabs>
          <w:tab w:leader="none" w:pos="340" w:val="left"/>
        </w:tabs>
        <w:numPr>
          <w:ilvl w:val="0"/>
          <w:numId w:val="56"/>
        </w:numPr>
        <w:rPr>
          <w:rFonts w:ascii="Arial" w:cs="Arial" w:eastAsia="Arial" w:hAnsi="Arial"/>
          <w:sz w:val="16"/>
          <w:szCs w:val="16"/>
          <w:color w:val="003A70"/>
        </w:rPr>
      </w:pPr>
      <w:r>
        <w:rPr>
          <w:rFonts w:ascii="Arial" w:cs="Arial" w:eastAsia="Arial" w:hAnsi="Arial"/>
          <w:sz w:val="16"/>
          <w:szCs w:val="16"/>
          <w:color w:val="auto"/>
        </w:rPr>
        <w:t>stock based awards, which align the long-term interests of our NEOs with the interests of our stockholders and encourage the achievement of longer-term objectives.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February 2025 Compensation Actions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CPC made the following key compensation decisions for 2025, which are discussed in greater detail in the following pages: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170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Compensation Element</w:t>
            </w:r>
          </w:p>
        </w:tc>
        <w:tc>
          <w:tcPr>
            <w:tcW w:w="5380" w:type="dxa"/>
            <w:vAlign w:val="bottom"/>
            <w:tcBorders>
              <w:bottom w:val="single" w:sz="8" w:color="003A70"/>
            </w:tcBorders>
          </w:tcPr>
          <w:p>
            <w:pPr>
              <w:ind w:left="200"/>
              <w:spacing w:after="0"/>
              <w:rPr>
                <w:sz w:val="20"/>
                <w:szCs w:val="20"/>
                <w:color w:val="auto"/>
              </w:rPr>
            </w:pPr>
            <w:r>
              <w:rPr>
                <w:rFonts w:ascii="Arial" w:cs="Arial" w:eastAsia="Arial" w:hAnsi="Arial"/>
                <w:sz w:val="14"/>
                <w:szCs w:val="14"/>
                <w:color w:val="003A70"/>
              </w:rPr>
              <w:t>Compensation Decisions</w:t>
            </w:r>
          </w:p>
        </w:tc>
        <w:tc>
          <w:tcPr>
            <w:tcW w:w="3940" w:type="dxa"/>
            <w:vAlign w:val="bottom"/>
            <w:tcBorders>
              <w:bottom w:val="single" w:sz="8" w:color="003A70"/>
            </w:tcBorders>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1700" w:type="dxa"/>
            <w:vAlign w:val="bottom"/>
          </w:tcPr>
          <w:p>
            <w:pPr>
              <w:spacing w:after="0" w:line="175" w:lineRule="exact"/>
              <w:rPr>
                <w:sz w:val="20"/>
                <w:szCs w:val="20"/>
                <w:color w:val="auto"/>
              </w:rPr>
            </w:pPr>
            <w:r>
              <w:rPr>
                <w:rFonts w:ascii="Arial" w:cs="Arial" w:eastAsia="Arial" w:hAnsi="Arial"/>
                <w:sz w:val="16"/>
                <w:szCs w:val="16"/>
                <w:b w:val="1"/>
                <w:bCs w:val="1"/>
                <w:color w:val="auto"/>
              </w:rPr>
              <w:t>Base Salary</w:t>
            </w:r>
          </w:p>
        </w:tc>
        <w:tc>
          <w:tcPr>
            <w:tcW w:w="9320" w:type="dxa"/>
            <w:vAlign w:val="bottom"/>
            <w:gridSpan w:val="2"/>
          </w:tcPr>
          <w:p>
            <w:pPr>
              <w:ind w:left="200"/>
              <w:spacing w:after="0" w:line="175" w:lineRule="exact"/>
              <w:rPr>
                <w:sz w:val="20"/>
                <w:szCs w:val="20"/>
                <w:color w:val="auto"/>
              </w:rPr>
            </w:pPr>
            <w:r>
              <w:rPr>
                <w:rFonts w:ascii="Arial" w:cs="Arial" w:eastAsia="Arial" w:hAnsi="Arial"/>
                <w:sz w:val="16"/>
                <w:szCs w:val="16"/>
                <w:color w:val="auto"/>
              </w:rPr>
              <w:t>With the exception of Mr. Avril, who was appointed interim CEO in November 2025, all of the NEOs received base pay</w:t>
            </w:r>
          </w:p>
        </w:tc>
        <w:tc>
          <w:tcPr>
            <w:tcW w:w="20" w:type="dxa"/>
            <w:vAlign w:val="bottom"/>
          </w:tcPr>
          <w:p>
            <w:pPr>
              <w:spacing w:after="0"/>
              <w:rPr>
                <w:sz w:val="15"/>
                <w:szCs w:val="15"/>
                <w:color w:val="auto"/>
              </w:rPr>
            </w:pPr>
          </w:p>
        </w:tc>
      </w:tr>
      <w:tr>
        <w:trPr>
          <w:trHeight w:val="189"/>
        </w:trPr>
        <w:tc>
          <w:tcPr>
            <w:tcW w:w="1700" w:type="dxa"/>
            <w:vAlign w:val="bottom"/>
          </w:tcPr>
          <w:p>
            <w:pPr>
              <w:spacing w:after="0"/>
              <w:rPr>
                <w:sz w:val="16"/>
                <w:szCs w:val="16"/>
                <w:color w:val="auto"/>
              </w:rPr>
            </w:pPr>
          </w:p>
        </w:tc>
        <w:tc>
          <w:tcPr>
            <w:tcW w:w="9340" w:type="dxa"/>
            <w:vAlign w:val="bottom"/>
            <w:gridSpan w:val="3"/>
          </w:tcPr>
          <w:p>
            <w:pPr>
              <w:ind w:left="200"/>
              <w:spacing w:after="0"/>
              <w:rPr>
                <w:sz w:val="20"/>
                <w:szCs w:val="20"/>
                <w:color w:val="auto"/>
              </w:rPr>
            </w:pPr>
            <w:r>
              <w:rPr>
                <w:rFonts w:ascii="Arial" w:cs="Arial" w:eastAsia="Arial" w:hAnsi="Arial"/>
                <w:sz w:val="16"/>
                <w:szCs w:val="16"/>
                <w:color w:val="auto"/>
              </w:rPr>
              <w:t>increases in 2025. Based on the CPC’s desire to bring Mr. Marino’s compensation closer to market median, a larger base pay</w:t>
            </w:r>
          </w:p>
        </w:tc>
      </w:tr>
      <w:tr>
        <w:trPr>
          <w:trHeight w:val="189"/>
        </w:trPr>
        <w:tc>
          <w:tcPr>
            <w:tcW w:w="1700" w:type="dxa"/>
            <w:vAlign w:val="bottom"/>
          </w:tcPr>
          <w:p>
            <w:pPr>
              <w:spacing w:after="0"/>
              <w:rPr>
                <w:sz w:val="16"/>
                <w:szCs w:val="16"/>
                <w:color w:val="auto"/>
              </w:rPr>
            </w:pPr>
          </w:p>
        </w:tc>
        <w:tc>
          <w:tcPr>
            <w:tcW w:w="9340" w:type="dxa"/>
            <w:vAlign w:val="bottom"/>
            <w:gridSpan w:val="3"/>
          </w:tcPr>
          <w:p>
            <w:pPr>
              <w:ind w:left="200"/>
              <w:spacing w:after="0"/>
              <w:rPr>
                <w:sz w:val="20"/>
                <w:szCs w:val="20"/>
                <w:color w:val="auto"/>
              </w:rPr>
            </w:pPr>
            <w:r>
              <w:rPr>
                <w:rFonts w:ascii="Arial" w:cs="Arial" w:eastAsia="Arial" w:hAnsi="Arial"/>
                <w:sz w:val="16"/>
                <w:szCs w:val="16"/>
                <w:color w:val="auto"/>
              </w:rPr>
              <w:t>increase was approved. In determining the amount of the adjustments, the CPC considered individual contributions to overall</w:t>
            </w:r>
          </w:p>
        </w:tc>
      </w:tr>
      <w:tr>
        <w:trPr>
          <w:trHeight w:val="203"/>
        </w:trPr>
        <w:tc>
          <w:tcPr>
            <w:tcW w:w="1700" w:type="dxa"/>
            <w:vAlign w:val="bottom"/>
          </w:tcPr>
          <w:p>
            <w:pPr>
              <w:spacing w:after="0"/>
              <w:rPr>
                <w:sz w:val="17"/>
                <w:szCs w:val="17"/>
                <w:color w:val="auto"/>
              </w:rPr>
            </w:pPr>
          </w:p>
        </w:tc>
        <w:tc>
          <w:tcPr>
            <w:tcW w:w="9340" w:type="dxa"/>
            <w:vAlign w:val="bottom"/>
            <w:gridSpan w:val="3"/>
          </w:tcPr>
          <w:p>
            <w:pPr>
              <w:ind w:left="200"/>
              <w:spacing w:after="0"/>
              <w:rPr>
                <w:sz w:val="20"/>
                <w:szCs w:val="20"/>
                <w:color w:val="auto"/>
              </w:rPr>
            </w:pPr>
            <w:r>
              <w:rPr>
                <w:rFonts w:ascii="Arial" w:cs="Arial" w:eastAsia="Arial" w:hAnsi="Arial"/>
                <w:sz w:val="16"/>
                <w:szCs w:val="16"/>
                <w:color w:val="auto"/>
              </w:rPr>
              <w:t>corporate results, Company budget, salary level relative to market and prior compensation actions.</w:t>
            </w:r>
          </w:p>
        </w:tc>
      </w:tr>
      <w:tr>
        <w:trPr>
          <w:trHeight w:val="168"/>
        </w:trPr>
        <w:tc>
          <w:tcPr>
            <w:tcW w:w="1700" w:type="dxa"/>
            <w:vAlign w:val="bottom"/>
            <w:tcBorders>
              <w:top w:val="single" w:sz="8" w:color="auto"/>
            </w:tcBorders>
          </w:tcPr>
          <w:p>
            <w:pPr>
              <w:spacing w:after="0" w:line="168" w:lineRule="exact"/>
              <w:rPr>
                <w:sz w:val="20"/>
                <w:szCs w:val="20"/>
                <w:color w:val="auto"/>
              </w:rPr>
            </w:pPr>
            <w:r>
              <w:rPr>
                <w:rFonts w:ascii="Arial" w:cs="Arial" w:eastAsia="Arial" w:hAnsi="Arial"/>
                <w:sz w:val="16"/>
                <w:szCs w:val="16"/>
                <w:b w:val="1"/>
                <w:bCs w:val="1"/>
                <w:color w:val="auto"/>
              </w:rPr>
              <w:t>Annual Bonus</w:t>
            </w:r>
          </w:p>
        </w:tc>
        <w:tc>
          <w:tcPr>
            <w:tcW w:w="9320" w:type="dxa"/>
            <w:vAlign w:val="bottom"/>
            <w:tcBorders>
              <w:top w:val="single" w:sz="8" w:color="auto"/>
            </w:tcBorders>
            <w:gridSpan w:val="2"/>
          </w:tcPr>
          <w:p>
            <w:pPr>
              <w:ind w:left="200"/>
              <w:spacing w:after="0" w:line="168" w:lineRule="exact"/>
              <w:rPr>
                <w:sz w:val="20"/>
                <w:szCs w:val="20"/>
                <w:color w:val="auto"/>
              </w:rPr>
            </w:pPr>
            <w:r>
              <w:rPr>
                <w:rFonts w:ascii="Arial" w:cs="Arial" w:eastAsia="Arial" w:hAnsi="Arial"/>
                <w:sz w:val="16"/>
                <w:szCs w:val="16"/>
                <w:color w:val="auto"/>
              </w:rPr>
              <w:t>For 2025, our financial objectives, which account for 80% of the amounts payable under our management bonus plan (the</w:t>
            </w:r>
          </w:p>
        </w:tc>
        <w:tc>
          <w:tcPr>
            <w:tcW w:w="20" w:type="dxa"/>
            <w:vAlign w:val="bottom"/>
          </w:tcPr>
          <w:p>
            <w:pPr>
              <w:spacing w:after="0"/>
              <w:rPr>
                <w:sz w:val="14"/>
                <w:szCs w:val="14"/>
                <w:color w:val="auto"/>
              </w:rPr>
            </w:pPr>
          </w:p>
        </w:tc>
      </w:tr>
      <w:tr>
        <w:trPr>
          <w:trHeight w:val="189"/>
        </w:trPr>
        <w:tc>
          <w:tcPr>
            <w:tcW w:w="1700" w:type="dxa"/>
            <w:vAlign w:val="bottom"/>
          </w:tcPr>
          <w:p>
            <w:pPr>
              <w:spacing w:after="0"/>
              <w:rPr>
                <w:sz w:val="16"/>
                <w:szCs w:val="16"/>
                <w:color w:val="auto"/>
              </w:rPr>
            </w:pPr>
          </w:p>
        </w:tc>
        <w:tc>
          <w:tcPr>
            <w:tcW w:w="9340" w:type="dxa"/>
            <w:vAlign w:val="bottom"/>
            <w:gridSpan w:val="3"/>
          </w:tcPr>
          <w:p>
            <w:pPr>
              <w:ind w:left="200"/>
              <w:spacing w:after="0"/>
              <w:rPr>
                <w:sz w:val="20"/>
                <w:szCs w:val="20"/>
                <w:color w:val="auto"/>
              </w:rPr>
            </w:pPr>
            <w:r>
              <w:rPr>
                <w:rFonts w:ascii="Arial" w:cs="Arial" w:eastAsia="Arial" w:hAnsi="Arial"/>
                <w:sz w:val="16"/>
                <w:szCs w:val="16"/>
                <w:color w:val="auto"/>
              </w:rPr>
              <w:t>“Bonus Plan”), were Adjusted EBITDA and Total Revenue (which are defined below under “Bonuses and Incentives”). The</w:t>
            </w:r>
          </w:p>
        </w:tc>
      </w:tr>
      <w:tr>
        <w:trPr>
          <w:trHeight w:val="203"/>
        </w:trPr>
        <w:tc>
          <w:tcPr>
            <w:tcW w:w="1700" w:type="dxa"/>
            <w:vAlign w:val="bottom"/>
          </w:tcPr>
          <w:p>
            <w:pPr>
              <w:spacing w:after="0"/>
              <w:rPr>
                <w:sz w:val="17"/>
                <w:szCs w:val="17"/>
                <w:color w:val="auto"/>
              </w:rPr>
            </w:pPr>
          </w:p>
        </w:tc>
        <w:tc>
          <w:tcPr>
            <w:tcW w:w="9340" w:type="dxa"/>
            <w:vAlign w:val="bottom"/>
            <w:gridSpan w:val="3"/>
          </w:tcPr>
          <w:p>
            <w:pPr>
              <w:ind w:left="200"/>
              <w:spacing w:after="0"/>
              <w:rPr>
                <w:sz w:val="20"/>
                <w:szCs w:val="20"/>
                <w:color w:val="auto"/>
              </w:rPr>
            </w:pPr>
            <w:r>
              <w:rPr>
                <w:rFonts w:ascii="Arial" w:cs="Arial" w:eastAsia="Arial" w:hAnsi="Arial"/>
                <w:sz w:val="16"/>
                <w:szCs w:val="16"/>
                <w:color w:val="auto"/>
              </w:rPr>
              <w:t>remaining 20% of amounts payable under the Bonus Plan was based on corporate responsibility initiatives.</w:t>
            </w:r>
          </w:p>
        </w:tc>
      </w:tr>
      <w:tr>
        <w:trPr>
          <w:trHeight w:val="168"/>
        </w:trPr>
        <w:tc>
          <w:tcPr>
            <w:tcW w:w="1700" w:type="dxa"/>
            <w:vAlign w:val="bottom"/>
            <w:tcBorders>
              <w:top w:val="single" w:sz="8" w:color="auto"/>
            </w:tcBorders>
          </w:tcPr>
          <w:p>
            <w:pPr>
              <w:spacing w:after="0" w:line="168" w:lineRule="exact"/>
              <w:rPr>
                <w:sz w:val="20"/>
                <w:szCs w:val="20"/>
                <w:color w:val="auto"/>
              </w:rPr>
            </w:pPr>
            <w:r>
              <w:rPr>
                <w:rFonts w:ascii="Arial" w:cs="Arial" w:eastAsia="Arial" w:hAnsi="Arial"/>
                <w:sz w:val="16"/>
                <w:szCs w:val="16"/>
                <w:b w:val="1"/>
                <w:bCs w:val="1"/>
                <w:color w:val="auto"/>
              </w:rPr>
              <w:t>Equity</w:t>
            </w:r>
          </w:p>
        </w:tc>
        <w:tc>
          <w:tcPr>
            <w:tcW w:w="9320" w:type="dxa"/>
            <w:vAlign w:val="bottom"/>
            <w:tcBorders>
              <w:top w:val="single" w:sz="8" w:color="auto"/>
            </w:tcBorders>
            <w:gridSpan w:val="2"/>
          </w:tcPr>
          <w:p>
            <w:pPr>
              <w:ind w:left="200"/>
              <w:spacing w:after="0" w:line="168" w:lineRule="exact"/>
              <w:rPr>
                <w:sz w:val="20"/>
                <w:szCs w:val="20"/>
                <w:color w:val="auto"/>
              </w:rPr>
            </w:pPr>
            <w:r>
              <w:rPr>
                <w:rFonts w:ascii="Arial" w:cs="Arial" w:eastAsia="Arial" w:hAnsi="Arial"/>
                <w:sz w:val="16"/>
                <w:szCs w:val="16"/>
                <w:color w:val="auto"/>
              </w:rPr>
              <w:t>With the exception of Mr. Avril, all of our NEOs received increases in their equity compensation in 2025 to align their interests</w:t>
            </w:r>
          </w:p>
        </w:tc>
        <w:tc>
          <w:tcPr>
            <w:tcW w:w="20" w:type="dxa"/>
            <w:vAlign w:val="bottom"/>
          </w:tcPr>
          <w:p>
            <w:pPr>
              <w:spacing w:after="0"/>
              <w:rPr>
                <w:sz w:val="14"/>
                <w:szCs w:val="14"/>
                <w:color w:val="auto"/>
              </w:rPr>
            </w:pPr>
          </w:p>
        </w:tc>
      </w:tr>
      <w:tr>
        <w:trPr>
          <w:trHeight w:val="189"/>
        </w:trPr>
        <w:tc>
          <w:tcPr>
            <w:tcW w:w="1700" w:type="dxa"/>
            <w:vAlign w:val="bottom"/>
          </w:tcPr>
          <w:p>
            <w:pPr>
              <w:spacing w:after="0"/>
              <w:rPr>
                <w:sz w:val="20"/>
                <w:szCs w:val="20"/>
                <w:color w:val="auto"/>
              </w:rPr>
            </w:pPr>
            <w:r>
              <w:rPr>
                <w:rFonts w:ascii="Arial" w:cs="Arial" w:eastAsia="Arial" w:hAnsi="Arial"/>
                <w:sz w:val="16"/>
                <w:szCs w:val="16"/>
                <w:b w:val="1"/>
                <w:bCs w:val="1"/>
                <w:color w:val="auto"/>
              </w:rPr>
              <w:t>Compensation</w:t>
            </w:r>
          </w:p>
        </w:tc>
        <w:tc>
          <w:tcPr>
            <w:tcW w:w="9340" w:type="dxa"/>
            <w:vAlign w:val="bottom"/>
            <w:gridSpan w:val="3"/>
          </w:tcPr>
          <w:p>
            <w:pPr>
              <w:ind w:left="200"/>
              <w:spacing w:after="0"/>
              <w:rPr>
                <w:sz w:val="20"/>
                <w:szCs w:val="20"/>
                <w:color w:val="auto"/>
              </w:rPr>
            </w:pPr>
            <w:r>
              <w:rPr>
                <w:rFonts w:ascii="Arial" w:cs="Arial" w:eastAsia="Arial" w:hAnsi="Arial"/>
                <w:sz w:val="16"/>
                <w:szCs w:val="16"/>
                <w:color w:val="auto"/>
              </w:rPr>
              <w:t>with stockholder interests. The amount of each NEO’s award was determined by considering market data and internal factors.</w:t>
            </w:r>
          </w:p>
        </w:tc>
      </w:tr>
      <w:tr>
        <w:trPr>
          <w:trHeight w:val="189"/>
        </w:trPr>
        <w:tc>
          <w:tcPr>
            <w:tcW w:w="1700" w:type="dxa"/>
            <w:vAlign w:val="bottom"/>
          </w:tcPr>
          <w:p>
            <w:pPr>
              <w:spacing w:after="0"/>
              <w:rPr>
                <w:sz w:val="16"/>
                <w:szCs w:val="16"/>
                <w:color w:val="auto"/>
              </w:rPr>
            </w:pPr>
          </w:p>
        </w:tc>
        <w:tc>
          <w:tcPr>
            <w:tcW w:w="9340" w:type="dxa"/>
            <w:vAlign w:val="bottom"/>
            <w:gridSpan w:val="3"/>
          </w:tcPr>
          <w:p>
            <w:pPr>
              <w:ind w:left="200"/>
              <w:spacing w:after="0"/>
              <w:rPr>
                <w:sz w:val="20"/>
                <w:szCs w:val="20"/>
                <w:color w:val="auto"/>
              </w:rPr>
            </w:pPr>
            <w:r>
              <w:rPr>
                <w:rFonts w:ascii="Arial" w:cs="Arial" w:eastAsia="Arial" w:hAnsi="Arial"/>
                <w:sz w:val="16"/>
                <w:szCs w:val="16"/>
                <w:color w:val="auto"/>
              </w:rPr>
              <w:t>Consistent with prior years (other than for Mr. Avril), our equity award mix for 2025 consisted of the following: 50% performance</w:t>
            </w:r>
          </w:p>
        </w:tc>
      </w:tr>
      <w:tr>
        <w:trPr>
          <w:trHeight w:val="189"/>
        </w:trPr>
        <w:tc>
          <w:tcPr>
            <w:tcW w:w="1700" w:type="dxa"/>
            <w:vAlign w:val="bottom"/>
          </w:tcPr>
          <w:p>
            <w:pPr>
              <w:spacing w:after="0"/>
              <w:rPr>
                <w:sz w:val="16"/>
                <w:szCs w:val="16"/>
                <w:color w:val="auto"/>
              </w:rPr>
            </w:pPr>
          </w:p>
        </w:tc>
        <w:tc>
          <w:tcPr>
            <w:tcW w:w="9340" w:type="dxa"/>
            <w:vAlign w:val="bottom"/>
            <w:gridSpan w:val="3"/>
          </w:tcPr>
          <w:p>
            <w:pPr>
              <w:ind w:left="200"/>
              <w:spacing w:after="0"/>
              <w:rPr>
                <w:sz w:val="20"/>
                <w:szCs w:val="20"/>
                <w:color w:val="auto"/>
              </w:rPr>
            </w:pPr>
            <w:r>
              <w:rPr>
                <w:rFonts w:ascii="Arial" w:cs="Arial" w:eastAsia="Arial" w:hAnsi="Arial"/>
                <w:sz w:val="16"/>
                <w:szCs w:val="16"/>
                <w:color w:val="auto"/>
              </w:rPr>
              <w:t>based stock units (“PSUs”), 20% stock appreciation rights (“SARs”) and 30% restricted stock units (“RSUs”), based on grant</w:t>
            </w:r>
          </w:p>
        </w:tc>
      </w:tr>
      <w:tr>
        <w:trPr>
          <w:trHeight w:val="189"/>
        </w:trPr>
        <w:tc>
          <w:tcPr>
            <w:tcW w:w="1700" w:type="dxa"/>
            <w:vAlign w:val="bottom"/>
          </w:tcPr>
          <w:p>
            <w:pPr>
              <w:spacing w:after="0"/>
              <w:rPr>
                <w:sz w:val="16"/>
                <w:szCs w:val="16"/>
                <w:color w:val="auto"/>
              </w:rPr>
            </w:pPr>
          </w:p>
        </w:tc>
        <w:tc>
          <w:tcPr>
            <w:tcW w:w="9340" w:type="dxa"/>
            <w:vAlign w:val="bottom"/>
            <w:gridSpan w:val="3"/>
          </w:tcPr>
          <w:p>
            <w:pPr>
              <w:ind w:left="200"/>
              <w:spacing w:after="0"/>
              <w:rPr>
                <w:sz w:val="20"/>
                <w:szCs w:val="20"/>
                <w:color w:val="auto"/>
              </w:rPr>
            </w:pPr>
            <w:r>
              <w:rPr>
                <w:rFonts w:ascii="Arial" w:cs="Arial" w:eastAsia="Arial" w:hAnsi="Arial"/>
                <w:sz w:val="16"/>
                <w:szCs w:val="16"/>
                <w:color w:val="auto"/>
              </w:rPr>
              <w:t>date value. In connection with his appointment as interim President and CEO, which was expected to be a short-term</w:t>
            </w:r>
          </w:p>
        </w:tc>
      </w:tr>
      <w:tr>
        <w:trPr>
          <w:trHeight w:val="203"/>
        </w:trPr>
        <w:tc>
          <w:tcPr>
            <w:tcW w:w="1700" w:type="dxa"/>
            <w:vAlign w:val="bottom"/>
            <w:tcBorders>
              <w:bottom w:val="single" w:sz="8" w:color="003A70"/>
            </w:tcBorders>
          </w:tcPr>
          <w:p>
            <w:pPr>
              <w:spacing w:after="0"/>
              <w:rPr>
                <w:sz w:val="17"/>
                <w:szCs w:val="17"/>
                <w:color w:val="auto"/>
              </w:rPr>
            </w:pPr>
          </w:p>
        </w:tc>
        <w:tc>
          <w:tcPr>
            <w:tcW w:w="9320" w:type="dxa"/>
            <w:vAlign w:val="bottom"/>
            <w:tcBorders>
              <w:bottom w:val="single" w:sz="8" w:color="003A70"/>
            </w:tcBorders>
            <w:gridSpan w:val="2"/>
          </w:tcPr>
          <w:p>
            <w:pPr>
              <w:ind w:left="200"/>
              <w:spacing w:after="0"/>
              <w:rPr>
                <w:sz w:val="20"/>
                <w:szCs w:val="20"/>
                <w:color w:val="auto"/>
              </w:rPr>
            </w:pPr>
            <w:r>
              <w:rPr>
                <w:rFonts w:ascii="Arial" w:cs="Arial" w:eastAsia="Arial" w:hAnsi="Arial"/>
                <w:sz w:val="16"/>
                <w:szCs w:val="16"/>
                <w:color w:val="auto"/>
              </w:rPr>
              <w:t>engagement, in November 2025, Mr. Avril received 33% SARs and 67% RSUs based on grant date fair value.</w:t>
            </w:r>
          </w:p>
        </w:tc>
        <w:tc>
          <w:tcPr>
            <w:tcW w:w="20" w:type="dxa"/>
            <w:vAlign w:val="bottom"/>
          </w:tcPr>
          <w:p>
            <w:pPr>
              <w:spacing w:after="0"/>
              <w:rPr>
                <w:sz w:val="17"/>
                <w:szCs w:val="17"/>
                <w:color w:val="auto"/>
              </w:rPr>
            </w:pPr>
          </w:p>
        </w:tc>
      </w:tr>
      <w:tr>
        <w:trPr>
          <w:trHeight w:val="264"/>
        </w:trPr>
        <w:tc>
          <w:tcPr>
            <w:tcW w:w="1700" w:type="dxa"/>
            <w:vAlign w:val="bottom"/>
            <w:tcBorders>
              <w:bottom w:val="single" w:sz="8" w:color="003A70"/>
            </w:tcBorders>
          </w:tcPr>
          <w:p>
            <w:pPr>
              <w:spacing w:after="0"/>
              <w:rPr>
                <w:sz w:val="20"/>
                <w:szCs w:val="20"/>
                <w:color w:val="auto"/>
              </w:rPr>
            </w:pPr>
            <w:r>
              <w:rPr>
                <w:rFonts w:ascii="Arial" w:cs="Arial" w:eastAsia="Arial" w:hAnsi="Arial"/>
                <w:sz w:val="11"/>
                <w:szCs w:val="11"/>
                <w:b w:val="1"/>
                <w:bCs w:val="1"/>
                <w:color w:val="003A70"/>
              </w:rPr>
              <w:t>32</w:t>
            </w:r>
          </w:p>
        </w:tc>
        <w:tc>
          <w:tcPr>
            <w:tcW w:w="5380" w:type="dxa"/>
            <w:vAlign w:val="bottom"/>
            <w:tcBorders>
              <w:bottom w:val="single" w:sz="8" w:color="003A70"/>
            </w:tcBorders>
          </w:tcPr>
          <w:p>
            <w:pPr>
              <w:ind w:left="2920"/>
              <w:spacing w:after="0"/>
              <w:rPr>
                <w:sz w:val="20"/>
                <w:szCs w:val="20"/>
                <w:color w:val="auto"/>
              </w:rPr>
            </w:pPr>
            <w:r>
              <w:rPr>
                <w:rFonts w:ascii="Arial" w:cs="Arial" w:eastAsia="Arial" w:hAnsi="Arial"/>
                <w:sz w:val="11"/>
                <w:szCs w:val="11"/>
                <w:color w:val="auto"/>
              </w:rPr>
              <w:t>Executive and Director Compensation</w:t>
            </w:r>
          </w:p>
        </w:tc>
        <w:tc>
          <w:tcPr>
            <w:tcW w:w="3960" w:type="dxa"/>
            <w:vAlign w:val="bottom"/>
            <w:tcBorders>
              <w:bottom w:val="single" w:sz="8" w:color="003A70"/>
            </w:tcBorders>
            <w:gridSpan w:val="2"/>
          </w:tcPr>
          <w:p>
            <w:pPr>
              <w:ind w:left="640"/>
              <w:spacing w:after="0"/>
              <w:rPr>
                <w:sz w:val="20"/>
                <w:szCs w:val="20"/>
                <w:color w:val="auto"/>
              </w:rPr>
            </w:pPr>
            <w:r>
              <w:rPr>
                <w:rFonts w:ascii="Arial" w:cs="Arial" w:eastAsia="Arial" w:hAnsi="Arial"/>
                <w:sz w:val="11"/>
                <w:szCs w:val="11"/>
                <w:color w:val="auto"/>
                <w:w w:val="97"/>
              </w:rPr>
              <w:t xml:space="preserve">2026 PROXY STATEMENT </w:t>
            </w:r>
            <w:r>
              <w:rPr>
                <w:rFonts w:ascii="Arial" w:cs="Arial" w:eastAsia="Arial" w:hAnsi="Arial"/>
                <w:sz w:val="11"/>
                <w:szCs w:val="11"/>
                <w:b w:val="1"/>
                <w:bCs w:val="1"/>
                <w:color w:val="003A70"/>
                <w:w w:val="97"/>
              </w:rPr>
              <w:t>MARRIOTT VACATIONS WORLDWIDE</w:t>
            </w:r>
          </w:p>
        </w:tc>
      </w:tr>
    </w:tbl>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PHILOSOPHY</w:t>
      </w:r>
    </w:p>
    <w:p>
      <w:pPr>
        <w:spacing w:after="0" w:line="112" w:lineRule="exact"/>
        <w:rPr>
          <w:sz w:val="20"/>
          <w:szCs w:val="20"/>
          <w:color w:val="auto"/>
        </w:rPr>
      </w:pPr>
    </w:p>
    <w:p>
      <w:pPr>
        <w:jc w:val="both"/>
        <w:ind w:left="120" w:right="80"/>
        <w:spacing w:after="0" w:line="264" w:lineRule="auto"/>
        <w:rPr>
          <w:sz w:val="20"/>
          <w:szCs w:val="20"/>
          <w:color w:val="auto"/>
        </w:rPr>
      </w:pPr>
      <w:r>
        <w:rPr>
          <w:rFonts w:ascii="Arial" w:cs="Arial" w:eastAsia="Arial" w:hAnsi="Arial"/>
          <w:sz w:val="16"/>
          <w:szCs w:val="16"/>
          <w:color w:val="auto"/>
        </w:rPr>
        <w:t>The CPC has approved, and periodically reviews, compensation principles that form the basis of our compensation philosophy and reflect our belief that strong and consistent leadership is the key to long-term success in our industry. Accordingly, our compensation program is designed around the following three principles:</w:t>
      </w:r>
    </w:p>
    <w:p>
      <w:pPr>
        <w:ind w:left="340" w:right="480" w:hanging="224"/>
        <w:spacing w:after="0" w:line="272" w:lineRule="auto"/>
        <w:tabs>
          <w:tab w:leader="none" w:pos="340" w:val="left"/>
        </w:tabs>
        <w:numPr>
          <w:ilvl w:val="0"/>
          <w:numId w:val="57"/>
        </w:numPr>
        <w:rPr>
          <w:rFonts w:ascii="Arial" w:cs="Arial" w:eastAsia="Arial" w:hAnsi="Arial"/>
          <w:sz w:val="16"/>
          <w:szCs w:val="16"/>
          <w:color w:val="003A70"/>
        </w:rPr>
      </w:pPr>
      <w:r>
        <w:rPr>
          <w:rFonts w:ascii="Arial" w:cs="Arial" w:eastAsia="Arial" w:hAnsi="Arial"/>
          <w:sz w:val="16"/>
          <w:szCs w:val="16"/>
          <w:b w:val="1"/>
          <w:bCs w:val="1"/>
          <w:color w:val="auto"/>
        </w:rPr>
        <w:t xml:space="preserve">Drive Stockholder Value: </w:t>
      </w:r>
      <w:r>
        <w:rPr>
          <w:rFonts w:ascii="Arial" w:cs="Arial" w:eastAsia="Arial" w:hAnsi="Arial"/>
          <w:sz w:val="16"/>
          <w:szCs w:val="16"/>
          <w:color w:val="auto"/>
        </w:rPr>
        <w:t>Executive officers should be paid in a manner that is primarily focused on driving stockholder value. Therefore,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is and has been a significant component of total pay opportunity for the NEOs.</w:t>
      </w:r>
    </w:p>
    <w:p>
      <w:pPr>
        <w:spacing w:after="0" w:line="1" w:lineRule="exact"/>
        <w:rPr>
          <w:rFonts w:ascii="Arial" w:cs="Arial" w:eastAsia="Arial" w:hAnsi="Arial"/>
          <w:sz w:val="16"/>
          <w:szCs w:val="16"/>
          <w:color w:val="003A70"/>
        </w:rPr>
      </w:pPr>
    </w:p>
    <w:p>
      <w:pPr>
        <w:ind w:left="340" w:right="200" w:hanging="224"/>
        <w:spacing w:after="0" w:line="264" w:lineRule="auto"/>
        <w:tabs>
          <w:tab w:leader="none" w:pos="340" w:val="left"/>
        </w:tabs>
        <w:numPr>
          <w:ilvl w:val="0"/>
          <w:numId w:val="57"/>
        </w:numPr>
        <w:rPr>
          <w:rFonts w:ascii="Arial" w:cs="Arial" w:eastAsia="Arial" w:hAnsi="Arial"/>
          <w:sz w:val="16"/>
          <w:szCs w:val="16"/>
          <w:color w:val="003A70"/>
        </w:rPr>
      </w:pPr>
      <w:r>
        <w:rPr>
          <w:rFonts w:ascii="Arial" w:cs="Arial" w:eastAsia="Arial" w:hAnsi="Arial"/>
          <w:sz w:val="16"/>
          <w:szCs w:val="16"/>
          <w:b w:val="1"/>
          <w:bCs w:val="1"/>
          <w:color w:val="auto"/>
        </w:rPr>
        <w:t xml:space="preserve">Motivate and Balance Short-term and Long-term Performance: </w:t>
      </w:r>
      <w:r>
        <w:rPr>
          <w:rFonts w:ascii="Arial" w:cs="Arial" w:eastAsia="Arial" w:hAnsi="Arial"/>
          <w:sz w:val="16"/>
          <w:szCs w:val="16"/>
          <w:color w:val="auto"/>
        </w:rPr>
        <w:t>Compensation should be designed to motivate executive officers to perform their</w:t>
      </w:r>
      <w:r>
        <w:rPr>
          <w:rFonts w:ascii="Arial" w:cs="Arial" w:eastAsia="Arial" w:hAnsi="Arial"/>
          <w:sz w:val="16"/>
          <w:szCs w:val="16"/>
          <w:b w:val="1"/>
          <w:bCs w:val="1"/>
          <w:color w:val="auto"/>
        </w:rPr>
        <w:t xml:space="preserve"> </w:t>
      </w:r>
      <w:r>
        <w:rPr>
          <w:rFonts w:ascii="Arial" w:cs="Arial" w:eastAsia="Arial" w:hAnsi="Arial"/>
          <w:sz w:val="16"/>
          <w:szCs w:val="16"/>
          <w:color w:val="auto"/>
        </w:rPr>
        <w:t>duties in ways that would help achieve current year as well as longer-term objectives. This has been achieved by offering a mix of short-term cash-based and long-term equity-based incentives.</w:t>
      </w:r>
    </w:p>
    <w:p>
      <w:pPr>
        <w:ind w:left="340" w:right="60" w:hanging="224"/>
        <w:spacing w:after="0" w:line="259" w:lineRule="auto"/>
        <w:tabs>
          <w:tab w:leader="none" w:pos="340" w:val="left"/>
        </w:tabs>
        <w:numPr>
          <w:ilvl w:val="0"/>
          <w:numId w:val="57"/>
        </w:numPr>
        <w:rPr>
          <w:rFonts w:ascii="Arial" w:cs="Arial" w:eastAsia="Arial" w:hAnsi="Arial"/>
          <w:sz w:val="16"/>
          <w:szCs w:val="16"/>
          <w:color w:val="003A70"/>
        </w:rPr>
      </w:pPr>
      <w:r>
        <w:rPr>
          <w:rFonts w:ascii="Arial" w:cs="Arial" w:eastAsia="Arial" w:hAnsi="Arial"/>
          <w:sz w:val="16"/>
          <w:szCs w:val="16"/>
          <w:b w:val="1"/>
          <w:bCs w:val="1"/>
          <w:color w:val="auto"/>
        </w:rPr>
        <w:t xml:space="preserve">Retain Talent: </w:t>
      </w:r>
      <w:r>
        <w:rPr>
          <w:rFonts w:ascii="Arial" w:cs="Arial" w:eastAsia="Arial" w:hAnsi="Arial"/>
          <w:sz w:val="16"/>
          <w:szCs w:val="16"/>
          <w:color w:val="auto"/>
        </w:rPr>
        <w:t>The compensation program must be competitive in order to attract key talent from within and outside of our industry and retain key</w:t>
      </w:r>
      <w:r>
        <w:rPr>
          <w:rFonts w:ascii="Arial" w:cs="Arial" w:eastAsia="Arial" w:hAnsi="Arial"/>
          <w:sz w:val="16"/>
          <w:szCs w:val="16"/>
          <w:b w:val="1"/>
          <w:bCs w:val="1"/>
          <w:color w:val="auto"/>
        </w:rPr>
        <w:t xml:space="preserve"> </w:t>
      </w:r>
      <w:r>
        <w:rPr>
          <w:rFonts w:ascii="Arial" w:cs="Arial" w:eastAsia="Arial" w:hAnsi="Arial"/>
          <w:sz w:val="16"/>
          <w:szCs w:val="16"/>
          <w:color w:val="auto"/>
        </w:rPr>
        <w:t>talent at costs consistent with market practice. We work to achieve this, in part, through our review of the market data and internal pay equity considerations described below in making compensation decisions. The CPC seeks to establish compensation generally consistent with the median in total direct compensation, while also considering performance and scope of job.</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PROGRAM PRINCIPLES AND GOVERNANCE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Pay for Performance is Key Compensation Program Principle</w:t>
      </w:r>
    </w:p>
    <w:p>
      <w:pPr>
        <w:spacing w:after="0" w:line="110"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A large portion of the total pay opportunity for our NEOs is performance based or tied to stock performance. This means that it is contingent upon achieving specific results that are essential to the Company’s short- and long-term success and growth in stockholder value. As described in more detail in the following pages, the performance-based components of the 2025 compensation program include annual and long-term incentives that are comprised of PSUs, SARs and RSUs. The CPC has not established a specific formula for the allocation of performance-based compensation components and instead retains the discretion to modify the allocation from year to year. The chart below reflects the percentage of our former CEO’s and the average of each other NEO’s total target compensation (excluding Mr. Avril) that was performance-based in 2025. In November 2025, Mr. Avril, whom was an active Board Member at the time, was appointed as the Company’s interim President and CEO, and served in that role until he was appointed as CEO effective February 16, 2026. The target pay mix approved in November 2025 for Mr. Avril’s service as the interim President and CEO was approximately 80% equity based and 20% base salary.</w:t>
      </w:r>
    </w:p>
    <w:p>
      <w:pPr>
        <w:spacing w:after="0" w:line="76" w:lineRule="exact"/>
        <w:rPr>
          <w:sz w:val="20"/>
          <w:szCs w:val="20"/>
          <w:color w:val="auto"/>
        </w:rPr>
      </w:pPr>
    </w:p>
    <w:p>
      <w:pPr>
        <w:ind w:left="960"/>
        <w:spacing w:after="0"/>
        <w:tabs>
          <w:tab w:leader="none" w:pos="5920" w:val="left"/>
        </w:tabs>
        <w:rPr>
          <w:sz w:val="20"/>
          <w:szCs w:val="20"/>
          <w:color w:val="auto"/>
        </w:rPr>
      </w:pPr>
      <w:r>
        <w:rPr>
          <w:rFonts w:ascii="Arial" w:cs="Arial" w:eastAsia="Arial" w:hAnsi="Arial"/>
          <w:sz w:val="22"/>
          <w:szCs w:val="22"/>
          <w:b w:val="1"/>
          <w:bCs w:val="1"/>
          <w:color w:val="003A70"/>
        </w:rPr>
        <w:t>2025 TARGET PAY MIX — Former CEO</w:t>
      </w:r>
      <w:r>
        <w:rPr>
          <w:sz w:val="20"/>
          <w:szCs w:val="20"/>
          <w:color w:val="auto"/>
        </w:rPr>
        <w:tab/>
      </w:r>
      <w:r>
        <w:rPr>
          <w:rFonts w:ascii="Arial" w:cs="Arial" w:eastAsia="Arial" w:hAnsi="Arial"/>
          <w:sz w:val="21"/>
          <w:szCs w:val="21"/>
          <w:b w:val="1"/>
          <w:bCs w:val="1"/>
          <w:color w:val="003A70"/>
        </w:rPr>
        <w:t>2025 TARGET PAY MIX — OTHER NEOs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88900</wp:posOffset>
            </wp:positionV>
            <wp:extent cx="5940425" cy="2674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4042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Additional Principles and Corporate Governance Policies</w:t>
      </w:r>
    </w:p>
    <w:p>
      <w:pPr>
        <w:spacing w:after="0" w:line="104" w:lineRule="exact"/>
        <w:rPr>
          <w:sz w:val="20"/>
          <w:szCs w:val="20"/>
          <w:color w:val="auto"/>
        </w:rPr>
      </w:pPr>
    </w:p>
    <w:p>
      <w:pPr>
        <w:ind w:left="120" w:right="740"/>
        <w:spacing w:after="0" w:line="272" w:lineRule="auto"/>
        <w:rPr>
          <w:sz w:val="20"/>
          <w:szCs w:val="20"/>
          <w:color w:val="auto"/>
        </w:rPr>
      </w:pPr>
      <w:r>
        <w:rPr>
          <w:rFonts w:ascii="Arial" w:cs="Arial" w:eastAsia="Arial" w:hAnsi="Arial"/>
          <w:sz w:val="16"/>
          <w:szCs w:val="16"/>
          <w:color w:val="auto"/>
        </w:rPr>
        <w:t>Our executive compensation programs contain features that are intended to embody our compensation principles and promote strong executive compensation corporate governance.</w:t>
      </w:r>
    </w:p>
    <w:p>
      <w:pPr>
        <w:spacing w:after="0" w:line="1" w:lineRule="exact"/>
        <w:rPr>
          <w:sz w:val="20"/>
          <w:szCs w:val="20"/>
          <w:color w:val="auto"/>
        </w:rPr>
      </w:pPr>
    </w:p>
    <w:p>
      <w:pPr>
        <w:ind w:left="340" w:right="60" w:hanging="224"/>
        <w:spacing w:after="0" w:line="253" w:lineRule="auto"/>
        <w:tabs>
          <w:tab w:leader="none" w:pos="340" w:val="left"/>
        </w:tabs>
        <w:numPr>
          <w:ilvl w:val="0"/>
          <w:numId w:val="58"/>
        </w:numPr>
        <w:rPr>
          <w:rFonts w:ascii="Arial" w:cs="Arial" w:eastAsia="Arial" w:hAnsi="Arial"/>
          <w:sz w:val="16"/>
          <w:szCs w:val="16"/>
          <w:color w:val="003A70"/>
        </w:rPr>
      </w:pPr>
      <w:r>
        <w:rPr>
          <w:rFonts w:ascii="Arial" w:cs="Arial" w:eastAsia="Arial" w:hAnsi="Arial"/>
          <w:sz w:val="16"/>
          <w:szCs w:val="16"/>
          <w:color w:val="auto"/>
        </w:rPr>
        <w:t>We have a clawback policy applicable to incentive compensation paid to our executive officers and directors (the “NYSE Clawback Policy”), which is in addition to the clawback provision that applies to all equity awards (both time-based and performance-based) under the Marriott Vacations Worldwide Corporation 2020 Equity Incentive Plan (the “2020 Equity Plan”) and the Marriott Vacations Worldwide Corporation Stock and Cash Incentive Plan (the “Prior Equity Plan” and, together with the 2020 Equity Plan, the “Equity Plans”) and the corresponding award agreements thereunder. The NYSE Clawback Policy was adopted in May 2023 and complies with the NYSE rules for erroneously awarded compensation. In addition, we maintain an Other Conduct Clawback Policy whereby the Board may recoup any compensation received, including time-based equity awards, by a named executive officer who has</w:t>
      </w:r>
    </w:p>
    <w:p>
      <w:pPr>
        <w:sectPr>
          <w:pgSz w:w="11900" w:h="16838" w:orient="portrait"/>
          <w:cols w:equalWidth="0" w:num="1">
            <w:col w:w="11140"/>
          </w:cols>
          <w:pgMar w:left="320" w:top="482" w:right="439" w:bottom="1440" w:gutter="0" w:footer="0" w:header="0"/>
        </w:sectPr>
      </w:pPr>
    </w:p>
    <w:p>
      <w:pPr>
        <w:spacing w:after="0" w:line="115" w:lineRule="exact"/>
        <w:rPr>
          <w:sz w:val="20"/>
          <w:szCs w:val="20"/>
          <w:color w:val="auto"/>
        </w:rPr>
      </w:pPr>
    </w:p>
    <w:p>
      <w:pPr>
        <w:ind w:left="120"/>
        <w:spacing w:after="0"/>
        <w:tabs>
          <w:tab w:leader="none" w:pos="472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340" w:right="180"/>
        <w:spacing w:after="0" w:line="264" w:lineRule="auto"/>
        <w:rPr>
          <w:sz w:val="20"/>
          <w:szCs w:val="20"/>
          <w:color w:val="auto"/>
        </w:rPr>
      </w:pPr>
      <w:r>
        <w:rPr>
          <w:rFonts w:ascii="Arial" w:cs="Arial" w:eastAsia="Arial" w:hAnsi="Arial"/>
          <w:sz w:val="16"/>
          <w:szCs w:val="16"/>
          <w:color w:val="auto"/>
        </w:rPr>
        <w:t>engaged in conduct that violates our Business Conduct Guide or in willful misconduct or fraud that causes harm to the Company. Compensation received up to three years prior to the restatement or conduct and after the date of adoption of the policies are subject to potential recoupment under the policies.</w:t>
      </w:r>
    </w:p>
    <w:p>
      <w:pPr>
        <w:ind w:left="340" w:hanging="224"/>
        <w:spacing w:after="0"/>
        <w:tabs>
          <w:tab w:leader="none" w:pos="340" w:val="left"/>
        </w:tabs>
        <w:numPr>
          <w:ilvl w:val="0"/>
          <w:numId w:val="59"/>
        </w:numPr>
        <w:rPr>
          <w:rFonts w:ascii="Arial" w:cs="Arial" w:eastAsia="Arial" w:hAnsi="Arial"/>
          <w:sz w:val="16"/>
          <w:szCs w:val="16"/>
          <w:color w:val="003A70"/>
        </w:rPr>
      </w:pPr>
      <w:r>
        <w:rPr>
          <w:rFonts w:ascii="Arial" w:cs="Arial" w:eastAsia="Arial" w:hAnsi="Arial"/>
          <w:sz w:val="16"/>
          <w:szCs w:val="16"/>
          <w:color w:val="auto"/>
        </w:rPr>
        <w:t>We do not provide for a gross-up of excise taxes on any “parachute payments” that could become payable in connection with a change in control.</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59"/>
        </w:numPr>
        <w:rPr>
          <w:rFonts w:ascii="Arial" w:cs="Arial" w:eastAsia="Arial" w:hAnsi="Arial"/>
          <w:sz w:val="16"/>
          <w:szCs w:val="16"/>
          <w:color w:val="003A70"/>
        </w:rPr>
      </w:pPr>
      <w:r>
        <w:rPr>
          <w:rFonts w:ascii="Arial" w:cs="Arial" w:eastAsia="Arial" w:hAnsi="Arial"/>
          <w:sz w:val="16"/>
          <w:szCs w:val="16"/>
          <w:color w:val="auto"/>
        </w:rPr>
        <w:t>Executive officers are provided only limited perquisites and are not provided with tax gross-ups with respect to such perquisites.</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59"/>
        </w:numPr>
        <w:rPr>
          <w:rFonts w:ascii="Arial" w:cs="Arial" w:eastAsia="Arial" w:hAnsi="Arial"/>
          <w:sz w:val="16"/>
          <w:szCs w:val="16"/>
          <w:color w:val="003A70"/>
        </w:rPr>
      </w:pPr>
      <w:r>
        <w:rPr>
          <w:rFonts w:ascii="Arial" w:cs="Arial" w:eastAsia="Arial" w:hAnsi="Arial"/>
          <w:sz w:val="16"/>
          <w:szCs w:val="16"/>
          <w:color w:val="auto"/>
        </w:rPr>
        <w:t>The 2020 Equity Plan does not include an “evergreen” provision.</w:t>
      </w:r>
    </w:p>
    <w:p>
      <w:pPr>
        <w:spacing w:after="0" w:line="45" w:lineRule="exact"/>
        <w:rPr>
          <w:rFonts w:ascii="Arial" w:cs="Arial" w:eastAsia="Arial" w:hAnsi="Arial"/>
          <w:sz w:val="16"/>
          <w:szCs w:val="16"/>
          <w:color w:val="003A70"/>
        </w:rPr>
      </w:pPr>
    </w:p>
    <w:p>
      <w:pPr>
        <w:ind w:left="340" w:right="320" w:hanging="224"/>
        <w:spacing w:after="0" w:line="264" w:lineRule="auto"/>
        <w:tabs>
          <w:tab w:leader="none" w:pos="340" w:val="left"/>
        </w:tabs>
        <w:numPr>
          <w:ilvl w:val="0"/>
          <w:numId w:val="59"/>
        </w:numPr>
        <w:rPr>
          <w:rFonts w:ascii="Arial" w:cs="Arial" w:eastAsia="Arial" w:hAnsi="Arial"/>
          <w:sz w:val="16"/>
          <w:szCs w:val="16"/>
          <w:color w:val="003A70"/>
        </w:rPr>
      </w:pPr>
      <w:r>
        <w:rPr>
          <w:rFonts w:ascii="Arial" w:cs="Arial" w:eastAsia="Arial" w:hAnsi="Arial"/>
          <w:sz w:val="16"/>
          <w:szCs w:val="16"/>
          <w:color w:val="auto"/>
        </w:rPr>
        <w:t>We cannot, without stockholder approval, “reprice” stock options or SARs by reducing the exercise or base price of such stock option or SAR, exchanging such stock option or SAR for a new award with a lower exercise or base price, or exchanging such stock option or SAR for cash (other than in connection with specified corporate transactions).</w:t>
      </w:r>
    </w:p>
    <w:p>
      <w:pPr>
        <w:ind w:left="340" w:right="260" w:hanging="224"/>
        <w:spacing w:after="0" w:line="272" w:lineRule="auto"/>
        <w:tabs>
          <w:tab w:leader="none" w:pos="340" w:val="left"/>
        </w:tabs>
        <w:numPr>
          <w:ilvl w:val="0"/>
          <w:numId w:val="59"/>
        </w:numPr>
        <w:rPr>
          <w:rFonts w:ascii="Arial" w:cs="Arial" w:eastAsia="Arial" w:hAnsi="Arial"/>
          <w:sz w:val="16"/>
          <w:szCs w:val="16"/>
          <w:color w:val="003A70"/>
        </w:rPr>
      </w:pPr>
      <w:r>
        <w:rPr>
          <w:rFonts w:ascii="Arial" w:cs="Arial" w:eastAsia="Arial" w:hAnsi="Arial"/>
          <w:sz w:val="16"/>
          <w:szCs w:val="16"/>
          <w:color w:val="auto"/>
        </w:rPr>
        <w:t>We do not provide “single trigger” change in control benefits, except with respect to equity awards which are not retained or replaced with substitute awards following a change in control.</w:t>
      </w:r>
    </w:p>
    <w:p>
      <w:pPr>
        <w:spacing w:after="0" w:line="1" w:lineRule="exact"/>
        <w:rPr>
          <w:rFonts w:ascii="Arial" w:cs="Arial" w:eastAsia="Arial" w:hAnsi="Arial"/>
          <w:sz w:val="16"/>
          <w:szCs w:val="16"/>
          <w:color w:val="003A70"/>
        </w:rPr>
      </w:pPr>
    </w:p>
    <w:p>
      <w:pPr>
        <w:ind w:left="340" w:right="120" w:hanging="224"/>
        <w:spacing w:after="0" w:line="264" w:lineRule="auto"/>
        <w:tabs>
          <w:tab w:leader="none" w:pos="340" w:val="left"/>
        </w:tabs>
        <w:numPr>
          <w:ilvl w:val="0"/>
          <w:numId w:val="59"/>
        </w:numPr>
        <w:rPr>
          <w:rFonts w:ascii="Arial" w:cs="Arial" w:eastAsia="Arial" w:hAnsi="Arial"/>
          <w:sz w:val="16"/>
          <w:szCs w:val="16"/>
          <w:color w:val="003A70"/>
        </w:rPr>
      </w:pPr>
      <w:r>
        <w:rPr>
          <w:rFonts w:ascii="Arial" w:cs="Arial" w:eastAsia="Arial" w:hAnsi="Arial"/>
          <w:sz w:val="16"/>
          <w:szCs w:val="16"/>
          <w:color w:val="auto"/>
        </w:rPr>
        <w:t>We have stock ownership guidelines that require our CEO to own shares of our Common Stock (as determined under the guidelines) with a market value equal to five times base salary and other executive officers to own shares of our Common Stock with a market value equal to two to three times their annual base salary.</w:t>
      </w:r>
    </w:p>
    <w:p>
      <w:pPr>
        <w:ind w:left="340" w:right="20" w:hanging="224"/>
        <w:spacing w:after="0" w:line="264" w:lineRule="auto"/>
        <w:tabs>
          <w:tab w:leader="none" w:pos="340" w:val="left"/>
        </w:tabs>
        <w:numPr>
          <w:ilvl w:val="0"/>
          <w:numId w:val="59"/>
        </w:numPr>
        <w:rPr>
          <w:rFonts w:ascii="Arial" w:cs="Arial" w:eastAsia="Arial" w:hAnsi="Arial"/>
          <w:sz w:val="16"/>
          <w:szCs w:val="16"/>
          <w:color w:val="003A70"/>
        </w:rPr>
      </w:pPr>
      <w:r>
        <w:rPr>
          <w:rFonts w:ascii="Arial" w:cs="Arial" w:eastAsia="Arial" w:hAnsi="Arial"/>
          <w:sz w:val="16"/>
          <w:szCs w:val="16"/>
          <w:color w:val="auto"/>
        </w:rPr>
        <w:t>Equity grants are typically made on a consistent schedule and are not made in anticipation of significant developments that may impact the price of our common shares. Annual grants are typically made during the first quarter, two days after the filing of the Company’s Annual Report on Form 10-K for the prior year, which is intended to prevent making equity grants when we have material, non-public information.</w:t>
      </w:r>
    </w:p>
    <w:p>
      <w:pPr>
        <w:ind w:left="340" w:right="120" w:hanging="224"/>
        <w:spacing w:after="0" w:line="272" w:lineRule="auto"/>
        <w:tabs>
          <w:tab w:leader="none" w:pos="340" w:val="left"/>
        </w:tabs>
        <w:numPr>
          <w:ilvl w:val="0"/>
          <w:numId w:val="59"/>
        </w:numPr>
        <w:rPr>
          <w:rFonts w:ascii="Arial" w:cs="Arial" w:eastAsia="Arial" w:hAnsi="Arial"/>
          <w:sz w:val="16"/>
          <w:szCs w:val="16"/>
          <w:color w:val="003A70"/>
        </w:rPr>
      </w:pPr>
      <w:r>
        <w:rPr>
          <w:rFonts w:ascii="Arial" w:cs="Arial" w:eastAsia="Arial" w:hAnsi="Arial"/>
          <w:sz w:val="16"/>
          <w:szCs w:val="16"/>
          <w:color w:val="auto"/>
        </w:rPr>
        <w:t>Our associates, officers and directors may not at any time engage in any form of derivative transactions (such as “short” sales or “option puts or calls” other than Company issued SARs and options) in our securities.</w:t>
      </w:r>
    </w:p>
    <w:p>
      <w:pPr>
        <w:spacing w:after="0" w:line="1" w:lineRule="exact"/>
        <w:rPr>
          <w:rFonts w:ascii="Arial" w:cs="Arial" w:eastAsia="Arial" w:hAnsi="Arial"/>
          <w:sz w:val="16"/>
          <w:szCs w:val="16"/>
          <w:color w:val="003A70"/>
        </w:rPr>
      </w:pPr>
    </w:p>
    <w:p>
      <w:pPr>
        <w:ind w:left="340" w:right="340" w:hanging="224"/>
        <w:spacing w:after="0" w:line="272" w:lineRule="auto"/>
        <w:tabs>
          <w:tab w:leader="none" w:pos="340" w:val="left"/>
        </w:tabs>
        <w:numPr>
          <w:ilvl w:val="0"/>
          <w:numId w:val="59"/>
        </w:numPr>
        <w:rPr>
          <w:rFonts w:ascii="Arial" w:cs="Arial" w:eastAsia="Arial" w:hAnsi="Arial"/>
          <w:sz w:val="16"/>
          <w:szCs w:val="16"/>
          <w:color w:val="003A70"/>
        </w:rPr>
      </w:pPr>
      <w:r>
        <w:rPr>
          <w:rFonts w:ascii="Arial" w:cs="Arial" w:eastAsia="Arial" w:hAnsi="Arial"/>
          <w:sz w:val="16"/>
          <w:szCs w:val="16"/>
          <w:color w:val="auto"/>
        </w:rPr>
        <w:t>Our associates, officers and directors are prohibited from including our securities in a margin account or pledging such securities as collateral for a loan.</w:t>
      </w:r>
    </w:p>
    <w:p>
      <w:pPr>
        <w:spacing w:after="0" w:line="1" w:lineRule="exact"/>
        <w:rPr>
          <w:rFonts w:ascii="Arial" w:cs="Arial" w:eastAsia="Arial" w:hAnsi="Arial"/>
          <w:sz w:val="16"/>
          <w:szCs w:val="16"/>
          <w:color w:val="003A70"/>
        </w:rPr>
      </w:pPr>
    </w:p>
    <w:p>
      <w:pPr>
        <w:ind w:left="340" w:hanging="224"/>
        <w:spacing w:after="0"/>
        <w:tabs>
          <w:tab w:leader="none" w:pos="340" w:val="left"/>
        </w:tabs>
        <w:numPr>
          <w:ilvl w:val="0"/>
          <w:numId w:val="59"/>
        </w:numPr>
        <w:rPr>
          <w:rFonts w:ascii="Arial" w:cs="Arial" w:eastAsia="Arial" w:hAnsi="Arial"/>
          <w:sz w:val="16"/>
          <w:szCs w:val="16"/>
          <w:color w:val="003A70"/>
        </w:rPr>
      </w:pPr>
      <w:r>
        <w:rPr>
          <w:rFonts w:ascii="Arial" w:cs="Arial" w:eastAsia="Arial" w:hAnsi="Arial"/>
          <w:sz w:val="16"/>
          <w:szCs w:val="16"/>
          <w:color w:val="auto"/>
        </w:rPr>
        <w:t>None of our NEOs are entitled to guaranteed annual bonuses.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PROCESS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Market Data</w:t>
      </w:r>
    </w:p>
    <w:p>
      <w:pPr>
        <w:spacing w:after="0" w:line="110"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To assist in determining the levels of compensation for our NEOs in 2025, Exequity LLP (“Exequity”), the CPC’s compensation consultant, recommended an appropriate peer group for approval by the CPC and management. Considerations for developing the peer group included company size as measured by revenues (generally one-half to two times the Company’s revenues) and market capitalization (companies with very low or very high market capitalization relative to the Company were excluded), industry and business model similarities, and trading on a major exchange.</w:t>
      </w:r>
    </w:p>
    <w:p>
      <w:pPr>
        <w:spacing w:after="0" w:line="70"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Toll Brothers, Inc., which had been a member of our peer group until 2024, was removed from the peer group for 2025 due to industry comparability and market capitalization relative to the Company.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companies in the peer group used as the basis for 2025 compensation decisions consisted of the following:</w:t>
      </w:r>
    </w:p>
    <w:p>
      <w:pPr>
        <w:spacing w:after="0" w:line="131" w:lineRule="exact"/>
        <w:rPr>
          <w:sz w:val="20"/>
          <w:szCs w:val="20"/>
          <w:color w:val="auto"/>
        </w:rPr>
      </w:pPr>
    </w:p>
    <w:tbl>
      <w:tblPr>
        <w:tblLayout w:type="fixed"/>
        <w:tblInd w:w="11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6000" w:type="dxa"/>
            <w:vAlign w:val="bottom"/>
          </w:tcPr>
          <w:p>
            <w:pPr>
              <w:ind w:left="720"/>
              <w:spacing w:after="0"/>
              <w:rPr>
                <w:sz w:val="20"/>
                <w:szCs w:val="20"/>
                <w:color w:val="auto"/>
              </w:rPr>
            </w:pPr>
            <w:r>
              <w:rPr>
                <w:rFonts w:ascii="Arial" w:cs="Arial" w:eastAsia="Arial" w:hAnsi="Arial"/>
                <w:sz w:val="14"/>
                <w:szCs w:val="14"/>
                <w:color w:val="003A70"/>
              </w:rPr>
              <w:t>Peer Group Companies</w:t>
            </w:r>
          </w:p>
        </w:tc>
      </w:tr>
      <w:tr>
        <w:trPr>
          <w:trHeight w:val="69"/>
        </w:trPr>
        <w:tc>
          <w:tcPr>
            <w:tcW w:w="3040" w:type="dxa"/>
            <w:vAlign w:val="bottom"/>
            <w:gridSpan w:val="2"/>
          </w:tcPr>
          <w:p>
            <w:pPr>
              <w:spacing w:after="0"/>
              <w:rPr>
                <w:sz w:val="6"/>
                <w:szCs w:val="6"/>
                <w:color w:val="auto"/>
              </w:rPr>
            </w:pPr>
          </w:p>
        </w:tc>
        <w:tc>
          <w:tcPr>
            <w:tcW w:w="6000" w:type="dxa"/>
            <w:vAlign w:val="bottom"/>
          </w:tcPr>
          <w:p>
            <w:pPr>
              <w:spacing w:after="0"/>
              <w:rPr>
                <w:sz w:val="6"/>
                <w:szCs w:val="6"/>
                <w:color w:val="auto"/>
              </w:rPr>
            </w:pPr>
          </w:p>
        </w:tc>
      </w:tr>
      <w:tr>
        <w:trPr>
          <w:trHeight w:val="175"/>
        </w:trPr>
        <w:tc>
          <w:tcPr>
            <w:tcW w:w="20" w:type="dxa"/>
            <w:vAlign w:val="bottom"/>
          </w:tcPr>
          <w:p>
            <w:pPr>
              <w:spacing w:after="0"/>
              <w:rPr>
                <w:sz w:val="15"/>
                <w:szCs w:val="15"/>
                <w:color w:val="auto"/>
              </w:rPr>
            </w:pPr>
          </w:p>
        </w:tc>
        <w:tc>
          <w:tcPr>
            <w:tcW w:w="3020" w:type="dxa"/>
            <w:vAlign w:val="bottom"/>
            <w:tcBorders>
              <w:top w:val="single" w:sz="8" w:color="003A70"/>
            </w:tcBorders>
          </w:tcPr>
          <w:p>
            <w:pPr>
              <w:spacing w:after="0" w:line="175" w:lineRule="exact"/>
              <w:rPr>
                <w:sz w:val="20"/>
                <w:szCs w:val="20"/>
                <w:color w:val="auto"/>
              </w:rPr>
            </w:pPr>
            <w:r>
              <w:rPr>
                <w:rFonts w:ascii="Arial" w:cs="Arial" w:eastAsia="Arial" w:hAnsi="Arial"/>
                <w:sz w:val="16"/>
                <w:szCs w:val="16"/>
                <w:color w:val="auto"/>
              </w:rPr>
              <w:t>Bloomin’ Brands, Inc.</w:t>
            </w:r>
          </w:p>
        </w:tc>
        <w:tc>
          <w:tcPr>
            <w:tcW w:w="6000" w:type="dxa"/>
            <w:vAlign w:val="bottom"/>
            <w:tcBorders>
              <w:top w:val="single" w:sz="8" w:color="003A70"/>
            </w:tcBorders>
          </w:tcPr>
          <w:p>
            <w:pPr>
              <w:ind w:left="1760"/>
              <w:spacing w:after="0" w:line="175" w:lineRule="exact"/>
              <w:rPr>
                <w:sz w:val="20"/>
                <w:szCs w:val="20"/>
                <w:color w:val="auto"/>
              </w:rPr>
            </w:pPr>
            <w:r>
              <w:rPr>
                <w:rFonts w:ascii="Arial" w:cs="Arial" w:eastAsia="Arial" w:hAnsi="Arial"/>
                <w:sz w:val="16"/>
                <w:szCs w:val="16"/>
                <w:color w:val="auto"/>
              </w:rPr>
              <w:t>Norwegian Cruise Line Holdings Ltd.</w:t>
            </w:r>
          </w:p>
        </w:tc>
      </w:tr>
      <w:tr>
        <w:trPr>
          <w:trHeight w:val="189"/>
        </w:trPr>
        <w:tc>
          <w:tcPr>
            <w:tcW w:w="3040" w:type="dxa"/>
            <w:vAlign w:val="bottom"/>
            <w:gridSpan w:val="2"/>
          </w:tcPr>
          <w:p>
            <w:pPr>
              <w:spacing w:after="0"/>
              <w:rPr>
                <w:sz w:val="20"/>
                <w:szCs w:val="20"/>
                <w:color w:val="auto"/>
              </w:rPr>
            </w:pPr>
            <w:r>
              <w:rPr>
                <w:rFonts w:ascii="Arial" w:cs="Arial" w:eastAsia="Arial" w:hAnsi="Arial"/>
                <w:sz w:val="16"/>
                <w:szCs w:val="16"/>
                <w:color w:val="auto"/>
              </w:rPr>
              <w:t>Boyd Gaming Corporation</w:t>
            </w:r>
          </w:p>
        </w:tc>
        <w:tc>
          <w:tcPr>
            <w:tcW w:w="6000" w:type="dxa"/>
            <w:vAlign w:val="bottom"/>
          </w:tcPr>
          <w:p>
            <w:pPr>
              <w:ind w:left="1760"/>
              <w:spacing w:after="0"/>
              <w:rPr>
                <w:sz w:val="20"/>
                <w:szCs w:val="20"/>
                <w:color w:val="auto"/>
              </w:rPr>
            </w:pPr>
            <w:r>
              <w:rPr>
                <w:rFonts w:ascii="Arial" w:cs="Arial" w:eastAsia="Arial" w:hAnsi="Arial"/>
                <w:sz w:val="16"/>
                <w:szCs w:val="16"/>
                <w:color w:val="auto"/>
              </w:rPr>
              <w:t>Park Hotels &amp; Resorts Inc.</w:t>
            </w:r>
          </w:p>
        </w:tc>
      </w:tr>
      <w:tr>
        <w:trPr>
          <w:trHeight w:val="189"/>
        </w:trPr>
        <w:tc>
          <w:tcPr>
            <w:tcW w:w="3040" w:type="dxa"/>
            <w:vAlign w:val="bottom"/>
            <w:gridSpan w:val="2"/>
          </w:tcPr>
          <w:p>
            <w:pPr>
              <w:spacing w:after="0"/>
              <w:rPr>
                <w:sz w:val="20"/>
                <w:szCs w:val="20"/>
                <w:color w:val="auto"/>
              </w:rPr>
            </w:pPr>
            <w:r>
              <w:rPr>
                <w:rFonts w:ascii="Arial" w:cs="Arial" w:eastAsia="Arial" w:hAnsi="Arial"/>
                <w:sz w:val="16"/>
                <w:szCs w:val="16"/>
                <w:color w:val="auto"/>
              </w:rPr>
              <w:t>Caesars Entertainment, Inc.</w:t>
            </w:r>
          </w:p>
        </w:tc>
        <w:tc>
          <w:tcPr>
            <w:tcW w:w="6000" w:type="dxa"/>
            <w:vAlign w:val="bottom"/>
          </w:tcPr>
          <w:p>
            <w:pPr>
              <w:ind w:left="1760"/>
              <w:spacing w:after="0"/>
              <w:rPr>
                <w:sz w:val="20"/>
                <w:szCs w:val="20"/>
                <w:color w:val="auto"/>
              </w:rPr>
            </w:pPr>
            <w:r>
              <w:rPr>
                <w:rFonts w:ascii="Arial" w:cs="Arial" w:eastAsia="Arial" w:hAnsi="Arial"/>
                <w:sz w:val="16"/>
                <w:szCs w:val="16"/>
                <w:color w:val="auto"/>
              </w:rPr>
              <w:t>PENN Entertainment, Inc.</w:t>
            </w:r>
          </w:p>
        </w:tc>
      </w:tr>
      <w:tr>
        <w:trPr>
          <w:trHeight w:val="189"/>
        </w:trPr>
        <w:tc>
          <w:tcPr>
            <w:tcW w:w="3040" w:type="dxa"/>
            <w:vAlign w:val="bottom"/>
            <w:gridSpan w:val="2"/>
          </w:tcPr>
          <w:p>
            <w:pPr>
              <w:spacing w:after="0"/>
              <w:rPr>
                <w:sz w:val="20"/>
                <w:szCs w:val="20"/>
                <w:color w:val="auto"/>
              </w:rPr>
            </w:pPr>
            <w:r>
              <w:rPr>
                <w:rFonts w:ascii="Arial" w:cs="Arial" w:eastAsia="Arial" w:hAnsi="Arial"/>
                <w:sz w:val="16"/>
                <w:szCs w:val="16"/>
                <w:color w:val="auto"/>
              </w:rPr>
              <w:t>Choice Hotels International, Inc.</w:t>
            </w:r>
          </w:p>
        </w:tc>
        <w:tc>
          <w:tcPr>
            <w:tcW w:w="6000" w:type="dxa"/>
            <w:vAlign w:val="bottom"/>
          </w:tcPr>
          <w:p>
            <w:pPr>
              <w:ind w:left="1760"/>
              <w:spacing w:after="0"/>
              <w:rPr>
                <w:sz w:val="20"/>
                <w:szCs w:val="20"/>
                <w:color w:val="auto"/>
              </w:rPr>
            </w:pPr>
            <w:r>
              <w:rPr>
                <w:rFonts w:ascii="Arial" w:cs="Arial" w:eastAsia="Arial" w:hAnsi="Arial"/>
                <w:sz w:val="16"/>
                <w:szCs w:val="16"/>
                <w:color w:val="auto"/>
              </w:rPr>
              <w:t>Royal Caribbean Cruises Ltd.</w:t>
            </w:r>
          </w:p>
        </w:tc>
      </w:tr>
      <w:tr>
        <w:trPr>
          <w:trHeight w:val="189"/>
        </w:trPr>
        <w:tc>
          <w:tcPr>
            <w:tcW w:w="3040" w:type="dxa"/>
            <w:vAlign w:val="bottom"/>
            <w:gridSpan w:val="2"/>
          </w:tcPr>
          <w:p>
            <w:pPr>
              <w:spacing w:after="0"/>
              <w:rPr>
                <w:sz w:val="20"/>
                <w:szCs w:val="20"/>
                <w:color w:val="auto"/>
              </w:rPr>
            </w:pPr>
            <w:r>
              <w:rPr>
                <w:rFonts w:ascii="Arial" w:cs="Arial" w:eastAsia="Arial" w:hAnsi="Arial"/>
                <w:sz w:val="16"/>
                <w:szCs w:val="16"/>
                <w:color w:val="auto"/>
              </w:rPr>
              <w:t>Darden Restaurants, Inc.</w:t>
            </w:r>
          </w:p>
        </w:tc>
        <w:tc>
          <w:tcPr>
            <w:tcW w:w="6000" w:type="dxa"/>
            <w:vAlign w:val="bottom"/>
          </w:tcPr>
          <w:p>
            <w:pPr>
              <w:ind w:left="1760"/>
              <w:spacing w:after="0"/>
              <w:rPr>
                <w:sz w:val="20"/>
                <w:szCs w:val="20"/>
                <w:color w:val="auto"/>
              </w:rPr>
            </w:pPr>
            <w:r>
              <w:rPr>
                <w:rFonts w:ascii="Arial" w:cs="Arial" w:eastAsia="Arial" w:hAnsi="Arial"/>
                <w:sz w:val="16"/>
                <w:szCs w:val="16"/>
                <w:color w:val="auto"/>
              </w:rPr>
              <w:t>Travel + Leisure Co.</w:t>
            </w:r>
          </w:p>
        </w:tc>
      </w:tr>
      <w:tr>
        <w:trPr>
          <w:trHeight w:val="189"/>
        </w:trPr>
        <w:tc>
          <w:tcPr>
            <w:tcW w:w="3040" w:type="dxa"/>
            <w:vAlign w:val="bottom"/>
            <w:gridSpan w:val="2"/>
          </w:tcPr>
          <w:p>
            <w:pPr>
              <w:spacing w:after="0"/>
              <w:rPr>
                <w:sz w:val="20"/>
                <w:szCs w:val="20"/>
                <w:color w:val="auto"/>
              </w:rPr>
            </w:pPr>
            <w:r>
              <w:rPr>
                <w:rFonts w:ascii="Arial" w:cs="Arial" w:eastAsia="Arial" w:hAnsi="Arial"/>
                <w:sz w:val="16"/>
                <w:szCs w:val="16"/>
                <w:color w:val="auto"/>
              </w:rPr>
              <w:t>Hilton Grand Vacations Inc.</w:t>
            </w:r>
          </w:p>
        </w:tc>
        <w:tc>
          <w:tcPr>
            <w:tcW w:w="6000" w:type="dxa"/>
            <w:vAlign w:val="bottom"/>
          </w:tcPr>
          <w:p>
            <w:pPr>
              <w:ind w:left="1760"/>
              <w:spacing w:after="0"/>
              <w:rPr>
                <w:sz w:val="20"/>
                <w:szCs w:val="20"/>
                <w:color w:val="auto"/>
              </w:rPr>
            </w:pPr>
            <w:r>
              <w:rPr>
                <w:rFonts w:ascii="Arial" w:cs="Arial" w:eastAsia="Arial" w:hAnsi="Arial"/>
                <w:sz w:val="16"/>
                <w:szCs w:val="16"/>
                <w:color w:val="auto"/>
              </w:rPr>
              <w:t>Vail Resorts, Inc.</w:t>
            </w:r>
          </w:p>
        </w:tc>
      </w:tr>
      <w:tr>
        <w:trPr>
          <w:trHeight w:val="189"/>
        </w:trPr>
        <w:tc>
          <w:tcPr>
            <w:tcW w:w="3040" w:type="dxa"/>
            <w:vAlign w:val="bottom"/>
            <w:gridSpan w:val="2"/>
          </w:tcPr>
          <w:p>
            <w:pPr>
              <w:spacing w:after="0"/>
              <w:rPr>
                <w:sz w:val="20"/>
                <w:szCs w:val="20"/>
                <w:color w:val="auto"/>
              </w:rPr>
            </w:pPr>
            <w:r>
              <w:rPr>
                <w:rFonts w:ascii="Arial" w:cs="Arial" w:eastAsia="Arial" w:hAnsi="Arial"/>
                <w:sz w:val="16"/>
                <w:szCs w:val="16"/>
                <w:color w:val="auto"/>
              </w:rPr>
              <w:t>Host Hotels &amp; Resorts, Inc.</w:t>
            </w:r>
          </w:p>
        </w:tc>
        <w:tc>
          <w:tcPr>
            <w:tcW w:w="6000" w:type="dxa"/>
            <w:vAlign w:val="bottom"/>
          </w:tcPr>
          <w:p>
            <w:pPr>
              <w:ind w:left="1760"/>
              <w:spacing w:after="0"/>
              <w:rPr>
                <w:sz w:val="20"/>
                <w:szCs w:val="20"/>
                <w:color w:val="auto"/>
              </w:rPr>
            </w:pPr>
            <w:r>
              <w:rPr>
                <w:rFonts w:ascii="Arial" w:cs="Arial" w:eastAsia="Arial" w:hAnsi="Arial"/>
                <w:sz w:val="16"/>
                <w:szCs w:val="16"/>
                <w:color w:val="auto"/>
              </w:rPr>
              <w:t>Wyndham Hotels &amp; Resorts, Inc.</w:t>
            </w:r>
          </w:p>
        </w:tc>
      </w:tr>
      <w:tr>
        <w:trPr>
          <w:trHeight w:val="216"/>
        </w:trPr>
        <w:tc>
          <w:tcPr>
            <w:tcW w:w="3040" w:type="dxa"/>
            <w:vAlign w:val="bottom"/>
            <w:tcBorders>
              <w:bottom w:val="single" w:sz="8" w:color="003A70"/>
            </w:tcBorders>
            <w:gridSpan w:val="2"/>
          </w:tcPr>
          <w:p>
            <w:pPr>
              <w:spacing w:after="0"/>
              <w:rPr>
                <w:sz w:val="20"/>
                <w:szCs w:val="20"/>
                <w:color w:val="auto"/>
              </w:rPr>
            </w:pPr>
            <w:r>
              <w:rPr>
                <w:rFonts w:ascii="Arial" w:cs="Arial" w:eastAsia="Arial" w:hAnsi="Arial"/>
                <w:sz w:val="16"/>
                <w:szCs w:val="16"/>
                <w:color w:val="auto"/>
              </w:rPr>
              <w:t>Hyatt Hotels Corporation</w:t>
            </w:r>
          </w:p>
        </w:tc>
        <w:tc>
          <w:tcPr>
            <w:tcW w:w="6000" w:type="dxa"/>
            <w:vAlign w:val="bottom"/>
            <w:tcBorders>
              <w:bottom w:val="single" w:sz="8" w:color="003A70"/>
            </w:tcBorders>
          </w:tcPr>
          <w:p>
            <w:pPr>
              <w:ind w:left="1760"/>
              <w:spacing w:after="0"/>
              <w:rPr>
                <w:sz w:val="20"/>
                <w:szCs w:val="20"/>
                <w:color w:val="auto"/>
              </w:rPr>
            </w:pPr>
            <w:r>
              <w:rPr>
                <w:rFonts w:ascii="Arial" w:cs="Arial" w:eastAsia="Arial" w:hAnsi="Arial"/>
                <w:sz w:val="16"/>
                <w:szCs w:val="16"/>
                <w:color w:val="auto"/>
              </w:rPr>
              <w:t>Wynn Resorts, Limited</w:t>
            </w:r>
          </w:p>
        </w:tc>
      </w:tr>
    </w:tbl>
    <w:p>
      <w:pPr>
        <w:spacing w:after="0" w:line="94"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In addition, in part due to the fact that there are very few public company direct competitors, the CPC determined that it was appropriate to consider the compensation practices of a general industry peer group as an additional reference point for its 2025 executive pay decisions. Accordingly, the CPC considered the compensation practices of a general industry peer group consisting of forty companies in the hospitality, consumer products and retail industry that participated in the Aon Survey Group database (i.e., 20 hospitality, consumer products and retail companies with revenues greater than, and 20 hospitality, consumer products and retail companies with revenues less than, the Company’s revenues).</w:t>
      </w:r>
    </w:p>
    <w:p>
      <w:pPr>
        <w:spacing w:after="0" w:line="113" w:lineRule="exact"/>
        <w:rPr>
          <w:sz w:val="20"/>
          <w:szCs w:val="20"/>
          <w:color w:val="auto"/>
        </w:rPr>
      </w:pPr>
    </w:p>
    <w:p>
      <w:pPr>
        <w:ind w:left="120"/>
        <w:spacing w:after="0"/>
        <w:tabs>
          <w:tab w:leader="none" w:pos="4720" w:val="left"/>
          <w:tab w:leader="none" w:pos="7820" w:val="left"/>
        </w:tabs>
        <w:rPr>
          <w:sz w:val="20"/>
          <w:szCs w:val="20"/>
          <w:color w:val="auto"/>
        </w:rPr>
      </w:pPr>
      <w:r>
        <w:rPr>
          <w:rFonts w:ascii="Arial" w:cs="Arial" w:eastAsia="Arial" w:hAnsi="Arial"/>
          <w:sz w:val="11"/>
          <w:szCs w:val="11"/>
          <w:b w:val="1"/>
          <w:bCs w:val="1"/>
          <w:color w:val="003A70"/>
        </w:rPr>
        <w:t>34</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companies that met these objective criteria with revenues greater and less than the Company’s revenues consisted of the following:</w:t>
      </w:r>
    </w:p>
    <w:p>
      <w:pPr>
        <w:spacing w:after="0" w:line="131"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438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Revenues Greater than the Company’s Revenues</w:t>
            </w:r>
          </w:p>
        </w:tc>
        <w:tc>
          <w:tcPr>
            <w:tcW w:w="5740" w:type="dxa"/>
            <w:vAlign w:val="bottom"/>
            <w:tcBorders>
              <w:bottom w:val="single" w:sz="8" w:color="003A70"/>
            </w:tcBorders>
          </w:tcPr>
          <w:p>
            <w:pPr>
              <w:ind w:left="1200"/>
              <w:spacing w:after="0"/>
              <w:rPr>
                <w:sz w:val="20"/>
                <w:szCs w:val="20"/>
                <w:color w:val="auto"/>
              </w:rPr>
            </w:pPr>
            <w:r>
              <w:rPr>
                <w:rFonts w:ascii="Arial" w:cs="Arial" w:eastAsia="Arial" w:hAnsi="Arial"/>
                <w:sz w:val="14"/>
                <w:szCs w:val="14"/>
                <w:color w:val="003A70"/>
              </w:rPr>
              <w:t>Revenues Less than the Company’s Revenues</w:t>
            </w:r>
          </w:p>
        </w:tc>
      </w:tr>
      <w:tr>
        <w:trPr>
          <w:trHeight w:val="175"/>
        </w:trPr>
        <w:tc>
          <w:tcPr>
            <w:tcW w:w="4380" w:type="dxa"/>
            <w:vAlign w:val="bottom"/>
          </w:tcPr>
          <w:p>
            <w:pPr>
              <w:spacing w:after="0" w:line="175" w:lineRule="exact"/>
              <w:rPr>
                <w:sz w:val="20"/>
                <w:szCs w:val="20"/>
                <w:color w:val="auto"/>
              </w:rPr>
            </w:pPr>
            <w:r>
              <w:rPr>
                <w:rFonts w:ascii="Arial" w:cs="Arial" w:eastAsia="Arial" w:hAnsi="Arial"/>
                <w:sz w:val="16"/>
                <w:szCs w:val="16"/>
                <w:color w:val="auto"/>
              </w:rPr>
              <w:t>Abercrombie &amp; Fitch Co.</w:t>
            </w:r>
          </w:p>
        </w:tc>
        <w:tc>
          <w:tcPr>
            <w:tcW w:w="5740" w:type="dxa"/>
            <w:vAlign w:val="bottom"/>
          </w:tcPr>
          <w:p>
            <w:pPr>
              <w:ind w:left="1200"/>
              <w:spacing w:after="0" w:line="175" w:lineRule="exact"/>
              <w:rPr>
                <w:sz w:val="20"/>
                <w:szCs w:val="20"/>
                <w:color w:val="auto"/>
              </w:rPr>
            </w:pPr>
            <w:r>
              <w:rPr>
                <w:rFonts w:ascii="Arial" w:cs="Arial" w:eastAsia="Arial" w:hAnsi="Arial"/>
                <w:sz w:val="16"/>
                <w:szCs w:val="16"/>
                <w:color w:val="auto"/>
              </w:rPr>
              <w:t>Boyd Gaming Corporation</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Academy Sports and Outdoors, Inc.</w:t>
            </w:r>
          </w:p>
        </w:tc>
        <w:tc>
          <w:tcPr>
            <w:tcW w:w="5740" w:type="dxa"/>
            <w:vAlign w:val="bottom"/>
          </w:tcPr>
          <w:p>
            <w:pPr>
              <w:ind w:left="1200"/>
              <w:spacing w:after="0"/>
              <w:rPr>
                <w:sz w:val="20"/>
                <w:szCs w:val="20"/>
                <w:color w:val="auto"/>
              </w:rPr>
            </w:pPr>
            <w:r>
              <w:rPr>
                <w:rFonts w:ascii="Arial" w:cs="Arial" w:eastAsia="Arial" w:hAnsi="Arial"/>
                <w:sz w:val="16"/>
                <w:szCs w:val="16"/>
                <w:color w:val="auto"/>
              </w:rPr>
              <w:t>Choice Hotels International, Inc.</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ADT Inc.</w:t>
            </w:r>
          </w:p>
        </w:tc>
        <w:tc>
          <w:tcPr>
            <w:tcW w:w="5740" w:type="dxa"/>
            <w:vAlign w:val="bottom"/>
          </w:tcPr>
          <w:p>
            <w:pPr>
              <w:ind w:left="1200"/>
              <w:spacing w:after="0"/>
              <w:rPr>
                <w:sz w:val="20"/>
                <w:szCs w:val="20"/>
                <w:color w:val="auto"/>
              </w:rPr>
            </w:pPr>
            <w:r>
              <w:rPr>
                <w:rFonts w:ascii="Arial" w:cs="Arial" w:eastAsia="Arial" w:hAnsi="Arial"/>
                <w:sz w:val="16"/>
                <w:szCs w:val="16"/>
                <w:color w:val="auto"/>
              </w:rPr>
              <w:t>Columbia Sportswear Company</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American Eagle Outfitters, Inc.</w:t>
            </w:r>
          </w:p>
        </w:tc>
        <w:tc>
          <w:tcPr>
            <w:tcW w:w="5740" w:type="dxa"/>
            <w:vAlign w:val="bottom"/>
          </w:tcPr>
          <w:p>
            <w:pPr>
              <w:ind w:left="1200"/>
              <w:spacing w:after="0"/>
              <w:rPr>
                <w:sz w:val="20"/>
                <w:szCs w:val="20"/>
                <w:color w:val="auto"/>
              </w:rPr>
            </w:pPr>
            <w:r>
              <w:rPr>
                <w:rFonts w:ascii="Arial" w:cs="Arial" w:eastAsia="Arial" w:hAnsi="Arial"/>
                <w:sz w:val="16"/>
                <w:szCs w:val="16"/>
                <w:color w:val="auto"/>
              </w:rPr>
              <w:t>Crocs, Inc.</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Bath &amp; Body Works, Inc.</w:t>
            </w:r>
          </w:p>
        </w:tc>
        <w:tc>
          <w:tcPr>
            <w:tcW w:w="5740" w:type="dxa"/>
            <w:vAlign w:val="bottom"/>
          </w:tcPr>
          <w:p>
            <w:pPr>
              <w:ind w:left="1200"/>
              <w:spacing w:after="0"/>
              <w:rPr>
                <w:sz w:val="20"/>
                <w:szCs w:val="20"/>
                <w:color w:val="auto"/>
              </w:rPr>
            </w:pPr>
            <w:r>
              <w:rPr>
                <w:rFonts w:ascii="Arial" w:cs="Arial" w:eastAsia="Arial" w:hAnsi="Arial"/>
                <w:sz w:val="16"/>
                <w:szCs w:val="16"/>
                <w:color w:val="auto"/>
              </w:rPr>
              <w:t>Domino’s Pizza, Inc.</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Brinker International, Inc.</w:t>
            </w:r>
          </w:p>
        </w:tc>
        <w:tc>
          <w:tcPr>
            <w:tcW w:w="5740" w:type="dxa"/>
            <w:vAlign w:val="bottom"/>
          </w:tcPr>
          <w:p>
            <w:pPr>
              <w:ind w:left="1200"/>
              <w:spacing w:after="0"/>
              <w:rPr>
                <w:sz w:val="20"/>
                <w:szCs w:val="20"/>
                <w:color w:val="auto"/>
              </w:rPr>
            </w:pPr>
            <w:r>
              <w:rPr>
                <w:rFonts w:ascii="Arial" w:cs="Arial" w:eastAsia="Arial" w:hAnsi="Arial"/>
                <w:sz w:val="16"/>
                <w:szCs w:val="16"/>
                <w:color w:val="auto"/>
              </w:rPr>
              <w:t>Etsy, Inc.</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Coca-Cola Consolidated, Inc.</w:t>
            </w:r>
          </w:p>
        </w:tc>
        <w:tc>
          <w:tcPr>
            <w:tcW w:w="5740" w:type="dxa"/>
            <w:vAlign w:val="bottom"/>
          </w:tcPr>
          <w:p>
            <w:pPr>
              <w:ind w:left="1200"/>
              <w:spacing w:after="0"/>
              <w:rPr>
                <w:sz w:val="20"/>
                <w:szCs w:val="20"/>
                <w:color w:val="auto"/>
              </w:rPr>
            </w:pPr>
            <w:r>
              <w:rPr>
                <w:rFonts w:ascii="Arial" w:cs="Arial" w:eastAsia="Arial" w:hAnsi="Arial"/>
                <w:sz w:val="16"/>
                <w:szCs w:val="16"/>
                <w:color w:val="auto"/>
              </w:rPr>
              <w:t>H&amp;R Block, Inc.</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Foot Locker, Inc.</w:t>
            </w:r>
          </w:p>
        </w:tc>
        <w:tc>
          <w:tcPr>
            <w:tcW w:w="5740" w:type="dxa"/>
            <w:vAlign w:val="bottom"/>
          </w:tcPr>
          <w:p>
            <w:pPr>
              <w:ind w:left="1200"/>
              <w:spacing w:after="0"/>
              <w:rPr>
                <w:sz w:val="20"/>
                <w:szCs w:val="20"/>
                <w:color w:val="auto"/>
              </w:rPr>
            </w:pPr>
            <w:r>
              <w:rPr>
                <w:rFonts w:ascii="Arial" w:cs="Arial" w:eastAsia="Arial" w:hAnsi="Arial"/>
                <w:sz w:val="16"/>
                <w:szCs w:val="16"/>
                <w:color w:val="auto"/>
              </w:rPr>
              <w:t>Hasbro, Inc.</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Garmin Ltd.</w:t>
            </w:r>
          </w:p>
        </w:tc>
        <w:tc>
          <w:tcPr>
            <w:tcW w:w="5740" w:type="dxa"/>
            <w:vAlign w:val="bottom"/>
          </w:tcPr>
          <w:p>
            <w:pPr>
              <w:ind w:left="1200"/>
              <w:spacing w:after="0"/>
              <w:rPr>
                <w:sz w:val="20"/>
                <w:szCs w:val="20"/>
                <w:color w:val="auto"/>
              </w:rPr>
            </w:pPr>
            <w:r>
              <w:rPr>
                <w:rFonts w:ascii="Arial" w:cs="Arial" w:eastAsia="Arial" w:hAnsi="Arial"/>
                <w:sz w:val="16"/>
                <w:szCs w:val="16"/>
                <w:color w:val="auto"/>
              </w:rPr>
              <w:t>Herbalife Ltd.</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Hilton Worldwide Holdings Inc.</w:t>
            </w:r>
          </w:p>
        </w:tc>
        <w:tc>
          <w:tcPr>
            <w:tcW w:w="5740" w:type="dxa"/>
            <w:vAlign w:val="bottom"/>
          </w:tcPr>
          <w:p>
            <w:pPr>
              <w:ind w:left="1200"/>
              <w:spacing w:after="0"/>
              <w:rPr>
                <w:sz w:val="20"/>
                <w:szCs w:val="20"/>
                <w:color w:val="auto"/>
              </w:rPr>
            </w:pPr>
            <w:r>
              <w:rPr>
                <w:rFonts w:ascii="Arial" w:cs="Arial" w:eastAsia="Arial" w:hAnsi="Arial"/>
                <w:sz w:val="16"/>
                <w:szCs w:val="16"/>
                <w:color w:val="auto"/>
              </w:rPr>
              <w:t>Kontoor Brands, Inc.</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Hyatt Hotels Corporation</w:t>
            </w:r>
          </w:p>
        </w:tc>
        <w:tc>
          <w:tcPr>
            <w:tcW w:w="5740" w:type="dxa"/>
            <w:vAlign w:val="bottom"/>
          </w:tcPr>
          <w:p>
            <w:pPr>
              <w:ind w:left="1200"/>
              <w:spacing w:after="0"/>
              <w:rPr>
                <w:sz w:val="20"/>
                <w:szCs w:val="20"/>
                <w:color w:val="auto"/>
              </w:rPr>
            </w:pPr>
            <w:r>
              <w:rPr>
                <w:rFonts w:ascii="Arial" w:cs="Arial" w:eastAsia="Arial" w:hAnsi="Arial"/>
                <w:sz w:val="16"/>
                <w:szCs w:val="16"/>
                <w:color w:val="auto"/>
              </w:rPr>
              <w:t>Leggett &amp; Platt, Incorporated</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Lamb Weston Holdings, Inc.</w:t>
            </w:r>
          </w:p>
        </w:tc>
        <w:tc>
          <w:tcPr>
            <w:tcW w:w="5740" w:type="dxa"/>
            <w:vAlign w:val="bottom"/>
          </w:tcPr>
          <w:p>
            <w:pPr>
              <w:ind w:left="1200"/>
              <w:spacing w:after="0"/>
              <w:rPr>
                <w:sz w:val="20"/>
                <w:szCs w:val="20"/>
                <w:color w:val="auto"/>
              </w:rPr>
            </w:pPr>
            <w:r>
              <w:rPr>
                <w:rFonts w:ascii="Arial" w:cs="Arial" w:eastAsia="Arial" w:hAnsi="Arial"/>
                <w:sz w:val="16"/>
                <w:szCs w:val="16"/>
                <w:color w:val="auto"/>
              </w:rPr>
              <w:t>Peloton Interactive, Inc.</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lululemon athletica inc.</w:t>
            </w:r>
          </w:p>
        </w:tc>
        <w:tc>
          <w:tcPr>
            <w:tcW w:w="5740" w:type="dxa"/>
            <w:vAlign w:val="bottom"/>
          </w:tcPr>
          <w:p>
            <w:pPr>
              <w:ind w:left="1200"/>
              <w:spacing w:after="0"/>
              <w:rPr>
                <w:sz w:val="20"/>
                <w:szCs w:val="20"/>
                <w:color w:val="auto"/>
              </w:rPr>
            </w:pPr>
            <w:r>
              <w:rPr>
                <w:rFonts w:ascii="Arial" w:cs="Arial" w:eastAsia="Arial" w:hAnsi="Arial"/>
                <w:sz w:val="16"/>
                <w:szCs w:val="16"/>
                <w:color w:val="auto"/>
              </w:rPr>
              <w:t>Sabre Corporation</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PENN Entertainment, Inc.</w:t>
            </w:r>
          </w:p>
        </w:tc>
        <w:tc>
          <w:tcPr>
            <w:tcW w:w="5740" w:type="dxa"/>
            <w:vAlign w:val="bottom"/>
          </w:tcPr>
          <w:p>
            <w:pPr>
              <w:ind w:left="1200"/>
              <w:spacing w:after="0"/>
              <w:rPr>
                <w:sz w:val="20"/>
                <w:szCs w:val="20"/>
                <w:color w:val="auto"/>
              </w:rPr>
            </w:pPr>
            <w:r>
              <w:rPr>
                <w:rFonts w:ascii="Arial" w:cs="Arial" w:eastAsia="Arial" w:hAnsi="Arial"/>
                <w:sz w:val="16"/>
                <w:szCs w:val="16"/>
                <w:color w:val="auto"/>
              </w:rPr>
              <w:t>Sally Beauty Holdings, Inc.</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Petco Health and Wellness Company, Inc.</w:t>
            </w:r>
          </w:p>
        </w:tc>
        <w:tc>
          <w:tcPr>
            <w:tcW w:w="5740" w:type="dxa"/>
            <w:vAlign w:val="bottom"/>
          </w:tcPr>
          <w:p>
            <w:pPr>
              <w:ind w:left="1200"/>
              <w:spacing w:after="0"/>
              <w:rPr>
                <w:sz w:val="20"/>
                <w:szCs w:val="20"/>
                <w:color w:val="auto"/>
              </w:rPr>
            </w:pPr>
            <w:r>
              <w:rPr>
                <w:rFonts w:ascii="Arial" w:cs="Arial" w:eastAsia="Arial" w:hAnsi="Arial"/>
                <w:sz w:val="16"/>
                <w:szCs w:val="16"/>
                <w:color w:val="auto"/>
              </w:rPr>
              <w:t>Topgolf Callaway Brands Corp.</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Post Holdings, Inc.</w:t>
            </w:r>
          </w:p>
        </w:tc>
        <w:tc>
          <w:tcPr>
            <w:tcW w:w="5740" w:type="dxa"/>
            <w:vAlign w:val="bottom"/>
          </w:tcPr>
          <w:p>
            <w:pPr>
              <w:ind w:left="1200"/>
              <w:spacing w:after="0"/>
              <w:rPr>
                <w:sz w:val="20"/>
                <w:szCs w:val="20"/>
                <w:color w:val="auto"/>
              </w:rPr>
            </w:pPr>
            <w:r>
              <w:rPr>
                <w:rFonts w:ascii="Arial" w:cs="Arial" w:eastAsia="Arial" w:hAnsi="Arial"/>
                <w:sz w:val="16"/>
                <w:szCs w:val="16"/>
                <w:color w:val="auto"/>
              </w:rPr>
              <w:t>Travel + Leisure Co.</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The Clorox Company</w:t>
            </w:r>
          </w:p>
        </w:tc>
        <w:tc>
          <w:tcPr>
            <w:tcW w:w="5740" w:type="dxa"/>
            <w:vAlign w:val="bottom"/>
          </w:tcPr>
          <w:p>
            <w:pPr>
              <w:ind w:left="1200"/>
              <w:spacing w:after="0"/>
              <w:rPr>
                <w:sz w:val="20"/>
                <w:szCs w:val="20"/>
                <w:color w:val="auto"/>
              </w:rPr>
            </w:pPr>
            <w:r>
              <w:rPr>
                <w:rFonts w:ascii="Arial" w:cs="Arial" w:eastAsia="Arial" w:hAnsi="Arial"/>
                <w:sz w:val="16"/>
                <w:szCs w:val="16"/>
                <w:color w:val="auto"/>
              </w:rPr>
              <w:t>TreeHouse Foods, Inc.</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UnderArmour, Inc.</w:t>
            </w:r>
          </w:p>
        </w:tc>
        <w:tc>
          <w:tcPr>
            <w:tcW w:w="5740" w:type="dxa"/>
            <w:vAlign w:val="bottom"/>
          </w:tcPr>
          <w:p>
            <w:pPr>
              <w:ind w:left="1200"/>
              <w:spacing w:after="0"/>
              <w:rPr>
                <w:sz w:val="20"/>
                <w:szCs w:val="20"/>
                <w:color w:val="auto"/>
              </w:rPr>
            </w:pPr>
            <w:r>
              <w:rPr>
                <w:rFonts w:ascii="Arial" w:cs="Arial" w:eastAsia="Arial" w:hAnsi="Arial"/>
                <w:sz w:val="16"/>
                <w:szCs w:val="16"/>
                <w:color w:val="auto"/>
              </w:rPr>
              <w:t>Vail Resorts, Inc.</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Victoria’s Secret &amp; Co.</w:t>
            </w:r>
          </w:p>
        </w:tc>
        <w:tc>
          <w:tcPr>
            <w:tcW w:w="5740" w:type="dxa"/>
            <w:vAlign w:val="bottom"/>
          </w:tcPr>
          <w:p>
            <w:pPr>
              <w:ind w:left="1200"/>
              <w:spacing w:after="0"/>
              <w:rPr>
                <w:sz w:val="20"/>
                <w:szCs w:val="20"/>
                <w:color w:val="auto"/>
              </w:rPr>
            </w:pPr>
            <w:r>
              <w:rPr>
                <w:rFonts w:ascii="Arial" w:cs="Arial" w:eastAsia="Arial" w:hAnsi="Arial"/>
                <w:sz w:val="16"/>
                <w:szCs w:val="16"/>
                <w:color w:val="auto"/>
              </w:rPr>
              <w:t>Wolverine World Wide, Inc.</w:t>
            </w:r>
          </w:p>
        </w:tc>
      </w:tr>
      <w:tr>
        <w:trPr>
          <w:trHeight w:val="216"/>
        </w:trPr>
        <w:tc>
          <w:tcPr>
            <w:tcW w:w="438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Yum! Brands, Inc.</w:t>
            </w:r>
          </w:p>
        </w:tc>
        <w:tc>
          <w:tcPr>
            <w:tcW w:w="5740" w:type="dxa"/>
            <w:vAlign w:val="bottom"/>
            <w:tcBorders>
              <w:bottom w:val="single" w:sz="8" w:color="003A70"/>
            </w:tcBorders>
          </w:tcPr>
          <w:p>
            <w:pPr>
              <w:ind w:left="1200"/>
              <w:spacing w:after="0"/>
              <w:rPr>
                <w:sz w:val="20"/>
                <w:szCs w:val="20"/>
                <w:color w:val="auto"/>
              </w:rPr>
            </w:pPr>
            <w:r>
              <w:rPr>
                <w:rFonts w:ascii="Arial" w:cs="Arial" w:eastAsia="Arial" w:hAnsi="Arial"/>
                <w:sz w:val="16"/>
                <w:szCs w:val="16"/>
                <w:color w:val="auto"/>
              </w:rPr>
              <w:t>Wyndham Hotels &amp; Resorts, Inc.</w:t>
            </w:r>
          </w:p>
        </w:tc>
      </w:tr>
    </w:tbl>
    <w:p>
      <w:pPr>
        <w:spacing w:after="0" w:line="30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Tally Sheets</w:t>
      </w:r>
    </w:p>
    <w:p>
      <w:pPr>
        <w:spacing w:after="0" w:line="10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On an annual basis, the CPC reviews “tally sheets” prepared by management for each executive officer. The tally sheet includes, among other things, total annual compensation, the value of unexercised or unvested equity compensation awards, and amounts payable upon termination of employment under various circumstances, including following a change in control. The CPC did not recommend specific changes to the executive compensation program for 2025 in response to a review of tally sheets in 2025, although it used the tally sheet information as one data point when considering executive compensation matters.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Role of the Compensation Policy Committee</w:t>
      </w:r>
    </w:p>
    <w:p>
      <w:pPr>
        <w:spacing w:after="0" w:line="104"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auto"/>
        </w:rPr>
        <w:t>Our CPC is responsible for reviewing and approving the Company’s executive compensation policies and plan designs, including compensation of our NEOs. The CPC considers various factors in determining compensation levels for NEOs, including the officer’s responsibilities and performance, the effectiveness of our programs in supporting the Company’s short- and long-term strategic objectives, and overall financial performance. Additionally, our CPC Chair, Dianna F. Morgan, with input from our Chairman, William J. Shaw, makes recommendations to the CPC with respect to the compensation of our CEO.</w:t>
      </w:r>
    </w:p>
    <w:p>
      <w:pPr>
        <w:spacing w:after="0" w:line="72"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To this end, our CPC conducts an annual review of executive officer pay levels, reviews market data provided by Exequity, and approves changes to program designs, based on an assessment of competitive market practice and emerging trends. Additionally, the CPC evaluates the risks associated with the Company’s executive compensation programs.</w:t>
      </w:r>
    </w:p>
    <w:p>
      <w:pPr>
        <w:spacing w:after="0" w:line="63"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Our CPC approved the total compensation packages for each of the NEOs, including base salary, annual bonus targets, actual bonuses earned, and equity awards.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Role of the Compensation Consultant</w:t>
      </w:r>
    </w:p>
    <w:p>
      <w:pPr>
        <w:spacing w:after="0" w:line="104"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In 2025, the CPC engaged Exequity to provide executive compensation consulting services. Exequity’s services to the CPC have included updates on best practices and market trends in executive and director compensation, recommendations regarding executive and director compensation, and an independent review of compensation proposals by the Company’s senior management. Exequity attended meetings of the CPC at the Committee’s request and was available to provide guidance as questions and issues arose. During 2025, Exequity did not perform any services for the Company other than in connection with providing advice and recommendations on executive and director compensation. The CPC determined that Exequity is independent after consideration of the factors set forth in the NYSE Listed Company Manual.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Role of Management</w:t>
      </w:r>
    </w:p>
    <w:p>
      <w:pPr>
        <w:spacing w:after="0" w:line="104"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At the request of the CPC, the CEO presents individual pay recommendations for each of the NEOs, other than himself. In forming his recommendations, he is advised by human resources management, including our Chief Human Resources Officer and our Global Total Rewards Leader, and Exequity with regard to assessment of individual contributions, achievement of performance objectives and other qualitative factors. The CPC considers these recommendations in approving the pay levels of each NEO. The CEO does not make recommendations concerning his own compensation.</w:t>
      </w:r>
    </w:p>
    <w:p>
      <w:pPr>
        <w:spacing w:after="0" w:line="111" w:lineRule="exact"/>
        <w:rPr>
          <w:sz w:val="20"/>
          <w:szCs w:val="20"/>
          <w:color w:val="auto"/>
        </w:rPr>
      </w:pPr>
    </w:p>
    <w:p>
      <w:pPr>
        <w:ind w:left="120"/>
        <w:spacing w:after="0"/>
        <w:tabs>
          <w:tab w:leader="none" w:pos="472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The CEO and members of human resources management regularly attend CPC meetings. Human resources management typically presents recommendations for changes to program designs and individual pay levels for executive officers, taking into consideration individual performance of each incumbent, appropriate benchmarking information and issues that may arise from an accounting, legal or tax perspective. After review of the 2025 market data, and the above considerations, it was determined that each NEO’s total target direct compensation as set in the first quarter of 2025 was below market median.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ANALYSIS OF EACH COMPENSATION ELEMENT</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Base Salary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February 2025 (or November 2025, in the case of Mr. Avril), the CPC approved the following base salaries for the NEOs. The base salary was effective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21, 2024 except for Mr. Avril’s which was effective on his first day of employment:</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90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Name</w:t>
            </w:r>
          </w:p>
        </w:tc>
        <w:tc>
          <w:tcPr>
            <w:tcW w:w="4240" w:type="dxa"/>
            <w:vAlign w:val="bottom"/>
            <w:tcBorders>
              <w:bottom w:val="single" w:sz="8" w:color="003A70"/>
            </w:tcBorders>
          </w:tcPr>
          <w:p>
            <w:pPr>
              <w:jc w:val="right"/>
              <w:ind w:right="140"/>
              <w:spacing w:after="0"/>
              <w:rPr>
                <w:sz w:val="20"/>
                <w:szCs w:val="20"/>
                <w:color w:val="auto"/>
              </w:rPr>
            </w:pPr>
            <w:r>
              <w:rPr>
                <w:rFonts w:ascii="Arial" w:cs="Arial" w:eastAsia="Arial" w:hAnsi="Arial"/>
                <w:sz w:val="14"/>
                <w:szCs w:val="14"/>
                <w:color w:val="003A70"/>
              </w:rPr>
              <w:t>2025 Base Salary</w:t>
            </w:r>
          </w:p>
        </w:tc>
        <w:tc>
          <w:tcPr>
            <w:tcW w:w="1600" w:type="dxa"/>
            <w:vAlign w:val="bottom"/>
            <w:tcBorders>
              <w:bottom w:val="single" w:sz="8" w:color="003A70"/>
            </w:tcBorders>
          </w:tcPr>
          <w:p>
            <w:pPr>
              <w:ind w:left="240"/>
              <w:spacing w:after="0"/>
              <w:rPr>
                <w:sz w:val="20"/>
                <w:szCs w:val="20"/>
                <w:color w:val="auto"/>
              </w:rPr>
            </w:pPr>
            <w:r>
              <w:rPr>
                <w:rFonts w:ascii="Arial" w:cs="Arial" w:eastAsia="Arial" w:hAnsi="Arial"/>
                <w:sz w:val="14"/>
                <w:szCs w:val="14"/>
                <w:color w:val="003A70"/>
              </w:rPr>
              <w:t>2024 Base Salary</w:t>
            </w:r>
          </w:p>
        </w:tc>
        <w:tc>
          <w:tcPr>
            <w:tcW w:w="1280" w:type="dxa"/>
            <w:vAlign w:val="bottom"/>
            <w:tcBorders>
              <w:bottom w:val="single" w:sz="8" w:color="003A70"/>
            </w:tcBorders>
          </w:tcPr>
          <w:p>
            <w:pPr>
              <w:jc w:val="right"/>
              <w:spacing w:after="0"/>
              <w:rPr>
                <w:sz w:val="20"/>
                <w:szCs w:val="20"/>
                <w:color w:val="auto"/>
              </w:rPr>
            </w:pPr>
            <w:r>
              <w:rPr>
                <w:rFonts w:ascii="Arial" w:cs="Arial" w:eastAsia="Arial" w:hAnsi="Arial"/>
                <w:sz w:val="14"/>
                <w:szCs w:val="14"/>
                <w:color w:val="003A70"/>
              </w:rPr>
              <w:t>Percent Change</w:t>
            </w:r>
          </w:p>
        </w:tc>
      </w:tr>
      <w:tr>
        <w:trPr>
          <w:trHeight w:val="189"/>
        </w:trPr>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Mr. Avril</w:t>
            </w:r>
          </w:p>
        </w:tc>
        <w:tc>
          <w:tcPr>
            <w:tcW w:w="42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$1,000,000 </w:t>
            </w:r>
          </w:p>
        </w:tc>
        <w:tc>
          <w:tcPr>
            <w:tcW w:w="16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NA</w:t>
            </w:r>
          </w:p>
        </w:tc>
        <w:tc>
          <w:tcPr>
            <w:tcW w:w="12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NA</w:t>
            </w:r>
          </w:p>
        </w:tc>
      </w:tr>
      <w:tr>
        <w:trPr>
          <w:trHeight w:val="183"/>
        </w:trPr>
        <w:tc>
          <w:tcPr>
            <w:tcW w:w="39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Geller</w:t>
            </w:r>
          </w:p>
        </w:tc>
        <w:tc>
          <w:tcPr>
            <w:tcW w:w="424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color w:val="auto"/>
              </w:rPr>
              <w:t>$1,000,000</w:t>
            </w:r>
          </w:p>
        </w:tc>
        <w:tc>
          <w:tcPr>
            <w:tcW w:w="1600" w:type="dxa"/>
            <w:vAlign w:val="bottom"/>
            <w:tcBorders>
              <w:bottom w:val="single" w:sz="8" w:color="auto"/>
            </w:tcBorders>
          </w:tcPr>
          <w:p>
            <w:pPr>
              <w:ind w:left="420"/>
              <w:spacing w:after="0" w:line="183" w:lineRule="exact"/>
              <w:rPr>
                <w:sz w:val="20"/>
                <w:szCs w:val="20"/>
                <w:color w:val="auto"/>
              </w:rPr>
            </w:pPr>
            <w:r>
              <w:rPr>
                <w:rFonts w:ascii="Arial" w:cs="Arial" w:eastAsia="Arial" w:hAnsi="Arial"/>
                <w:sz w:val="16"/>
                <w:szCs w:val="16"/>
                <w:color w:val="auto"/>
              </w:rPr>
              <w:t>$950,000 </w:t>
            </w:r>
          </w:p>
        </w:tc>
        <w:tc>
          <w:tcPr>
            <w:tcW w:w="128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5.26%  </w:t>
            </w:r>
          </w:p>
        </w:tc>
      </w:tr>
      <w:tr>
        <w:trPr>
          <w:trHeight w:val="183"/>
        </w:trPr>
        <w:tc>
          <w:tcPr>
            <w:tcW w:w="39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Marino</w:t>
            </w:r>
          </w:p>
        </w:tc>
        <w:tc>
          <w:tcPr>
            <w:tcW w:w="424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color w:val="auto"/>
              </w:rPr>
              <w:t>$575,000</w:t>
            </w:r>
          </w:p>
        </w:tc>
        <w:tc>
          <w:tcPr>
            <w:tcW w:w="1600" w:type="dxa"/>
            <w:vAlign w:val="bottom"/>
            <w:tcBorders>
              <w:bottom w:val="single" w:sz="8" w:color="auto"/>
            </w:tcBorders>
          </w:tcPr>
          <w:p>
            <w:pPr>
              <w:ind w:left="420"/>
              <w:spacing w:after="0" w:line="183" w:lineRule="exact"/>
              <w:rPr>
                <w:sz w:val="20"/>
                <w:szCs w:val="20"/>
                <w:color w:val="auto"/>
              </w:rPr>
            </w:pPr>
            <w:r>
              <w:rPr>
                <w:rFonts w:ascii="Arial" w:cs="Arial" w:eastAsia="Arial" w:hAnsi="Arial"/>
                <w:sz w:val="16"/>
                <w:szCs w:val="16"/>
                <w:color w:val="auto"/>
              </w:rPr>
              <w:t>$500,000</w:t>
            </w:r>
          </w:p>
        </w:tc>
        <w:tc>
          <w:tcPr>
            <w:tcW w:w="1280" w:type="dxa"/>
            <w:vAlign w:val="bottom"/>
            <w:tcBorders>
              <w:bottom w:val="single" w:sz="8" w:color="auto"/>
            </w:tcBorders>
          </w:tcPr>
          <w:p>
            <w:pPr>
              <w:jc w:val="right"/>
              <w:ind w:right="160"/>
              <w:spacing w:after="0" w:line="183" w:lineRule="exact"/>
              <w:rPr>
                <w:sz w:val="20"/>
                <w:szCs w:val="20"/>
                <w:color w:val="auto"/>
              </w:rPr>
            </w:pPr>
            <w:r>
              <w:rPr>
                <w:rFonts w:ascii="Arial" w:cs="Arial" w:eastAsia="Arial" w:hAnsi="Arial"/>
                <w:sz w:val="16"/>
                <w:szCs w:val="16"/>
                <w:color w:val="auto"/>
              </w:rPr>
              <w:t>15.00%</w:t>
            </w:r>
          </w:p>
        </w:tc>
      </w:tr>
      <w:tr>
        <w:trPr>
          <w:trHeight w:val="183"/>
        </w:trPr>
        <w:tc>
          <w:tcPr>
            <w:tcW w:w="39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Miller</w:t>
            </w:r>
          </w:p>
        </w:tc>
        <w:tc>
          <w:tcPr>
            <w:tcW w:w="424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color w:val="auto"/>
              </w:rPr>
              <w:t>$841,510</w:t>
            </w:r>
          </w:p>
        </w:tc>
        <w:tc>
          <w:tcPr>
            <w:tcW w:w="1600" w:type="dxa"/>
            <w:vAlign w:val="bottom"/>
            <w:tcBorders>
              <w:bottom w:val="single" w:sz="8" w:color="auto"/>
            </w:tcBorders>
          </w:tcPr>
          <w:p>
            <w:pPr>
              <w:ind w:left="420"/>
              <w:spacing w:after="0" w:line="183" w:lineRule="exact"/>
              <w:rPr>
                <w:sz w:val="20"/>
                <w:szCs w:val="20"/>
                <w:color w:val="auto"/>
              </w:rPr>
            </w:pPr>
            <w:r>
              <w:rPr>
                <w:rFonts w:ascii="Arial" w:cs="Arial" w:eastAsia="Arial" w:hAnsi="Arial"/>
                <w:sz w:val="16"/>
                <w:szCs w:val="16"/>
                <w:color w:val="auto"/>
              </w:rPr>
              <w:t>$817,000</w:t>
            </w:r>
          </w:p>
        </w:tc>
        <w:tc>
          <w:tcPr>
            <w:tcW w:w="1280" w:type="dxa"/>
            <w:vAlign w:val="bottom"/>
            <w:tcBorders>
              <w:bottom w:val="single" w:sz="8" w:color="auto"/>
            </w:tcBorders>
          </w:tcPr>
          <w:p>
            <w:pPr>
              <w:jc w:val="right"/>
              <w:ind w:right="160"/>
              <w:spacing w:after="0" w:line="183" w:lineRule="exact"/>
              <w:rPr>
                <w:sz w:val="20"/>
                <w:szCs w:val="20"/>
                <w:color w:val="auto"/>
              </w:rPr>
            </w:pPr>
            <w:r>
              <w:rPr>
                <w:rFonts w:ascii="Arial" w:cs="Arial" w:eastAsia="Arial" w:hAnsi="Arial"/>
                <w:sz w:val="16"/>
                <w:szCs w:val="16"/>
                <w:color w:val="auto"/>
              </w:rPr>
              <w:t>3.00%</w:t>
            </w:r>
          </w:p>
        </w:tc>
      </w:tr>
      <w:tr>
        <w:trPr>
          <w:trHeight w:val="183"/>
        </w:trPr>
        <w:tc>
          <w:tcPr>
            <w:tcW w:w="39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Hunter</w:t>
            </w:r>
          </w:p>
        </w:tc>
        <w:tc>
          <w:tcPr>
            <w:tcW w:w="424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color w:val="auto"/>
              </w:rPr>
              <w:t>$500,168</w:t>
            </w:r>
          </w:p>
        </w:tc>
        <w:tc>
          <w:tcPr>
            <w:tcW w:w="1600" w:type="dxa"/>
            <w:vAlign w:val="bottom"/>
            <w:tcBorders>
              <w:bottom w:val="single" w:sz="8" w:color="auto"/>
            </w:tcBorders>
          </w:tcPr>
          <w:p>
            <w:pPr>
              <w:ind w:left="420"/>
              <w:spacing w:after="0" w:line="183" w:lineRule="exact"/>
              <w:rPr>
                <w:sz w:val="20"/>
                <w:szCs w:val="20"/>
                <w:color w:val="auto"/>
              </w:rPr>
            </w:pPr>
            <w:r>
              <w:rPr>
                <w:rFonts w:ascii="Arial" w:cs="Arial" w:eastAsia="Arial" w:hAnsi="Arial"/>
                <w:sz w:val="16"/>
                <w:szCs w:val="16"/>
                <w:color w:val="auto"/>
              </w:rPr>
              <w:t>$485,600</w:t>
            </w:r>
          </w:p>
        </w:tc>
        <w:tc>
          <w:tcPr>
            <w:tcW w:w="1280" w:type="dxa"/>
            <w:vAlign w:val="bottom"/>
            <w:tcBorders>
              <w:bottom w:val="single" w:sz="8" w:color="auto"/>
            </w:tcBorders>
          </w:tcPr>
          <w:p>
            <w:pPr>
              <w:jc w:val="right"/>
              <w:ind w:right="160"/>
              <w:spacing w:after="0" w:line="183" w:lineRule="exact"/>
              <w:rPr>
                <w:sz w:val="20"/>
                <w:szCs w:val="20"/>
                <w:color w:val="auto"/>
              </w:rPr>
            </w:pPr>
            <w:r>
              <w:rPr>
                <w:rFonts w:ascii="Arial" w:cs="Arial" w:eastAsia="Arial" w:hAnsi="Arial"/>
                <w:sz w:val="16"/>
                <w:szCs w:val="16"/>
                <w:color w:val="auto"/>
              </w:rPr>
              <w:t>3.00%</w:t>
            </w:r>
          </w:p>
        </w:tc>
      </w:tr>
      <w:tr>
        <w:trPr>
          <w:trHeight w:val="183"/>
        </w:trPr>
        <w:tc>
          <w:tcPr>
            <w:tcW w:w="390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color w:val="auto"/>
              </w:rPr>
              <w:t>Ms. Gustafson</w:t>
            </w:r>
          </w:p>
        </w:tc>
        <w:tc>
          <w:tcPr>
            <w:tcW w:w="4240" w:type="dxa"/>
            <w:vAlign w:val="bottom"/>
            <w:tcBorders>
              <w:bottom w:val="single" w:sz="8" w:color="003A70"/>
            </w:tcBorders>
          </w:tcPr>
          <w:p>
            <w:pPr>
              <w:jc w:val="right"/>
              <w:ind w:right="360"/>
              <w:spacing w:after="0" w:line="183" w:lineRule="exact"/>
              <w:rPr>
                <w:sz w:val="20"/>
                <w:szCs w:val="20"/>
                <w:color w:val="auto"/>
              </w:rPr>
            </w:pPr>
            <w:r>
              <w:rPr>
                <w:rFonts w:ascii="Arial" w:cs="Arial" w:eastAsia="Arial" w:hAnsi="Arial"/>
                <w:sz w:val="16"/>
                <w:szCs w:val="16"/>
                <w:color w:val="auto"/>
              </w:rPr>
              <w:t>$475,000</w:t>
            </w:r>
          </w:p>
        </w:tc>
        <w:tc>
          <w:tcPr>
            <w:tcW w:w="1600" w:type="dxa"/>
            <w:vAlign w:val="bottom"/>
            <w:tcBorders>
              <w:bottom w:val="single" w:sz="8" w:color="003A70"/>
            </w:tcBorders>
          </w:tcPr>
          <w:p>
            <w:pPr>
              <w:ind w:left="420"/>
              <w:spacing w:after="0" w:line="183" w:lineRule="exact"/>
              <w:rPr>
                <w:sz w:val="20"/>
                <w:szCs w:val="20"/>
                <w:color w:val="auto"/>
              </w:rPr>
            </w:pPr>
            <w:r>
              <w:rPr>
                <w:rFonts w:ascii="Arial" w:cs="Arial" w:eastAsia="Arial" w:hAnsi="Arial"/>
                <w:sz w:val="16"/>
                <w:szCs w:val="16"/>
                <w:color w:val="auto"/>
              </w:rPr>
              <w:t>$440,500</w:t>
            </w:r>
          </w:p>
        </w:tc>
        <w:tc>
          <w:tcPr>
            <w:tcW w:w="1280" w:type="dxa"/>
            <w:vAlign w:val="bottom"/>
            <w:tcBorders>
              <w:bottom w:val="single" w:sz="8" w:color="003A70"/>
            </w:tcBorders>
          </w:tcPr>
          <w:p>
            <w:pPr>
              <w:jc w:val="right"/>
              <w:ind w:right="160"/>
              <w:spacing w:after="0" w:line="183" w:lineRule="exact"/>
              <w:rPr>
                <w:sz w:val="20"/>
                <w:szCs w:val="20"/>
                <w:color w:val="auto"/>
              </w:rPr>
            </w:pPr>
            <w:r>
              <w:rPr>
                <w:rFonts w:ascii="Arial" w:cs="Arial" w:eastAsia="Arial" w:hAnsi="Arial"/>
                <w:sz w:val="16"/>
                <w:szCs w:val="16"/>
                <w:color w:val="auto"/>
              </w:rPr>
              <w:t>7.83%</w:t>
            </w:r>
          </w:p>
        </w:tc>
      </w:tr>
    </w:tbl>
    <w:p>
      <w:pPr>
        <w:spacing w:after="0" w:line="94"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6"/>
          <w:szCs w:val="16"/>
          <w:color w:val="auto"/>
        </w:rPr>
        <w:t>With the exception of Mr. Avril, all executive officers received base pay increases in 2025. Several executives received market based adjustments based on the CPC’s desire to bring their compensation closer to the market median, while others received merit based increases.</w:t>
      </w:r>
    </w:p>
    <w:p>
      <w:pPr>
        <w:spacing w:after="0" w:line="48"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In determining whether to make adjustments to base salaries, the CPC considered market data, as well as internal factors, experience, time in position and internal pay equity, and subjective factors such as individual performance and future potential. No specific weightings were assigned to the factors considered. The CPC expects to review base salaries for the NEOs annually to determine whether base salary levels are commensurate with the officers’ responsibilities and the competitive market.</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Bonuses and Incentives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2025 Annual Bonus</w:t>
      </w:r>
    </w:p>
    <w:p>
      <w:pPr>
        <w:spacing w:after="0" w:line="102" w:lineRule="exact"/>
        <w:rPr>
          <w:sz w:val="20"/>
          <w:szCs w:val="20"/>
          <w:color w:val="auto"/>
        </w:rPr>
      </w:pPr>
    </w:p>
    <w:p>
      <w:pPr>
        <w:ind w:left="120" w:right="380"/>
        <w:spacing w:after="0" w:line="266" w:lineRule="auto"/>
        <w:rPr>
          <w:sz w:val="20"/>
          <w:szCs w:val="20"/>
          <w:color w:val="auto"/>
        </w:rPr>
      </w:pPr>
      <w:r>
        <w:rPr>
          <w:rFonts w:ascii="Arial" w:cs="Arial" w:eastAsia="Arial" w:hAnsi="Arial"/>
          <w:sz w:val="16"/>
          <w:szCs w:val="16"/>
          <w:color w:val="auto"/>
        </w:rPr>
        <w:t>For 2025, with the exception of Mr. Avril, the NEOs were eligible to participate in the Bonus Plan, which was intended to reward executives for achievement of pre-established financial and corporate responsibility objectives tied to 2025 performance. The potential and actual awards under the Bonus Plan are reported in the Grants of Plan-Based Awards for Fiscal Year 2025 table and Summary Compensation Table, respectively.</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CPC approved the following target awards as a percentage of base salary for the NEOs:</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426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Name</w:t>
            </w:r>
          </w:p>
        </w:tc>
        <w:tc>
          <w:tcPr>
            <w:tcW w:w="4220" w:type="dxa"/>
            <w:vAlign w:val="bottom"/>
            <w:tcBorders>
              <w:bottom w:val="single" w:sz="8" w:color="003A70"/>
            </w:tcBorders>
          </w:tcPr>
          <w:p>
            <w:pPr>
              <w:jc w:val="center"/>
              <w:ind w:left="2900"/>
              <w:spacing w:after="0"/>
              <w:rPr>
                <w:sz w:val="20"/>
                <w:szCs w:val="20"/>
                <w:color w:val="auto"/>
              </w:rPr>
            </w:pPr>
            <w:r>
              <w:rPr>
                <w:rFonts w:ascii="Arial" w:cs="Arial" w:eastAsia="Arial" w:hAnsi="Arial"/>
                <w:sz w:val="14"/>
                <w:szCs w:val="14"/>
                <w:color w:val="003A70"/>
              </w:rPr>
              <w:t>2025 Target</w:t>
            </w:r>
          </w:p>
        </w:tc>
        <w:tc>
          <w:tcPr>
            <w:tcW w:w="12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2024 Target</w:t>
            </w:r>
          </w:p>
        </w:tc>
        <w:tc>
          <w:tcPr>
            <w:tcW w:w="1300" w:type="dxa"/>
            <w:vAlign w:val="bottom"/>
            <w:tcBorders>
              <w:bottom w:val="single" w:sz="8" w:color="003A70"/>
            </w:tcBorders>
          </w:tcPr>
          <w:p>
            <w:pPr>
              <w:jc w:val="center"/>
              <w:ind w:left="140"/>
              <w:spacing w:after="0"/>
              <w:rPr>
                <w:sz w:val="20"/>
                <w:szCs w:val="20"/>
                <w:color w:val="auto"/>
              </w:rPr>
            </w:pPr>
            <w:r>
              <w:rPr>
                <w:rFonts w:ascii="Arial" w:cs="Arial" w:eastAsia="Arial" w:hAnsi="Arial"/>
                <w:sz w:val="14"/>
                <w:szCs w:val="14"/>
                <w:color w:val="003A70"/>
              </w:rPr>
              <w:t>Percent Change</w:t>
            </w:r>
          </w:p>
        </w:tc>
      </w:tr>
      <w:tr>
        <w:trPr>
          <w:trHeight w:val="189"/>
        </w:trPr>
        <w:tc>
          <w:tcPr>
            <w:tcW w:w="4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Mr. Avril</w:t>
            </w:r>
          </w:p>
        </w:tc>
        <w:tc>
          <w:tcPr>
            <w:tcW w:w="4220" w:type="dxa"/>
            <w:vAlign w:val="bottom"/>
            <w:tcBorders>
              <w:bottom w:val="single" w:sz="8" w:color="auto"/>
            </w:tcBorders>
          </w:tcPr>
          <w:p>
            <w:pPr>
              <w:jc w:val="center"/>
              <w:ind w:left="2900"/>
              <w:spacing w:after="0"/>
              <w:rPr>
                <w:sz w:val="20"/>
                <w:szCs w:val="20"/>
                <w:color w:val="auto"/>
              </w:rPr>
            </w:pPr>
            <w:r>
              <w:rPr>
                <w:rFonts w:ascii="Arial" w:cs="Arial" w:eastAsia="Arial" w:hAnsi="Arial"/>
                <w:sz w:val="16"/>
                <w:szCs w:val="16"/>
                <w:color w:val="auto"/>
              </w:rPr>
              <w:t>NA</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tcPr>
          <w:p>
            <w:pPr>
              <w:jc w:val="center"/>
              <w:ind w:left="160"/>
              <w:spacing w:after="0"/>
              <w:rPr>
                <w:sz w:val="20"/>
                <w:szCs w:val="20"/>
                <w:color w:val="auto"/>
              </w:rPr>
            </w:pPr>
            <w:r>
              <w:rPr>
                <w:rFonts w:ascii="Arial" w:cs="Arial" w:eastAsia="Arial" w:hAnsi="Arial"/>
                <w:sz w:val="16"/>
                <w:szCs w:val="16"/>
                <w:color w:val="auto"/>
                <w:w w:val="98"/>
              </w:rPr>
              <w:t>NA</w:t>
            </w:r>
          </w:p>
        </w:tc>
      </w:tr>
      <w:tr>
        <w:trPr>
          <w:trHeight w:val="183"/>
        </w:trPr>
        <w:tc>
          <w:tcPr>
            <w:tcW w:w="42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Geller</w:t>
            </w:r>
          </w:p>
        </w:tc>
        <w:tc>
          <w:tcPr>
            <w:tcW w:w="4220" w:type="dxa"/>
            <w:vAlign w:val="bottom"/>
            <w:tcBorders>
              <w:bottom w:val="single" w:sz="8" w:color="auto"/>
            </w:tcBorders>
          </w:tcPr>
          <w:p>
            <w:pPr>
              <w:jc w:val="center"/>
              <w:ind w:left="2900"/>
              <w:spacing w:after="0" w:line="183" w:lineRule="exact"/>
              <w:rPr>
                <w:sz w:val="20"/>
                <w:szCs w:val="20"/>
                <w:color w:val="auto"/>
              </w:rPr>
            </w:pPr>
            <w:r>
              <w:rPr>
                <w:rFonts w:ascii="Arial" w:cs="Arial" w:eastAsia="Arial" w:hAnsi="Arial"/>
                <w:sz w:val="16"/>
                <w:szCs w:val="16"/>
                <w:color w:val="auto"/>
                <w:w w:val="97"/>
              </w:rPr>
              <w:t>150%</w:t>
            </w:r>
          </w:p>
        </w:tc>
        <w:tc>
          <w:tcPr>
            <w:tcW w:w="12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7"/>
              </w:rPr>
              <w:t>150%</w:t>
            </w:r>
          </w:p>
        </w:tc>
        <w:tc>
          <w:tcPr>
            <w:tcW w:w="1300" w:type="dxa"/>
            <w:vAlign w:val="bottom"/>
            <w:tcBorders>
              <w:bottom w:val="single" w:sz="8" w:color="auto"/>
            </w:tcBorders>
          </w:tcPr>
          <w:p>
            <w:pPr>
              <w:jc w:val="center"/>
              <w:ind w:left="140"/>
              <w:spacing w:after="0" w:line="183" w:lineRule="exact"/>
              <w:rPr>
                <w:sz w:val="20"/>
                <w:szCs w:val="20"/>
                <w:color w:val="auto"/>
              </w:rPr>
            </w:pPr>
            <w:r>
              <w:rPr>
                <w:rFonts w:ascii="Arial" w:cs="Arial" w:eastAsia="Arial" w:hAnsi="Arial"/>
                <w:sz w:val="16"/>
                <w:szCs w:val="16"/>
                <w:color w:val="auto"/>
                <w:w w:val="87"/>
              </w:rPr>
              <w:t>  0%</w:t>
            </w:r>
          </w:p>
        </w:tc>
      </w:tr>
      <w:tr>
        <w:trPr>
          <w:trHeight w:val="183"/>
        </w:trPr>
        <w:tc>
          <w:tcPr>
            <w:tcW w:w="42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Marino</w:t>
            </w:r>
          </w:p>
        </w:tc>
        <w:tc>
          <w:tcPr>
            <w:tcW w:w="4220" w:type="dxa"/>
            <w:vAlign w:val="bottom"/>
            <w:tcBorders>
              <w:bottom w:val="single" w:sz="8" w:color="auto"/>
            </w:tcBorders>
          </w:tcPr>
          <w:p>
            <w:pPr>
              <w:jc w:val="center"/>
              <w:ind w:left="2900"/>
              <w:spacing w:after="0" w:line="183" w:lineRule="exact"/>
              <w:rPr>
                <w:sz w:val="20"/>
                <w:szCs w:val="20"/>
                <w:color w:val="auto"/>
              </w:rPr>
            </w:pPr>
            <w:r>
              <w:rPr>
                <w:rFonts w:ascii="Arial" w:cs="Arial" w:eastAsia="Arial" w:hAnsi="Arial"/>
                <w:sz w:val="16"/>
                <w:szCs w:val="16"/>
                <w:color w:val="auto"/>
                <w:w w:val="97"/>
              </w:rPr>
              <w:t>110%</w:t>
            </w:r>
          </w:p>
        </w:tc>
        <w:tc>
          <w:tcPr>
            <w:tcW w:w="12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7"/>
              </w:rPr>
              <w:t>100%</w:t>
            </w:r>
          </w:p>
        </w:tc>
        <w:tc>
          <w:tcPr>
            <w:tcW w:w="1300" w:type="dxa"/>
            <w:vAlign w:val="bottom"/>
            <w:tcBorders>
              <w:bottom w:val="single" w:sz="8" w:color="auto"/>
            </w:tcBorders>
          </w:tcPr>
          <w:p>
            <w:pPr>
              <w:jc w:val="center"/>
              <w:ind w:left="140"/>
              <w:spacing w:after="0" w:line="183" w:lineRule="exact"/>
              <w:rPr>
                <w:sz w:val="20"/>
                <w:szCs w:val="20"/>
                <w:color w:val="auto"/>
              </w:rPr>
            </w:pPr>
            <w:r>
              <w:rPr>
                <w:rFonts w:ascii="Arial" w:cs="Arial" w:eastAsia="Arial" w:hAnsi="Arial"/>
                <w:sz w:val="16"/>
                <w:szCs w:val="16"/>
                <w:color w:val="auto"/>
                <w:w w:val="99"/>
              </w:rPr>
              <w:t>10%</w:t>
            </w:r>
          </w:p>
        </w:tc>
      </w:tr>
      <w:tr>
        <w:trPr>
          <w:trHeight w:val="183"/>
        </w:trPr>
        <w:tc>
          <w:tcPr>
            <w:tcW w:w="42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Miller</w:t>
            </w:r>
          </w:p>
        </w:tc>
        <w:tc>
          <w:tcPr>
            <w:tcW w:w="4220" w:type="dxa"/>
            <w:vAlign w:val="bottom"/>
            <w:tcBorders>
              <w:bottom w:val="single" w:sz="8" w:color="auto"/>
            </w:tcBorders>
          </w:tcPr>
          <w:p>
            <w:pPr>
              <w:jc w:val="center"/>
              <w:ind w:left="2900"/>
              <w:spacing w:after="0" w:line="183" w:lineRule="exact"/>
              <w:rPr>
                <w:sz w:val="20"/>
                <w:szCs w:val="20"/>
                <w:color w:val="auto"/>
              </w:rPr>
            </w:pPr>
            <w:r>
              <w:rPr>
                <w:rFonts w:ascii="Arial" w:cs="Arial" w:eastAsia="Arial" w:hAnsi="Arial"/>
                <w:sz w:val="16"/>
                <w:szCs w:val="16"/>
                <w:color w:val="auto"/>
                <w:w w:val="97"/>
              </w:rPr>
              <w:t>110%</w:t>
            </w:r>
          </w:p>
        </w:tc>
        <w:tc>
          <w:tcPr>
            <w:tcW w:w="12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7"/>
              </w:rPr>
              <w:t>100%</w:t>
            </w:r>
          </w:p>
        </w:tc>
        <w:tc>
          <w:tcPr>
            <w:tcW w:w="1300" w:type="dxa"/>
            <w:vAlign w:val="bottom"/>
            <w:tcBorders>
              <w:bottom w:val="single" w:sz="8" w:color="auto"/>
            </w:tcBorders>
          </w:tcPr>
          <w:p>
            <w:pPr>
              <w:jc w:val="center"/>
              <w:ind w:left="140"/>
              <w:spacing w:after="0" w:line="183" w:lineRule="exact"/>
              <w:rPr>
                <w:sz w:val="20"/>
                <w:szCs w:val="20"/>
                <w:color w:val="auto"/>
              </w:rPr>
            </w:pPr>
            <w:r>
              <w:rPr>
                <w:rFonts w:ascii="Arial" w:cs="Arial" w:eastAsia="Arial" w:hAnsi="Arial"/>
                <w:sz w:val="16"/>
                <w:szCs w:val="16"/>
                <w:color w:val="auto"/>
                <w:w w:val="99"/>
              </w:rPr>
              <w:t>10%</w:t>
            </w:r>
          </w:p>
        </w:tc>
      </w:tr>
      <w:tr>
        <w:trPr>
          <w:trHeight w:val="183"/>
        </w:trPr>
        <w:tc>
          <w:tcPr>
            <w:tcW w:w="42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Hunter</w:t>
            </w:r>
          </w:p>
        </w:tc>
        <w:tc>
          <w:tcPr>
            <w:tcW w:w="4220" w:type="dxa"/>
            <w:vAlign w:val="bottom"/>
            <w:tcBorders>
              <w:bottom w:val="single" w:sz="8" w:color="auto"/>
            </w:tcBorders>
          </w:tcPr>
          <w:p>
            <w:pPr>
              <w:jc w:val="center"/>
              <w:ind w:left="2900"/>
              <w:spacing w:after="0" w:line="183" w:lineRule="exact"/>
              <w:rPr>
                <w:sz w:val="20"/>
                <w:szCs w:val="20"/>
                <w:color w:val="auto"/>
              </w:rPr>
            </w:pPr>
            <w:r>
              <w:rPr>
                <w:rFonts w:ascii="Arial" w:cs="Arial" w:eastAsia="Arial" w:hAnsi="Arial"/>
                <w:sz w:val="16"/>
                <w:szCs w:val="16"/>
                <w:color w:val="auto"/>
                <w:w w:val="97"/>
              </w:rPr>
              <w:t>100%</w:t>
            </w:r>
          </w:p>
        </w:tc>
        <w:tc>
          <w:tcPr>
            <w:tcW w:w="12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7"/>
              </w:rPr>
              <w:t>100%</w:t>
            </w:r>
          </w:p>
        </w:tc>
        <w:tc>
          <w:tcPr>
            <w:tcW w:w="1300" w:type="dxa"/>
            <w:vAlign w:val="bottom"/>
            <w:tcBorders>
              <w:bottom w:val="single" w:sz="8" w:color="auto"/>
            </w:tcBorders>
          </w:tcPr>
          <w:p>
            <w:pPr>
              <w:jc w:val="center"/>
              <w:ind w:left="140"/>
              <w:spacing w:after="0" w:line="183" w:lineRule="exact"/>
              <w:rPr>
                <w:sz w:val="20"/>
                <w:szCs w:val="20"/>
                <w:color w:val="auto"/>
              </w:rPr>
            </w:pPr>
            <w:r>
              <w:rPr>
                <w:rFonts w:ascii="Arial" w:cs="Arial" w:eastAsia="Arial" w:hAnsi="Arial"/>
                <w:sz w:val="16"/>
                <w:szCs w:val="16"/>
                <w:color w:val="auto"/>
                <w:w w:val="87"/>
              </w:rPr>
              <w:t>  0%</w:t>
            </w:r>
          </w:p>
        </w:tc>
      </w:tr>
      <w:tr>
        <w:trPr>
          <w:trHeight w:val="183"/>
        </w:trPr>
        <w:tc>
          <w:tcPr>
            <w:tcW w:w="426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color w:val="auto"/>
              </w:rPr>
              <w:t>Ms. Gustafson</w:t>
            </w:r>
          </w:p>
        </w:tc>
        <w:tc>
          <w:tcPr>
            <w:tcW w:w="4220" w:type="dxa"/>
            <w:vAlign w:val="bottom"/>
            <w:tcBorders>
              <w:bottom w:val="single" w:sz="8" w:color="003A70"/>
            </w:tcBorders>
          </w:tcPr>
          <w:p>
            <w:pPr>
              <w:jc w:val="center"/>
              <w:ind w:left="2900"/>
              <w:spacing w:after="0" w:line="183" w:lineRule="exact"/>
              <w:rPr>
                <w:sz w:val="20"/>
                <w:szCs w:val="20"/>
                <w:color w:val="auto"/>
              </w:rPr>
            </w:pPr>
            <w:r>
              <w:rPr>
                <w:rFonts w:ascii="Arial" w:cs="Arial" w:eastAsia="Arial" w:hAnsi="Arial"/>
                <w:sz w:val="16"/>
                <w:szCs w:val="16"/>
                <w:color w:val="auto"/>
                <w:w w:val="97"/>
              </w:rPr>
              <w:t>100%</w:t>
            </w:r>
          </w:p>
        </w:tc>
        <w:tc>
          <w:tcPr>
            <w:tcW w:w="1240" w:type="dxa"/>
            <w:vAlign w:val="bottom"/>
            <w:tcBorders>
              <w:bottom w:val="single" w:sz="8" w:color="003A70"/>
            </w:tcBorders>
          </w:tcPr>
          <w:p>
            <w:pPr>
              <w:jc w:val="center"/>
              <w:spacing w:after="0" w:line="183" w:lineRule="exact"/>
              <w:rPr>
                <w:sz w:val="20"/>
                <w:szCs w:val="20"/>
                <w:color w:val="auto"/>
              </w:rPr>
            </w:pPr>
            <w:r>
              <w:rPr>
                <w:rFonts w:ascii="Arial" w:cs="Arial" w:eastAsia="Arial" w:hAnsi="Arial"/>
                <w:sz w:val="16"/>
                <w:szCs w:val="16"/>
                <w:color w:val="auto"/>
                <w:w w:val="88"/>
              </w:rPr>
              <w:t>  90%</w:t>
            </w:r>
          </w:p>
        </w:tc>
        <w:tc>
          <w:tcPr>
            <w:tcW w:w="1300" w:type="dxa"/>
            <w:vAlign w:val="bottom"/>
            <w:tcBorders>
              <w:bottom w:val="single" w:sz="8" w:color="003A70"/>
            </w:tcBorders>
          </w:tcPr>
          <w:p>
            <w:pPr>
              <w:jc w:val="center"/>
              <w:ind w:left="140"/>
              <w:spacing w:after="0" w:line="183" w:lineRule="exact"/>
              <w:rPr>
                <w:sz w:val="20"/>
                <w:szCs w:val="20"/>
                <w:color w:val="auto"/>
              </w:rPr>
            </w:pPr>
            <w:r>
              <w:rPr>
                <w:rFonts w:ascii="Arial" w:cs="Arial" w:eastAsia="Arial" w:hAnsi="Arial"/>
                <w:sz w:val="16"/>
                <w:szCs w:val="16"/>
                <w:color w:val="auto"/>
                <w:w w:val="99"/>
              </w:rPr>
              <w:t>11%</w:t>
            </w: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Marino, Mr. Miller, and Ms. Gustafson’s bonus target changes reflect approved increases to competitively position them against peer group medians.</w:t>
      </w:r>
    </w:p>
    <w:p>
      <w:pPr>
        <w:spacing w:after="0" w:line="113"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6"/>
          <w:szCs w:val="16"/>
          <w:color w:val="auto"/>
        </w:rPr>
        <w:t>In determining the target award percentage for each eligible NEO, as well as in determining the differences in the target award percentages among the NEOs, the CPC considered market data and internal factors, including pay equity with other officers, differences in responsibilities, and future potential. Threshold performance was required in order to pay 25% of such NEO’s target award and the maximum award for each NEO was 200% of such NEO’s target award.</w:t>
      </w:r>
    </w:p>
    <w:p>
      <w:pPr>
        <w:spacing w:after="0" w:line="70"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There were two financial objectives tied to the Bonus Plan for 2025: Adjusted EBITDA and Total Revenue. These financial objectives were tied to 80% of the executive officer’s total bonus opportunity, and were weighted at 60% and 20%, respectively. These financial performance measures were selected because they are important indicators of the Company’s profitability and growth. Former CEO, Mr. Geller, and Mr. Marino developed the specific performance level percentages for these objectives, which were reviewed and approved by the CPC.</w:t>
      </w:r>
    </w:p>
    <w:p>
      <w:pPr>
        <w:spacing w:after="0" w:line="70"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For all eligible NEOs, Adjusted EBITDA was the most heavily weighted performance criteria because it is reflective of the Company’s operating performance for 2025. For purposes of the Bonus Plan, “Adjusted EBITDA” means EBITDA (as reported in the Company’s Annual Report on Form 10-K) for the 2025 fiscal year, excluding the impact of share-based compensation expense, impairments, transaction and integration costs, gains and losses on the disposal of assets or businesses, gains and losses on foreign currency exchange related activity, gains and losses on insurance settlements, litigation charges, estimated impacts on natural disasters, and activity not associated with the Company’s ongoing core operations, and including the appropriate approved financial impact</w:t>
      </w:r>
    </w:p>
    <w:p>
      <w:pPr>
        <w:spacing w:after="0" w:line="115" w:lineRule="exact"/>
        <w:rPr>
          <w:sz w:val="20"/>
          <w:szCs w:val="20"/>
          <w:color w:val="auto"/>
        </w:rPr>
      </w:pPr>
    </w:p>
    <w:p>
      <w:pPr>
        <w:ind w:left="120"/>
        <w:spacing w:after="0"/>
        <w:tabs>
          <w:tab w:leader="none" w:pos="4720" w:val="left"/>
          <w:tab w:leader="none" w:pos="7820" w:val="left"/>
        </w:tabs>
        <w:rPr>
          <w:sz w:val="20"/>
          <w:szCs w:val="20"/>
          <w:color w:val="auto"/>
        </w:rPr>
      </w:pPr>
      <w:r>
        <w:rPr>
          <w:rFonts w:ascii="Arial" w:cs="Arial" w:eastAsia="Arial" w:hAnsi="Arial"/>
          <w:sz w:val="11"/>
          <w:szCs w:val="11"/>
          <w:b w:val="1"/>
          <w:bCs w:val="1"/>
          <w:color w:val="003A70"/>
        </w:rPr>
        <w:t>36</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660"/>
        <w:spacing w:after="0" w:line="266" w:lineRule="auto"/>
        <w:rPr>
          <w:sz w:val="20"/>
          <w:szCs w:val="20"/>
          <w:color w:val="auto"/>
        </w:rPr>
      </w:pPr>
      <w:r>
        <w:rPr>
          <w:rFonts w:ascii="Arial" w:cs="Arial" w:eastAsia="Arial" w:hAnsi="Arial"/>
          <w:sz w:val="16"/>
          <w:szCs w:val="16"/>
          <w:color w:val="auto"/>
        </w:rPr>
        <w:t>of new business ventures. No adjustment is made for consumer financing interest expense associated with the term securitization transactions in calculating Adjusted EBITDA. Adjusted EBITDA is a financial measure that is not prescribed by GAAP. The Adjusted EBITDA target was set at $780 million, a level we believed to be achievable but not certain to be met.</w:t>
      </w:r>
    </w:p>
    <w:p>
      <w:pPr>
        <w:spacing w:after="0" w:line="8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4940" w:type="dxa"/>
            <w:vAlign w:val="bottom"/>
          </w:tcPr>
          <w:p>
            <w:pPr>
              <w:jc w:val="right"/>
              <w:spacing w:after="0"/>
              <w:rPr>
                <w:sz w:val="20"/>
                <w:szCs w:val="20"/>
                <w:color w:val="auto"/>
              </w:rPr>
            </w:pPr>
            <w:r>
              <w:rPr>
                <w:rFonts w:ascii="Arial" w:cs="Arial" w:eastAsia="Arial" w:hAnsi="Arial"/>
                <w:sz w:val="14"/>
                <w:szCs w:val="14"/>
                <w:color w:val="003A70"/>
              </w:rPr>
              <w:t>Payout as a Percent</w:t>
            </w:r>
          </w:p>
        </w:tc>
      </w:tr>
      <w:tr>
        <w:trPr>
          <w:trHeight w:val="178"/>
        </w:trPr>
        <w:tc>
          <w:tcPr>
            <w:tcW w:w="608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Adjusted EBITDA Achievement Target</w:t>
            </w:r>
          </w:p>
        </w:tc>
        <w:tc>
          <w:tcPr>
            <w:tcW w:w="4940" w:type="dxa"/>
            <w:vAlign w:val="bottom"/>
            <w:tcBorders>
              <w:bottom w:val="single" w:sz="8" w:color="003A70"/>
            </w:tcBorders>
          </w:tcPr>
          <w:p>
            <w:pPr>
              <w:jc w:val="right"/>
              <w:ind w:right="302"/>
              <w:spacing w:after="0"/>
              <w:rPr>
                <w:sz w:val="20"/>
                <w:szCs w:val="20"/>
                <w:color w:val="auto"/>
              </w:rPr>
            </w:pPr>
            <w:r>
              <w:rPr>
                <w:rFonts w:ascii="Arial" w:cs="Arial" w:eastAsia="Arial" w:hAnsi="Arial"/>
                <w:sz w:val="14"/>
                <w:szCs w:val="14"/>
                <w:color w:val="003A70"/>
              </w:rPr>
              <w:t>of Target</w:t>
            </w:r>
          </w:p>
        </w:tc>
      </w:tr>
      <w:tr>
        <w:trPr>
          <w:trHeight w:val="189"/>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than $702 million</w:t>
            </w:r>
          </w:p>
        </w:tc>
        <w:tc>
          <w:tcPr>
            <w:tcW w:w="49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0%</w:t>
            </w:r>
          </w:p>
        </w:tc>
      </w:tr>
      <w:tr>
        <w:trPr>
          <w:trHeight w:val="183"/>
        </w:trPr>
        <w:tc>
          <w:tcPr>
            <w:tcW w:w="60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$702 million</w:t>
            </w:r>
          </w:p>
        </w:tc>
        <w:tc>
          <w:tcPr>
            <w:tcW w:w="4940" w:type="dxa"/>
            <w:vAlign w:val="bottom"/>
            <w:tcBorders>
              <w:bottom w:val="single" w:sz="8" w:color="auto"/>
            </w:tcBorders>
          </w:tcPr>
          <w:p>
            <w:pPr>
              <w:jc w:val="right"/>
              <w:ind w:right="222"/>
              <w:spacing w:after="0" w:line="183" w:lineRule="exact"/>
              <w:rPr>
                <w:sz w:val="20"/>
                <w:szCs w:val="20"/>
                <w:color w:val="auto"/>
              </w:rPr>
            </w:pPr>
            <w:r>
              <w:rPr>
                <w:rFonts w:ascii="Arial" w:cs="Arial" w:eastAsia="Arial" w:hAnsi="Arial"/>
                <w:sz w:val="16"/>
                <w:szCs w:val="16"/>
                <w:color w:val="auto"/>
              </w:rPr>
              <w:t>25%</w:t>
            </w:r>
          </w:p>
        </w:tc>
      </w:tr>
      <w:tr>
        <w:trPr>
          <w:trHeight w:val="183"/>
        </w:trPr>
        <w:tc>
          <w:tcPr>
            <w:tcW w:w="60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$780 million</w:t>
            </w:r>
          </w:p>
        </w:tc>
        <w:tc>
          <w:tcPr>
            <w:tcW w:w="4940" w:type="dxa"/>
            <w:vAlign w:val="bottom"/>
            <w:tcBorders>
              <w:bottom w:val="single" w:sz="8" w:color="auto"/>
            </w:tcBorders>
          </w:tcPr>
          <w:p>
            <w:pPr>
              <w:jc w:val="right"/>
              <w:ind w:right="222"/>
              <w:spacing w:after="0" w:line="183" w:lineRule="exact"/>
              <w:rPr>
                <w:sz w:val="20"/>
                <w:szCs w:val="20"/>
                <w:color w:val="auto"/>
              </w:rPr>
            </w:pPr>
            <w:r>
              <w:rPr>
                <w:rFonts w:ascii="Arial" w:cs="Arial" w:eastAsia="Arial" w:hAnsi="Arial"/>
                <w:sz w:val="16"/>
                <w:szCs w:val="16"/>
                <w:color w:val="auto"/>
              </w:rPr>
              <w:t>100%</w:t>
            </w:r>
          </w:p>
        </w:tc>
      </w:tr>
      <w:tr>
        <w:trPr>
          <w:trHeight w:val="183"/>
        </w:trPr>
        <w:tc>
          <w:tcPr>
            <w:tcW w:w="608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color w:val="auto"/>
              </w:rPr>
              <w:t>$858 million or more</w:t>
            </w:r>
          </w:p>
        </w:tc>
        <w:tc>
          <w:tcPr>
            <w:tcW w:w="4940" w:type="dxa"/>
            <w:vAlign w:val="bottom"/>
            <w:tcBorders>
              <w:bottom w:val="single" w:sz="8" w:color="003A70"/>
            </w:tcBorders>
          </w:tcPr>
          <w:p>
            <w:pPr>
              <w:jc w:val="right"/>
              <w:ind w:right="222"/>
              <w:spacing w:after="0" w:line="183" w:lineRule="exact"/>
              <w:rPr>
                <w:sz w:val="20"/>
                <w:szCs w:val="20"/>
                <w:color w:val="auto"/>
              </w:rPr>
            </w:pPr>
            <w:r>
              <w:rPr>
                <w:rFonts w:ascii="Arial" w:cs="Arial" w:eastAsia="Arial" w:hAnsi="Arial"/>
                <w:sz w:val="16"/>
                <w:szCs w:val="16"/>
                <w:color w:val="auto"/>
              </w:rPr>
              <w:t>200%</w:t>
            </w:r>
          </w:p>
        </w:tc>
      </w:tr>
    </w:tbl>
    <w:p>
      <w:pPr>
        <w:spacing w:after="0" w:line="9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For purposes of the Bonus Plan, “Total Revenue” means total revenues for the 2025 fiscal year, excluding cost reimbursement and property owner association consolidation revenues (as reported in the Company’s Annual Report on Form 10-K), intercompany revenue eliminations and the net down of vacation ownership rental revenue in accordance with ASC 978, and including the appropriate approved financial impact of new business ventures. The Total Revenue target was set at $3,649 million, a level we believed to be achievable but not certain to be met. For 2025, the eligible NEOs were eligible to receive the portion of the bonus attributable to Total Revenue based on the following achievement levels:</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5040" w:type="dxa"/>
            <w:vAlign w:val="bottom"/>
          </w:tcPr>
          <w:p>
            <w:pPr>
              <w:jc w:val="right"/>
              <w:spacing w:after="0"/>
              <w:rPr>
                <w:sz w:val="20"/>
                <w:szCs w:val="20"/>
                <w:color w:val="auto"/>
              </w:rPr>
            </w:pPr>
            <w:r>
              <w:rPr>
                <w:rFonts w:ascii="Arial" w:cs="Arial" w:eastAsia="Arial" w:hAnsi="Arial"/>
                <w:sz w:val="14"/>
                <w:szCs w:val="14"/>
                <w:color w:val="003A70"/>
              </w:rPr>
              <w:t>Payout as a Percent</w:t>
            </w:r>
          </w:p>
        </w:tc>
      </w:tr>
      <w:tr>
        <w:trPr>
          <w:trHeight w:val="178"/>
        </w:trPr>
        <w:tc>
          <w:tcPr>
            <w:tcW w:w="598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Total Revenue Achievement Target</w:t>
            </w:r>
          </w:p>
        </w:tc>
        <w:tc>
          <w:tcPr>
            <w:tcW w:w="5040" w:type="dxa"/>
            <w:vAlign w:val="bottom"/>
            <w:tcBorders>
              <w:bottom w:val="single" w:sz="8" w:color="003A70"/>
            </w:tcBorders>
          </w:tcPr>
          <w:p>
            <w:pPr>
              <w:jc w:val="right"/>
              <w:ind w:right="302"/>
              <w:spacing w:after="0"/>
              <w:rPr>
                <w:sz w:val="20"/>
                <w:szCs w:val="20"/>
                <w:color w:val="auto"/>
              </w:rPr>
            </w:pPr>
            <w:r>
              <w:rPr>
                <w:rFonts w:ascii="Arial" w:cs="Arial" w:eastAsia="Arial" w:hAnsi="Arial"/>
                <w:sz w:val="14"/>
                <w:szCs w:val="14"/>
                <w:color w:val="003A70"/>
              </w:rPr>
              <w:t>of Target</w:t>
            </w:r>
          </w:p>
        </w:tc>
      </w:tr>
      <w:tr>
        <w:trPr>
          <w:trHeight w:val="189"/>
        </w:trPr>
        <w:tc>
          <w:tcPr>
            <w:tcW w:w="5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than $3,467 million</w:t>
            </w:r>
          </w:p>
        </w:tc>
        <w:tc>
          <w:tcPr>
            <w:tcW w:w="50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0%</w:t>
            </w:r>
          </w:p>
        </w:tc>
      </w:tr>
      <w:tr>
        <w:trPr>
          <w:trHeight w:val="183"/>
        </w:trPr>
        <w:tc>
          <w:tcPr>
            <w:tcW w:w="5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$3,467 million</w:t>
            </w:r>
          </w:p>
        </w:tc>
        <w:tc>
          <w:tcPr>
            <w:tcW w:w="5040" w:type="dxa"/>
            <w:vAlign w:val="bottom"/>
            <w:tcBorders>
              <w:bottom w:val="single" w:sz="8" w:color="auto"/>
            </w:tcBorders>
          </w:tcPr>
          <w:p>
            <w:pPr>
              <w:jc w:val="right"/>
              <w:ind w:right="222"/>
              <w:spacing w:after="0" w:line="183" w:lineRule="exact"/>
              <w:rPr>
                <w:sz w:val="20"/>
                <w:szCs w:val="20"/>
                <w:color w:val="auto"/>
              </w:rPr>
            </w:pPr>
            <w:r>
              <w:rPr>
                <w:rFonts w:ascii="Arial" w:cs="Arial" w:eastAsia="Arial" w:hAnsi="Arial"/>
                <w:sz w:val="16"/>
                <w:szCs w:val="16"/>
                <w:color w:val="auto"/>
              </w:rPr>
              <w:t>25%</w:t>
            </w:r>
          </w:p>
        </w:tc>
      </w:tr>
      <w:tr>
        <w:trPr>
          <w:trHeight w:val="183"/>
        </w:trPr>
        <w:tc>
          <w:tcPr>
            <w:tcW w:w="5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$3,649 million</w:t>
            </w:r>
          </w:p>
        </w:tc>
        <w:tc>
          <w:tcPr>
            <w:tcW w:w="5040" w:type="dxa"/>
            <w:vAlign w:val="bottom"/>
            <w:tcBorders>
              <w:bottom w:val="single" w:sz="8" w:color="auto"/>
            </w:tcBorders>
          </w:tcPr>
          <w:p>
            <w:pPr>
              <w:jc w:val="right"/>
              <w:ind w:right="222"/>
              <w:spacing w:after="0" w:line="183" w:lineRule="exact"/>
              <w:rPr>
                <w:sz w:val="20"/>
                <w:szCs w:val="20"/>
                <w:color w:val="auto"/>
              </w:rPr>
            </w:pPr>
            <w:r>
              <w:rPr>
                <w:rFonts w:ascii="Arial" w:cs="Arial" w:eastAsia="Arial" w:hAnsi="Arial"/>
                <w:sz w:val="16"/>
                <w:szCs w:val="16"/>
                <w:color w:val="auto"/>
              </w:rPr>
              <w:t>100%</w:t>
            </w:r>
          </w:p>
        </w:tc>
      </w:tr>
      <w:tr>
        <w:trPr>
          <w:trHeight w:val="183"/>
        </w:trPr>
        <w:tc>
          <w:tcPr>
            <w:tcW w:w="598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color w:val="auto"/>
              </w:rPr>
              <w:t>$3,832 million or more</w:t>
            </w:r>
          </w:p>
        </w:tc>
        <w:tc>
          <w:tcPr>
            <w:tcW w:w="5040" w:type="dxa"/>
            <w:vAlign w:val="bottom"/>
            <w:tcBorders>
              <w:bottom w:val="single" w:sz="8" w:color="003A70"/>
            </w:tcBorders>
          </w:tcPr>
          <w:p>
            <w:pPr>
              <w:jc w:val="right"/>
              <w:ind w:right="222"/>
              <w:spacing w:after="0" w:line="183" w:lineRule="exact"/>
              <w:rPr>
                <w:sz w:val="20"/>
                <w:szCs w:val="20"/>
                <w:color w:val="auto"/>
              </w:rPr>
            </w:pPr>
            <w:r>
              <w:rPr>
                <w:rFonts w:ascii="Arial" w:cs="Arial" w:eastAsia="Arial" w:hAnsi="Arial"/>
                <w:sz w:val="16"/>
                <w:szCs w:val="16"/>
                <w:color w:val="auto"/>
              </w:rPr>
              <w:t>200%</w:t>
            </w:r>
          </w:p>
        </w:tc>
      </w:tr>
    </w:tbl>
    <w:p>
      <w:pPr>
        <w:spacing w:after="0" w:line="94"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For each of the financial measures, achievement falling between two of the stated performance achievement levels resulted in the payment for that portion of the bonus being interpolated between the corresponding bonus levels, except that there is no interpolation between 0% and 25%. Accordingly, there is no payout if achievement is below the threshold level of achievement of 25%.</w:t>
      </w:r>
    </w:p>
    <w:p>
      <w:pPr>
        <w:spacing w:after="0" w:line="63"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In addition to the financial performance measures, the Bonus Plan for the eligible NEOs included performance measures based on corporate responsibility, measuring varying degrees of associate engagement and customer satisfaction with a combined weighting of 20% of the total bonus opportunity. The corporate responsibility measures were approved by the CPC and subsequently evaluated objectively, and, like Adjusted EBITDA and Total Revenue targets, are intended to establish high standards, consistent with our quality goals, which we believed were achievable but not certain to be met. “Associate Engagement” is represented by the assessment of our engagement survey accountability index and the inclusive culture index for the entire Company, as measured by an independent third party based upon the Company’s associates’ responses to a broad multi-employer survey. Additionally, customer satisfaction was based on the results of customer and guest satisfaction surveys we developed. Different surveys are used for different aspects of our business, such as Guest Satisfaction, Sales and Marketing Satisfaction and Owner Services Satisfaction. These surveys address topics such as overall satisfaction, quality of service, and cleanliness of properties. We believe that these performance measures are important contributors to achieving success within our industry. Payout under this performance measure can be zero or at threshold, target or maximum award levels or, in most cases, interpolated between award levels. However, there is no interpolation between zero and threshold.</w:t>
      </w:r>
    </w:p>
    <w:p>
      <w:pPr>
        <w:spacing w:after="0" w:line="79" w:lineRule="exact"/>
        <w:rPr>
          <w:sz w:val="20"/>
          <w:szCs w:val="20"/>
          <w:color w:val="auto"/>
        </w:rPr>
      </w:pPr>
    </w:p>
    <w:p>
      <w:pPr>
        <w:jc w:val="both"/>
        <w:ind w:left="120" w:right="40"/>
        <w:spacing w:after="0" w:line="266" w:lineRule="auto"/>
        <w:rPr>
          <w:sz w:val="20"/>
          <w:szCs w:val="20"/>
          <w:color w:val="auto"/>
        </w:rPr>
      </w:pPr>
      <w:r>
        <w:rPr>
          <w:rFonts w:ascii="Arial" w:cs="Arial" w:eastAsia="Arial" w:hAnsi="Arial"/>
          <w:sz w:val="16"/>
          <w:szCs w:val="16"/>
          <w:color w:val="auto"/>
        </w:rPr>
        <w:t>The CPC reviewed certain items that impacted Adjusted EBITDA in 2025, as defined. Adjusted EBITDA was adjusted by the CPC for short-term incentive purposes (i.e., annual management bonus purposes) consistent with the above definition for costs relating to amortization of cloud computing costs. This adjustment decreased the achievement level of the Adjusted EBITDA goal by approximately $6.0 million.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Revenue was not adjusted by the CPC for short-term incentive purposes (i.e., annual management bonus purposes).</w:t>
      </w:r>
    </w:p>
    <w:p>
      <w:pPr>
        <w:spacing w:after="0" w:line="113"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The payout for the Corporate responsibility metric was negatively adjusted based on the CPC’s discretion. Given the overall company financial performance, this non-financial metric payout was decreased by 12.4 percentage points from 40% to 27.6% achievement. The 2025 short-term incentive payout was calculated using, $744.8 Adjusted EBITDA achieved 66.12% of target, resulting in a component payout of 39.67%; $3,413.9 million of Total Revenue resulted in a component payout of 0.0% payout; and the corporate responsibility component achieved 138.0% of target, resulting in a payout of 27.6% (reflecting the CPC’s discretion). The total adjusted bonus payout was 67.27% of the target bonus for the period, which resulted in the following payments for our NEOs:</w:t>
      </w:r>
    </w:p>
    <w:p>
      <w:pPr>
        <w:spacing w:after="0" w:line="92"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540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5620" w:type="dxa"/>
            <w:vAlign w:val="bottom"/>
            <w:tcBorders>
              <w:bottom w:val="single" w:sz="8" w:color="003A70"/>
            </w:tcBorders>
            <w:gridSpan w:val="2"/>
          </w:tcPr>
          <w:p>
            <w:pPr>
              <w:jc w:val="right"/>
              <w:spacing w:after="0"/>
              <w:rPr>
                <w:sz w:val="20"/>
                <w:szCs w:val="20"/>
                <w:color w:val="auto"/>
              </w:rPr>
            </w:pPr>
            <w:r>
              <w:rPr>
                <w:rFonts w:ascii="Arial" w:cs="Arial" w:eastAsia="Arial" w:hAnsi="Arial"/>
                <w:sz w:val="14"/>
                <w:szCs w:val="14"/>
                <w:color w:val="003A70"/>
              </w:rPr>
              <w:t>2025 Bonus Payout</w:t>
            </w:r>
          </w:p>
        </w:tc>
      </w:tr>
      <w:tr>
        <w:trPr>
          <w:trHeight w:val="189"/>
        </w:trPr>
        <w:tc>
          <w:tcPr>
            <w:tcW w:w="5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Mr. Avril</w:t>
            </w:r>
          </w:p>
        </w:tc>
        <w:tc>
          <w:tcPr>
            <w:tcW w:w="47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NA</w:t>
            </w:r>
          </w:p>
        </w:tc>
      </w:tr>
      <w:tr>
        <w:trPr>
          <w:trHeight w:val="183"/>
        </w:trPr>
        <w:tc>
          <w:tcPr>
            <w:tcW w:w="54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Geller*</w:t>
            </w:r>
          </w:p>
        </w:tc>
        <w:tc>
          <w:tcPr>
            <w:tcW w:w="47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NA</w:t>
            </w:r>
          </w:p>
        </w:tc>
      </w:tr>
      <w:tr>
        <w:trPr>
          <w:trHeight w:val="183"/>
        </w:trPr>
        <w:tc>
          <w:tcPr>
            <w:tcW w:w="54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Marino</w:t>
            </w:r>
          </w:p>
        </w:tc>
        <w:tc>
          <w:tcPr>
            <w:tcW w:w="472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425,500</w:t>
            </w:r>
          </w:p>
        </w:tc>
      </w:tr>
      <w:tr>
        <w:trPr>
          <w:trHeight w:val="183"/>
        </w:trPr>
        <w:tc>
          <w:tcPr>
            <w:tcW w:w="54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Miller</w:t>
            </w:r>
          </w:p>
        </w:tc>
        <w:tc>
          <w:tcPr>
            <w:tcW w:w="472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622,717</w:t>
            </w:r>
          </w:p>
        </w:tc>
      </w:tr>
      <w:tr>
        <w:trPr>
          <w:trHeight w:val="183"/>
        </w:trPr>
        <w:tc>
          <w:tcPr>
            <w:tcW w:w="54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Hunter</w:t>
            </w:r>
          </w:p>
        </w:tc>
        <w:tc>
          <w:tcPr>
            <w:tcW w:w="4720" w:type="dxa"/>
            <w:vAlign w:val="bottom"/>
            <w:tcBorders>
              <w:bottom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336,476</w:t>
            </w:r>
          </w:p>
        </w:tc>
      </w:tr>
      <w:tr>
        <w:trPr>
          <w:trHeight w:val="183"/>
        </w:trPr>
        <w:tc>
          <w:tcPr>
            <w:tcW w:w="540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color w:val="auto"/>
              </w:rPr>
              <w:t>Ms. Gustafson</w:t>
            </w:r>
          </w:p>
        </w:tc>
        <w:tc>
          <w:tcPr>
            <w:tcW w:w="4720" w:type="dxa"/>
            <w:vAlign w:val="bottom"/>
            <w:tcBorders>
              <w:bottom w:val="single" w:sz="8" w:color="003A70"/>
            </w:tcBorders>
          </w:tcPr>
          <w:p>
            <w:pPr>
              <w:jc w:val="right"/>
              <w:ind w:right="41"/>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003A70"/>
            </w:tcBorders>
          </w:tcPr>
          <w:p>
            <w:pPr>
              <w:jc w:val="right"/>
              <w:ind w:right="99"/>
              <w:spacing w:after="0" w:line="183" w:lineRule="exact"/>
              <w:rPr>
                <w:sz w:val="20"/>
                <w:szCs w:val="20"/>
                <w:color w:val="auto"/>
              </w:rPr>
            </w:pPr>
            <w:r>
              <w:rPr>
                <w:rFonts w:ascii="Arial" w:cs="Arial" w:eastAsia="Arial" w:hAnsi="Arial"/>
                <w:sz w:val="16"/>
                <w:szCs w:val="16"/>
                <w:color w:val="auto"/>
              </w:rPr>
              <w:t>319,545</w:t>
            </w:r>
          </w:p>
        </w:tc>
      </w:tr>
    </w:tbl>
    <w:p>
      <w:pPr>
        <w:spacing w:after="0" w:line="112" w:lineRule="exact"/>
        <w:rPr>
          <w:sz w:val="20"/>
          <w:szCs w:val="20"/>
          <w:color w:val="auto"/>
        </w:rPr>
      </w:pPr>
    </w:p>
    <w:p>
      <w:pPr>
        <w:ind w:left="440" w:right="180" w:hanging="324"/>
        <w:spacing w:after="0" w:line="285" w:lineRule="auto"/>
        <w:tabs>
          <w:tab w:leader="none" w:pos="4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 connection with Mr. Geller’s termination, he received a prorated target bonus equal to $1,286,301, reflecting his 2025 target bonus opportunity prorated through his separation date of November 10, 2025.</w:t>
      </w:r>
    </w:p>
    <w:p>
      <w:pPr>
        <w:spacing w:after="0" w:line="86" w:lineRule="exact"/>
        <w:rPr>
          <w:sz w:val="20"/>
          <w:szCs w:val="20"/>
          <w:color w:val="auto"/>
        </w:rPr>
      </w:pPr>
    </w:p>
    <w:p>
      <w:pPr>
        <w:ind w:left="120"/>
        <w:spacing w:after="0"/>
        <w:tabs>
          <w:tab w:leader="none" w:pos="472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2026 Annual Bonus</w:t>
      </w:r>
    </w:p>
    <w:p>
      <w:pPr>
        <w:spacing w:after="0" w:line="102" w:lineRule="exact"/>
        <w:rPr>
          <w:sz w:val="20"/>
          <w:szCs w:val="20"/>
          <w:color w:val="auto"/>
        </w:rPr>
      </w:pPr>
    </w:p>
    <w:p>
      <w:pPr>
        <w:jc w:val="both"/>
        <w:ind w:left="120" w:right="620"/>
        <w:spacing w:after="0" w:line="266" w:lineRule="auto"/>
        <w:rPr>
          <w:sz w:val="20"/>
          <w:szCs w:val="20"/>
          <w:color w:val="auto"/>
        </w:rPr>
      </w:pPr>
      <w:r>
        <w:rPr>
          <w:rFonts w:ascii="Arial" w:cs="Arial" w:eastAsia="Arial" w:hAnsi="Arial"/>
          <w:sz w:val="16"/>
          <w:szCs w:val="16"/>
          <w:color w:val="auto"/>
        </w:rPr>
        <w:t>For the 2026 Bonus Plan, the CPC has increased it’s focus on financial metrics. While still believing non-financial metrics are important, customer satisfaction will remain with a reduced % component for the short-term incentive. Corporate responsibility metrics relating to the annual employee engagement survey have been removed.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Stock Awards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Stock Awards Granted in 2025</w:t>
      </w:r>
    </w:p>
    <w:p>
      <w:pPr>
        <w:spacing w:after="0" w:line="102"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auto"/>
        </w:rPr>
        <w:t>Equity compensation awards are typically granted to the NEOs on an annual basis under the 2020 Equity Plan. With multi-year and, in some cases, performance-based vesting conditions, and the opportunity for long-term capital appreciation, the annual stock awards help us achieve our objectives of attracting and retaining key executive talent, linking NEO pay to long-term Company performance and aligning the interests of NEOs with those of stockholders. Mr. Avril’s equity award was granted by the CPC in November 2025 in connection with his appointment as interim President and CEO.</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CPC approved the following annual equity awards for 2025 for our NEOs:</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88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Name</w:t>
            </w:r>
          </w:p>
        </w:tc>
        <w:tc>
          <w:tcPr>
            <w:tcW w:w="4220" w:type="dxa"/>
            <w:vAlign w:val="bottom"/>
            <w:tcBorders>
              <w:bottom w:val="single" w:sz="8" w:color="003A70"/>
            </w:tcBorders>
          </w:tcPr>
          <w:p>
            <w:pPr>
              <w:jc w:val="center"/>
              <w:ind w:left="2540"/>
              <w:spacing w:after="0"/>
              <w:rPr>
                <w:sz w:val="20"/>
                <w:szCs w:val="20"/>
                <w:color w:val="auto"/>
              </w:rPr>
            </w:pPr>
            <w:r>
              <w:rPr>
                <w:rFonts w:ascii="Arial" w:cs="Arial" w:eastAsia="Arial" w:hAnsi="Arial"/>
                <w:sz w:val="14"/>
                <w:szCs w:val="14"/>
                <w:color w:val="003A70"/>
              </w:rPr>
              <w:t>2025 Award Value</w:t>
            </w:r>
          </w:p>
        </w:tc>
        <w:tc>
          <w:tcPr>
            <w:tcW w:w="16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2024 Award Value</w:t>
            </w:r>
          </w:p>
        </w:tc>
        <w:tc>
          <w:tcPr>
            <w:tcW w:w="1280" w:type="dxa"/>
            <w:vAlign w:val="bottom"/>
            <w:tcBorders>
              <w:bottom w:val="single" w:sz="8" w:color="003A70"/>
            </w:tcBorders>
          </w:tcPr>
          <w:p>
            <w:pPr>
              <w:jc w:val="center"/>
              <w:ind w:left="120"/>
              <w:spacing w:after="0"/>
              <w:rPr>
                <w:sz w:val="20"/>
                <w:szCs w:val="20"/>
                <w:color w:val="auto"/>
              </w:rPr>
            </w:pPr>
            <w:r>
              <w:rPr>
                <w:rFonts w:ascii="Arial" w:cs="Arial" w:eastAsia="Arial" w:hAnsi="Arial"/>
                <w:sz w:val="14"/>
                <w:szCs w:val="14"/>
                <w:color w:val="003A70"/>
              </w:rPr>
              <w:t>Percent Change</w:t>
            </w:r>
          </w:p>
        </w:tc>
      </w:tr>
      <w:tr>
        <w:trPr>
          <w:trHeight w:val="189"/>
        </w:trPr>
        <w:tc>
          <w:tcPr>
            <w:tcW w:w="3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Mr. Avril</w:t>
            </w:r>
          </w:p>
        </w:tc>
        <w:tc>
          <w:tcPr>
            <w:tcW w:w="4220" w:type="dxa"/>
            <w:vAlign w:val="bottom"/>
            <w:tcBorders>
              <w:bottom w:val="single" w:sz="8" w:color="auto"/>
            </w:tcBorders>
          </w:tcPr>
          <w:p>
            <w:pPr>
              <w:jc w:val="center"/>
              <w:ind w:left="2540"/>
              <w:spacing w:after="0"/>
              <w:rPr>
                <w:sz w:val="20"/>
                <w:szCs w:val="20"/>
                <w:color w:val="auto"/>
              </w:rPr>
            </w:pPr>
            <w:r>
              <w:rPr>
                <w:rFonts w:ascii="Arial" w:cs="Arial" w:eastAsia="Arial" w:hAnsi="Arial"/>
                <w:sz w:val="16"/>
                <w:szCs w:val="16"/>
                <w:color w:val="auto"/>
                <w:w w:val="99"/>
              </w:rPr>
              <w:t>$3,803,425</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280" w:type="dxa"/>
            <w:vAlign w:val="bottom"/>
            <w:tcBorders>
              <w:bottom w:val="single" w:sz="8" w:color="auto"/>
            </w:tcBorders>
          </w:tcPr>
          <w:p>
            <w:pPr>
              <w:jc w:val="center"/>
              <w:ind w:left="140"/>
              <w:spacing w:after="0"/>
              <w:rPr>
                <w:sz w:val="20"/>
                <w:szCs w:val="20"/>
                <w:color w:val="auto"/>
              </w:rPr>
            </w:pPr>
            <w:r>
              <w:rPr>
                <w:rFonts w:ascii="Arial" w:cs="Arial" w:eastAsia="Arial" w:hAnsi="Arial"/>
                <w:sz w:val="16"/>
                <w:szCs w:val="16"/>
                <w:color w:val="auto"/>
                <w:w w:val="98"/>
              </w:rPr>
              <w:t>NA</w:t>
            </w:r>
          </w:p>
        </w:tc>
      </w:tr>
      <w:tr>
        <w:trPr>
          <w:trHeight w:val="183"/>
        </w:trPr>
        <w:tc>
          <w:tcPr>
            <w:tcW w:w="38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Geller</w:t>
            </w:r>
          </w:p>
        </w:tc>
        <w:tc>
          <w:tcPr>
            <w:tcW w:w="4220" w:type="dxa"/>
            <w:vAlign w:val="bottom"/>
            <w:tcBorders>
              <w:bottom w:val="single" w:sz="8" w:color="auto"/>
            </w:tcBorders>
          </w:tcPr>
          <w:p>
            <w:pPr>
              <w:jc w:val="center"/>
              <w:ind w:left="2540"/>
              <w:spacing w:after="0" w:line="183" w:lineRule="exact"/>
              <w:rPr>
                <w:sz w:val="20"/>
                <w:szCs w:val="20"/>
                <w:color w:val="auto"/>
              </w:rPr>
            </w:pPr>
            <w:r>
              <w:rPr>
                <w:rFonts w:ascii="Arial" w:cs="Arial" w:eastAsia="Arial" w:hAnsi="Arial"/>
                <w:sz w:val="16"/>
                <w:szCs w:val="16"/>
                <w:color w:val="auto"/>
                <w:w w:val="99"/>
              </w:rPr>
              <w:t>$7,000,000</w:t>
            </w:r>
          </w:p>
        </w:tc>
        <w:tc>
          <w:tcPr>
            <w:tcW w:w="16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$6,000,000</w:t>
            </w:r>
          </w:p>
        </w:tc>
        <w:tc>
          <w:tcPr>
            <w:tcW w:w="1280" w:type="dxa"/>
            <w:vAlign w:val="bottom"/>
            <w:tcBorders>
              <w:bottom w:val="single" w:sz="8" w:color="auto"/>
            </w:tcBorders>
          </w:tcPr>
          <w:p>
            <w:pPr>
              <w:jc w:val="center"/>
              <w:ind w:left="120"/>
              <w:spacing w:after="0" w:line="183" w:lineRule="exact"/>
              <w:rPr>
                <w:sz w:val="20"/>
                <w:szCs w:val="20"/>
                <w:color w:val="auto"/>
              </w:rPr>
            </w:pPr>
            <w:r>
              <w:rPr>
                <w:rFonts w:ascii="Arial" w:cs="Arial" w:eastAsia="Arial" w:hAnsi="Arial"/>
                <w:sz w:val="16"/>
                <w:szCs w:val="16"/>
                <w:color w:val="auto"/>
                <w:w w:val="99"/>
              </w:rPr>
              <w:t>17%</w:t>
            </w:r>
          </w:p>
        </w:tc>
      </w:tr>
      <w:tr>
        <w:trPr>
          <w:trHeight w:val="183"/>
        </w:trPr>
        <w:tc>
          <w:tcPr>
            <w:tcW w:w="38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Marino</w:t>
            </w:r>
          </w:p>
        </w:tc>
        <w:tc>
          <w:tcPr>
            <w:tcW w:w="4220" w:type="dxa"/>
            <w:vAlign w:val="bottom"/>
            <w:tcBorders>
              <w:bottom w:val="single" w:sz="8" w:color="auto"/>
            </w:tcBorders>
          </w:tcPr>
          <w:p>
            <w:pPr>
              <w:jc w:val="center"/>
              <w:ind w:left="2540"/>
              <w:spacing w:after="0" w:line="183" w:lineRule="exact"/>
              <w:rPr>
                <w:sz w:val="20"/>
                <w:szCs w:val="20"/>
                <w:color w:val="auto"/>
              </w:rPr>
            </w:pPr>
            <w:r>
              <w:rPr>
                <w:rFonts w:ascii="Arial" w:cs="Arial" w:eastAsia="Arial" w:hAnsi="Arial"/>
                <w:sz w:val="16"/>
                <w:szCs w:val="16"/>
                <w:color w:val="auto"/>
                <w:w w:val="99"/>
              </w:rPr>
              <w:t>$2,100,000</w:t>
            </w:r>
          </w:p>
        </w:tc>
        <w:tc>
          <w:tcPr>
            <w:tcW w:w="16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$1,600,000</w:t>
            </w:r>
          </w:p>
        </w:tc>
        <w:tc>
          <w:tcPr>
            <w:tcW w:w="1280" w:type="dxa"/>
            <w:vAlign w:val="bottom"/>
            <w:tcBorders>
              <w:bottom w:val="single" w:sz="8" w:color="auto"/>
            </w:tcBorders>
          </w:tcPr>
          <w:p>
            <w:pPr>
              <w:jc w:val="center"/>
              <w:ind w:left="120"/>
              <w:spacing w:after="0" w:line="183" w:lineRule="exact"/>
              <w:rPr>
                <w:sz w:val="20"/>
                <w:szCs w:val="20"/>
                <w:color w:val="auto"/>
              </w:rPr>
            </w:pPr>
            <w:r>
              <w:rPr>
                <w:rFonts w:ascii="Arial" w:cs="Arial" w:eastAsia="Arial" w:hAnsi="Arial"/>
                <w:sz w:val="16"/>
                <w:szCs w:val="16"/>
                <w:color w:val="auto"/>
                <w:w w:val="99"/>
              </w:rPr>
              <w:t>31%</w:t>
            </w:r>
          </w:p>
        </w:tc>
      </w:tr>
      <w:tr>
        <w:trPr>
          <w:trHeight w:val="183"/>
        </w:trPr>
        <w:tc>
          <w:tcPr>
            <w:tcW w:w="38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Miller</w:t>
            </w:r>
          </w:p>
        </w:tc>
        <w:tc>
          <w:tcPr>
            <w:tcW w:w="4220" w:type="dxa"/>
            <w:vAlign w:val="bottom"/>
            <w:tcBorders>
              <w:bottom w:val="single" w:sz="8" w:color="auto"/>
            </w:tcBorders>
          </w:tcPr>
          <w:p>
            <w:pPr>
              <w:jc w:val="center"/>
              <w:ind w:left="2540"/>
              <w:spacing w:after="0" w:line="183" w:lineRule="exact"/>
              <w:rPr>
                <w:sz w:val="20"/>
                <w:szCs w:val="20"/>
                <w:color w:val="auto"/>
              </w:rPr>
            </w:pPr>
            <w:r>
              <w:rPr>
                <w:rFonts w:ascii="Arial" w:cs="Arial" w:eastAsia="Arial" w:hAnsi="Arial"/>
                <w:sz w:val="16"/>
                <w:szCs w:val="16"/>
                <w:color w:val="auto"/>
                <w:w w:val="99"/>
              </w:rPr>
              <w:t>$2,000,000</w:t>
            </w:r>
          </w:p>
        </w:tc>
        <w:tc>
          <w:tcPr>
            <w:tcW w:w="16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$1,750,000</w:t>
            </w:r>
          </w:p>
        </w:tc>
        <w:tc>
          <w:tcPr>
            <w:tcW w:w="1280" w:type="dxa"/>
            <w:vAlign w:val="bottom"/>
            <w:tcBorders>
              <w:bottom w:val="single" w:sz="8" w:color="auto"/>
            </w:tcBorders>
          </w:tcPr>
          <w:p>
            <w:pPr>
              <w:jc w:val="center"/>
              <w:ind w:left="120"/>
              <w:spacing w:after="0" w:line="183" w:lineRule="exact"/>
              <w:rPr>
                <w:sz w:val="20"/>
                <w:szCs w:val="20"/>
                <w:color w:val="auto"/>
              </w:rPr>
            </w:pPr>
            <w:r>
              <w:rPr>
                <w:rFonts w:ascii="Arial" w:cs="Arial" w:eastAsia="Arial" w:hAnsi="Arial"/>
                <w:sz w:val="16"/>
                <w:szCs w:val="16"/>
                <w:color w:val="auto"/>
                <w:w w:val="99"/>
              </w:rPr>
              <w:t>14%</w:t>
            </w:r>
          </w:p>
        </w:tc>
      </w:tr>
      <w:tr>
        <w:trPr>
          <w:trHeight w:val="183"/>
        </w:trPr>
        <w:tc>
          <w:tcPr>
            <w:tcW w:w="38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Mr. Hunter</w:t>
            </w:r>
          </w:p>
        </w:tc>
        <w:tc>
          <w:tcPr>
            <w:tcW w:w="4220" w:type="dxa"/>
            <w:vAlign w:val="bottom"/>
            <w:tcBorders>
              <w:bottom w:val="single" w:sz="8" w:color="auto"/>
            </w:tcBorders>
          </w:tcPr>
          <w:p>
            <w:pPr>
              <w:jc w:val="center"/>
              <w:ind w:left="2540"/>
              <w:spacing w:after="0" w:line="183" w:lineRule="exact"/>
              <w:rPr>
                <w:sz w:val="20"/>
                <w:szCs w:val="20"/>
                <w:color w:val="auto"/>
              </w:rPr>
            </w:pPr>
            <w:r>
              <w:rPr>
                <w:rFonts w:ascii="Arial" w:cs="Arial" w:eastAsia="Arial" w:hAnsi="Arial"/>
                <w:sz w:val="16"/>
                <w:szCs w:val="16"/>
                <w:color w:val="auto"/>
                <w:w w:val="99"/>
              </w:rPr>
              <w:t>$1,400,000</w:t>
            </w:r>
          </w:p>
        </w:tc>
        <w:tc>
          <w:tcPr>
            <w:tcW w:w="16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9"/>
              </w:rPr>
              <w:t>$1,250,000</w:t>
            </w:r>
          </w:p>
        </w:tc>
        <w:tc>
          <w:tcPr>
            <w:tcW w:w="1280" w:type="dxa"/>
            <w:vAlign w:val="bottom"/>
            <w:tcBorders>
              <w:bottom w:val="single" w:sz="8" w:color="auto"/>
            </w:tcBorders>
          </w:tcPr>
          <w:p>
            <w:pPr>
              <w:jc w:val="center"/>
              <w:ind w:left="120"/>
              <w:spacing w:after="0" w:line="183" w:lineRule="exact"/>
              <w:rPr>
                <w:sz w:val="20"/>
                <w:szCs w:val="20"/>
                <w:color w:val="auto"/>
              </w:rPr>
            </w:pPr>
            <w:r>
              <w:rPr>
                <w:rFonts w:ascii="Arial" w:cs="Arial" w:eastAsia="Arial" w:hAnsi="Arial"/>
                <w:sz w:val="16"/>
                <w:szCs w:val="16"/>
                <w:color w:val="auto"/>
                <w:w w:val="99"/>
              </w:rPr>
              <w:t>12%</w:t>
            </w:r>
          </w:p>
        </w:tc>
      </w:tr>
      <w:tr>
        <w:trPr>
          <w:trHeight w:val="183"/>
        </w:trPr>
        <w:tc>
          <w:tcPr>
            <w:tcW w:w="388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color w:val="auto"/>
              </w:rPr>
              <w:t>Ms. Gustafson</w:t>
            </w:r>
          </w:p>
        </w:tc>
        <w:tc>
          <w:tcPr>
            <w:tcW w:w="4220" w:type="dxa"/>
            <w:vAlign w:val="bottom"/>
            <w:tcBorders>
              <w:bottom w:val="single" w:sz="8" w:color="003A70"/>
            </w:tcBorders>
          </w:tcPr>
          <w:p>
            <w:pPr>
              <w:jc w:val="center"/>
              <w:ind w:left="2540"/>
              <w:spacing w:after="0" w:line="183" w:lineRule="exact"/>
              <w:rPr>
                <w:sz w:val="20"/>
                <w:szCs w:val="20"/>
                <w:color w:val="auto"/>
              </w:rPr>
            </w:pPr>
            <w:r>
              <w:rPr>
                <w:rFonts w:ascii="Arial" w:cs="Arial" w:eastAsia="Arial" w:hAnsi="Arial"/>
                <w:sz w:val="16"/>
                <w:szCs w:val="16"/>
                <w:color w:val="auto"/>
              </w:rPr>
              <w:t>$   900,000</w:t>
            </w:r>
          </w:p>
        </w:tc>
        <w:tc>
          <w:tcPr>
            <w:tcW w:w="1640" w:type="dxa"/>
            <w:vAlign w:val="bottom"/>
            <w:tcBorders>
              <w:bottom w:val="single" w:sz="8" w:color="003A70"/>
            </w:tcBorders>
          </w:tcPr>
          <w:p>
            <w:pPr>
              <w:jc w:val="center"/>
              <w:spacing w:after="0" w:line="183" w:lineRule="exact"/>
              <w:rPr>
                <w:sz w:val="20"/>
                <w:szCs w:val="20"/>
                <w:color w:val="auto"/>
              </w:rPr>
            </w:pPr>
            <w:r>
              <w:rPr>
                <w:rFonts w:ascii="Arial" w:cs="Arial" w:eastAsia="Arial" w:hAnsi="Arial"/>
                <w:sz w:val="16"/>
                <w:szCs w:val="16"/>
                <w:color w:val="auto"/>
              </w:rPr>
              <w:t>$   850,000</w:t>
            </w:r>
          </w:p>
        </w:tc>
        <w:tc>
          <w:tcPr>
            <w:tcW w:w="1280" w:type="dxa"/>
            <w:vAlign w:val="bottom"/>
            <w:tcBorders>
              <w:bottom w:val="single" w:sz="8" w:color="003A70"/>
            </w:tcBorders>
          </w:tcPr>
          <w:p>
            <w:pPr>
              <w:jc w:val="center"/>
              <w:ind w:left="120"/>
              <w:spacing w:after="0" w:line="183" w:lineRule="exact"/>
              <w:rPr>
                <w:sz w:val="20"/>
                <w:szCs w:val="20"/>
                <w:color w:val="auto"/>
              </w:rPr>
            </w:pPr>
            <w:r>
              <w:rPr>
                <w:rFonts w:ascii="Arial" w:cs="Arial" w:eastAsia="Arial" w:hAnsi="Arial"/>
                <w:sz w:val="16"/>
                <w:szCs w:val="16"/>
                <w:color w:val="auto"/>
                <w:w w:val="87"/>
              </w:rPr>
              <w:t>  6%</w:t>
            </w:r>
          </w:p>
        </w:tc>
      </w:tr>
    </w:tbl>
    <w:p>
      <w:pPr>
        <w:spacing w:after="0" w:line="94" w:lineRule="exact"/>
        <w:rPr>
          <w:sz w:val="20"/>
          <w:szCs w:val="20"/>
          <w:color w:val="auto"/>
        </w:rPr>
      </w:pPr>
    </w:p>
    <w:p>
      <w:pPr>
        <w:ind w:left="120" w:right="180"/>
        <w:spacing w:after="0" w:line="252" w:lineRule="auto"/>
        <w:rPr>
          <w:sz w:val="20"/>
          <w:szCs w:val="20"/>
          <w:color w:val="auto"/>
        </w:rPr>
      </w:pPr>
      <w:r>
        <w:rPr>
          <w:rFonts w:ascii="Arial" w:cs="Arial" w:eastAsia="Arial" w:hAnsi="Arial"/>
          <w:sz w:val="16"/>
          <w:szCs w:val="16"/>
          <w:color w:val="auto"/>
        </w:rPr>
        <w:t>When approving the annual equity awards in March 2025 the amount of each NEO’s award, as well as the differences in the award amounts among the NEOs, were determined by considering market data (as described above) and internal factors, including pay equity with other officers, differences in responsibilities, job performance, and future potential. The CPC’s consideration of the external market pay practices of various companies discussed above under “Market Data” resulted in the determination to increase the value of the awards for each of the NEOs. Based on the review of market data, all of our NEOs’ equity grants were increased to align with the peer groups equity target medians. Mr. Marino’s larger equity adjustment recognizes the CPC’s desire to close the gap to market and bring his long-term incentive target closer to median. The awards are reflected in the Summary Compensation Table for 2025 and the Grants of Plan-Based Awards for Fiscal Year 2025 table. The value of the awards was allocated among Performance Units, SARs and RSUs as follows:</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4840" w:type="dxa"/>
            <w:vAlign w:val="bottom"/>
          </w:tcPr>
          <w:p>
            <w:pPr>
              <w:jc w:val="center"/>
              <w:ind w:left="3263"/>
              <w:spacing w:after="0"/>
              <w:rPr>
                <w:sz w:val="20"/>
                <w:szCs w:val="20"/>
                <w:color w:val="auto"/>
              </w:rPr>
            </w:pPr>
            <w:r>
              <w:rPr>
                <w:rFonts w:ascii="Arial" w:cs="Arial" w:eastAsia="Arial" w:hAnsi="Arial"/>
                <w:sz w:val="14"/>
                <w:szCs w:val="14"/>
                <w:color w:val="003A70"/>
              </w:rPr>
              <w:t>Percentage of</w:t>
            </w:r>
          </w:p>
        </w:tc>
        <w:tc>
          <w:tcPr>
            <w:tcW w:w="1200" w:type="dxa"/>
            <w:vAlign w:val="bottom"/>
          </w:tcPr>
          <w:p>
            <w:pPr>
              <w:jc w:val="center"/>
              <w:ind w:left="203"/>
              <w:spacing w:after="0"/>
              <w:rPr>
                <w:sz w:val="20"/>
                <w:szCs w:val="20"/>
                <w:color w:val="auto"/>
              </w:rPr>
            </w:pPr>
            <w:r>
              <w:rPr>
                <w:rFonts w:ascii="Arial" w:cs="Arial" w:eastAsia="Arial" w:hAnsi="Arial"/>
                <w:sz w:val="14"/>
                <w:szCs w:val="14"/>
                <w:color w:val="003A70"/>
              </w:rPr>
              <w:t>Percentage of</w:t>
            </w:r>
          </w:p>
        </w:tc>
      </w:tr>
      <w:tr>
        <w:trPr>
          <w:trHeight w:val="178"/>
        </w:trPr>
        <w:tc>
          <w:tcPr>
            <w:tcW w:w="498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Type of Award</w:t>
            </w:r>
          </w:p>
        </w:tc>
        <w:tc>
          <w:tcPr>
            <w:tcW w:w="4840" w:type="dxa"/>
            <w:vAlign w:val="bottom"/>
            <w:tcBorders>
              <w:bottom w:val="single" w:sz="8" w:color="003A70"/>
            </w:tcBorders>
          </w:tcPr>
          <w:p>
            <w:pPr>
              <w:jc w:val="center"/>
              <w:ind w:left="3283"/>
              <w:spacing w:after="0"/>
              <w:rPr>
                <w:sz w:val="20"/>
                <w:szCs w:val="20"/>
                <w:color w:val="auto"/>
              </w:rPr>
            </w:pPr>
            <w:r>
              <w:rPr>
                <w:rFonts w:ascii="Arial" w:cs="Arial" w:eastAsia="Arial" w:hAnsi="Arial"/>
                <w:sz w:val="14"/>
                <w:szCs w:val="14"/>
                <w:color w:val="003A70"/>
              </w:rPr>
              <w:t>2025 Award</w:t>
            </w:r>
          </w:p>
        </w:tc>
        <w:tc>
          <w:tcPr>
            <w:tcW w:w="1200" w:type="dxa"/>
            <w:vAlign w:val="bottom"/>
            <w:tcBorders>
              <w:bottom w:val="single" w:sz="8" w:color="003A70"/>
            </w:tcBorders>
          </w:tcPr>
          <w:p>
            <w:pPr>
              <w:jc w:val="center"/>
              <w:ind w:left="203"/>
              <w:spacing w:after="0"/>
              <w:rPr>
                <w:sz w:val="20"/>
                <w:szCs w:val="20"/>
                <w:color w:val="auto"/>
              </w:rPr>
            </w:pPr>
            <w:r>
              <w:rPr>
                <w:rFonts w:ascii="Arial" w:cs="Arial" w:eastAsia="Arial" w:hAnsi="Arial"/>
                <w:sz w:val="14"/>
                <w:szCs w:val="14"/>
                <w:color w:val="003A70"/>
              </w:rPr>
              <w:t>2024 Award</w:t>
            </w:r>
          </w:p>
        </w:tc>
      </w:tr>
      <w:tr>
        <w:trPr>
          <w:trHeight w:val="189"/>
        </w:trPr>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Performance Units</w:t>
            </w:r>
          </w:p>
        </w:tc>
        <w:tc>
          <w:tcPr>
            <w:tcW w:w="4840" w:type="dxa"/>
            <w:vAlign w:val="bottom"/>
            <w:tcBorders>
              <w:bottom w:val="single" w:sz="8" w:color="auto"/>
            </w:tcBorders>
          </w:tcPr>
          <w:p>
            <w:pPr>
              <w:jc w:val="center"/>
              <w:ind w:left="3283"/>
              <w:spacing w:after="0"/>
              <w:rPr>
                <w:sz w:val="20"/>
                <w:szCs w:val="20"/>
                <w:color w:val="auto"/>
              </w:rPr>
            </w:pPr>
            <w:r>
              <w:rPr>
                <w:rFonts w:ascii="Arial" w:cs="Arial" w:eastAsia="Arial" w:hAnsi="Arial"/>
                <w:sz w:val="16"/>
                <w:szCs w:val="16"/>
                <w:color w:val="auto"/>
                <w:w w:val="99"/>
              </w:rPr>
              <w:t>50%</w:t>
            </w:r>
          </w:p>
        </w:tc>
        <w:tc>
          <w:tcPr>
            <w:tcW w:w="1200" w:type="dxa"/>
            <w:vAlign w:val="bottom"/>
            <w:tcBorders>
              <w:bottom w:val="single" w:sz="8" w:color="auto"/>
            </w:tcBorders>
          </w:tcPr>
          <w:p>
            <w:pPr>
              <w:jc w:val="center"/>
              <w:ind w:left="203"/>
              <w:spacing w:after="0"/>
              <w:rPr>
                <w:sz w:val="20"/>
                <w:szCs w:val="20"/>
                <w:color w:val="auto"/>
              </w:rPr>
            </w:pPr>
            <w:r>
              <w:rPr>
                <w:rFonts w:ascii="Arial" w:cs="Arial" w:eastAsia="Arial" w:hAnsi="Arial"/>
                <w:sz w:val="16"/>
                <w:szCs w:val="16"/>
                <w:color w:val="auto"/>
                <w:w w:val="99"/>
              </w:rPr>
              <w:t>50%</w:t>
            </w:r>
          </w:p>
        </w:tc>
      </w:tr>
      <w:tr>
        <w:trPr>
          <w:trHeight w:val="183"/>
        </w:trPr>
        <w:tc>
          <w:tcPr>
            <w:tcW w:w="49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SARs</w:t>
            </w:r>
          </w:p>
        </w:tc>
        <w:tc>
          <w:tcPr>
            <w:tcW w:w="4840" w:type="dxa"/>
            <w:vAlign w:val="bottom"/>
            <w:tcBorders>
              <w:bottom w:val="single" w:sz="8" w:color="auto"/>
            </w:tcBorders>
          </w:tcPr>
          <w:p>
            <w:pPr>
              <w:jc w:val="center"/>
              <w:ind w:left="3283"/>
              <w:spacing w:after="0" w:line="183" w:lineRule="exact"/>
              <w:rPr>
                <w:sz w:val="20"/>
                <w:szCs w:val="20"/>
                <w:color w:val="auto"/>
              </w:rPr>
            </w:pPr>
            <w:r>
              <w:rPr>
                <w:rFonts w:ascii="Arial" w:cs="Arial" w:eastAsia="Arial" w:hAnsi="Arial"/>
                <w:sz w:val="16"/>
                <w:szCs w:val="16"/>
                <w:color w:val="auto"/>
                <w:w w:val="99"/>
              </w:rPr>
              <w:t>20%</w:t>
            </w:r>
          </w:p>
        </w:tc>
        <w:tc>
          <w:tcPr>
            <w:tcW w:w="1200" w:type="dxa"/>
            <w:vAlign w:val="bottom"/>
            <w:tcBorders>
              <w:bottom w:val="single" w:sz="8" w:color="auto"/>
            </w:tcBorders>
          </w:tcPr>
          <w:p>
            <w:pPr>
              <w:jc w:val="center"/>
              <w:ind w:left="203"/>
              <w:spacing w:after="0" w:line="183" w:lineRule="exact"/>
              <w:rPr>
                <w:sz w:val="20"/>
                <w:szCs w:val="20"/>
                <w:color w:val="auto"/>
              </w:rPr>
            </w:pPr>
            <w:r>
              <w:rPr>
                <w:rFonts w:ascii="Arial" w:cs="Arial" w:eastAsia="Arial" w:hAnsi="Arial"/>
                <w:sz w:val="16"/>
                <w:szCs w:val="16"/>
                <w:color w:val="auto"/>
                <w:w w:val="99"/>
              </w:rPr>
              <w:t>20%</w:t>
            </w:r>
          </w:p>
        </w:tc>
      </w:tr>
      <w:tr>
        <w:trPr>
          <w:trHeight w:val="183"/>
        </w:trPr>
        <w:tc>
          <w:tcPr>
            <w:tcW w:w="498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color w:val="auto"/>
              </w:rPr>
              <w:t>RSUs</w:t>
            </w:r>
          </w:p>
        </w:tc>
        <w:tc>
          <w:tcPr>
            <w:tcW w:w="4840" w:type="dxa"/>
            <w:vAlign w:val="bottom"/>
            <w:tcBorders>
              <w:bottom w:val="single" w:sz="8" w:color="003A70"/>
            </w:tcBorders>
          </w:tcPr>
          <w:p>
            <w:pPr>
              <w:jc w:val="center"/>
              <w:ind w:left="3283"/>
              <w:spacing w:after="0" w:line="183" w:lineRule="exact"/>
              <w:rPr>
                <w:sz w:val="20"/>
                <w:szCs w:val="20"/>
                <w:color w:val="auto"/>
              </w:rPr>
            </w:pPr>
            <w:r>
              <w:rPr>
                <w:rFonts w:ascii="Arial" w:cs="Arial" w:eastAsia="Arial" w:hAnsi="Arial"/>
                <w:sz w:val="16"/>
                <w:szCs w:val="16"/>
                <w:color w:val="auto"/>
                <w:w w:val="99"/>
              </w:rPr>
              <w:t>30%</w:t>
            </w:r>
          </w:p>
        </w:tc>
        <w:tc>
          <w:tcPr>
            <w:tcW w:w="1200" w:type="dxa"/>
            <w:vAlign w:val="bottom"/>
            <w:tcBorders>
              <w:bottom w:val="single" w:sz="8" w:color="003A70"/>
            </w:tcBorders>
          </w:tcPr>
          <w:p>
            <w:pPr>
              <w:jc w:val="center"/>
              <w:ind w:left="203"/>
              <w:spacing w:after="0" w:line="183" w:lineRule="exact"/>
              <w:rPr>
                <w:sz w:val="20"/>
                <w:szCs w:val="20"/>
                <w:color w:val="auto"/>
              </w:rPr>
            </w:pPr>
            <w:r>
              <w:rPr>
                <w:rFonts w:ascii="Arial" w:cs="Arial" w:eastAsia="Arial" w:hAnsi="Arial"/>
                <w:sz w:val="16"/>
                <w:szCs w:val="16"/>
                <w:color w:val="auto"/>
                <w:w w:val="99"/>
              </w:rPr>
              <w:t>30%</w:t>
            </w:r>
          </w:p>
        </w:tc>
      </w:tr>
    </w:tbl>
    <w:p>
      <w:pPr>
        <w:spacing w:after="0" w:line="94" w:lineRule="exact"/>
        <w:rPr>
          <w:sz w:val="20"/>
          <w:szCs w:val="20"/>
          <w:color w:val="auto"/>
        </w:rPr>
      </w:pPr>
    </w:p>
    <w:p>
      <w:pPr>
        <w:ind w:left="120" w:right="260"/>
        <w:spacing w:after="0" w:line="259" w:lineRule="auto"/>
        <w:rPr>
          <w:sz w:val="20"/>
          <w:szCs w:val="20"/>
          <w:color w:val="auto"/>
        </w:rPr>
      </w:pPr>
      <w:r>
        <w:rPr>
          <w:rFonts w:ascii="Arial" w:cs="Arial" w:eastAsia="Arial" w:hAnsi="Arial"/>
          <w:sz w:val="16"/>
          <w:szCs w:val="16"/>
          <w:color w:val="auto"/>
        </w:rPr>
        <w:t>The allocations were set so as to advance the executives’ alignment with stockholders by increasing their equity ownership, while tying a portion of the awards to future stock price performance. The RSUs are time-based stock awards that focus on retention of the executives and SARs are granted to further align the executives’ and stockholders’ interests by requiring an increase in stock price in order for the executives to recognize value from the awards.</w:t>
      </w:r>
    </w:p>
    <w:p>
      <w:pPr>
        <w:spacing w:after="0" w:line="70" w:lineRule="exact"/>
        <w:rPr>
          <w:sz w:val="20"/>
          <w:szCs w:val="20"/>
          <w:color w:val="auto"/>
        </w:rPr>
      </w:pPr>
    </w:p>
    <w:p>
      <w:pPr>
        <w:ind w:left="120" w:right="360"/>
        <w:spacing w:after="0" w:line="259" w:lineRule="auto"/>
        <w:rPr>
          <w:sz w:val="20"/>
          <w:szCs w:val="20"/>
          <w:color w:val="auto"/>
        </w:rPr>
      </w:pPr>
      <w:r>
        <w:rPr>
          <w:rFonts w:ascii="Arial" w:cs="Arial" w:eastAsia="Arial" w:hAnsi="Arial"/>
          <w:sz w:val="16"/>
          <w:szCs w:val="16"/>
          <w:color w:val="auto"/>
        </w:rPr>
        <w:t>For the 2025-2027 Performance award, the CPC has replaced the Adjusted EBITDA goal in the long-term incentive program with Adjusted EPS. This decision was based on a review of both short term and long term incentive designs in the competitive market and peer groups. The CPC believes the change to Adjusted EPS will better align the Company’s long-term incentive program with stockholder expectations while promoting sustained performance of the Company over both the shorter- and longer-term.</w:t>
      </w:r>
    </w:p>
    <w:p>
      <w:pPr>
        <w:spacing w:after="0" w:line="70"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The Performance Units granted in 2025 represent the right to receive shares of our Common Stock after the end of the performance period beginning January 1, 2025 and ending December 31, 2027, in an amount determined based on the Company’s achievement over the performance period with respect to two performance objectives: Adjusted EPS and Adjusted return on invested capital (“Adjusted ROIC”), each weighted equally. “Adjusted ROIC” means Adjusted EBIT, defined as Adjusted EBITDA less Depreciation and Amortization as reported in the Company’s annual reports on Form 10-K over the performance period, as a percentage of Net Total Invested Capital. “Net Total Invested Capital” means the average of the beginning of the performance period and the end of the performance period total assets less current liabilities (excluding non-securitized debt) and securitized debt, provided that any cash in excess of $150 million will be disregarded for purposes of determining total assets.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Adjusted EPS and Adjusted ROIC targets were set at levels we believed to be achievable but not certain to be met.</w:t>
      </w:r>
    </w:p>
    <w:p>
      <w:pPr>
        <w:spacing w:after="0" w:line="113"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The number of Performance Units actually earned will be determined following the end of the performance period and will be equal to 50% of the granted number of Performance Units multiplied by a percentage corresponding to the achievement level of the Adjusted EPS performance objective plus 50% of the granted number of Performance Units multiplied by a percentage corresponding to the achievement level of the Adjusted ROIC performance objective. The number of shares that will be received can range from zero to two times the number of Performance Units granted. For the 2024-2026 and 2025-2027 PSUs,</w:t>
      </w:r>
    </w:p>
    <w:p>
      <w:pPr>
        <w:spacing w:after="0" w:line="113" w:lineRule="exact"/>
        <w:rPr>
          <w:sz w:val="20"/>
          <w:szCs w:val="20"/>
          <w:color w:val="auto"/>
        </w:rPr>
      </w:pPr>
    </w:p>
    <w:p>
      <w:pPr>
        <w:ind w:left="120"/>
        <w:spacing w:after="0"/>
        <w:tabs>
          <w:tab w:leader="none" w:pos="4720" w:val="left"/>
          <w:tab w:leader="none" w:pos="7820" w:val="left"/>
        </w:tabs>
        <w:rPr>
          <w:sz w:val="20"/>
          <w:szCs w:val="20"/>
          <w:color w:val="auto"/>
        </w:rPr>
      </w:pPr>
      <w:r>
        <w:rPr>
          <w:rFonts w:ascii="Arial" w:cs="Arial" w:eastAsia="Arial" w:hAnsi="Arial"/>
          <w:sz w:val="11"/>
          <w:szCs w:val="11"/>
          <w:b w:val="1"/>
          <w:bCs w:val="1"/>
          <w:color w:val="003A70"/>
        </w:rPr>
        <w:t>38</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the CPC established performance metrics for each year in the performance period. However, the number of PSUs earned for the 2024-2026 and 2025-2027 performance periods, if any, will not be paid until after the end of the last performance period for such award based on the Company’s achievement over each of the three annual performance periods with respect to two performance objectives.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Listed below are estimated performance and payout levels for the 2025-2027 PSUs and 2024-2026 PSUs based on 2025 actual results:</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003A70"/>
              </w:rPr>
              <w:t>Performance Units</w:t>
            </w:r>
          </w:p>
        </w:tc>
      </w:tr>
      <w:tr>
        <w:trPr>
          <w:trHeight w:val="171"/>
        </w:trPr>
        <w:tc>
          <w:tcPr>
            <w:tcW w:w="6140" w:type="dxa"/>
            <w:vAlign w:val="bottom"/>
          </w:tcPr>
          <w:p>
            <w:pPr>
              <w:spacing w:after="0"/>
              <w:rPr>
                <w:sz w:val="14"/>
                <w:szCs w:val="14"/>
                <w:color w:val="auto"/>
              </w:rPr>
            </w:pPr>
          </w:p>
        </w:tc>
        <w:tc>
          <w:tcPr>
            <w:tcW w:w="1760" w:type="dxa"/>
            <w:vAlign w:val="bottom"/>
            <w:gridSpan w:val="3"/>
          </w:tcPr>
          <w:p>
            <w:pPr>
              <w:ind w:left="160"/>
              <w:spacing w:after="0"/>
              <w:rPr>
                <w:sz w:val="20"/>
                <w:szCs w:val="20"/>
                <w:color w:val="auto"/>
              </w:rPr>
            </w:pPr>
            <w:r>
              <w:rPr>
                <w:rFonts w:ascii="Arial" w:cs="Arial" w:eastAsia="Arial" w:hAnsi="Arial"/>
                <w:sz w:val="14"/>
                <w:szCs w:val="14"/>
                <w:color w:val="003A70"/>
              </w:rPr>
              <w:t>2025-2027 PSUs</w:t>
            </w:r>
          </w:p>
        </w:tc>
        <w:tc>
          <w:tcPr>
            <w:tcW w:w="1820" w:type="dxa"/>
            <w:vAlign w:val="bottom"/>
            <w:gridSpan w:val="3"/>
          </w:tcPr>
          <w:p>
            <w:pPr>
              <w:ind w:left="180"/>
              <w:spacing w:after="0"/>
              <w:rPr>
                <w:sz w:val="20"/>
                <w:szCs w:val="20"/>
                <w:color w:val="auto"/>
              </w:rPr>
            </w:pPr>
            <w:r>
              <w:rPr>
                <w:rFonts w:ascii="Arial" w:cs="Arial" w:eastAsia="Arial" w:hAnsi="Arial"/>
                <w:sz w:val="14"/>
                <w:szCs w:val="14"/>
                <w:color w:val="003A70"/>
              </w:rPr>
              <w:t>2024-2026 PSUs</w:t>
            </w:r>
          </w:p>
        </w:tc>
        <w:tc>
          <w:tcPr>
            <w:tcW w:w="1300" w:type="dxa"/>
            <w:vAlign w:val="bottom"/>
          </w:tcPr>
          <w:p>
            <w:pPr>
              <w:jc w:val="center"/>
              <w:spacing w:after="0"/>
              <w:rPr>
                <w:sz w:val="20"/>
                <w:szCs w:val="20"/>
                <w:color w:val="auto"/>
              </w:rPr>
            </w:pPr>
            <w:r>
              <w:rPr>
                <w:rFonts w:ascii="Arial" w:cs="Arial" w:eastAsia="Arial" w:hAnsi="Arial"/>
                <w:sz w:val="14"/>
                <w:szCs w:val="14"/>
                <w:color w:val="003A70"/>
              </w:rPr>
              <w:t>Earned</w:t>
            </w:r>
          </w:p>
        </w:tc>
      </w:tr>
      <w:tr>
        <w:trPr>
          <w:trHeight w:val="146"/>
        </w:trPr>
        <w:tc>
          <w:tcPr>
            <w:tcW w:w="6140" w:type="dxa"/>
            <w:vAlign w:val="bottom"/>
          </w:tcPr>
          <w:p>
            <w:pPr>
              <w:spacing w:after="0"/>
              <w:rPr>
                <w:sz w:val="12"/>
                <w:szCs w:val="12"/>
                <w:color w:val="auto"/>
              </w:rPr>
            </w:pPr>
          </w:p>
        </w:tc>
        <w:tc>
          <w:tcPr>
            <w:tcW w:w="700" w:type="dxa"/>
            <w:vAlign w:val="bottom"/>
            <w:tcBorders>
              <w:top w:val="single" w:sz="8" w:color="003A70"/>
            </w:tcBorders>
          </w:tcPr>
          <w:p>
            <w:pPr>
              <w:spacing w:after="0" w:line="147" w:lineRule="exact"/>
              <w:rPr>
                <w:sz w:val="20"/>
                <w:szCs w:val="20"/>
                <w:color w:val="auto"/>
              </w:rPr>
            </w:pPr>
            <w:r>
              <w:rPr>
                <w:rFonts w:ascii="Arial" w:cs="Arial" w:eastAsia="Arial" w:hAnsi="Arial"/>
                <w:sz w:val="14"/>
                <w:szCs w:val="14"/>
                <w:color w:val="003A70"/>
              </w:rPr>
              <w:t>Adjusted</w:t>
            </w:r>
          </w:p>
        </w:tc>
        <w:tc>
          <w:tcPr>
            <w:tcW w:w="720" w:type="dxa"/>
            <w:vAlign w:val="bottom"/>
            <w:tcBorders>
              <w:top w:val="single" w:sz="8" w:color="003A70"/>
            </w:tcBorders>
          </w:tcPr>
          <w:p>
            <w:pPr>
              <w:jc w:val="center"/>
              <w:ind w:left="81"/>
              <w:spacing w:after="0" w:line="147" w:lineRule="exact"/>
              <w:rPr>
                <w:sz w:val="20"/>
                <w:szCs w:val="20"/>
                <w:color w:val="auto"/>
              </w:rPr>
            </w:pPr>
            <w:r>
              <w:rPr>
                <w:rFonts w:ascii="Arial" w:cs="Arial" w:eastAsia="Arial" w:hAnsi="Arial"/>
                <w:sz w:val="14"/>
                <w:szCs w:val="14"/>
                <w:color w:val="003A70"/>
              </w:rPr>
              <w:t>Adjusted</w:t>
            </w:r>
          </w:p>
        </w:tc>
        <w:tc>
          <w:tcPr>
            <w:tcW w:w="340" w:type="dxa"/>
            <w:vAlign w:val="bottom"/>
          </w:tcPr>
          <w:p>
            <w:pPr>
              <w:spacing w:after="0"/>
              <w:rPr>
                <w:sz w:val="12"/>
                <w:szCs w:val="12"/>
                <w:color w:val="auto"/>
              </w:rPr>
            </w:pPr>
          </w:p>
        </w:tc>
        <w:tc>
          <w:tcPr>
            <w:tcW w:w="780" w:type="dxa"/>
            <w:vAlign w:val="bottom"/>
            <w:tcBorders>
              <w:top w:val="single" w:sz="8" w:color="003A70"/>
            </w:tcBorders>
          </w:tcPr>
          <w:p>
            <w:pPr>
              <w:ind w:left="40"/>
              <w:spacing w:after="0" w:line="147" w:lineRule="exact"/>
              <w:rPr>
                <w:sz w:val="20"/>
                <w:szCs w:val="20"/>
                <w:color w:val="auto"/>
              </w:rPr>
            </w:pPr>
            <w:r>
              <w:rPr>
                <w:rFonts w:ascii="Arial" w:cs="Arial" w:eastAsia="Arial" w:hAnsi="Arial"/>
                <w:sz w:val="14"/>
                <w:szCs w:val="14"/>
                <w:color w:val="003A70"/>
              </w:rPr>
              <w:t>Adjusted</w:t>
            </w:r>
          </w:p>
        </w:tc>
        <w:tc>
          <w:tcPr>
            <w:tcW w:w="700" w:type="dxa"/>
            <w:vAlign w:val="bottom"/>
            <w:tcBorders>
              <w:top w:val="single" w:sz="8" w:color="003A70"/>
            </w:tcBorders>
          </w:tcPr>
          <w:p>
            <w:pPr>
              <w:jc w:val="center"/>
              <w:ind w:left="61"/>
              <w:spacing w:after="0" w:line="147" w:lineRule="exact"/>
              <w:rPr>
                <w:sz w:val="20"/>
                <w:szCs w:val="20"/>
                <w:color w:val="auto"/>
              </w:rPr>
            </w:pPr>
            <w:r>
              <w:rPr>
                <w:rFonts w:ascii="Arial" w:cs="Arial" w:eastAsia="Arial" w:hAnsi="Arial"/>
                <w:sz w:val="14"/>
                <w:szCs w:val="14"/>
                <w:color w:val="003A70"/>
              </w:rPr>
              <w:t>Adjusted</w:t>
            </w:r>
          </w:p>
        </w:tc>
        <w:tc>
          <w:tcPr>
            <w:tcW w:w="340" w:type="dxa"/>
            <w:vAlign w:val="bottom"/>
          </w:tcPr>
          <w:p>
            <w:pPr>
              <w:spacing w:after="0"/>
              <w:rPr>
                <w:sz w:val="12"/>
                <w:szCs w:val="12"/>
                <w:color w:val="auto"/>
              </w:rPr>
            </w:pPr>
          </w:p>
        </w:tc>
        <w:tc>
          <w:tcPr>
            <w:tcW w:w="1300" w:type="dxa"/>
            <w:vAlign w:val="bottom"/>
            <w:tcBorders>
              <w:top w:val="single" w:sz="8" w:color="003A70"/>
            </w:tcBorders>
          </w:tcPr>
          <w:p>
            <w:pPr>
              <w:jc w:val="center"/>
              <w:spacing w:after="0" w:line="147" w:lineRule="exact"/>
              <w:rPr>
                <w:sz w:val="20"/>
                <w:szCs w:val="20"/>
                <w:color w:val="auto"/>
              </w:rPr>
            </w:pPr>
            <w:r>
              <w:rPr>
                <w:rFonts w:ascii="Arial" w:cs="Arial" w:eastAsia="Arial" w:hAnsi="Arial"/>
                <w:sz w:val="14"/>
                <w:szCs w:val="14"/>
                <w:color w:val="003A70"/>
              </w:rPr>
              <w:t>Payout as a Percent</w:t>
            </w:r>
          </w:p>
        </w:tc>
      </w:tr>
      <w:tr>
        <w:trPr>
          <w:trHeight w:val="178"/>
        </w:trPr>
        <w:tc>
          <w:tcPr>
            <w:tcW w:w="614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 (M)</w:t>
            </w:r>
          </w:p>
        </w:tc>
        <w:tc>
          <w:tcPr>
            <w:tcW w:w="700" w:type="dxa"/>
            <w:vAlign w:val="bottom"/>
            <w:tcBorders>
              <w:bottom w:val="single" w:sz="8" w:color="003A70"/>
            </w:tcBorders>
          </w:tcPr>
          <w:p>
            <w:pPr>
              <w:ind w:left="140"/>
              <w:spacing w:after="0"/>
              <w:rPr>
                <w:sz w:val="20"/>
                <w:szCs w:val="20"/>
                <w:color w:val="auto"/>
              </w:rPr>
            </w:pPr>
            <w:r>
              <w:rPr>
                <w:rFonts w:ascii="Arial" w:cs="Arial" w:eastAsia="Arial" w:hAnsi="Arial"/>
                <w:sz w:val="14"/>
                <w:szCs w:val="14"/>
                <w:color w:val="003A70"/>
              </w:rPr>
              <w:t>EPS</w:t>
            </w:r>
          </w:p>
        </w:tc>
        <w:tc>
          <w:tcPr>
            <w:tcW w:w="1060" w:type="dxa"/>
            <w:vAlign w:val="bottom"/>
            <w:tcBorders>
              <w:bottom w:val="single" w:sz="8" w:color="003A70"/>
            </w:tcBorders>
            <w:gridSpan w:val="2"/>
          </w:tcPr>
          <w:p>
            <w:pPr>
              <w:jc w:val="center"/>
              <w:ind w:right="180"/>
              <w:spacing w:after="0"/>
              <w:rPr>
                <w:sz w:val="20"/>
                <w:szCs w:val="20"/>
                <w:color w:val="auto"/>
              </w:rPr>
            </w:pPr>
            <w:r>
              <w:rPr>
                <w:rFonts w:ascii="Arial" w:cs="Arial" w:eastAsia="Arial" w:hAnsi="Arial"/>
                <w:sz w:val="14"/>
                <w:szCs w:val="14"/>
                <w:color w:val="003A70"/>
              </w:rPr>
              <w:t>ROIC</w:t>
            </w:r>
          </w:p>
        </w:tc>
        <w:tc>
          <w:tcPr>
            <w:tcW w:w="780" w:type="dxa"/>
            <w:vAlign w:val="bottom"/>
            <w:tcBorders>
              <w:bottom w:val="single" w:sz="8" w:color="003A70"/>
            </w:tcBorders>
          </w:tcPr>
          <w:p>
            <w:pPr>
              <w:ind w:left="60"/>
              <w:spacing w:after="0"/>
              <w:rPr>
                <w:sz w:val="20"/>
                <w:szCs w:val="20"/>
                <w:color w:val="auto"/>
              </w:rPr>
            </w:pPr>
            <w:r>
              <w:rPr>
                <w:rFonts w:ascii="Arial" w:cs="Arial" w:eastAsia="Arial" w:hAnsi="Arial"/>
                <w:sz w:val="14"/>
                <w:szCs w:val="14"/>
                <w:color w:val="003A70"/>
              </w:rPr>
              <w:t>EBITDA</w:t>
            </w:r>
          </w:p>
        </w:tc>
        <w:tc>
          <w:tcPr>
            <w:tcW w:w="1040" w:type="dxa"/>
            <w:vAlign w:val="bottom"/>
            <w:tcBorders>
              <w:bottom w:val="single" w:sz="8" w:color="003A70"/>
            </w:tcBorders>
            <w:gridSpan w:val="2"/>
          </w:tcPr>
          <w:p>
            <w:pPr>
              <w:jc w:val="center"/>
              <w:ind w:right="200"/>
              <w:spacing w:after="0"/>
              <w:rPr>
                <w:sz w:val="20"/>
                <w:szCs w:val="20"/>
                <w:color w:val="auto"/>
              </w:rPr>
            </w:pPr>
            <w:r>
              <w:rPr>
                <w:rFonts w:ascii="Arial" w:cs="Arial" w:eastAsia="Arial" w:hAnsi="Arial"/>
                <w:sz w:val="14"/>
                <w:szCs w:val="14"/>
                <w:color w:val="003A70"/>
              </w:rPr>
              <w:t>ROIC</w:t>
            </w:r>
          </w:p>
        </w:tc>
        <w:tc>
          <w:tcPr>
            <w:tcW w:w="13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w w:val="99"/>
              </w:rPr>
              <w:t>of Target</w:t>
            </w:r>
          </w:p>
        </w:tc>
      </w:tr>
      <w:tr>
        <w:trPr>
          <w:trHeight w:val="189"/>
        </w:trPr>
        <w:tc>
          <w:tcPr>
            <w:tcW w:w="6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Maximum</w:t>
            </w:r>
          </w:p>
        </w:tc>
        <w:tc>
          <w:tcPr>
            <w:tcW w:w="700" w:type="dxa"/>
            <w:vAlign w:val="bottom"/>
            <w:tcBorders>
              <w:bottom w:val="single" w:sz="8" w:color="auto"/>
            </w:tcBorders>
          </w:tcPr>
          <w:p>
            <w:pPr>
              <w:jc w:val="center"/>
              <w:ind w:right="62"/>
              <w:spacing w:after="0"/>
              <w:rPr>
                <w:sz w:val="20"/>
                <w:szCs w:val="20"/>
                <w:color w:val="auto"/>
              </w:rPr>
            </w:pPr>
            <w:r>
              <w:rPr>
                <w:rFonts w:ascii="Arial" w:cs="Arial" w:eastAsia="Arial" w:hAnsi="Arial"/>
                <w:sz w:val="16"/>
                <w:szCs w:val="16"/>
                <w:color w:val="auto"/>
                <w:w w:val="99"/>
              </w:rPr>
              <w:t>$9.01</w:t>
            </w:r>
          </w:p>
        </w:tc>
        <w:tc>
          <w:tcPr>
            <w:tcW w:w="10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11.9%</w:t>
            </w:r>
          </w:p>
        </w:tc>
        <w:tc>
          <w:tcPr>
            <w:tcW w:w="78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color w:val="auto"/>
                <w:w w:val="99"/>
              </w:rPr>
              <w:t>$1,048.0</w:t>
            </w:r>
          </w:p>
        </w:tc>
        <w:tc>
          <w:tcPr>
            <w:tcW w:w="10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14.6%</w:t>
            </w:r>
          </w:p>
        </w:tc>
        <w:tc>
          <w:tcPr>
            <w:tcW w:w="130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200%    </w:t>
            </w:r>
          </w:p>
        </w:tc>
      </w:tr>
      <w:tr>
        <w:trPr>
          <w:trHeight w:val="183"/>
        </w:trPr>
        <w:tc>
          <w:tcPr>
            <w:tcW w:w="6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Target</w:t>
            </w:r>
          </w:p>
        </w:tc>
        <w:tc>
          <w:tcPr>
            <w:tcW w:w="700" w:type="dxa"/>
            <w:vAlign w:val="bottom"/>
            <w:tcBorders>
              <w:bottom w:val="single" w:sz="8" w:color="auto"/>
            </w:tcBorders>
          </w:tcPr>
          <w:p>
            <w:pPr>
              <w:jc w:val="center"/>
              <w:ind w:right="62"/>
              <w:spacing w:after="0" w:line="183" w:lineRule="exact"/>
              <w:rPr>
                <w:sz w:val="20"/>
                <w:szCs w:val="20"/>
                <w:color w:val="auto"/>
              </w:rPr>
            </w:pPr>
            <w:r>
              <w:rPr>
                <w:rFonts w:ascii="Arial" w:cs="Arial" w:eastAsia="Arial" w:hAnsi="Arial"/>
                <w:sz w:val="16"/>
                <w:szCs w:val="16"/>
                <w:color w:val="auto"/>
                <w:w w:val="99"/>
              </w:rPr>
              <w:t>$7.83</w:t>
            </w:r>
          </w:p>
        </w:tc>
        <w:tc>
          <w:tcPr>
            <w:tcW w:w="1060" w:type="dxa"/>
            <w:vAlign w:val="bottom"/>
            <w:tcBorders>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color w:val="auto"/>
              </w:rPr>
              <w:t>10.4%</w:t>
            </w:r>
          </w:p>
        </w:tc>
        <w:tc>
          <w:tcPr>
            <w:tcW w:w="780" w:type="dxa"/>
            <w:vAlign w:val="bottom"/>
            <w:tcBorders>
              <w:bottom w:val="single" w:sz="8" w:color="auto"/>
            </w:tcBorders>
          </w:tcPr>
          <w:p>
            <w:pPr>
              <w:jc w:val="center"/>
              <w:ind w:right="82"/>
              <w:spacing w:after="0" w:line="183" w:lineRule="exact"/>
              <w:rPr>
                <w:sz w:val="20"/>
                <w:szCs w:val="20"/>
                <w:color w:val="auto"/>
              </w:rPr>
            </w:pPr>
            <w:r>
              <w:rPr>
                <w:rFonts w:ascii="Arial" w:cs="Arial" w:eastAsia="Arial" w:hAnsi="Arial"/>
                <w:sz w:val="16"/>
                <w:szCs w:val="16"/>
                <w:color w:val="auto"/>
              </w:rPr>
              <w:t>$   911.0</w:t>
            </w:r>
          </w:p>
        </w:tc>
        <w:tc>
          <w:tcPr>
            <w:tcW w:w="1040" w:type="dxa"/>
            <w:vAlign w:val="bottom"/>
            <w:tcBorders>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color w:val="auto"/>
              </w:rPr>
              <w:t>12.7%</w:t>
            </w:r>
          </w:p>
        </w:tc>
        <w:tc>
          <w:tcPr>
            <w:tcW w:w="1300" w:type="dxa"/>
            <w:vAlign w:val="bottom"/>
            <w:tcBorders>
              <w:bottom w:val="single" w:sz="8" w:color="auto"/>
            </w:tcBorders>
          </w:tcPr>
          <w:p>
            <w:pPr>
              <w:jc w:val="right"/>
              <w:ind w:right="304"/>
              <w:spacing w:after="0" w:line="183" w:lineRule="exact"/>
              <w:rPr>
                <w:sz w:val="20"/>
                <w:szCs w:val="20"/>
                <w:color w:val="auto"/>
              </w:rPr>
            </w:pPr>
            <w:r>
              <w:rPr>
                <w:rFonts w:ascii="Arial" w:cs="Arial" w:eastAsia="Arial" w:hAnsi="Arial"/>
                <w:sz w:val="16"/>
                <w:szCs w:val="16"/>
                <w:color w:val="auto"/>
              </w:rPr>
              <w:t>100%</w:t>
            </w:r>
          </w:p>
        </w:tc>
      </w:tr>
      <w:tr>
        <w:trPr>
          <w:trHeight w:val="183"/>
        </w:trPr>
        <w:tc>
          <w:tcPr>
            <w:tcW w:w="6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Below Target</w:t>
            </w:r>
          </w:p>
        </w:tc>
        <w:tc>
          <w:tcPr>
            <w:tcW w:w="700" w:type="dxa"/>
            <w:vAlign w:val="bottom"/>
            <w:tcBorders>
              <w:bottom w:val="single" w:sz="8" w:color="auto"/>
            </w:tcBorders>
          </w:tcPr>
          <w:p>
            <w:pPr>
              <w:jc w:val="center"/>
              <w:ind w:right="62"/>
              <w:spacing w:after="0" w:line="183" w:lineRule="exact"/>
              <w:rPr>
                <w:sz w:val="20"/>
                <w:szCs w:val="20"/>
                <w:color w:val="auto"/>
              </w:rPr>
            </w:pPr>
            <w:r>
              <w:rPr>
                <w:rFonts w:ascii="Arial" w:cs="Arial" w:eastAsia="Arial" w:hAnsi="Arial"/>
                <w:sz w:val="16"/>
                <w:szCs w:val="16"/>
                <w:color w:val="auto"/>
                <w:w w:val="99"/>
              </w:rPr>
              <w:t>$6.66</w:t>
            </w:r>
          </w:p>
        </w:tc>
        <w:tc>
          <w:tcPr>
            <w:tcW w:w="1060" w:type="dxa"/>
            <w:vAlign w:val="bottom"/>
            <w:tcBorders>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color w:val="auto"/>
              </w:rPr>
              <w:t>8.8%</w:t>
            </w:r>
          </w:p>
        </w:tc>
        <w:tc>
          <w:tcPr>
            <w:tcW w:w="780" w:type="dxa"/>
            <w:vAlign w:val="bottom"/>
            <w:tcBorders>
              <w:bottom w:val="single" w:sz="8" w:color="auto"/>
            </w:tcBorders>
          </w:tcPr>
          <w:p>
            <w:pPr>
              <w:jc w:val="center"/>
              <w:ind w:right="82"/>
              <w:spacing w:after="0" w:line="183" w:lineRule="exact"/>
              <w:rPr>
                <w:sz w:val="20"/>
                <w:szCs w:val="20"/>
                <w:color w:val="auto"/>
              </w:rPr>
            </w:pPr>
            <w:r>
              <w:rPr>
                <w:rFonts w:ascii="Arial" w:cs="Arial" w:eastAsia="Arial" w:hAnsi="Arial"/>
                <w:sz w:val="16"/>
                <w:szCs w:val="16"/>
                <w:color w:val="auto"/>
              </w:rPr>
              <w:t>$   774.0</w:t>
            </w:r>
          </w:p>
        </w:tc>
        <w:tc>
          <w:tcPr>
            <w:tcW w:w="1040" w:type="dxa"/>
            <w:vAlign w:val="bottom"/>
            <w:tcBorders>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color w:val="auto"/>
              </w:rPr>
              <w:t>10.8%</w:t>
            </w:r>
          </w:p>
        </w:tc>
        <w:tc>
          <w:tcPr>
            <w:tcW w:w="1300" w:type="dxa"/>
            <w:vAlign w:val="bottom"/>
            <w:tcBorders>
              <w:bottom w:val="single" w:sz="8" w:color="auto"/>
            </w:tcBorders>
          </w:tcPr>
          <w:p>
            <w:pPr>
              <w:jc w:val="right"/>
              <w:ind w:right="304"/>
              <w:spacing w:after="0" w:line="183" w:lineRule="exact"/>
              <w:rPr>
                <w:sz w:val="20"/>
                <w:szCs w:val="20"/>
                <w:color w:val="auto"/>
              </w:rPr>
            </w:pPr>
            <w:r>
              <w:rPr>
                <w:rFonts w:ascii="Arial" w:cs="Arial" w:eastAsia="Arial" w:hAnsi="Arial"/>
                <w:sz w:val="16"/>
                <w:szCs w:val="16"/>
                <w:color w:val="auto"/>
              </w:rPr>
              <w:t>50%</w:t>
            </w:r>
          </w:p>
        </w:tc>
      </w:tr>
      <w:tr>
        <w:trPr>
          <w:trHeight w:val="183"/>
        </w:trPr>
        <w:tc>
          <w:tcPr>
            <w:tcW w:w="6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Threshold</w:t>
            </w:r>
          </w:p>
        </w:tc>
        <w:tc>
          <w:tcPr>
            <w:tcW w:w="700" w:type="dxa"/>
            <w:vAlign w:val="bottom"/>
            <w:tcBorders>
              <w:bottom w:val="single" w:sz="8" w:color="auto"/>
            </w:tcBorders>
          </w:tcPr>
          <w:p>
            <w:pPr>
              <w:jc w:val="center"/>
              <w:ind w:right="62"/>
              <w:spacing w:after="0" w:line="183" w:lineRule="exact"/>
              <w:rPr>
                <w:sz w:val="20"/>
                <w:szCs w:val="20"/>
                <w:color w:val="auto"/>
              </w:rPr>
            </w:pPr>
            <w:r>
              <w:rPr>
                <w:rFonts w:ascii="Arial" w:cs="Arial" w:eastAsia="Arial" w:hAnsi="Arial"/>
                <w:sz w:val="16"/>
                <w:szCs w:val="16"/>
                <w:color w:val="auto"/>
                <w:w w:val="99"/>
              </w:rPr>
              <w:t>$6.27</w:t>
            </w:r>
          </w:p>
        </w:tc>
        <w:tc>
          <w:tcPr>
            <w:tcW w:w="1060" w:type="dxa"/>
            <w:vAlign w:val="bottom"/>
            <w:tcBorders>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color w:val="auto"/>
              </w:rPr>
              <w:t>8.3%</w:t>
            </w:r>
          </w:p>
        </w:tc>
        <w:tc>
          <w:tcPr>
            <w:tcW w:w="780" w:type="dxa"/>
            <w:vAlign w:val="bottom"/>
            <w:tcBorders>
              <w:bottom w:val="single" w:sz="8" w:color="auto"/>
            </w:tcBorders>
          </w:tcPr>
          <w:p>
            <w:pPr>
              <w:jc w:val="center"/>
              <w:ind w:right="82"/>
              <w:spacing w:after="0" w:line="183" w:lineRule="exact"/>
              <w:rPr>
                <w:sz w:val="20"/>
                <w:szCs w:val="20"/>
                <w:color w:val="auto"/>
              </w:rPr>
            </w:pPr>
            <w:r>
              <w:rPr>
                <w:rFonts w:ascii="Arial" w:cs="Arial" w:eastAsia="Arial" w:hAnsi="Arial"/>
                <w:sz w:val="16"/>
                <w:szCs w:val="16"/>
                <w:color w:val="auto"/>
              </w:rPr>
              <w:t>$   729.0</w:t>
            </w:r>
          </w:p>
        </w:tc>
        <w:tc>
          <w:tcPr>
            <w:tcW w:w="1040" w:type="dxa"/>
            <w:vAlign w:val="bottom"/>
            <w:tcBorders>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color w:val="auto"/>
              </w:rPr>
              <w:t>10.2%</w:t>
            </w:r>
          </w:p>
        </w:tc>
        <w:tc>
          <w:tcPr>
            <w:tcW w:w="1300" w:type="dxa"/>
            <w:vAlign w:val="bottom"/>
            <w:tcBorders>
              <w:bottom w:val="single" w:sz="8" w:color="auto"/>
            </w:tcBorders>
          </w:tcPr>
          <w:p>
            <w:pPr>
              <w:jc w:val="right"/>
              <w:ind w:right="304"/>
              <w:spacing w:after="0" w:line="183" w:lineRule="exact"/>
              <w:rPr>
                <w:sz w:val="20"/>
                <w:szCs w:val="20"/>
                <w:color w:val="auto"/>
              </w:rPr>
            </w:pPr>
            <w:r>
              <w:rPr>
                <w:rFonts w:ascii="Arial" w:cs="Arial" w:eastAsia="Arial" w:hAnsi="Arial"/>
                <w:sz w:val="16"/>
                <w:szCs w:val="16"/>
                <w:color w:val="auto"/>
              </w:rPr>
              <w:t>0%</w:t>
            </w:r>
          </w:p>
        </w:tc>
      </w:tr>
      <w:tr>
        <w:trPr>
          <w:trHeight w:val="183"/>
        </w:trPr>
        <w:tc>
          <w:tcPr>
            <w:tcW w:w="6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2025 Performance</w:t>
            </w:r>
          </w:p>
        </w:tc>
        <w:tc>
          <w:tcPr>
            <w:tcW w:w="700" w:type="dxa"/>
            <w:vAlign w:val="bottom"/>
            <w:tcBorders>
              <w:bottom w:val="single" w:sz="8" w:color="auto"/>
            </w:tcBorders>
          </w:tcPr>
          <w:p>
            <w:pPr>
              <w:jc w:val="center"/>
              <w:ind w:right="62"/>
              <w:spacing w:after="0" w:line="183" w:lineRule="exact"/>
              <w:rPr>
                <w:sz w:val="20"/>
                <w:szCs w:val="20"/>
                <w:color w:val="auto"/>
              </w:rPr>
            </w:pPr>
            <w:r>
              <w:rPr>
                <w:rFonts w:ascii="Arial" w:cs="Arial" w:eastAsia="Arial" w:hAnsi="Arial"/>
                <w:sz w:val="16"/>
                <w:szCs w:val="16"/>
                <w:color w:val="auto"/>
                <w:w w:val="99"/>
              </w:rPr>
              <w:t>$8.04</w:t>
            </w:r>
          </w:p>
        </w:tc>
        <w:tc>
          <w:tcPr>
            <w:tcW w:w="1060" w:type="dxa"/>
            <w:vAlign w:val="bottom"/>
            <w:tcBorders>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color w:val="auto"/>
              </w:rPr>
              <w:t>9.5%</w:t>
            </w:r>
          </w:p>
        </w:tc>
        <w:tc>
          <w:tcPr>
            <w:tcW w:w="780" w:type="dxa"/>
            <w:vAlign w:val="bottom"/>
            <w:tcBorders>
              <w:bottom w:val="single" w:sz="8" w:color="auto"/>
            </w:tcBorders>
          </w:tcPr>
          <w:p>
            <w:pPr>
              <w:jc w:val="center"/>
              <w:ind w:right="82"/>
              <w:spacing w:after="0" w:line="183" w:lineRule="exact"/>
              <w:rPr>
                <w:sz w:val="20"/>
                <w:szCs w:val="20"/>
                <w:color w:val="auto"/>
              </w:rPr>
            </w:pPr>
            <w:r>
              <w:rPr>
                <w:rFonts w:ascii="Arial" w:cs="Arial" w:eastAsia="Arial" w:hAnsi="Arial"/>
                <w:sz w:val="16"/>
                <w:szCs w:val="16"/>
                <w:color w:val="auto"/>
              </w:rPr>
              <w:t>$   751.0</w:t>
            </w:r>
          </w:p>
        </w:tc>
        <w:tc>
          <w:tcPr>
            <w:tcW w:w="1040" w:type="dxa"/>
            <w:vAlign w:val="bottom"/>
            <w:tcBorders>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color w:val="auto"/>
              </w:rPr>
              <w:t>9.5%</w:t>
            </w:r>
          </w:p>
        </w:tc>
        <w:tc>
          <w:tcPr>
            <w:tcW w:w="1300" w:type="dxa"/>
            <w:vAlign w:val="bottom"/>
            <w:tcBorders>
              <w:bottom w:val="single" w:sz="8" w:color="auto"/>
            </w:tcBorders>
          </w:tcPr>
          <w:p>
            <w:pPr>
              <w:spacing w:after="0"/>
              <w:rPr>
                <w:sz w:val="15"/>
                <w:szCs w:val="15"/>
                <w:color w:val="auto"/>
              </w:rPr>
            </w:pPr>
          </w:p>
        </w:tc>
      </w:tr>
      <w:tr>
        <w:trPr>
          <w:trHeight w:val="183"/>
        </w:trPr>
        <w:tc>
          <w:tcPr>
            <w:tcW w:w="6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Payout % for 2025 (one third of each award)</w:t>
            </w:r>
          </w:p>
        </w:tc>
        <w:tc>
          <w:tcPr>
            <w:tcW w:w="700" w:type="dxa"/>
            <w:vAlign w:val="bottom"/>
            <w:tcBorders>
              <w:bottom w:val="single" w:sz="8" w:color="auto"/>
            </w:tcBorders>
          </w:tcPr>
          <w:p>
            <w:pPr>
              <w:jc w:val="center"/>
              <w:ind w:right="42"/>
              <w:spacing w:after="0" w:line="183" w:lineRule="exact"/>
              <w:rPr>
                <w:sz w:val="20"/>
                <w:szCs w:val="20"/>
                <w:color w:val="auto"/>
              </w:rPr>
            </w:pPr>
            <w:r>
              <w:rPr>
                <w:rFonts w:ascii="Arial" w:cs="Arial" w:eastAsia="Arial" w:hAnsi="Arial"/>
                <w:sz w:val="16"/>
                <w:szCs w:val="16"/>
                <w:color w:val="auto"/>
                <w:w w:val="99"/>
              </w:rPr>
              <w:t>117.1%</w:t>
            </w:r>
          </w:p>
        </w:tc>
        <w:tc>
          <w:tcPr>
            <w:tcW w:w="1060" w:type="dxa"/>
            <w:vAlign w:val="bottom"/>
            <w:tcBorders>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color w:val="auto"/>
              </w:rPr>
              <w:t>72.3%</w:t>
            </w:r>
          </w:p>
        </w:tc>
        <w:tc>
          <w:tcPr>
            <w:tcW w:w="780" w:type="dxa"/>
            <w:vAlign w:val="bottom"/>
            <w:tcBorders>
              <w:bottom w:val="single" w:sz="8" w:color="auto"/>
            </w:tcBorders>
          </w:tcPr>
          <w:p>
            <w:pPr>
              <w:jc w:val="center"/>
              <w:ind w:right="82"/>
              <w:spacing w:after="0" w:line="183" w:lineRule="exact"/>
              <w:rPr>
                <w:sz w:val="20"/>
                <w:szCs w:val="20"/>
                <w:color w:val="auto"/>
              </w:rPr>
            </w:pPr>
            <w:r>
              <w:rPr>
                <w:rFonts w:ascii="Arial" w:cs="Arial" w:eastAsia="Arial" w:hAnsi="Arial"/>
                <w:sz w:val="16"/>
                <w:szCs w:val="16"/>
                <w:color w:val="auto"/>
              </w:rPr>
              <w:t>24.0%</w:t>
            </w:r>
          </w:p>
        </w:tc>
        <w:tc>
          <w:tcPr>
            <w:tcW w:w="1040" w:type="dxa"/>
            <w:vAlign w:val="bottom"/>
            <w:tcBorders>
              <w:bottom w:val="single" w:sz="8" w:color="auto"/>
            </w:tcBorders>
            <w:gridSpan w:val="2"/>
          </w:tcPr>
          <w:p>
            <w:pPr>
              <w:jc w:val="right"/>
              <w:ind w:right="340"/>
              <w:spacing w:after="0" w:line="183" w:lineRule="exact"/>
              <w:rPr>
                <w:sz w:val="20"/>
                <w:szCs w:val="20"/>
                <w:color w:val="auto"/>
              </w:rPr>
            </w:pPr>
            <w:r>
              <w:rPr>
                <w:rFonts w:ascii="Arial" w:cs="Arial" w:eastAsia="Arial" w:hAnsi="Arial"/>
                <w:sz w:val="16"/>
                <w:szCs w:val="16"/>
                <w:color w:val="auto"/>
              </w:rPr>
              <w:t>0.00%</w:t>
            </w:r>
          </w:p>
        </w:tc>
        <w:tc>
          <w:tcPr>
            <w:tcW w:w="1300" w:type="dxa"/>
            <w:vAlign w:val="bottom"/>
            <w:tcBorders>
              <w:bottom w:val="single" w:sz="8" w:color="auto"/>
            </w:tcBorders>
          </w:tcPr>
          <w:p>
            <w:pPr>
              <w:spacing w:after="0"/>
              <w:rPr>
                <w:sz w:val="15"/>
                <w:szCs w:val="15"/>
                <w:color w:val="auto"/>
              </w:rPr>
            </w:pPr>
          </w:p>
        </w:tc>
      </w:tr>
      <w:tr>
        <w:trPr>
          <w:trHeight w:val="183"/>
        </w:trPr>
        <w:tc>
          <w:tcPr>
            <w:tcW w:w="614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color w:val="auto"/>
              </w:rPr>
              <w:t>Weighting</w:t>
            </w:r>
          </w:p>
        </w:tc>
        <w:tc>
          <w:tcPr>
            <w:tcW w:w="700" w:type="dxa"/>
            <w:vAlign w:val="bottom"/>
            <w:tcBorders>
              <w:bottom w:val="single" w:sz="8" w:color="003A70"/>
            </w:tcBorders>
          </w:tcPr>
          <w:p>
            <w:pPr>
              <w:jc w:val="center"/>
              <w:ind w:right="42"/>
              <w:spacing w:after="0" w:line="183" w:lineRule="exact"/>
              <w:rPr>
                <w:sz w:val="20"/>
                <w:szCs w:val="20"/>
                <w:color w:val="auto"/>
              </w:rPr>
            </w:pPr>
            <w:r>
              <w:rPr>
                <w:rFonts w:ascii="Arial" w:cs="Arial" w:eastAsia="Arial" w:hAnsi="Arial"/>
                <w:sz w:val="16"/>
                <w:szCs w:val="16"/>
                <w:color w:val="auto"/>
              </w:rPr>
              <w:t>50.0%</w:t>
            </w:r>
          </w:p>
        </w:tc>
        <w:tc>
          <w:tcPr>
            <w:tcW w:w="1060" w:type="dxa"/>
            <w:vAlign w:val="bottom"/>
            <w:tcBorders>
              <w:bottom w:val="single" w:sz="8" w:color="003A70"/>
            </w:tcBorders>
            <w:gridSpan w:val="2"/>
          </w:tcPr>
          <w:p>
            <w:pPr>
              <w:jc w:val="right"/>
              <w:ind w:right="340"/>
              <w:spacing w:after="0" w:line="183" w:lineRule="exact"/>
              <w:rPr>
                <w:sz w:val="20"/>
                <w:szCs w:val="20"/>
                <w:color w:val="auto"/>
              </w:rPr>
            </w:pPr>
            <w:r>
              <w:rPr>
                <w:rFonts w:ascii="Arial" w:cs="Arial" w:eastAsia="Arial" w:hAnsi="Arial"/>
                <w:sz w:val="16"/>
                <w:szCs w:val="16"/>
                <w:color w:val="auto"/>
              </w:rPr>
              <w:t>50.0%</w:t>
            </w:r>
          </w:p>
        </w:tc>
        <w:tc>
          <w:tcPr>
            <w:tcW w:w="780" w:type="dxa"/>
            <w:vAlign w:val="bottom"/>
            <w:tcBorders>
              <w:bottom w:val="single" w:sz="8" w:color="003A70"/>
            </w:tcBorders>
          </w:tcPr>
          <w:p>
            <w:pPr>
              <w:jc w:val="center"/>
              <w:ind w:right="82"/>
              <w:spacing w:after="0" w:line="183" w:lineRule="exact"/>
              <w:rPr>
                <w:sz w:val="20"/>
                <w:szCs w:val="20"/>
                <w:color w:val="auto"/>
              </w:rPr>
            </w:pPr>
            <w:r>
              <w:rPr>
                <w:rFonts w:ascii="Arial" w:cs="Arial" w:eastAsia="Arial" w:hAnsi="Arial"/>
                <w:sz w:val="16"/>
                <w:szCs w:val="16"/>
                <w:color w:val="auto"/>
              </w:rPr>
              <w:t>50.0%</w:t>
            </w:r>
          </w:p>
        </w:tc>
        <w:tc>
          <w:tcPr>
            <w:tcW w:w="1040" w:type="dxa"/>
            <w:vAlign w:val="bottom"/>
            <w:tcBorders>
              <w:bottom w:val="single" w:sz="8" w:color="003A70"/>
            </w:tcBorders>
            <w:gridSpan w:val="2"/>
          </w:tcPr>
          <w:p>
            <w:pPr>
              <w:jc w:val="right"/>
              <w:ind w:right="340"/>
              <w:spacing w:after="0" w:line="183" w:lineRule="exact"/>
              <w:rPr>
                <w:sz w:val="20"/>
                <w:szCs w:val="20"/>
                <w:color w:val="auto"/>
              </w:rPr>
            </w:pPr>
            <w:r>
              <w:rPr>
                <w:rFonts w:ascii="Arial" w:cs="Arial" w:eastAsia="Arial" w:hAnsi="Arial"/>
                <w:sz w:val="16"/>
                <w:szCs w:val="16"/>
                <w:color w:val="auto"/>
              </w:rPr>
              <w:t>50.0%</w:t>
            </w:r>
          </w:p>
        </w:tc>
        <w:tc>
          <w:tcPr>
            <w:tcW w:w="1300" w:type="dxa"/>
            <w:vAlign w:val="bottom"/>
            <w:tcBorders>
              <w:bottom w:val="single" w:sz="8" w:color="003A70"/>
            </w:tcBorders>
          </w:tcPr>
          <w:p>
            <w:pPr>
              <w:spacing w:after="0"/>
              <w:rPr>
                <w:sz w:val="15"/>
                <w:szCs w:val="15"/>
                <w:color w:val="auto"/>
              </w:rPr>
            </w:pPr>
          </w:p>
        </w:tc>
      </w:tr>
    </w:tbl>
    <w:p>
      <w:pPr>
        <w:spacing w:after="0" w:line="94"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If performance falls between levels, the vesting percentage will be determined by the CPC based on straight-line interpolation; provided, however, that no payout will be made with respect to either the Adjusted EPS performance objective or the Adjusted ROIC performance objective for achievement less than threshold.</w:t>
      </w:r>
    </w:p>
    <w:p>
      <w:pPr>
        <w:spacing w:after="0" w:line="63"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Performance Units will not vest if the NEO does not continue to be an active employee of the Company during the entire period from the grant date through the performance period (unless the NEO retires as an approved retiree or dies or is disabled during such period) or engages in competition or acts that are or potentially are injurious to the Company’s operations, financial condition or business reputation during that period; the NEOs are also prohibited from soliciting any of our employees to leave our employment during the period from the grant date until the first anniversary of the termination of the officer’s employment for any reason. If an NEO retires as an approved retiree during the performance period, a pro rata portion of the Performance Units will continue to vest on the same terms. If an NEO dies or is disabled during the performance period, a pro-rata portion of the Performance Units will vest assuming achievement at the target level of performance.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2023—2025 Performance Units</w:t>
      </w:r>
    </w:p>
    <w:p>
      <w:pPr>
        <w:spacing w:after="0" w:line="102"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Following the end of 2025, each of the NEOs who received Performance Units in 2023 received zero shares upon the vesting of such Performance Units. These performance shares represented the right to receive shares of our Common Stock at the end of the performance period beginning January 1, 2023, and ending December 31, 2025, in an amount determined based on the Company’s cumulative achievement over the performance period with respect to two performance objectives: Adjusted EBITDA and Adjusted ROIC, each weighted equally. The targets were set in February of 2022 at levels we believed to be achievable but not certain to be met.</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003A70"/>
              </w:rPr>
              <w:t>Payout as a Percent</w:t>
            </w:r>
          </w:p>
        </w:tc>
      </w:tr>
      <w:tr>
        <w:trPr>
          <w:trHeight w:val="178"/>
        </w:trPr>
        <w:tc>
          <w:tcPr>
            <w:tcW w:w="362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Criteria</w:t>
            </w:r>
          </w:p>
        </w:tc>
        <w:tc>
          <w:tcPr>
            <w:tcW w:w="2860" w:type="dxa"/>
            <w:vAlign w:val="bottom"/>
            <w:tcBorders>
              <w:bottom w:val="single" w:sz="8" w:color="003A70"/>
            </w:tcBorders>
          </w:tcPr>
          <w:p>
            <w:pPr>
              <w:jc w:val="right"/>
              <w:ind w:right="382"/>
              <w:spacing w:after="0"/>
              <w:rPr>
                <w:sz w:val="20"/>
                <w:szCs w:val="20"/>
                <w:color w:val="auto"/>
              </w:rPr>
            </w:pPr>
            <w:r>
              <w:rPr>
                <w:rFonts w:ascii="Arial" w:cs="Arial" w:eastAsia="Arial" w:hAnsi="Arial"/>
                <w:sz w:val="14"/>
                <w:szCs w:val="14"/>
                <w:color w:val="003A70"/>
              </w:rPr>
              <w:t>Threshold</w:t>
            </w:r>
          </w:p>
        </w:tc>
        <w:tc>
          <w:tcPr>
            <w:tcW w:w="1540" w:type="dxa"/>
            <w:vAlign w:val="bottom"/>
            <w:tcBorders>
              <w:bottom w:val="single" w:sz="8" w:color="003A70"/>
            </w:tcBorders>
          </w:tcPr>
          <w:p>
            <w:pPr>
              <w:jc w:val="right"/>
              <w:ind w:right="502"/>
              <w:spacing w:after="0"/>
              <w:rPr>
                <w:sz w:val="20"/>
                <w:szCs w:val="20"/>
                <w:color w:val="auto"/>
              </w:rPr>
            </w:pPr>
            <w:r>
              <w:rPr>
                <w:rFonts w:ascii="Arial" w:cs="Arial" w:eastAsia="Arial" w:hAnsi="Arial"/>
                <w:sz w:val="14"/>
                <w:szCs w:val="14"/>
                <w:color w:val="003A70"/>
              </w:rPr>
              <w:t>Target</w:t>
            </w:r>
          </w:p>
        </w:tc>
        <w:tc>
          <w:tcPr>
            <w:tcW w:w="1520" w:type="dxa"/>
            <w:vAlign w:val="bottom"/>
            <w:tcBorders>
              <w:bottom w:val="single" w:sz="8" w:color="003A70"/>
            </w:tcBorders>
          </w:tcPr>
          <w:p>
            <w:pPr>
              <w:jc w:val="right"/>
              <w:ind w:right="282"/>
              <w:spacing w:after="0"/>
              <w:rPr>
                <w:sz w:val="20"/>
                <w:szCs w:val="20"/>
                <w:color w:val="auto"/>
              </w:rPr>
            </w:pPr>
            <w:r>
              <w:rPr>
                <w:rFonts w:ascii="Arial" w:cs="Arial" w:eastAsia="Arial" w:hAnsi="Arial"/>
                <w:sz w:val="14"/>
                <w:szCs w:val="14"/>
                <w:color w:val="003A70"/>
              </w:rPr>
              <w:t>Achievement</w:t>
            </w:r>
          </w:p>
        </w:tc>
        <w:tc>
          <w:tcPr>
            <w:tcW w:w="1480" w:type="dxa"/>
            <w:vAlign w:val="bottom"/>
            <w:tcBorders>
              <w:bottom w:val="single" w:sz="8" w:color="003A70"/>
            </w:tcBorders>
          </w:tcPr>
          <w:p>
            <w:pPr>
              <w:jc w:val="right"/>
              <w:ind w:right="304"/>
              <w:spacing w:after="0"/>
              <w:rPr>
                <w:sz w:val="20"/>
                <w:szCs w:val="20"/>
                <w:color w:val="auto"/>
              </w:rPr>
            </w:pPr>
            <w:r>
              <w:rPr>
                <w:rFonts w:ascii="Arial" w:cs="Arial" w:eastAsia="Arial" w:hAnsi="Arial"/>
                <w:sz w:val="14"/>
                <w:szCs w:val="14"/>
                <w:color w:val="003A70"/>
              </w:rPr>
              <w:t>of Target</w:t>
            </w:r>
          </w:p>
        </w:tc>
      </w:tr>
      <w:tr>
        <w:trPr>
          <w:trHeight w:val="189"/>
        </w:trPr>
        <w:tc>
          <w:tcPr>
            <w:tcW w:w="3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Cumulative Adjusted EBITDA</w:t>
            </w:r>
          </w:p>
        </w:tc>
        <w:tc>
          <w:tcPr>
            <w:tcW w:w="28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$2,557 million</w:t>
            </w:r>
          </w:p>
        </w:tc>
        <w:tc>
          <w:tcPr>
            <w:tcW w:w="15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$3,196 million</w:t>
            </w:r>
          </w:p>
        </w:tc>
        <w:tc>
          <w:tcPr>
            <w:tcW w:w="15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$2,250 million</w:t>
            </w:r>
          </w:p>
        </w:tc>
        <w:tc>
          <w:tcPr>
            <w:tcW w:w="148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0.00%</w:t>
            </w:r>
          </w:p>
        </w:tc>
      </w:tr>
      <w:tr>
        <w:trPr>
          <w:trHeight w:val="183"/>
        </w:trPr>
        <w:tc>
          <w:tcPr>
            <w:tcW w:w="362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color w:val="auto"/>
              </w:rPr>
              <w:t>Adjusted ROIC</w:t>
            </w:r>
          </w:p>
        </w:tc>
        <w:tc>
          <w:tcPr>
            <w:tcW w:w="2860" w:type="dxa"/>
            <w:vAlign w:val="bottom"/>
            <w:tcBorders>
              <w:bottom w:val="single" w:sz="8" w:color="003A70"/>
            </w:tcBorders>
          </w:tcPr>
          <w:p>
            <w:pPr>
              <w:jc w:val="right"/>
              <w:ind w:right="102"/>
              <w:spacing w:after="0" w:line="183" w:lineRule="exact"/>
              <w:rPr>
                <w:sz w:val="20"/>
                <w:szCs w:val="20"/>
                <w:color w:val="auto"/>
              </w:rPr>
            </w:pPr>
            <w:r>
              <w:rPr>
                <w:rFonts w:ascii="Arial" w:cs="Arial" w:eastAsia="Arial" w:hAnsi="Arial"/>
                <w:sz w:val="16"/>
                <w:szCs w:val="16"/>
                <w:color w:val="auto"/>
              </w:rPr>
              <w:t>12.5%</w:t>
            </w:r>
          </w:p>
        </w:tc>
        <w:tc>
          <w:tcPr>
            <w:tcW w:w="1540" w:type="dxa"/>
            <w:vAlign w:val="bottom"/>
            <w:tcBorders>
              <w:bottom w:val="single" w:sz="8" w:color="003A70"/>
            </w:tcBorders>
          </w:tcPr>
          <w:p>
            <w:pPr>
              <w:jc w:val="right"/>
              <w:ind w:right="102"/>
              <w:spacing w:after="0" w:line="183" w:lineRule="exact"/>
              <w:rPr>
                <w:sz w:val="20"/>
                <w:szCs w:val="20"/>
                <w:color w:val="auto"/>
              </w:rPr>
            </w:pPr>
            <w:r>
              <w:rPr>
                <w:rFonts w:ascii="Arial" w:cs="Arial" w:eastAsia="Arial" w:hAnsi="Arial"/>
                <w:sz w:val="16"/>
                <w:szCs w:val="16"/>
                <w:color w:val="auto"/>
              </w:rPr>
              <w:t>15.6%</w:t>
            </w:r>
          </w:p>
        </w:tc>
        <w:tc>
          <w:tcPr>
            <w:tcW w:w="1520" w:type="dxa"/>
            <w:vAlign w:val="bottom"/>
            <w:tcBorders>
              <w:bottom w:val="single" w:sz="8" w:color="003A70"/>
            </w:tcBorders>
          </w:tcPr>
          <w:p>
            <w:pPr>
              <w:jc w:val="right"/>
              <w:ind w:right="82"/>
              <w:spacing w:after="0" w:line="183" w:lineRule="exact"/>
              <w:rPr>
                <w:sz w:val="20"/>
                <w:szCs w:val="20"/>
                <w:color w:val="auto"/>
              </w:rPr>
            </w:pPr>
            <w:r>
              <w:rPr>
                <w:rFonts w:ascii="Arial" w:cs="Arial" w:eastAsia="Arial" w:hAnsi="Arial"/>
                <w:sz w:val="16"/>
                <w:szCs w:val="16"/>
                <w:color w:val="auto"/>
              </w:rPr>
              <w:t>9.9%</w:t>
            </w:r>
          </w:p>
        </w:tc>
        <w:tc>
          <w:tcPr>
            <w:tcW w:w="1480" w:type="dxa"/>
            <w:vAlign w:val="bottom"/>
            <w:tcBorders>
              <w:bottom w:val="single" w:sz="8" w:color="003A70"/>
            </w:tcBorders>
          </w:tcPr>
          <w:p>
            <w:pPr>
              <w:jc w:val="right"/>
              <w:ind w:right="184"/>
              <w:spacing w:after="0" w:line="183" w:lineRule="exact"/>
              <w:rPr>
                <w:sz w:val="20"/>
                <w:szCs w:val="20"/>
                <w:color w:val="auto"/>
              </w:rPr>
            </w:pPr>
            <w:r>
              <w:rPr>
                <w:rFonts w:ascii="Arial" w:cs="Arial" w:eastAsia="Arial" w:hAnsi="Arial"/>
                <w:sz w:val="16"/>
                <w:szCs w:val="16"/>
                <w:color w:val="auto"/>
              </w:rPr>
              <w:t>0.00%</w:t>
            </w:r>
          </w:p>
        </w:tc>
      </w:tr>
    </w:tbl>
    <w:p>
      <w:pPr>
        <w:spacing w:after="0" w:line="30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Other Compensation</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Perquisites</w:t>
      </w:r>
    </w:p>
    <w:p>
      <w:pPr>
        <w:spacing w:after="0" w:line="102"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In 2025, we offered minimal perquisites consisting of a limited number of compensatory room nights, an executive physical exam benefit and a status upgrade in the Marriott Bonvoy program. The value of these benefits were included in the executives’ wages for tax purposes to the extent required, and we did not provide tax gross-ups to the executives with respect to these benefits. The Company owns a fractional interest in a corporate jet to support the conduct of its business. Executives are only permitted to use the jet for personal purposes if approved by the Company’s CEO and the executive pays the hourly costs of such flight.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Other Benefits</w:t>
      </w:r>
    </w:p>
    <w:p>
      <w:pPr>
        <w:spacing w:after="0" w:line="102"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NEOs can participate in the same plans and programs offered to all our eligible employees. Some of these benefits were paid for by the executives, such as elective deferrals under the Marriott Vacations Worldwide Corporation 401(k) Retirement Savings Plan (the “401(k) Plan”) or the Marriott Vacations Worldwide Corporation Deferred Compensation Plan (the “MVW Deferred Compensation Plan”), vision coverage, long-term disability, group life and accidental death and dismemberment insurance, and health care and dependent care spending accounts. Other benefits were paid for or subsidized by us, such as any Company match under the 401(k) Plan, any employer credits under the MVW Deferred Compensation Plan, certain group medical and dental benefits, short-term disability, business travel accident insurance and tuition reimbursement. Executives participate in a personalized paid time off program which is available to all employees at or above the vice president level.</w:t>
      </w:r>
    </w:p>
    <w:p>
      <w:pPr>
        <w:spacing w:after="0" w:line="115" w:lineRule="exact"/>
        <w:rPr>
          <w:sz w:val="20"/>
          <w:szCs w:val="20"/>
          <w:color w:val="auto"/>
        </w:rPr>
      </w:pPr>
    </w:p>
    <w:p>
      <w:pPr>
        <w:ind w:left="120"/>
        <w:spacing w:after="0"/>
        <w:tabs>
          <w:tab w:leader="none" w:pos="472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Long-Term Disability Plan</w:t>
      </w:r>
    </w:p>
    <w:p>
      <w:pPr>
        <w:spacing w:after="0" w:line="102" w:lineRule="exact"/>
        <w:rPr>
          <w:sz w:val="20"/>
          <w:szCs w:val="20"/>
          <w:color w:val="auto"/>
        </w:rPr>
      </w:pPr>
    </w:p>
    <w:p>
      <w:pPr>
        <w:ind w:left="120" w:right="420"/>
        <w:spacing w:after="0" w:line="259" w:lineRule="auto"/>
        <w:rPr>
          <w:sz w:val="20"/>
          <w:szCs w:val="20"/>
          <w:color w:val="auto"/>
        </w:rPr>
      </w:pPr>
      <w:r>
        <w:rPr>
          <w:rFonts w:ascii="Arial" w:cs="Arial" w:eastAsia="Arial" w:hAnsi="Arial"/>
          <w:sz w:val="16"/>
          <w:szCs w:val="16"/>
          <w:color w:val="auto"/>
        </w:rPr>
        <w:t>Our NEOs and approximately 430 other associates are eligible to participate in the Marriott Vacations Worldwide Corporation Executive Long-Term Disability Plan (the “LTD Plan”). The purpose of the LTD Plan is to improve the ability of the Company to attract and retain executive and senior level associates by providing such associates with enhanced long-term disability insurance. The LTD Plan is subject to certain provisions of the Employee Retirement Income Security Act of 1974, as amended.</w:t>
      </w:r>
    </w:p>
    <w:p>
      <w:pPr>
        <w:spacing w:after="0" w:line="70"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The LTD Plan consists of two parts: (1) a group long-term disability policy (the “Group Policy”) that pays, after a 180-day elimination period, 60 percent of eligible compensation, which initially consists of base salary, bonus and incentive compensation (“Eligible Compensation”), capped at $10,000 per month, to a specific age, which initially is age 65 (the “Limiting Age”), the entire cost of which is paid by the Company; and (2) an individual disability insurance policy (the “Individual Policy”) that pays 75 percent of Eligible Compensation up to $10,000 per month, to the Limiting Age. We pay 100% of the premium cost required for the Individual Policy for our currently employed executive leadership team which includes all of our NEOs and pay for the first $1,000 of coverage under the Individual Policy for other participants. The right to receive any payment under the Group Policy will cease upon termination of employment. The Individual Policy is portable; the participant may continue coverage by paying the full premiums after termination of employment. The total maximum benefit amount for the combination of the two parts of the LTD Plan is $20,000 per month or $240,000 per year.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Life Insurance</w:t>
      </w:r>
    </w:p>
    <w:p>
      <w:pPr>
        <w:spacing w:after="0" w:line="102"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We paid for life insurance with a payout to designated beneficiaries on death for Mr. Geller in the amount of two times his base salary (up to a maximum of $1.5 million) and for each other currently employed NEO the Company pays for life insurance in the amount of one times their base salary (up to a maximum of $750,000).</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401(k) Plan</w:t>
      </w:r>
    </w:p>
    <w:p>
      <w:pPr>
        <w:spacing w:after="0" w:line="102"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Our NEOs are eligible to participate in our 401(k) Plan on the same basis as our other associates. Participants in the 401(k) Plan may contribute a portion of their compensation to the plan each year. Our highly compensated employees, including the NEOs, may be subject to limits on the amounts of their contributions to the plan that are not applicable to non-highly compensated employees to the extent required by applicable tax law. We determine on an annual basis whether to make matching employer contributions, which will not exceed six percent of the participant’s eligible compensation, or such other limits that are imposed by applicable tax law. Any employer contributions that we made to the 401(k) Plan accounts of the NEOs for 2025 are shown in the “All Other Compensation” column of the Summary Compensation Table below.</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Deferred Compensation</w:t>
      </w:r>
    </w:p>
    <w:p>
      <w:pPr>
        <w:spacing w:after="0" w:line="102"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Our NEOs and approximately 1,375 other associates are eligible to participate in the MVW Deferred Compensation Plan. In addition, some of our NEOs have balances under the Marriott International, Inc. Executive Deferred Compensation Plan (“Marriott Deferred Compensation Plan”), in which many of them were able to participate prior to the Company’s spin-off from Marriott International, Inc. in 2011 (the “Spin-Off”).</w:t>
      </w:r>
    </w:p>
    <w:p>
      <w:pPr>
        <w:spacing w:after="0" w:line="63"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We provide the MVW Deferred Compensation Plan because the CPC wishes to permit certain of our employees to defer the obligation to pay taxes on compensation and bonuses that they are entitled to receive. The MVW Deferred Compensation Plan permits them to do this, while also receiving a fixed rate of return (determined annually prior to the start of the plan year) or a rate of return based on various market-based investment alternatives on deferred amounts. We believe that providing this benefit is important as a retention and recruitment tool as many of the companies with which we compete for executive talent provide a similar plan for their senior employees.</w:t>
      </w:r>
    </w:p>
    <w:p>
      <w:pPr>
        <w:spacing w:after="0" w:line="72"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Under the terms of the MVW Deferred Compensation Plan, each participant may elect to defer receipt of up to 80 percent of his or her base salary, bonuses, non-equity incentive plan compensation and/or commissions until such future date as he or she elects in accordance with the terms of the MVW Deferred Compensation Plan. The Company may credit participants’ accounts with additional amounts, referred to as employer credits, in an amount equal to any matching contributions that the participant did not receive for a year under the 401(k) Plan, or any successor plan thereto, due to the participant’s election to defer amounts under the MVW Deferred Compensation Plan. In addition, the Company may, in its sole discretion, credit participants’ accounts with additional employer credits which will vest at a rate of 25 percent per year on the first four anniversaries of the date the discretionary employer credit was allocated to the participant’s account (unless otherwise determined), provided that the participant remains in continued service with the Company. On a participant’s separation from service, unvested discretionary employer credits are generally forfeited. Upon a change in control of the Company, a participant’s death, or becoming an approved retiree, all employer credits will immediately vest in full.</w:t>
      </w:r>
    </w:p>
    <w:p>
      <w:pPr>
        <w:spacing w:after="0" w:line="77"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auto"/>
        </w:rPr>
        <w:t>A participant in the MVW Deferred Compensation Plan may elect to receive his or her deferred amounts and vested employer credits in a lump sum or in installments over five, ten, fifteen or twenty years at either a separation from service or upon any of the first five anniversaries of a separation from service. Alternatively, a participant may elect to receive his or her deferred amounts and vested employer credits in a lump sum in January of a specified year, so long as employer credits are deferred for at least four years and all other amounts are deferred for at least three years. The Company has adopted a special grantor trust to provide protection, up to the amounts set aside in the trust, against the risk of shifting corporate priorities, the Company’s inability to pay benefits, and/or the occurrence of a change in control. The trust does not protect against the risk of corporate insolvency. To enable the Company to meet its financial commitment under the plan, the Company, by way of the established trust, has acquired a Corporate Owned Life Insurance policy on the lives of certain participants in the MVW Deferred Compensation Plan, the proceeds of which are payable to the trust. Participants whose lives are insured consent to this insurance and understand this insurance will be owned by and payable to the trust.</w:t>
      </w:r>
    </w:p>
    <w:p>
      <w:pPr>
        <w:spacing w:after="0" w:line="119" w:lineRule="exact"/>
        <w:rPr>
          <w:sz w:val="20"/>
          <w:szCs w:val="20"/>
          <w:color w:val="auto"/>
        </w:rPr>
      </w:pPr>
    </w:p>
    <w:p>
      <w:pPr>
        <w:ind w:left="120"/>
        <w:spacing w:after="0"/>
        <w:tabs>
          <w:tab w:leader="none" w:pos="4720" w:val="left"/>
          <w:tab w:leader="none" w:pos="7820" w:val="left"/>
        </w:tabs>
        <w:rPr>
          <w:sz w:val="20"/>
          <w:szCs w:val="20"/>
          <w:color w:val="auto"/>
        </w:rPr>
      </w:pPr>
      <w:r>
        <w:rPr>
          <w:rFonts w:ascii="Arial" w:cs="Arial" w:eastAsia="Arial" w:hAnsi="Arial"/>
          <w:sz w:val="11"/>
          <w:szCs w:val="11"/>
          <w:b w:val="1"/>
          <w:bCs w:val="1"/>
          <w:color w:val="003A70"/>
        </w:rPr>
        <w:t>40</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For 2025, participants were able to select a fixed rate of return of 3.5% or a rate of return based on various market-based investment alternatives, such as mutual funds with various investment profiles, and were also able to select such a rate for their existing account balances.</w:t>
      </w:r>
    </w:p>
    <w:p>
      <w:pPr>
        <w:spacing w:after="0" w:line="48"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6"/>
          <w:szCs w:val="16"/>
          <w:color w:val="auto"/>
        </w:rPr>
        <w:t>Earnings under the MVW Deferred Compensation Plan or the Marriott Deferred Compensation Plan that were credited at a fixed rate of interest in excess of 120% of the applicable federal long-term rate are reported in the Change in Pension Value and Nonqualified Deferred Compensation Earnings column of the Summary Compensation Table.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Employee Stock Purchase Plan</w:t>
      </w:r>
    </w:p>
    <w:p>
      <w:pPr>
        <w:spacing w:after="0" w:line="102"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The Marriott Vacations Worldwide Corporation Employee Stock Purchase Plan (the “ESPP”) is intended to provide the Company’s eligible employees, including our NEOs, with an opportunity to participate in the Company’s success by permitting them to acquire an ownership interest in the Company through periodic payroll deductions that will be applied towards the purchase of shares of our Common Stock at a five percent discount from the average of the high and low stock price on the last day of the offering period.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Change in Control Arrangements</w:t>
      </w:r>
    </w:p>
    <w:p>
      <w:pPr>
        <w:spacing w:after="0" w:line="102"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auto"/>
        </w:rPr>
        <w:t>Our NEOs are participants in the Marriott Vacations Worldwide Corporation Change in Control Severance Plan (the “Change in Control Plan”). However, pursuant to Mr. Avril’s employment agreement, he only participates in such plan if it provides benefits that are more favorable than provided under his employment agreement. Adoption of the Change in Control Plan was intended to maximize stockholder value by retaining key executives through the closing of a Change in Control (as defined below), and to motivate executives to drive business success independent of the possible occurrence of a Change in Control. All of our executive officers are eligible to participate in the Change in Control Plan. Under the Change in Control Plan, the receipt of benefits is subject to a “double trigger,” under which benefits, including the acceleration of vesting and/or settlement of equity and cash awards, are available only if the participant’s employment is terminated in connection with the Change in Control unless the awards are not assumed in connection with the Change in Control, in which case a single trigger applies. A “change in control” occurs if there is a consummation of certain acquisition, merger, sale, liquidation or similar events or there is a change in a majority of Board members as described in the Change in Control Plan (a “Change in Control”).</w:t>
      </w:r>
    </w:p>
    <w:p>
      <w:pPr>
        <w:spacing w:after="0" w:line="77"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Under the terms of the Change in Control Plan, and subject to the conditions thereof, an executive officer who participates in the Change in Control Plan will receive severance benefits if his or her employment is terminated involuntarily by the Company or any of its affiliates, other than due to Cause, Total Disability (as those terms are defined in the Change in Control Plan), or death, or is terminated by the executive officer for Good Reason (as defined in the Change in Control Plan), in each case, within two years following a Change in Control of the Company (a “Termination”). Provided that the executive officer executes a waiver and release of claims in favor of the Company, he or she will be entitled to the following severance benefits: (1) a cash severance payment, payable in a lump sum, equal to two times (or three times, in the case of the President and CEO of the Company) the sum of his or her Base Salary and Target Bonus (as those terms are defined in the Change in Control Plan); (2) twenty-four months (or thirty-six months, in the case of the President and CEO of the Company) of Company-subsidized medical, dental and life-insurance coverage for such executive officer and his or her spouse and dependents, at the same benefit level as provided to the executive immediately prior to the Change in Control, or the cash equivalent of the present value of such coverage; (3) any unpaid bonus as of the Termination date for any previously-completed fiscal year; and (4) a pro-rata target bonus for the fiscal year in which the executive officer’s employment is terminated.</w:t>
      </w:r>
    </w:p>
    <w:p>
      <w:pPr>
        <w:spacing w:after="0" w:line="79"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In addition to receipt of the severance benefits described above, upon Termination, an executive officer’s stock options and other equity-related compensation will be treated as follows: (1) all restricted stock, RSUs or other share-based awards in a form substantially similar to restricted stock or RSUs will become fully vested as of the Termination date; (2) all unvested or unexercisable options, SARs or other share-based awards in a form substantially similar to options or SARs will become fully vested and exercisable until the earlier of the end of (a) their original term or (b) 12 months (or in the case of certain approved retirees, five years) following the Termination date; and (3) all of the executive officer’s other cash performance units or other share-based awards subject to performance-based vesting criteria will be deemed to be fully vested as of the Termination date and will be paid immediately thereafter based on a presumed achievement of target levels of performance. However, in the event that no substitute awards, shares or other equity interests are available as of the Change in Control, the participant will become fully vested in his or her awards as of the Change in Control date, and all awards will be immediately distributed or paid, or, in the case of options and SARs, will become fully exercisable. In the discretion of the CPC, distributions may be made in the form of a cash payment equal in amount to the value of the shares distributed or, in the case of options or SARs, the intrinsic value of such awards.</w:t>
      </w:r>
    </w:p>
    <w:p>
      <w:pPr>
        <w:spacing w:after="0" w:line="79"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Any payment otherwise due under the Change in Control Plan will be reduced if necessary so that the payment will not constitute a “parachute payment” under Section 280G of the Internal Revenue Code. The Change in Control Plan does not provide for a gross-up of excise taxes on such “parachute payments.”</w:t>
      </w:r>
    </w:p>
    <w:p>
      <w:pPr>
        <w:spacing w:after="0" w:line="105" w:lineRule="exact"/>
        <w:rPr>
          <w:sz w:val="20"/>
          <w:szCs w:val="20"/>
          <w:color w:val="auto"/>
        </w:rPr>
      </w:pPr>
    </w:p>
    <w:p>
      <w:pPr>
        <w:ind w:left="120"/>
        <w:spacing w:after="0"/>
        <w:tabs>
          <w:tab w:leader="none" w:pos="472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Clawbacks</w:t>
      </w:r>
    </w:p>
    <w:p>
      <w:pPr>
        <w:spacing w:after="0" w:line="104" w:lineRule="exact"/>
        <w:rPr>
          <w:sz w:val="20"/>
          <w:szCs w:val="20"/>
          <w:color w:val="auto"/>
        </w:rPr>
      </w:pPr>
    </w:p>
    <w:p>
      <w:pPr>
        <w:ind w:left="120" w:right="220"/>
        <w:spacing w:after="0" w:line="259" w:lineRule="auto"/>
        <w:rPr>
          <w:sz w:val="20"/>
          <w:szCs w:val="20"/>
          <w:color w:val="auto"/>
        </w:rPr>
      </w:pPr>
      <w:r>
        <w:rPr>
          <w:rFonts w:ascii="Arial" w:cs="Arial" w:eastAsia="Arial" w:hAnsi="Arial"/>
          <w:sz w:val="16"/>
          <w:szCs w:val="16"/>
          <w:color w:val="auto"/>
        </w:rPr>
        <w:t>Under our clawback policy, in the event that the Company is required to restate its financial results due to material non-compliance with any financial reporting requirement under the securities laws as generally applied, except in limited circumstances, the Company will seek to recoup incentive-based compensation that is or was erroneously granted, earned, or vested based wholly or in part upon the attainment of a financial reporting measure on or after May 11, 2023. Compensation received up to three years prior to the restatement is subject to potential recoupment under the policy.</w:t>
      </w:r>
    </w:p>
    <w:p>
      <w:pPr>
        <w:spacing w:after="0" w:line="70"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In addition, the Company maintains an Other Conduct Clawback Policy whereby the Board may recoup compensation (including time-based equity awards) received by an NEO who has engaged in conduct that violates our Business Conduct Guide or in willful misconduct or fraud that causes harm to the Company. Compensation received up to three years prior to the restatement or conduct and after the date of adoption of the policy is subject to potential recoupment under the policy.</w:t>
      </w:r>
    </w:p>
    <w:p>
      <w:pPr>
        <w:spacing w:after="0" w:line="70"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Under the Equity Plans we have the authority to limit or eliminate the ability of any executive to exercise options and SARs or to receive a distribution of our Common Stock under RSUs or other stock awards (whether time- or performance-based) if the executive engaged in criminal or tortious conduct that was injurious to us or engaged in competition with us.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Stock Ownership Guidelines</w:t>
      </w:r>
    </w:p>
    <w:p>
      <w:pPr>
        <w:spacing w:after="0" w:line="104"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Under the stock ownership guidelines adopted by the CPC, NEOs are required to achieve the following levels of ownership of our Common Stock (as a multiple of base salary rate as of the last day of the fiscal year for which compliance is being evaluated):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5580" w:type="dxa"/>
            <w:vAlign w:val="bottom"/>
            <w:tcBorders>
              <w:bottom w:val="single" w:sz="8" w:color="003A70"/>
            </w:tcBorders>
          </w:tcPr>
          <w:p>
            <w:pPr>
              <w:jc w:val="center"/>
              <w:ind w:right="1"/>
              <w:spacing w:after="0"/>
              <w:rPr>
                <w:sz w:val="20"/>
                <w:szCs w:val="20"/>
                <w:color w:val="auto"/>
              </w:rPr>
            </w:pPr>
            <w:r>
              <w:rPr>
                <w:rFonts w:ascii="Arial" w:cs="Arial" w:eastAsia="Arial" w:hAnsi="Arial"/>
                <w:sz w:val="14"/>
                <w:szCs w:val="14"/>
                <w:color w:val="003A70"/>
              </w:rPr>
              <w:t>Officer</w:t>
            </w:r>
          </w:p>
        </w:tc>
        <w:tc>
          <w:tcPr>
            <w:tcW w:w="5440" w:type="dxa"/>
            <w:vAlign w:val="bottom"/>
            <w:tcBorders>
              <w:bottom w:val="single" w:sz="8" w:color="003A70"/>
            </w:tcBorders>
          </w:tcPr>
          <w:p>
            <w:pPr>
              <w:jc w:val="center"/>
              <w:ind w:left="181"/>
              <w:spacing w:after="0"/>
              <w:rPr>
                <w:sz w:val="20"/>
                <w:szCs w:val="20"/>
                <w:color w:val="auto"/>
              </w:rPr>
            </w:pPr>
            <w:r>
              <w:rPr>
                <w:rFonts w:ascii="Arial" w:cs="Arial" w:eastAsia="Arial" w:hAnsi="Arial"/>
                <w:sz w:val="14"/>
                <w:szCs w:val="14"/>
                <w:color w:val="003A70"/>
              </w:rPr>
              <w:t>Level of Ownership</w:t>
            </w:r>
          </w:p>
        </w:tc>
      </w:tr>
      <w:tr>
        <w:trPr>
          <w:trHeight w:val="189"/>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Chief Executive Officer</w:t>
            </w:r>
          </w:p>
        </w:tc>
        <w:tc>
          <w:tcPr>
            <w:tcW w:w="5440" w:type="dxa"/>
            <w:vAlign w:val="bottom"/>
            <w:tcBorders>
              <w:bottom w:val="single" w:sz="8" w:color="auto"/>
            </w:tcBorders>
          </w:tcPr>
          <w:p>
            <w:pPr>
              <w:jc w:val="center"/>
              <w:ind w:left="181"/>
              <w:spacing w:after="0"/>
              <w:rPr>
                <w:sz w:val="20"/>
                <w:szCs w:val="20"/>
                <w:color w:val="auto"/>
              </w:rPr>
            </w:pPr>
            <w:r>
              <w:rPr>
                <w:rFonts w:ascii="Arial" w:cs="Arial" w:eastAsia="Arial" w:hAnsi="Arial"/>
                <w:sz w:val="16"/>
                <w:szCs w:val="16"/>
                <w:color w:val="auto"/>
              </w:rPr>
              <w:t>Five times base salary</w:t>
            </w:r>
          </w:p>
        </w:tc>
      </w:tr>
      <w:tr>
        <w:trPr>
          <w:trHeight w:val="183"/>
        </w:trPr>
        <w:tc>
          <w:tcPr>
            <w:tcW w:w="55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Chief Financial Officer</w:t>
            </w:r>
          </w:p>
        </w:tc>
        <w:tc>
          <w:tcPr>
            <w:tcW w:w="5440" w:type="dxa"/>
            <w:vAlign w:val="bottom"/>
            <w:tcBorders>
              <w:bottom w:val="single" w:sz="8" w:color="auto"/>
            </w:tcBorders>
          </w:tcPr>
          <w:p>
            <w:pPr>
              <w:jc w:val="center"/>
              <w:ind w:left="181"/>
              <w:spacing w:after="0" w:line="183" w:lineRule="exact"/>
              <w:rPr>
                <w:sz w:val="20"/>
                <w:szCs w:val="20"/>
                <w:color w:val="auto"/>
              </w:rPr>
            </w:pPr>
            <w:r>
              <w:rPr>
                <w:rFonts w:ascii="Arial" w:cs="Arial" w:eastAsia="Arial" w:hAnsi="Arial"/>
                <w:sz w:val="16"/>
                <w:szCs w:val="16"/>
                <w:color w:val="auto"/>
              </w:rPr>
              <w:t>Three times base salary</w:t>
            </w:r>
          </w:p>
        </w:tc>
      </w:tr>
      <w:tr>
        <w:trPr>
          <w:trHeight w:val="183"/>
        </w:trPr>
        <w:tc>
          <w:tcPr>
            <w:tcW w:w="5580" w:type="dxa"/>
            <w:vAlign w:val="bottom"/>
            <w:tcBorders>
              <w:bottom w:val="single" w:sz="8" w:color="003A70"/>
            </w:tcBorders>
          </w:tcPr>
          <w:p>
            <w:pPr>
              <w:jc w:val="center"/>
              <w:spacing w:after="0" w:line="183" w:lineRule="exact"/>
              <w:rPr>
                <w:sz w:val="20"/>
                <w:szCs w:val="20"/>
                <w:color w:val="auto"/>
              </w:rPr>
            </w:pPr>
            <w:r>
              <w:rPr>
                <w:rFonts w:ascii="Arial" w:cs="Arial" w:eastAsia="Arial" w:hAnsi="Arial"/>
                <w:sz w:val="16"/>
                <w:szCs w:val="16"/>
                <w:color w:val="auto"/>
              </w:rPr>
              <w:t>Other NEOs</w:t>
            </w:r>
          </w:p>
        </w:tc>
        <w:tc>
          <w:tcPr>
            <w:tcW w:w="5440" w:type="dxa"/>
            <w:vAlign w:val="bottom"/>
            <w:tcBorders>
              <w:bottom w:val="single" w:sz="8" w:color="003A70"/>
            </w:tcBorders>
          </w:tcPr>
          <w:p>
            <w:pPr>
              <w:jc w:val="center"/>
              <w:ind w:left="161"/>
              <w:spacing w:after="0" w:line="183" w:lineRule="exact"/>
              <w:rPr>
                <w:sz w:val="20"/>
                <w:szCs w:val="20"/>
                <w:color w:val="auto"/>
              </w:rPr>
            </w:pPr>
            <w:r>
              <w:rPr>
                <w:rFonts w:ascii="Arial" w:cs="Arial" w:eastAsia="Arial" w:hAnsi="Arial"/>
                <w:sz w:val="16"/>
                <w:szCs w:val="16"/>
                <w:color w:val="auto"/>
              </w:rPr>
              <w:t>Two times base salary</w:t>
            </w:r>
          </w:p>
        </w:tc>
      </w:tr>
    </w:tbl>
    <w:p>
      <w:pPr>
        <w:spacing w:after="0" w:line="94"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For purposes of determining compliance with the guidelines, the following are considered shares owned by the NEO: shares owned by the NEO and his or her spouse; shares held by a trust if any beneficiaries of which are the NEO or his or her family members; shares held jointly with others; restricted stock awards; restricted stock unit awards; and share equivalents deferred in accordance with our plans. Options, SARs and Performance Units are not considered owned by the NEO.</w:t>
      </w:r>
    </w:p>
    <w:p>
      <w:pPr>
        <w:spacing w:after="0" w:line="70"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The CPC receives an annual report of the ownership achieved by each NEO as of the end of the fiscal year, with the achievement level determined by reference to the average of the closing prices of our Common Stock for the 20 trading days ending on the last trading day of the fiscal year. NEOs are expected to achieve their guideline level of ownership by the end of their fifth full year of service in their role. The CPC will determine the action to be taken for failure to comply, which action may include (but is not limited to) requiring all or a portion of an NEO’s annual bonus to be paid in shares, or requiring retention of shares received upon exercise of stock options or SARs or of shares earned upon the vesting of Performance Units. All of our current executive officers are in compliance with our guidelines either because they have achieved the required holding requirements or have additional time to achieve them consistent with the terms of our stock ownership guidelines.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Pledging and Derivative Transactions</w:t>
      </w:r>
    </w:p>
    <w:p>
      <w:pPr>
        <w:spacing w:after="0" w:line="104"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auto"/>
        </w:rPr>
        <w:t>Our associates and officers are prohibited from including Marriott Vacations Worldwide stock or other securities in a margin account or pledging such securities as collateral for a loan. We also have a policy that prohibits all associates and officers from shorting the sale of our stock or securities, or from buying, selling, writing or otherwise entering into any other “derivative” transaction related to our stock or securities, including options, warrants, puts, calls, and similar rights other than options or stock appreciation rights issued by the Company.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Risk Considerations</w:t>
      </w:r>
    </w:p>
    <w:p>
      <w:pPr>
        <w:spacing w:after="0" w:line="104"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The CPC reviewed a risk assessment to determine whether the amount and components of compensation for our employees and the design of compensation programs might create incentives for excessive risk-taking by our employees. The CPC concluded that our compensation programs do not present risks that are reasonably likely to have a material adverse effect on the Company.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Consideration of Prior Stockholder Advisory Vote to Approve Executive Compensation</w:t>
      </w:r>
    </w:p>
    <w:p>
      <w:pPr>
        <w:spacing w:after="0" w:line="104"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At our 2025 Annual Meeting of Stockholders, our stockholders voted with respect to an advisory resolution on our executive compensation, and 96.7% of the shares voted at the meeting (exclusive of broker non-votes) were voted in favor of the approval of the compensation of our NEOs as disclosed in the proxy statement for that Annual Meeting. The CPC considered this support, as well as the other factors discussed in this Compensation Discussion and Analysis, in retaining the fundamental characteristics of our executive compensation program for 2025 and did not make any specific changes to the program as a result of the stockholder vote.</w:t>
      </w:r>
    </w:p>
    <w:p>
      <w:pPr>
        <w:spacing w:after="0" w:line="113" w:lineRule="exact"/>
        <w:rPr>
          <w:sz w:val="20"/>
          <w:szCs w:val="20"/>
          <w:color w:val="auto"/>
        </w:rPr>
      </w:pPr>
    </w:p>
    <w:p>
      <w:pPr>
        <w:ind w:left="120"/>
        <w:spacing w:after="0"/>
        <w:tabs>
          <w:tab w:leader="none" w:pos="4720" w:val="left"/>
          <w:tab w:leader="none" w:pos="7820" w:val="left"/>
        </w:tabs>
        <w:rPr>
          <w:sz w:val="20"/>
          <w:szCs w:val="20"/>
          <w:color w:val="auto"/>
        </w:rPr>
      </w:pPr>
      <w:r>
        <w:rPr>
          <w:rFonts w:ascii="Arial" w:cs="Arial" w:eastAsia="Arial" w:hAnsi="Arial"/>
          <w:sz w:val="11"/>
          <w:szCs w:val="11"/>
          <w:b w:val="1"/>
          <w:bCs w:val="1"/>
          <w:color w:val="003A70"/>
        </w:rPr>
        <w:t>42</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Employment Agreements</w:t>
      </w:r>
    </w:p>
    <w:p>
      <w:pPr>
        <w:spacing w:after="0" w:line="104"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Historically, the Company has not entered into employment agreements with its executive officers. In February 2026, in connection with the appointment of Mr. Avril as CEO and Michael A. Flaskey as President and Chief Operating Officer, we entered into employment agreements with each of them. The agreements provide clarity regarding the terms and conditions of their employment, including provisions for termination with and without cause and upon a change in control, clawbacks, and certain restrictive covenants, including post-employment non-competition provisions, and are expected to help support an orderly leadership transition.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REPORT OF THE COMPENSATION POLICY COMMITTEE</w:t>
      </w:r>
    </w:p>
    <w:p>
      <w:pPr>
        <w:spacing w:after="0" w:line="112"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The CPC, which is composed solely of independent members of the Board, assists the Board in fulfilling its responsibilities relating to executive compensation. The CPC is responsible for overseeing compensation programs that enable the Company to attract, retain and motivate executives capable of establishing and implementing business plans in the best interests of the stockholders. The CPC, on behalf of and in certain instances subject to the approval of the Board, reviews and approves compensation programs for certain senior officer positions. In this context, the CPC reviewed and discussed with management the Company’s Compensation Discussion and Analysis required by Item 402(b) of SEC Regulation S-K. Following the reviews and discussions referred to above, the CPC recommended to the Board that the Compensation Discussion and Analysis be included in this Proxy Statement.</w:t>
      </w:r>
    </w:p>
    <w:p>
      <w:pPr>
        <w:spacing w:after="0" w:line="200" w:lineRule="exact"/>
        <w:rPr>
          <w:sz w:val="20"/>
          <w:szCs w:val="20"/>
          <w:color w:val="auto"/>
        </w:rPr>
      </w:pPr>
    </w:p>
    <w:p>
      <w:pPr>
        <w:spacing w:after="0" w:line="202"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Members of the Compensation Policy Committee:</w:t>
      </w:r>
    </w:p>
    <w:p>
      <w:pPr>
        <w:spacing w:after="0" w:line="113"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Dianna F. Morgan, Chair</w:t>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Christian A. Asmar</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James A. Dausch</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Lizanne Galbreath</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Mary E. Galligan</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William W. McCarten</w:t>
      </w:r>
    </w:p>
    <w:p>
      <w:pPr>
        <w:spacing w:after="0" w:line="138" w:lineRule="exact"/>
        <w:rPr>
          <w:sz w:val="20"/>
          <w:szCs w:val="20"/>
          <w:color w:val="auto"/>
        </w:rPr>
      </w:pPr>
    </w:p>
    <w:p>
      <w:pPr>
        <w:ind w:left="120"/>
        <w:spacing w:after="0"/>
        <w:tabs>
          <w:tab w:leader="none" w:pos="472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5" w:lineRule="exact"/>
        <w:rPr>
          <w:sz w:val="20"/>
          <w:szCs w:val="20"/>
          <w:color w:val="auto"/>
        </w:rPr>
      </w:pPr>
    </w:p>
    <w:p>
      <w:pPr>
        <w:ind w:left="320" w:right="1080"/>
        <w:spacing w:after="0" w:line="271" w:lineRule="auto"/>
        <w:rPr>
          <w:sz w:val="20"/>
          <w:szCs w:val="20"/>
          <w:color w:val="auto"/>
        </w:rPr>
      </w:pPr>
      <w:r>
        <w:rPr>
          <w:rFonts w:ascii="Arial" w:cs="Arial" w:eastAsia="Arial" w:hAnsi="Arial"/>
          <w:sz w:val="54"/>
          <w:szCs w:val="54"/>
          <w:color w:val="auto"/>
        </w:rPr>
        <w:t>EXECUTIVE COMPENSATION TABLES AND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-854075</wp:posOffset>
            </wp:positionV>
            <wp:extent cx="85725" cy="8312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31215"/>
                    </a:xfrm>
                    <a:prstGeom prst="rect">
                      <a:avLst/>
                    </a:prstGeom>
                    <a:noFill/>
                  </pic:spPr>
                </pic:pic>
              </a:graphicData>
            </a:graphic>
          </wp:anchor>
        </w:drawing>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SUMMARY COMPENSATION TABLE</w:t>
      </w:r>
    </w:p>
    <w:p>
      <w:pPr>
        <w:spacing w:after="0" w:line="112"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following Summary Compensation Table shows the compensation we paid in fiscal years 2025, 2024 and 2023 to our NEOs. Mr. Avril served as a non-employee director from February 19, 2025 until his appointment as interim President and CEO in November 2025 and was not an executive officer prior to such appointment, but, in accordance with SEC rules, his compensation for the entirety of fiscal year 2025, including for his service as a non-employee director, is included in the table below. Similarly, Mr. Marino was promoted to Executive Vice President and Chief Financial Officer effective September 30, 2023 and was not an executive officer prior to promotion, but, in accordance with SEC rules, his compensation for the entirety of fiscal year 2023 is included in the table below.</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40" w:type="dxa"/>
            <w:vAlign w:val="bottom"/>
            <w:gridSpan w:val="2"/>
          </w:tcPr>
          <w:p>
            <w:pPr>
              <w:jc w:val="center"/>
              <w:spacing w:after="0"/>
              <w:rPr>
                <w:sz w:val="20"/>
                <w:szCs w:val="20"/>
                <w:color w:val="auto"/>
              </w:rPr>
            </w:pPr>
            <w:r>
              <w:rPr>
                <w:rFonts w:ascii="Arial" w:cs="Arial" w:eastAsia="Arial" w:hAnsi="Arial"/>
                <w:sz w:val="14"/>
                <w:szCs w:val="14"/>
                <w:color w:val="003A70"/>
              </w:rPr>
              <w:t>Change in Pension</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2"/>
          </w:tcPr>
          <w:p>
            <w:pPr>
              <w:ind w:left="380"/>
              <w:spacing w:after="0"/>
              <w:rPr>
                <w:sz w:val="20"/>
                <w:szCs w:val="20"/>
                <w:color w:val="auto"/>
              </w:rPr>
            </w:pPr>
            <w:r>
              <w:rPr>
                <w:rFonts w:ascii="Arial" w:cs="Arial" w:eastAsia="Arial" w:hAnsi="Arial"/>
                <w:sz w:val="14"/>
                <w:szCs w:val="14"/>
                <w:color w:val="003A70"/>
              </w:rPr>
              <w:t>Non-Equity</w:t>
            </w:r>
          </w:p>
        </w:tc>
        <w:tc>
          <w:tcPr>
            <w:tcW w:w="2040" w:type="dxa"/>
            <w:vAlign w:val="bottom"/>
            <w:gridSpan w:val="2"/>
          </w:tcPr>
          <w:p>
            <w:pPr>
              <w:jc w:val="center"/>
              <w:spacing w:after="0"/>
              <w:rPr>
                <w:sz w:val="20"/>
                <w:szCs w:val="20"/>
                <w:color w:val="auto"/>
              </w:rPr>
            </w:pPr>
            <w:r>
              <w:rPr>
                <w:rFonts w:ascii="Arial" w:cs="Arial" w:eastAsia="Arial" w:hAnsi="Arial"/>
                <w:sz w:val="14"/>
                <w:szCs w:val="14"/>
                <w:color w:val="003A70"/>
              </w:rPr>
              <w:t>Value And Nonqualified</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8"/>
        </w:trPr>
        <w:tc>
          <w:tcPr>
            <w:tcW w:w="1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60"/>
              <w:spacing w:after="0" w:line="158" w:lineRule="exact"/>
              <w:rPr>
                <w:sz w:val="20"/>
                <w:szCs w:val="20"/>
                <w:color w:val="auto"/>
              </w:rPr>
            </w:pPr>
            <w:r>
              <w:rPr>
                <w:rFonts w:ascii="Arial" w:cs="Arial" w:eastAsia="Arial" w:hAnsi="Arial"/>
                <w:sz w:val="14"/>
                <w:szCs w:val="14"/>
                <w:color w:val="003A70"/>
              </w:rPr>
              <w:t>Stock</w:t>
            </w:r>
          </w:p>
        </w:tc>
        <w:tc>
          <w:tcPr>
            <w:tcW w:w="1160" w:type="dxa"/>
            <w:vAlign w:val="bottom"/>
            <w:gridSpan w:val="2"/>
          </w:tcPr>
          <w:p>
            <w:pPr>
              <w:ind w:left="100"/>
              <w:spacing w:after="0" w:line="158" w:lineRule="exact"/>
              <w:rPr>
                <w:sz w:val="20"/>
                <w:szCs w:val="20"/>
                <w:color w:val="auto"/>
              </w:rPr>
            </w:pPr>
            <w:r>
              <w:rPr>
                <w:rFonts w:ascii="Arial" w:cs="Arial" w:eastAsia="Arial" w:hAnsi="Arial"/>
                <w:sz w:val="14"/>
                <w:szCs w:val="14"/>
                <w:color w:val="003A70"/>
              </w:rPr>
              <w:t>Option/SAR</w:t>
            </w:r>
          </w:p>
        </w:tc>
        <w:tc>
          <w:tcPr>
            <w:tcW w:w="1480" w:type="dxa"/>
            <w:vAlign w:val="bottom"/>
            <w:gridSpan w:val="2"/>
          </w:tcPr>
          <w:p>
            <w:pPr>
              <w:jc w:val="right"/>
              <w:ind w:right="219"/>
              <w:spacing w:after="0" w:line="158" w:lineRule="exact"/>
              <w:rPr>
                <w:sz w:val="20"/>
                <w:szCs w:val="20"/>
                <w:color w:val="auto"/>
              </w:rPr>
            </w:pPr>
            <w:r>
              <w:rPr>
                <w:rFonts w:ascii="Arial" w:cs="Arial" w:eastAsia="Arial" w:hAnsi="Arial"/>
                <w:sz w:val="14"/>
                <w:szCs w:val="14"/>
                <w:color w:val="003A70"/>
              </w:rPr>
              <w:t>Incentive Plan</w:t>
            </w:r>
          </w:p>
        </w:tc>
        <w:tc>
          <w:tcPr>
            <w:tcW w:w="2040" w:type="dxa"/>
            <w:vAlign w:val="bottom"/>
            <w:gridSpan w:val="2"/>
          </w:tcPr>
          <w:p>
            <w:pPr>
              <w:jc w:val="center"/>
              <w:spacing w:after="0" w:line="158" w:lineRule="exact"/>
              <w:rPr>
                <w:sz w:val="20"/>
                <w:szCs w:val="20"/>
                <w:color w:val="auto"/>
              </w:rPr>
            </w:pPr>
            <w:r>
              <w:rPr>
                <w:rFonts w:ascii="Arial" w:cs="Arial" w:eastAsia="Arial" w:hAnsi="Arial"/>
                <w:sz w:val="14"/>
                <w:szCs w:val="14"/>
                <w:color w:val="003A70"/>
              </w:rPr>
              <w:t>Deferred Compensation</w:t>
            </w:r>
          </w:p>
        </w:tc>
        <w:tc>
          <w:tcPr>
            <w:tcW w:w="460" w:type="dxa"/>
            <w:vAlign w:val="bottom"/>
          </w:tcPr>
          <w:p>
            <w:pPr>
              <w:spacing w:after="0"/>
              <w:rPr>
                <w:sz w:val="13"/>
                <w:szCs w:val="13"/>
                <w:color w:val="auto"/>
              </w:rPr>
            </w:pPr>
          </w:p>
        </w:tc>
        <w:tc>
          <w:tcPr>
            <w:tcW w:w="1120" w:type="dxa"/>
            <w:vAlign w:val="bottom"/>
          </w:tcPr>
          <w:p>
            <w:pPr>
              <w:jc w:val="right"/>
              <w:ind w:right="440"/>
              <w:spacing w:after="0" w:line="158" w:lineRule="exact"/>
              <w:rPr>
                <w:sz w:val="20"/>
                <w:szCs w:val="20"/>
                <w:color w:val="auto"/>
              </w:rPr>
            </w:pPr>
            <w:r>
              <w:rPr>
                <w:rFonts w:ascii="Arial" w:cs="Arial" w:eastAsia="Arial" w:hAnsi="Arial"/>
                <w:sz w:val="14"/>
                <w:szCs w:val="14"/>
                <w:color w:val="003A70"/>
              </w:rPr>
              <w:t>All Other</w:t>
            </w: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2"/>
        </w:trPr>
        <w:tc>
          <w:tcPr>
            <w:tcW w:w="148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Fiscal Year</w:t>
            </w:r>
          </w:p>
        </w:tc>
        <w:tc>
          <w:tcPr>
            <w:tcW w:w="840" w:type="dxa"/>
            <w:vAlign w:val="bottom"/>
            <w:tcBorders>
              <w:bottom w:val="single" w:sz="8" w:color="003A70"/>
            </w:tcBorders>
          </w:tcPr>
          <w:p>
            <w:pPr>
              <w:jc w:val="right"/>
              <w:ind w:right="200"/>
              <w:spacing w:after="0" w:line="175" w:lineRule="exact"/>
              <w:rPr>
                <w:sz w:val="20"/>
                <w:szCs w:val="20"/>
                <w:color w:val="auto"/>
              </w:rPr>
            </w:pPr>
            <w:r>
              <w:rPr>
                <w:rFonts w:ascii="Arial" w:cs="Arial" w:eastAsia="Arial" w:hAnsi="Arial"/>
                <w:sz w:val="14"/>
                <w:szCs w:val="14"/>
                <w:color w:val="003A70"/>
              </w:rPr>
              <w:t>Salary</w:t>
            </w:r>
            <w:r>
              <w:rPr>
                <w:rFonts w:ascii="Arial" w:cs="Arial" w:eastAsia="Arial" w:hAnsi="Arial"/>
                <w:sz w:val="20"/>
                <w:szCs w:val="20"/>
                <w:color w:val="003A70"/>
                <w:vertAlign w:val="superscript"/>
              </w:rPr>
              <w:t>1</w:t>
            </w:r>
          </w:p>
        </w:tc>
        <w:tc>
          <w:tcPr>
            <w:tcW w:w="240" w:type="dxa"/>
            <w:vAlign w:val="bottom"/>
            <w:tcBorders>
              <w:bottom w:val="single" w:sz="8" w:color="003A70"/>
            </w:tcBorders>
          </w:tcPr>
          <w:p>
            <w:pPr>
              <w:spacing w:after="0"/>
              <w:rPr>
                <w:sz w:val="15"/>
                <w:szCs w:val="15"/>
                <w:color w:val="auto"/>
              </w:rPr>
            </w:pPr>
          </w:p>
        </w:tc>
        <w:tc>
          <w:tcPr>
            <w:tcW w:w="920" w:type="dxa"/>
            <w:vAlign w:val="bottom"/>
            <w:tcBorders>
              <w:bottom w:val="single" w:sz="8" w:color="003A70"/>
            </w:tcBorders>
          </w:tcPr>
          <w:p>
            <w:pPr>
              <w:jc w:val="right"/>
              <w:ind w:right="280"/>
              <w:spacing w:after="0" w:line="175" w:lineRule="exact"/>
              <w:rPr>
                <w:sz w:val="20"/>
                <w:szCs w:val="20"/>
                <w:color w:val="auto"/>
              </w:rPr>
            </w:pPr>
            <w:r>
              <w:rPr>
                <w:rFonts w:ascii="Arial" w:cs="Arial" w:eastAsia="Arial" w:hAnsi="Arial"/>
                <w:sz w:val="14"/>
                <w:szCs w:val="14"/>
                <w:color w:val="003A70"/>
                <w:w w:val="99"/>
              </w:rPr>
              <w:t>Awards</w:t>
            </w:r>
            <w:r>
              <w:rPr>
                <w:rFonts w:ascii="Arial" w:cs="Arial" w:eastAsia="Arial" w:hAnsi="Arial"/>
                <w:sz w:val="20"/>
                <w:szCs w:val="20"/>
                <w:color w:val="003A70"/>
                <w:w w:val="99"/>
                <w:vertAlign w:val="superscript"/>
              </w:rPr>
              <w:t>2</w:t>
            </w:r>
          </w:p>
        </w:tc>
        <w:tc>
          <w:tcPr>
            <w:tcW w:w="200" w:type="dxa"/>
            <w:vAlign w:val="bottom"/>
            <w:tcBorders>
              <w:bottom w:val="single" w:sz="8" w:color="003A70"/>
            </w:tcBorders>
          </w:tcPr>
          <w:p>
            <w:pPr>
              <w:spacing w:after="0"/>
              <w:rPr>
                <w:sz w:val="15"/>
                <w:szCs w:val="15"/>
                <w:color w:val="auto"/>
              </w:rPr>
            </w:pPr>
          </w:p>
        </w:tc>
        <w:tc>
          <w:tcPr>
            <w:tcW w:w="960" w:type="dxa"/>
            <w:vAlign w:val="bottom"/>
            <w:tcBorders>
              <w:bottom w:val="single" w:sz="8" w:color="003A70"/>
            </w:tcBorders>
          </w:tcPr>
          <w:p>
            <w:pPr>
              <w:jc w:val="right"/>
              <w:ind w:right="340"/>
              <w:spacing w:after="0" w:line="175" w:lineRule="exact"/>
              <w:rPr>
                <w:sz w:val="20"/>
                <w:szCs w:val="20"/>
                <w:color w:val="auto"/>
              </w:rPr>
            </w:pPr>
            <w:r>
              <w:rPr>
                <w:rFonts w:ascii="Arial" w:cs="Arial" w:eastAsia="Arial" w:hAnsi="Arial"/>
                <w:sz w:val="14"/>
                <w:szCs w:val="14"/>
                <w:color w:val="003A70"/>
                <w:w w:val="96"/>
              </w:rPr>
              <w:t>Awards</w:t>
            </w:r>
            <w:r>
              <w:rPr>
                <w:rFonts w:ascii="Arial" w:cs="Arial" w:eastAsia="Arial" w:hAnsi="Arial"/>
                <w:sz w:val="20"/>
                <w:szCs w:val="20"/>
                <w:color w:val="003A70"/>
                <w:w w:val="96"/>
                <w:vertAlign w:val="superscript"/>
              </w:rPr>
              <w:t>2</w:t>
            </w:r>
          </w:p>
        </w:tc>
        <w:tc>
          <w:tcPr>
            <w:tcW w:w="1480" w:type="dxa"/>
            <w:vAlign w:val="bottom"/>
            <w:tcBorders>
              <w:bottom w:val="single" w:sz="8" w:color="003A70"/>
            </w:tcBorders>
            <w:gridSpan w:val="2"/>
          </w:tcPr>
          <w:p>
            <w:pPr>
              <w:jc w:val="right"/>
              <w:ind w:right="179"/>
              <w:spacing w:after="0" w:line="175" w:lineRule="exact"/>
              <w:rPr>
                <w:sz w:val="20"/>
                <w:szCs w:val="20"/>
                <w:color w:val="auto"/>
              </w:rPr>
            </w:pPr>
            <w:r>
              <w:rPr>
                <w:rFonts w:ascii="Arial" w:cs="Arial" w:eastAsia="Arial" w:hAnsi="Arial"/>
                <w:sz w:val="14"/>
                <w:szCs w:val="14"/>
                <w:color w:val="003A70"/>
              </w:rPr>
              <w:t>Compensation</w:t>
            </w:r>
            <w:r>
              <w:rPr>
                <w:rFonts w:ascii="Arial" w:cs="Arial" w:eastAsia="Arial" w:hAnsi="Arial"/>
                <w:sz w:val="20"/>
                <w:szCs w:val="20"/>
                <w:color w:val="003A70"/>
                <w:vertAlign w:val="superscript"/>
              </w:rPr>
              <w:t>3</w:t>
            </w:r>
          </w:p>
        </w:tc>
        <w:tc>
          <w:tcPr>
            <w:tcW w:w="1320" w:type="dxa"/>
            <w:vAlign w:val="bottom"/>
            <w:tcBorders>
              <w:bottom w:val="single" w:sz="8" w:color="003A70"/>
            </w:tcBorders>
          </w:tcPr>
          <w:p>
            <w:pPr>
              <w:jc w:val="center"/>
              <w:ind w:left="623"/>
              <w:spacing w:after="0" w:line="175" w:lineRule="exact"/>
              <w:rPr>
                <w:sz w:val="20"/>
                <w:szCs w:val="20"/>
                <w:color w:val="auto"/>
              </w:rPr>
            </w:pPr>
            <w:r>
              <w:rPr>
                <w:rFonts w:ascii="Arial" w:cs="Arial" w:eastAsia="Arial" w:hAnsi="Arial"/>
                <w:sz w:val="14"/>
                <w:szCs w:val="14"/>
                <w:color w:val="003A70"/>
                <w:w w:val="98"/>
              </w:rPr>
              <w:t>Earnings</w:t>
            </w:r>
            <w:r>
              <w:rPr>
                <w:rFonts w:ascii="Arial" w:cs="Arial" w:eastAsia="Arial" w:hAnsi="Arial"/>
                <w:sz w:val="20"/>
                <w:szCs w:val="20"/>
                <w:color w:val="003A70"/>
                <w:w w:val="98"/>
                <w:vertAlign w:val="superscript"/>
              </w:rPr>
              <w:t>4</w:t>
            </w:r>
          </w:p>
        </w:tc>
        <w:tc>
          <w:tcPr>
            <w:tcW w:w="720" w:type="dxa"/>
            <w:vAlign w:val="bottom"/>
            <w:tcBorders>
              <w:bottom w:val="single" w:sz="8" w:color="003A70"/>
            </w:tcBorders>
          </w:tcPr>
          <w:p>
            <w:pPr>
              <w:spacing w:after="0"/>
              <w:rPr>
                <w:sz w:val="15"/>
                <w:szCs w:val="15"/>
                <w:color w:val="auto"/>
              </w:rPr>
            </w:pPr>
          </w:p>
        </w:tc>
        <w:tc>
          <w:tcPr>
            <w:tcW w:w="1580" w:type="dxa"/>
            <w:vAlign w:val="bottom"/>
            <w:tcBorders>
              <w:bottom w:val="single" w:sz="8" w:color="003A70"/>
            </w:tcBorders>
            <w:gridSpan w:val="2"/>
          </w:tcPr>
          <w:p>
            <w:pPr>
              <w:jc w:val="right"/>
              <w:ind w:right="220"/>
              <w:spacing w:after="0" w:line="175" w:lineRule="exact"/>
              <w:rPr>
                <w:sz w:val="20"/>
                <w:szCs w:val="20"/>
                <w:color w:val="auto"/>
              </w:rPr>
            </w:pPr>
            <w:r>
              <w:rPr>
                <w:rFonts w:ascii="Arial" w:cs="Arial" w:eastAsia="Arial" w:hAnsi="Arial"/>
                <w:sz w:val="14"/>
                <w:szCs w:val="14"/>
                <w:color w:val="003A70"/>
              </w:rPr>
              <w:t>Compensation</w:t>
            </w:r>
            <w:r>
              <w:rPr>
                <w:rFonts w:ascii="Arial" w:cs="Arial" w:eastAsia="Arial" w:hAnsi="Arial"/>
                <w:sz w:val="20"/>
                <w:szCs w:val="20"/>
                <w:color w:val="003A70"/>
                <w:vertAlign w:val="superscript"/>
              </w:rPr>
              <w:t>5</w:t>
            </w:r>
          </w:p>
        </w:tc>
        <w:tc>
          <w:tcPr>
            <w:tcW w:w="400" w:type="dxa"/>
            <w:vAlign w:val="bottom"/>
            <w:tcBorders>
              <w:bottom w:val="single" w:sz="8" w:color="003A70"/>
            </w:tcBorders>
          </w:tcPr>
          <w:p>
            <w:pPr>
              <w:spacing w:after="0"/>
              <w:rPr>
                <w:sz w:val="15"/>
                <w:szCs w:val="15"/>
                <w:color w:val="auto"/>
              </w:rPr>
            </w:pPr>
          </w:p>
        </w:tc>
        <w:tc>
          <w:tcPr>
            <w:tcW w:w="880" w:type="dxa"/>
            <w:vAlign w:val="bottom"/>
            <w:tcBorders>
              <w:bottom w:val="single" w:sz="8" w:color="003A70"/>
            </w:tcBorders>
          </w:tcPr>
          <w:p>
            <w:pPr>
              <w:jc w:val="right"/>
              <w:ind w:right="280"/>
              <w:spacing w:after="0"/>
              <w:rPr>
                <w:sz w:val="20"/>
                <w:szCs w:val="20"/>
                <w:color w:val="auto"/>
              </w:rPr>
            </w:pPr>
            <w:r>
              <w:rPr>
                <w:rFonts w:ascii="Arial" w:cs="Arial" w:eastAsia="Arial" w:hAnsi="Arial"/>
                <w:sz w:val="14"/>
                <w:szCs w:val="14"/>
                <w:color w:val="003A70"/>
              </w:rPr>
              <w:t>Total</w:t>
            </w:r>
          </w:p>
        </w:tc>
      </w:tr>
      <w:tr>
        <w:trPr>
          <w:trHeight w:val="175"/>
        </w:trPr>
        <w:tc>
          <w:tcPr>
            <w:tcW w:w="1480" w:type="dxa"/>
            <w:vAlign w:val="bottom"/>
          </w:tcPr>
          <w:p>
            <w:pPr>
              <w:spacing w:after="0" w:line="175" w:lineRule="exact"/>
              <w:rPr>
                <w:sz w:val="20"/>
                <w:szCs w:val="20"/>
                <w:color w:val="auto"/>
              </w:rPr>
            </w:pPr>
            <w:r>
              <w:rPr>
                <w:rFonts w:ascii="Arial" w:cs="Arial" w:eastAsia="Arial" w:hAnsi="Arial"/>
                <w:sz w:val="16"/>
                <w:szCs w:val="16"/>
                <w:b w:val="1"/>
                <w:bCs w:val="1"/>
                <w:color w:val="003A70"/>
              </w:rPr>
              <w:t>Matthew E. Avril</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7"/>
        </w:trPr>
        <w:tc>
          <w:tcPr>
            <w:tcW w:w="2320" w:type="dxa"/>
            <w:vAlign w:val="bottom"/>
            <w:tcBorders>
              <w:bottom w:val="single" w:sz="8" w:color="auto"/>
            </w:tcBorders>
            <w:gridSpan w:val="2"/>
          </w:tcPr>
          <w:p>
            <w:pPr>
              <w:spacing w:after="0" w:line="217" w:lineRule="exact"/>
              <w:rPr>
                <w:sz w:val="20"/>
                <w:szCs w:val="20"/>
                <w:color w:val="auto"/>
              </w:rPr>
            </w:pPr>
            <w:r>
              <w:rPr>
                <w:rFonts w:ascii="Arial" w:cs="Arial" w:eastAsia="Arial" w:hAnsi="Arial"/>
                <w:sz w:val="16"/>
                <w:szCs w:val="16"/>
                <w:color w:val="auto"/>
              </w:rPr>
              <w:t>Chief Executive Officer</w:t>
            </w:r>
            <w:r>
              <w:rPr>
                <w:rFonts w:ascii="Arial" w:cs="Arial" w:eastAsia="Arial" w:hAnsi="Arial"/>
                <w:sz w:val="24"/>
                <w:szCs w:val="24"/>
                <w:color w:val="auto"/>
                <w:vertAlign w:val="superscript"/>
              </w:rPr>
              <w:t>(6)</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83"/>
        </w:trPr>
        <w:tc>
          <w:tcPr>
            <w:tcW w:w="14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2025</w:t>
            </w:r>
          </w:p>
        </w:tc>
        <w:tc>
          <w:tcPr>
            <w:tcW w:w="84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w w:val="95"/>
              </w:rPr>
              <w:t>$ 115,385</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00"/>
              <w:spacing w:after="0" w:line="183" w:lineRule="exact"/>
              <w:rPr>
                <w:sz w:val="20"/>
                <w:szCs w:val="20"/>
                <w:color w:val="auto"/>
              </w:rPr>
            </w:pPr>
            <w:r>
              <w:rPr>
                <w:rFonts w:ascii="Arial" w:cs="Arial" w:eastAsia="Arial" w:hAnsi="Arial"/>
                <w:sz w:val="16"/>
                <w:szCs w:val="16"/>
                <w:color w:val="auto"/>
              </w:rPr>
              <w:t>2,552,725</w:t>
            </w:r>
          </w:p>
        </w:tc>
        <w:tc>
          <w:tcPr>
            <w:tcW w:w="2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60"/>
              <w:spacing w:after="0" w:line="183" w:lineRule="exact"/>
              <w:rPr>
                <w:sz w:val="20"/>
                <w:szCs w:val="20"/>
                <w:color w:val="auto"/>
              </w:rPr>
            </w:pPr>
            <w:r>
              <w:rPr>
                <w:rFonts w:ascii="Arial" w:cs="Arial" w:eastAsia="Arial" w:hAnsi="Arial"/>
                <w:sz w:val="16"/>
                <w:szCs w:val="16"/>
                <w:color w:val="auto"/>
                <w:w w:val="98"/>
              </w:rPr>
              <w:t>1,250,700</w:t>
            </w:r>
          </w:p>
        </w:tc>
        <w:tc>
          <w:tcPr>
            <w:tcW w:w="480" w:type="dxa"/>
            <w:vAlign w:val="bottom"/>
            <w:tcBorders>
              <w:bottom w:val="single" w:sz="8" w:color="auto"/>
            </w:tcBorders>
          </w:tcPr>
          <w:p>
            <w:pPr>
              <w:ind w:left="40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ind w:left="900"/>
              <w:spacing w:after="0" w:line="183" w:lineRule="exact"/>
              <w:rPr>
                <w:sz w:val="20"/>
                <w:szCs w:val="20"/>
                <w:color w:val="auto"/>
              </w:rPr>
            </w:pPr>
            <w:r>
              <w:rPr>
                <w:rFonts w:ascii="Arial" w:cs="Arial" w:eastAsia="Arial" w:hAnsi="Arial"/>
                <w:sz w:val="16"/>
                <w:szCs w:val="16"/>
                <w:color w:val="auto"/>
              </w:rPr>
              <w:t xml:space="preserve">$    </w:t>
            </w:r>
          </w:p>
        </w:tc>
        <w:tc>
          <w:tcPr>
            <w:tcW w:w="7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00"/>
              <w:spacing w:after="0" w:line="183" w:lineRule="exact"/>
              <w:rPr>
                <w:sz w:val="20"/>
                <w:szCs w:val="20"/>
                <w:color w:val="auto"/>
              </w:rPr>
            </w:pPr>
            <w:r>
              <w:rPr>
                <w:rFonts w:ascii="Arial" w:cs="Arial" w:eastAsia="Arial" w:hAnsi="Arial"/>
                <w:sz w:val="16"/>
                <w:szCs w:val="16"/>
                <w:color w:val="auto"/>
              </w:rPr>
              <w:t>75,606</w:t>
            </w:r>
          </w:p>
        </w:tc>
        <w:tc>
          <w:tcPr>
            <w:tcW w:w="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3,994,416</w:t>
            </w:r>
          </w:p>
        </w:tc>
      </w:tr>
      <w:tr>
        <w:trPr>
          <w:trHeight w:val="168"/>
        </w:trPr>
        <w:tc>
          <w:tcPr>
            <w:tcW w:w="1480" w:type="dxa"/>
            <w:vAlign w:val="bottom"/>
          </w:tcPr>
          <w:p>
            <w:pPr>
              <w:spacing w:after="0" w:line="168" w:lineRule="exact"/>
              <w:rPr>
                <w:sz w:val="20"/>
                <w:szCs w:val="20"/>
                <w:color w:val="auto"/>
              </w:rPr>
            </w:pPr>
            <w:r>
              <w:rPr>
                <w:rFonts w:ascii="Arial" w:cs="Arial" w:eastAsia="Arial" w:hAnsi="Arial"/>
                <w:sz w:val="16"/>
                <w:szCs w:val="16"/>
                <w:b w:val="1"/>
                <w:bCs w:val="1"/>
                <w:color w:val="003A70"/>
              </w:rPr>
              <w:t>John E. Geller, Jr.</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7"/>
        </w:trPr>
        <w:tc>
          <w:tcPr>
            <w:tcW w:w="3480" w:type="dxa"/>
            <w:vAlign w:val="bottom"/>
            <w:tcBorders>
              <w:bottom w:val="single" w:sz="8" w:color="auto"/>
            </w:tcBorders>
            <w:gridSpan w:val="4"/>
          </w:tcPr>
          <w:p>
            <w:pPr>
              <w:spacing w:after="0" w:line="217" w:lineRule="exact"/>
              <w:rPr>
                <w:sz w:val="20"/>
                <w:szCs w:val="20"/>
                <w:color w:val="auto"/>
              </w:rPr>
            </w:pPr>
            <w:r>
              <w:rPr>
                <w:rFonts w:ascii="Arial" w:cs="Arial" w:eastAsia="Arial" w:hAnsi="Arial"/>
                <w:sz w:val="16"/>
                <w:szCs w:val="16"/>
                <w:color w:val="auto"/>
              </w:rPr>
              <w:t>Former President and Chief Executive Officer</w:t>
            </w:r>
            <w:r>
              <w:rPr>
                <w:rFonts w:ascii="Arial" w:cs="Arial" w:eastAsia="Arial" w:hAnsi="Arial"/>
                <w:sz w:val="24"/>
                <w:szCs w:val="24"/>
                <w:color w:val="auto"/>
                <w:vertAlign w:val="superscript"/>
              </w:rPr>
              <w:t>(7)</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68"/>
        </w:trPr>
        <w:tc>
          <w:tcPr>
            <w:tcW w:w="1480" w:type="dxa"/>
            <w:vAlign w:val="bottom"/>
          </w:tcPr>
          <w:p>
            <w:pPr>
              <w:spacing w:after="0" w:line="168" w:lineRule="exact"/>
              <w:rPr>
                <w:sz w:val="20"/>
                <w:szCs w:val="20"/>
                <w:color w:val="auto"/>
              </w:rPr>
            </w:pPr>
            <w:r>
              <w:rPr>
                <w:rFonts w:ascii="Arial" w:cs="Arial" w:eastAsia="Arial" w:hAnsi="Arial"/>
                <w:sz w:val="16"/>
                <w:szCs w:val="16"/>
                <w:color w:val="auto"/>
              </w:rPr>
              <w:t>2025</w:t>
            </w:r>
          </w:p>
        </w:tc>
        <w:tc>
          <w:tcPr>
            <w:tcW w:w="8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$888,462</w:t>
            </w:r>
          </w:p>
        </w:tc>
        <w:tc>
          <w:tcPr>
            <w:tcW w:w="24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line="168" w:lineRule="exact"/>
              <w:rPr>
                <w:sz w:val="20"/>
                <w:szCs w:val="20"/>
                <w:color w:val="auto"/>
              </w:rPr>
            </w:pPr>
            <w:r>
              <w:rPr>
                <w:rFonts w:ascii="Arial" w:cs="Arial" w:eastAsia="Arial" w:hAnsi="Arial"/>
                <w:sz w:val="16"/>
                <w:szCs w:val="16"/>
                <w:color w:val="auto"/>
              </w:rPr>
              <w:t>5,599,984</w:t>
            </w:r>
          </w:p>
        </w:tc>
        <w:tc>
          <w:tcPr>
            <w:tcW w:w="200" w:type="dxa"/>
            <w:vAlign w:val="bottom"/>
          </w:tcPr>
          <w:p>
            <w:pPr>
              <w:ind w:left="100"/>
              <w:spacing w:after="0" w:line="168"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ind w:right="160"/>
              <w:spacing w:after="0" w:line="168" w:lineRule="exact"/>
              <w:rPr>
                <w:sz w:val="20"/>
                <w:szCs w:val="20"/>
                <w:color w:val="auto"/>
              </w:rPr>
            </w:pPr>
            <w:r>
              <w:rPr>
                <w:rFonts w:ascii="Arial" w:cs="Arial" w:eastAsia="Arial" w:hAnsi="Arial"/>
                <w:sz w:val="16"/>
                <w:szCs w:val="16"/>
                <w:color w:val="auto"/>
                <w:w w:val="98"/>
              </w:rPr>
              <w:t>1,399,992</w:t>
            </w:r>
          </w:p>
        </w:tc>
        <w:tc>
          <w:tcPr>
            <w:tcW w:w="480" w:type="dxa"/>
            <w:vAlign w:val="bottom"/>
          </w:tcPr>
          <w:p>
            <w:pPr>
              <w:ind w:left="400"/>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19"/>
              <w:spacing w:after="0" w:line="168" w:lineRule="exact"/>
              <w:rPr>
                <w:sz w:val="20"/>
                <w:szCs w:val="20"/>
                <w:color w:val="auto"/>
              </w:rPr>
            </w:pPr>
            <w:r>
              <w:rPr>
                <w:rFonts w:ascii="Arial" w:cs="Arial" w:eastAsia="Arial" w:hAnsi="Arial"/>
                <w:sz w:val="16"/>
                <w:szCs w:val="16"/>
                <w:color w:val="auto"/>
              </w:rPr>
              <w:t>—</w:t>
            </w:r>
          </w:p>
        </w:tc>
        <w:tc>
          <w:tcPr>
            <w:tcW w:w="1320" w:type="dxa"/>
            <w:vAlign w:val="bottom"/>
          </w:tcPr>
          <w:p>
            <w:pPr>
              <w:ind w:left="900"/>
              <w:spacing w:after="0" w:line="168" w:lineRule="exact"/>
              <w:rPr>
                <w:sz w:val="20"/>
                <w:szCs w:val="20"/>
                <w:color w:val="auto"/>
              </w:rPr>
            </w:pPr>
            <w:r>
              <w:rPr>
                <w:rFonts w:ascii="Arial" w:cs="Arial" w:eastAsia="Arial" w:hAnsi="Arial"/>
                <w:sz w:val="16"/>
                <w:szCs w:val="16"/>
                <w:color w:val="auto"/>
              </w:rPr>
              <w:t>$</w:t>
            </w:r>
          </w:p>
        </w:tc>
        <w:tc>
          <w:tcPr>
            <w:tcW w:w="720" w:type="dxa"/>
            <w:vAlign w:val="bottom"/>
          </w:tcPr>
          <w:p>
            <w:pPr>
              <w:spacing w:after="0" w:line="168"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300"/>
              <w:spacing w:after="0" w:line="168" w:lineRule="exact"/>
              <w:rPr>
                <w:sz w:val="20"/>
                <w:szCs w:val="20"/>
                <w:color w:val="auto"/>
              </w:rPr>
            </w:pPr>
            <w:r>
              <w:rPr>
                <w:rFonts w:ascii="Arial" w:cs="Arial" w:eastAsia="Arial" w:hAnsi="Arial"/>
                <w:sz w:val="16"/>
                <w:szCs w:val="16"/>
                <w:color w:val="auto"/>
              </w:rPr>
              <w:t>6,455,694</w:t>
            </w:r>
          </w:p>
        </w:tc>
        <w:tc>
          <w:tcPr>
            <w:tcW w:w="4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line="168" w:lineRule="exact"/>
              <w:rPr>
                <w:sz w:val="20"/>
                <w:szCs w:val="20"/>
                <w:color w:val="auto"/>
              </w:rPr>
            </w:pPr>
            <w:r>
              <w:rPr>
                <w:rFonts w:ascii="Arial" w:cs="Arial" w:eastAsia="Arial" w:hAnsi="Arial"/>
                <w:sz w:val="16"/>
                <w:szCs w:val="16"/>
                <w:b w:val="1"/>
                <w:bCs w:val="1"/>
                <w:color w:val="auto"/>
                <w:w w:val="99"/>
              </w:rPr>
              <w:t>14,344,132</w:t>
            </w:r>
          </w:p>
        </w:tc>
      </w:tr>
      <w:tr>
        <w:trPr>
          <w:trHeight w:val="189"/>
        </w:trPr>
        <w:tc>
          <w:tcPr>
            <w:tcW w:w="1480" w:type="dxa"/>
            <w:vAlign w:val="bottom"/>
          </w:tcPr>
          <w:p>
            <w:pPr>
              <w:spacing w:after="0"/>
              <w:rPr>
                <w:sz w:val="20"/>
                <w:szCs w:val="20"/>
                <w:color w:val="auto"/>
              </w:rPr>
            </w:pPr>
            <w:r>
              <w:rPr>
                <w:rFonts w:ascii="Arial" w:cs="Arial" w:eastAsia="Arial" w:hAnsi="Arial"/>
                <w:sz w:val="16"/>
                <w:szCs w:val="16"/>
                <w:color w:val="auto"/>
              </w:rPr>
              <w:t>2024</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990,266</w:t>
            </w:r>
          </w:p>
        </w:tc>
        <w:tc>
          <w:tcPr>
            <w:tcW w:w="240" w:type="dxa"/>
            <w:vAlign w:val="bottom"/>
          </w:tcPr>
          <w:p>
            <w:pPr>
              <w:spacing w:after="0"/>
              <w:rPr>
                <w:sz w:val="16"/>
                <w:szCs w:val="16"/>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4,800,012</w:t>
            </w:r>
          </w:p>
        </w:tc>
        <w:tc>
          <w:tcPr>
            <w:tcW w:w="20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w w:val="98"/>
              </w:rPr>
              <w:t>1,199,995</w:t>
            </w:r>
          </w:p>
        </w:tc>
        <w:tc>
          <w:tcPr>
            <w:tcW w:w="480" w:type="dxa"/>
            <w:vAlign w:val="bottom"/>
          </w:tcPr>
          <w:p>
            <w:pPr>
              <w:spacing w:after="0"/>
              <w:rPr>
                <w:sz w:val="16"/>
                <w:szCs w:val="16"/>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406,125</w:t>
            </w:r>
          </w:p>
        </w:tc>
        <w:tc>
          <w:tcPr>
            <w:tcW w:w="132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1120" w:type="dxa"/>
            <w:vAlign w:val="bottom"/>
          </w:tcPr>
          <w:p>
            <w:pPr>
              <w:jc w:val="right"/>
              <w:ind w:right="300"/>
              <w:spacing w:after="0"/>
              <w:rPr>
                <w:sz w:val="20"/>
                <w:szCs w:val="20"/>
                <w:color w:val="auto"/>
              </w:rPr>
            </w:pPr>
            <w:r>
              <w:rPr>
                <w:rFonts w:ascii="Arial" w:cs="Arial" w:eastAsia="Arial" w:hAnsi="Arial"/>
                <w:sz w:val="16"/>
                <w:szCs w:val="16"/>
                <w:color w:val="auto"/>
              </w:rPr>
              <w:t>41,363</w:t>
            </w: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7,437,761</w:t>
            </w:r>
          </w:p>
        </w:tc>
      </w:tr>
      <w:tr>
        <w:trPr>
          <w:trHeight w:val="203"/>
        </w:trPr>
        <w:tc>
          <w:tcPr>
            <w:tcW w:w="1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2023</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945,106</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3,200,052</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799,988</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377,625</w:t>
            </w:r>
          </w:p>
        </w:tc>
        <w:tc>
          <w:tcPr>
            <w:tcW w:w="1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38,181</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5,360,952</w:t>
            </w:r>
          </w:p>
        </w:tc>
      </w:tr>
      <w:tr>
        <w:trPr>
          <w:trHeight w:val="168"/>
        </w:trPr>
        <w:tc>
          <w:tcPr>
            <w:tcW w:w="1480" w:type="dxa"/>
            <w:vAlign w:val="bottom"/>
          </w:tcPr>
          <w:p>
            <w:pPr>
              <w:spacing w:after="0" w:line="168" w:lineRule="exact"/>
              <w:rPr>
                <w:sz w:val="20"/>
                <w:szCs w:val="20"/>
                <w:color w:val="auto"/>
              </w:rPr>
            </w:pPr>
            <w:r>
              <w:rPr>
                <w:rFonts w:ascii="Arial" w:cs="Arial" w:eastAsia="Arial" w:hAnsi="Arial"/>
                <w:sz w:val="16"/>
                <w:szCs w:val="16"/>
                <w:b w:val="1"/>
                <w:bCs w:val="1"/>
                <w:color w:val="003A70"/>
              </w:rPr>
              <w:t>Jason P. Marino</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6"/>
        </w:trPr>
        <w:tc>
          <w:tcPr>
            <w:tcW w:w="4640" w:type="dxa"/>
            <w:vAlign w:val="bottom"/>
            <w:tcBorders>
              <w:bottom w:val="single" w:sz="8" w:color="auto"/>
            </w:tcBorders>
            <w:gridSpan w:val="6"/>
          </w:tcPr>
          <w:p>
            <w:pPr>
              <w:spacing w:after="0"/>
              <w:rPr>
                <w:sz w:val="20"/>
                <w:szCs w:val="20"/>
                <w:color w:val="auto"/>
              </w:rPr>
            </w:pPr>
            <w:r>
              <w:rPr>
                <w:rFonts w:ascii="Arial" w:cs="Arial" w:eastAsia="Arial" w:hAnsi="Arial"/>
                <w:sz w:val="16"/>
                <w:szCs w:val="16"/>
                <w:color w:val="auto"/>
              </w:rPr>
              <w:t>Executive Vice President and Chief Financial Officer</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6"/>
                <w:szCs w:val="16"/>
                <w:color w:val="auto"/>
              </w:rPr>
              <w:t>2025</w:t>
            </w:r>
          </w:p>
        </w:tc>
        <w:tc>
          <w:tcPr>
            <w:tcW w:w="840" w:type="dxa"/>
            <w:vAlign w:val="bottom"/>
          </w:tcPr>
          <w:p>
            <w:pPr>
              <w:jc w:val="right"/>
              <w:ind w:right="60"/>
              <w:spacing w:after="0" w:line="169" w:lineRule="exact"/>
              <w:rPr>
                <w:sz w:val="20"/>
                <w:szCs w:val="20"/>
                <w:color w:val="auto"/>
              </w:rPr>
            </w:pPr>
            <w:r>
              <w:rPr>
                <w:rFonts w:ascii="Arial" w:cs="Arial" w:eastAsia="Arial" w:hAnsi="Arial"/>
                <w:sz w:val="16"/>
                <w:szCs w:val="16"/>
                <w:color w:val="auto"/>
              </w:rPr>
              <w:t>$575,000</w:t>
            </w: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line="169" w:lineRule="exact"/>
              <w:rPr>
                <w:sz w:val="20"/>
                <w:szCs w:val="20"/>
                <w:color w:val="auto"/>
              </w:rPr>
            </w:pPr>
            <w:r>
              <w:rPr>
                <w:rFonts w:ascii="Arial" w:cs="Arial" w:eastAsia="Arial" w:hAnsi="Arial"/>
                <w:sz w:val="16"/>
                <w:szCs w:val="16"/>
                <w:color w:val="auto"/>
              </w:rPr>
              <w:t>1,679,957</w:t>
            </w:r>
          </w:p>
        </w:tc>
        <w:tc>
          <w:tcPr>
            <w:tcW w:w="200" w:type="dxa"/>
            <w:vAlign w:val="bottom"/>
          </w:tcPr>
          <w:p>
            <w:pPr>
              <w:ind w:left="100"/>
              <w:spacing w:after="0" w:line="169"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ind w:right="160"/>
              <w:spacing w:after="0" w:line="169" w:lineRule="exact"/>
              <w:rPr>
                <w:sz w:val="20"/>
                <w:szCs w:val="20"/>
                <w:color w:val="auto"/>
              </w:rPr>
            </w:pPr>
            <w:r>
              <w:rPr>
                <w:rFonts w:ascii="Arial" w:cs="Arial" w:eastAsia="Arial" w:hAnsi="Arial"/>
                <w:sz w:val="16"/>
                <w:szCs w:val="16"/>
                <w:color w:val="auto"/>
              </w:rPr>
              <w:t>419,998</w:t>
            </w:r>
          </w:p>
        </w:tc>
        <w:tc>
          <w:tcPr>
            <w:tcW w:w="480" w:type="dxa"/>
            <w:vAlign w:val="bottom"/>
          </w:tcPr>
          <w:p>
            <w:pPr>
              <w:ind w:left="400"/>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425,500</w:t>
            </w:r>
          </w:p>
        </w:tc>
        <w:tc>
          <w:tcPr>
            <w:tcW w:w="1320" w:type="dxa"/>
            <w:vAlign w:val="bottom"/>
          </w:tcPr>
          <w:p>
            <w:pPr>
              <w:ind w:left="900"/>
              <w:spacing w:after="0" w:line="169" w:lineRule="exact"/>
              <w:rPr>
                <w:sz w:val="20"/>
                <w:szCs w:val="20"/>
                <w:color w:val="auto"/>
              </w:rPr>
            </w:pPr>
            <w:r>
              <w:rPr>
                <w:rFonts w:ascii="Arial" w:cs="Arial" w:eastAsia="Arial" w:hAnsi="Arial"/>
                <w:sz w:val="16"/>
                <w:szCs w:val="16"/>
                <w:color w:val="auto"/>
              </w:rPr>
              <w:t>$</w:t>
            </w:r>
          </w:p>
        </w:tc>
        <w:tc>
          <w:tcPr>
            <w:tcW w:w="7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300"/>
              <w:spacing w:after="0" w:line="169" w:lineRule="exact"/>
              <w:rPr>
                <w:sz w:val="20"/>
                <w:szCs w:val="20"/>
                <w:color w:val="auto"/>
              </w:rPr>
            </w:pPr>
            <w:r>
              <w:rPr>
                <w:rFonts w:ascii="Arial" w:cs="Arial" w:eastAsia="Arial" w:hAnsi="Arial"/>
                <w:sz w:val="16"/>
                <w:szCs w:val="16"/>
                <w:color w:val="auto"/>
              </w:rPr>
              <w:t>33,977</w:t>
            </w:r>
          </w:p>
        </w:tc>
        <w:tc>
          <w:tcPr>
            <w:tcW w:w="4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3,134,432</w:t>
            </w:r>
          </w:p>
        </w:tc>
      </w:tr>
      <w:tr>
        <w:trPr>
          <w:trHeight w:val="189"/>
        </w:trPr>
        <w:tc>
          <w:tcPr>
            <w:tcW w:w="1480" w:type="dxa"/>
            <w:vAlign w:val="bottom"/>
          </w:tcPr>
          <w:p>
            <w:pPr>
              <w:spacing w:after="0"/>
              <w:rPr>
                <w:sz w:val="20"/>
                <w:szCs w:val="20"/>
                <w:color w:val="auto"/>
              </w:rPr>
            </w:pPr>
            <w:r>
              <w:rPr>
                <w:rFonts w:ascii="Arial" w:cs="Arial" w:eastAsia="Arial" w:hAnsi="Arial"/>
                <w:sz w:val="16"/>
                <w:szCs w:val="16"/>
                <w:color w:val="auto"/>
              </w:rPr>
              <w:t>2024</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515,754</w:t>
            </w:r>
          </w:p>
        </w:tc>
        <w:tc>
          <w:tcPr>
            <w:tcW w:w="240" w:type="dxa"/>
            <w:vAlign w:val="bottom"/>
          </w:tcPr>
          <w:p>
            <w:pPr>
              <w:spacing w:after="0"/>
              <w:rPr>
                <w:sz w:val="16"/>
                <w:szCs w:val="16"/>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1,279,981</w:t>
            </w:r>
          </w:p>
        </w:tc>
        <w:tc>
          <w:tcPr>
            <w:tcW w:w="20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319,985</w:t>
            </w:r>
          </w:p>
        </w:tc>
        <w:tc>
          <w:tcPr>
            <w:tcW w:w="480" w:type="dxa"/>
            <w:vAlign w:val="bottom"/>
          </w:tcPr>
          <w:p>
            <w:pPr>
              <w:spacing w:after="0"/>
              <w:rPr>
                <w:sz w:val="16"/>
                <w:szCs w:val="16"/>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142,500</w:t>
            </w:r>
          </w:p>
        </w:tc>
        <w:tc>
          <w:tcPr>
            <w:tcW w:w="132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1120" w:type="dxa"/>
            <w:vAlign w:val="bottom"/>
          </w:tcPr>
          <w:p>
            <w:pPr>
              <w:jc w:val="right"/>
              <w:ind w:right="300"/>
              <w:spacing w:after="0"/>
              <w:rPr>
                <w:sz w:val="20"/>
                <w:szCs w:val="20"/>
                <w:color w:val="auto"/>
              </w:rPr>
            </w:pPr>
            <w:r>
              <w:rPr>
                <w:rFonts w:ascii="Arial" w:cs="Arial" w:eastAsia="Arial" w:hAnsi="Arial"/>
                <w:sz w:val="16"/>
                <w:szCs w:val="16"/>
                <w:color w:val="auto"/>
              </w:rPr>
              <w:t>21,616</w:t>
            </w: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2,279,836</w:t>
            </w:r>
          </w:p>
        </w:tc>
      </w:tr>
      <w:tr>
        <w:trPr>
          <w:trHeight w:val="203"/>
        </w:trPr>
        <w:tc>
          <w:tcPr>
            <w:tcW w:w="1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2023</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371,180</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500,055</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59,195</w:t>
            </w:r>
          </w:p>
        </w:tc>
        <w:tc>
          <w:tcPr>
            <w:tcW w:w="1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17,694</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948,124</w:t>
            </w:r>
          </w:p>
        </w:tc>
      </w:tr>
      <w:tr>
        <w:trPr>
          <w:trHeight w:val="168"/>
        </w:trPr>
        <w:tc>
          <w:tcPr>
            <w:tcW w:w="1480" w:type="dxa"/>
            <w:vAlign w:val="bottom"/>
          </w:tcPr>
          <w:p>
            <w:pPr>
              <w:spacing w:after="0" w:line="168" w:lineRule="exact"/>
              <w:rPr>
                <w:sz w:val="20"/>
                <w:szCs w:val="20"/>
                <w:color w:val="auto"/>
              </w:rPr>
            </w:pPr>
            <w:r>
              <w:rPr>
                <w:rFonts w:ascii="Arial" w:cs="Arial" w:eastAsia="Arial" w:hAnsi="Arial"/>
                <w:sz w:val="16"/>
                <w:szCs w:val="16"/>
                <w:b w:val="1"/>
                <w:bCs w:val="1"/>
                <w:color w:val="003A70"/>
              </w:rPr>
              <w:t>Brian E. Miller</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7"/>
        </w:trPr>
        <w:tc>
          <w:tcPr>
            <w:tcW w:w="3480" w:type="dxa"/>
            <w:vAlign w:val="bottom"/>
            <w:tcBorders>
              <w:bottom w:val="single" w:sz="8" w:color="auto"/>
            </w:tcBorders>
            <w:gridSpan w:val="4"/>
          </w:tcPr>
          <w:p>
            <w:pPr>
              <w:spacing w:after="0" w:line="217" w:lineRule="exact"/>
              <w:rPr>
                <w:sz w:val="20"/>
                <w:szCs w:val="20"/>
                <w:color w:val="auto"/>
              </w:rPr>
            </w:pPr>
            <w:r>
              <w:rPr>
                <w:rFonts w:ascii="Arial" w:cs="Arial" w:eastAsia="Arial" w:hAnsi="Arial"/>
                <w:sz w:val="16"/>
                <w:szCs w:val="16"/>
                <w:color w:val="auto"/>
              </w:rPr>
              <w:t>Former President, Vacation Ownership</w:t>
            </w:r>
            <w:r>
              <w:rPr>
                <w:rFonts w:ascii="Arial" w:cs="Arial" w:eastAsia="Arial" w:hAnsi="Arial"/>
                <w:sz w:val="24"/>
                <w:szCs w:val="24"/>
                <w:color w:val="auto"/>
                <w:vertAlign w:val="superscript"/>
              </w:rPr>
              <w:t>(8)</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68"/>
        </w:trPr>
        <w:tc>
          <w:tcPr>
            <w:tcW w:w="1480" w:type="dxa"/>
            <w:vAlign w:val="bottom"/>
          </w:tcPr>
          <w:p>
            <w:pPr>
              <w:spacing w:after="0" w:line="168" w:lineRule="exact"/>
              <w:rPr>
                <w:sz w:val="20"/>
                <w:szCs w:val="20"/>
                <w:color w:val="auto"/>
              </w:rPr>
            </w:pPr>
            <w:r>
              <w:rPr>
                <w:rFonts w:ascii="Arial" w:cs="Arial" w:eastAsia="Arial" w:hAnsi="Arial"/>
                <w:sz w:val="16"/>
                <w:szCs w:val="16"/>
                <w:color w:val="auto"/>
              </w:rPr>
              <w:t>2025</w:t>
            </w:r>
          </w:p>
        </w:tc>
        <w:tc>
          <w:tcPr>
            <w:tcW w:w="8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$841,510</w:t>
            </w:r>
          </w:p>
        </w:tc>
        <w:tc>
          <w:tcPr>
            <w:tcW w:w="24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line="168" w:lineRule="exact"/>
              <w:rPr>
                <w:sz w:val="20"/>
                <w:szCs w:val="20"/>
                <w:color w:val="auto"/>
              </w:rPr>
            </w:pPr>
            <w:r>
              <w:rPr>
                <w:rFonts w:ascii="Arial" w:cs="Arial" w:eastAsia="Arial" w:hAnsi="Arial"/>
                <w:sz w:val="16"/>
                <w:szCs w:val="16"/>
                <w:color w:val="auto"/>
              </w:rPr>
              <w:t>1,600,013</w:t>
            </w:r>
          </w:p>
        </w:tc>
        <w:tc>
          <w:tcPr>
            <w:tcW w:w="200" w:type="dxa"/>
            <w:vAlign w:val="bottom"/>
          </w:tcPr>
          <w:p>
            <w:pPr>
              <w:ind w:left="100"/>
              <w:spacing w:after="0" w:line="168"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ind w:right="160"/>
              <w:spacing w:after="0" w:line="168" w:lineRule="exact"/>
              <w:rPr>
                <w:sz w:val="20"/>
                <w:szCs w:val="20"/>
                <w:color w:val="auto"/>
              </w:rPr>
            </w:pPr>
            <w:r>
              <w:rPr>
                <w:rFonts w:ascii="Arial" w:cs="Arial" w:eastAsia="Arial" w:hAnsi="Arial"/>
                <w:sz w:val="16"/>
                <w:szCs w:val="16"/>
                <w:color w:val="auto"/>
              </w:rPr>
              <w:t>400,001</w:t>
            </w:r>
          </w:p>
        </w:tc>
        <w:tc>
          <w:tcPr>
            <w:tcW w:w="480" w:type="dxa"/>
            <w:vAlign w:val="bottom"/>
          </w:tcPr>
          <w:p>
            <w:pPr>
              <w:ind w:left="400"/>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19"/>
              <w:spacing w:after="0" w:line="168" w:lineRule="exact"/>
              <w:rPr>
                <w:sz w:val="20"/>
                <w:szCs w:val="20"/>
                <w:color w:val="auto"/>
              </w:rPr>
            </w:pPr>
            <w:r>
              <w:rPr>
                <w:rFonts w:ascii="Arial" w:cs="Arial" w:eastAsia="Arial" w:hAnsi="Arial"/>
                <w:sz w:val="16"/>
                <w:szCs w:val="16"/>
                <w:color w:val="auto"/>
              </w:rPr>
              <w:t>622,717</w:t>
            </w:r>
          </w:p>
        </w:tc>
        <w:tc>
          <w:tcPr>
            <w:tcW w:w="1320" w:type="dxa"/>
            <w:vAlign w:val="bottom"/>
          </w:tcPr>
          <w:p>
            <w:pPr>
              <w:ind w:left="900"/>
              <w:spacing w:after="0" w:line="168" w:lineRule="exact"/>
              <w:rPr>
                <w:sz w:val="20"/>
                <w:szCs w:val="20"/>
                <w:color w:val="auto"/>
              </w:rPr>
            </w:pPr>
            <w:r>
              <w:rPr>
                <w:rFonts w:ascii="Arial" w:cs="Arial" w:eastAsia="Arial" w:hAnsi="Arial"/>
                <w:sz w:val="16"/>
                <w:szCs w:val="16"/>
                <w:color w:val="auto"/>
              </w:rPr>
              <w:t>$</w:t>
            </w:r>
          </w:p>
        </w:tc>
        <w:tc>
          <w:tcPr>
            <w:tcW w:w="720" w:type="dxa"/>
            <w:vAlign w:val="bottom"/>
          </w:tcPr>
          <w:p>
            <w:pPr>
              <w:spacing w:after="0" w:line="168"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300"/>
              <w:spacing w:after="0" w:line="168" w:lineRule="exact"/>
              <w:rPr>
                <w:sz w:val="20"/>
                <w:szCs w:val="20"/>
                <w:color w:val="auto"/>
              </w:rPr>
            </w:pPr>
            <w:r>
              <w:rPr>
                <w:rFonts w:ascii="Arial" w:cs="Arial" w:eastAsia="Arial" w:hAnsi="Arial"/>
                <w:sz w:val="16"/>
                <w:szCs w:val="16"/>
                <w:color w:val="auto"/>
              </w:rPr>
              <w:t>29,705</w:t>
            </w:r>
          </w:p>
        </w:tc>
        <w:tc>
          <w:tcPr>
            <w:tcW w:w="4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3,493,946</w:t>
            </w:r>
          </w:p>
        </w:tc>
      </w:tr>
      <w:tr>
        <w:trPr>
          <w:trHeight w:val="189"/>
        </w:trPr>
        <w:tc>
          <w:tcPr>
            <w:tcW w:w="1480" w:type="dxa"/>
            <w:vAlign w:val="bottom"/>
          </w:tcPr>
          <w:p>
            <w:pPr>
              <w:spacing w:after="0"/>
              <w:rPr>
                <w:sz w:val="20"/>
                <w:szCs w:val="20"/>
                <w:color w:val="auto"/>
              </w:rPr>
            </w:pPr>
            <w:r>
              <w:rPr>
                <w:rFonts w:ascii="Arial" w:cs="Arial" w:eastAsia="Arial" w:hAnsi="Arial"/>
                <w:sz w:val="16"/>
                <w:szCs w:val="16"/>
                <w:color w:val="auto"/>
              </w:rPr>
              <w:t>2024</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858,699</w:t>
            </w:r>
          </w:p>
        </w:tc>
        <w:tc>
          <w:tcPr>
            <w:tcW w:w="240" w:type="dxa"/>
            <w:vAlign w:val="bottom"/>
          </w:tcPr>
          <w:p>
            <w:pPr>
              <w:spacing w:after="0"/>
              <w:rPr>
                <w:sz w:val="16"/>
                <w:szCs w:val="16"/>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1,400,064</w:t>
            </w:r>
          </w:p>
        </w:tc>
        <w:tc>
          <w:tcPr>
            <w:tcW w:w="20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349,999</w:t>
            </w:r>
          </w:p>
        </w:tc>
        <w:tc>
          <w:tcPr>
            <w:tcW w:w="480" w:type="dxa"/>
            <w:vAlign w:val="bottom"/>
          </w:tcPr>
          <w:p>
            <w:pPr>
              <w:spacing w:after="0"/>
              <w:rPr>
                <w:sz w:val="16"/>
                <w:szCs w:val="16"/>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232,845</w:t>
            </w:r>
          </w:p>
        </w:tc>
        <w:tc>
          <w:tcPr>
            <w:tcW w:w="132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1120" w:type="dxa"/>
            <w:vAlign w:val="bottom"/>
          </w:tcPr>
          <w:p>
            <w:pPr>
              <w:jc w:val="right"/>
              <w:ind w:right="300"/>
              <w:spacing w:after="0"/>
              <w:rPr>
                <w:sz w:val="20"/>
                <w:szCs w:val="20"/>
                <w:color w:val="auto"/>
              </w:rPr>
            </w:pPr>
            <w:r>
              <w:rPr>
                <w:rFonts w:ascii="Arial" w:cs="Arial" w:eastAsia="Arial" w:hAnsi="Arial"/>
                <w:sz w:val="16"/>
                <w:szCs w:val="16"/>
                <w:color w:val="auto"/>
              </w:rPr>
              <w:t>34,673</w:t>
            </w: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2,876,280</w:t>
            </w:r>
          </w:p>
        </w:tc>
      </w:tr>
      <w:tr>
        <w:trPr>
          <w:trHeight w:val="203"/>
        </w:trPr>
        <w:tc>
          <w:tcPr>
            <w:tcW w:w="1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2023</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817,000</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1,200,074</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299,988</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216,505</w:t>
            </w:r>
          </w:p>
        </w:tc>
        <w:tc>
          <w:tcPr>
            <w:tcW w:w="1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34,964</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2,568,531</w:t>
            </w:r>
          </w:p>
        </w:tc>
      </w:tr>
      <w:tr>
        <w:trPr>
          <w:trHeight w:val="168"/>
        </w:trPr>
        <w:tc>
          <w:tcPr>
            <w:tcW w:w="1480" w:type="dxa"/>
            <w:vAlign w:val="bottom"/>
          </w:tcPr>
          <w:p>
            <w:pPr>
              <w:spacing w:after="0" w:line="168" w:lineRule="exact"/>
              <w:rPr>
                <w:sz w:val="20"/>
                <w:szCs w:val="20"/>
                <w:color w:val="auto"/>
              </w:rPr>
            </w:pPr>
            <w:r>
              <w:rPr>
                <w:rFonts w:ascii="Arial" w:cs="Arial" w:eastAsia="Arial" w:hAnsi="Arial"/>
                <w:sz w:val="16"/>
                <w:szCs w:val="16"/>
                <w:b w:val="1"/>
                <w:bCs w:val="1"/>
                <w:color w:val="003A70"/>
              </w:rPr>
              <w:t>James H Hunter, IV</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7"/>
        </w:trPr>
        <w:tc>
          <w:tcPr>
            <w:tcW w:w="4640" w:type="dxa"/>
            <w:vAlign w:val="bottom"/>
            <w:tcBorders>
              <w:bottom w:val="single" w:sz="8" w:color="auto"/>
            </w:tcBorders>
            <w:gridSpan w:val="6"/>
          </w:tcPr>
          <w:p>
            <w:pPr>
              <w:spacing w:after="0" w:line="217" w:lineRule="exact"/>
              <w:rPr>
                <w:sz w:val="20"/>
                <w:szCs w:val="20"/>
                <w:color w:val="auto"/>
              </w:rPr>
            </w:pPr>
            <w:r>
              <w:rPr>
                <w:rFonts w:ascii="Arial" w:cs="Arial" w:eastAsia="Arial" w:hAnsi="Arial"/>
                <w:sz w:val="16"/>
                <w:szCs w:val="16"/>
                <w:color w:val="auto"/>
              </w:rPr>
              <w:t>Former Executive Vice President and General Counsel</w:t>
            </w:r>
            <w:r>
              <w:rPr>
                <w:rFonts w:ascii="Arial" w:cs="Arial" w:eastAsia="Arial" w:hAnsi="Arial"/>
                <w:sz w:val="24"/>
                <w:szCs w:val="24"/>
                <w:color w:val="auto"/>
                <w:vertAlign w:val="superscript"/>
              </w:rPr>
              <w:t>(9)</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68"/>
        </w:trPr>
        <w:tc>
          <w:tcPr>
            <w:tcW w:w="1480" w:type="dxa"/>
            <w:vAlign w:val="bottom"/>
          </w:tcPr>
          <w:p>
            <w:pPr>
              <w:spacing w:after="0" w:line="168" w:lineRule="exact"/>
              <w:rPr>
                <w:sz w:val="20"/>
                <w:szCs w:val="20"/>
                <w:color w:val="auto"/>
              </w:rPr>
            </w:pPr>
            <w:r>
              <w:rPr>
                <w:rFonts w:ascii="Arial" w:cs="Arial" w:eastAsia="Arial" w:hAnsi="Arial"/>
                <w:sz w:val="16"/>
                <w:szCs w:val="16"/>
                <w:color w:val="auto"/>
              </w:rPr>
              <w:t>2025</w:t>
            </w:r>
          </w:p>
        </w:tc>
        <w:tc>
          <w:tcPr>
            <w:tcW w:w="8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$500,168</w:t>
            </w:r>
          </w:p>
        </w:tc>
        <w:tc>
          <w:tcPr>
            <w:tcW w:w="24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line="168" w:lineRule="exact"/>
              <w:rPr>
                <w:sz w:val="20"/>
                <w:szCs w:val="20"/>
                <w:color w:val="auto"/>
              </w:rPr>
            </w:pPr>
            <w:r>
              <w:rPr>
                <w:rFonts w:ascii="Arial" w:cs="Arial" w:eastAsia="Arial" w:hAnsi="Arial"/>
                <w:sz w:val="16"/>
                <w:szCs w:val="16"/>
                <w:color w:val="auto"/>
              </w:rPr>
              <w:t>1,120,035</w:t>
            </w:r>
          </w:p>
        </w:tc>
        <w:tc>
          <w:tcPr>
            <w:tcW w:w="200" w:type="dxa"/>
            <w:vAlign w:val="bottom"/>
          </w:tcPr>
          <w:p>
            <w:pPr>
              <w:ind w:left="100"/>
              <w:spacing w:after="0" w:line="168"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ind w:right="160"/>
              <w:spacing w:after="0" w:line="168" w:lineRule="exact"/>
              <w:rPr>
                <w:sz w:val="20"/>
                <w:szCs w:val="20"/>
                <w:color w:val="auto"/>
              </w:rPr>
            </w:pPr>
            <w:r>
              <w:rPr>
                <w:rFonts w:ascii="Arial" w:cs="Arial" w:eastAsia="Arial" w:hAnsi="Arial"/>
                <w:sz w:val="16"/>
                <w:szCs w:val="16"/>
                <w:color w:val="auto"/>
              </w:rPr>
              <w:t>279,998</w:t>
            </w:r>
          </w:p>
        </w:tc>
        <w:tc>
          <w:tcPr>
            <w:tcW w:w="480" w:type="dxa"/>
            <w:vAlign w:val="bottom"/>
          </w:tcPr>
          <w:p>
            <w:pPr>
              <w:ind w:left="400"/>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19"/>
              <w:spacing w:after="0" w:line="168" w:lineRule="exact"/>
              <w:rPr>
                <w:sz w:val="20"/>
                <w:szCs w:val="20"/>
                <w:color w:val="auto"/>
              </w:rPr>
            </w:pPr>
            <w:r>
              <w:rPr>
                <w:rFonts w:ascii="Arial" w:cs="Arial" w:eastAsia="Arial" w:hAnsi="Arial"/>
                <w:sz w:val="16"/>
                <w:szCs w:val="16"/>
                <w:color w:val="auto"/>
              </w:rPr>
              <w:t>336,476</w:t>
            </w:r>
          </w:p>
        </w:tc>
        <w:tc>
          <w:tcPr>
            <w:tcW w:w="1320" w:type="dxa"/>
            <w:vAlign w:val="bottom"/>
          </w:tcPr>
          <w:p>
            <w:pPr>
              <w:ind w:left="900"/>
              <w:spacing w:after="0" w:line="168" w:lineRule="exact"/>
              <w:rPr>
                <w:sz w:val="20"/>
                <w:szCs w:val="20"/>
                <w:color w:val="auto"/>
              </w:rPr>
            </w:pPr>
            <w:r>
              <w:rPr>
                <w:rFonts w:ascii="Arial" w:cs="Arial" w:eastAsia="Arial" w:hAnsi="Arial"/>
                <w:sz w:val="16"/>
                <w:szCs w:val="16"/>
                <w:color w:val="auto"/>
              </w:rPr>
              <w:t>$</w:t>
            </w:r>
          </w:p>
        </w:tc>
        <w:tc>
          <w:tcPr>
            <w:tcW w:w="720" w:type="dxa"/>
            <w:vAlign w:val="bottom"/>
          </w:tcPr>
          <w:p>
            <w:pPr>
              <w:spacing w:after="0" w:line="168"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300"/>
              <w:spacing w:after="0" w:line="168" w:lineRule="exact"/>
              <w:rPr>
                <w:sz w:val="20"/>
                <w:szCs w:val="20"/>
                <w:color w:val="auto"/>
              </w:rPr>
            </w:pPr>
            <w:r>
              <w:rPr>
                <w:rFonts w:ascii="Arial" w:cs="Arial" w:eastAsia="Arial" w:hAnsi="Arial"/>
                <w:sz w:val="16"/>
                <w:szCs w:val="16"/>
                <w:color w:val="auto"/>
              </w:rPr>
              <w:t>25,616</w:t>
            </w:r>
          </w:p>
        </w:tc>
        <w:tc>
          <w:tcPr>
            <w:tcW w:w="4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2,262,293</w:t>
            </w:r>
          </w:p>
        </w:tc>
      </w:tr>
      <w:tr>
        <w:trPr>
          <w:trHeight w:val="189"/>
        </w:trPr>
        <w:tc>
          <w:tcPr>
            <w:tcW w:w="1480" w:type="dxa"/>
            <w:vAlign w:val="bottom"/>
          </w:tcPr>
          <w:p>
            <w:pPr>
              <w:spacing w:after="0"/>
              <w:rPr>
                <w:sz w:val="20"/>
                <w:szCs w:val="20"/>
                <w:color w:val="auto"/>
              </w:rPr>
            </w:pPr>
            <w:r>
              <w:rPr>
                <w:rFonts w:ascii="Arial" w:cs="Arial" w:eastAsia="Arial" w:hAnsi="Arial"/>
                <w:sz w:val="16"/>
                <w:szCs w:val="16"/>
                <w:color w:val="auto"/>
              </w:rPr>
              <w:t>2024</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513,468</w:t>
            </w:r>
          </w:p>
        </w:tc>
        <w:tc>
          <w:tcPr>
            <w:tcW w:w="240" w:type="dxa"/>
            <w:vAlign w:val="bottom"/>
          </w:tcPr>
          <w:p>
            <w:pPr>
              <w:spacing w:after="0"/>
              <w:rPr>
                <w:sz w:val="16"/>
                <w:szCs w:val="16"/>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1,000,070</w:t>
            </w:r>
          </w:p>
        </w:tc>
        <w:tc>
          <w:tcPr>
            <w:tcW w:w="200" w:type="dxa"/>
            <w:vAlign w:val="bottom"/>
          </w:tcPr>
          <w:p>
            <w:pPr>
              <w:spacing w:after="0"/>
              <w:rPr>
                <w:sz w:val="16"/>
                <w:szCs w:val="16"/>
                <w:color w:val="auto"/>
              </w:rPr>
            </w:pPr>
          </w:p>
        </w:tc>
        <w:tc>
          <w:tcPr>
            <w:tcW w:w="960" w:type="dxa"/>
            <w:vAlign w:val="bottom"/>
          </w:tcPr>
          <w:p>
            <w:pPr>
              <w:jc w:val="right"/>
              <w:ind w:right="160"/>
              <w:spacing w:after="0"/>
              <w:rPr>
                <w:sz w:val="20"/>
                <w:szCs w:val="20"/>
                <w:color w:val="auto"/>
              </w:rPr>
            </w:pPr>
            <w:r>
              <w:rPr>
                <w:rFonts w:ascii="Arial" w:cs="Arial" w:eastAsia="Arial" w:hAnsi="Arial"/>
                <w:sz w:val="16"/>
                <w:szCs w:val="16"/>
                <w:color w:val="auto"/>
              </w:rPr>
              <w:t>249,999</w:t>
            </w:r>
          </w:p>
        </w:tc>
        <w:tc>
          <w:tcPr>
            <w:tcW w:w="480" w:type="dxa"/>
            <w:vAlign w:val="bottom"/>
          </w:tcPr>
          <w:p>
            <w:pPr>
              <w:spacing w:after="0"/>
              <w:rPr>
                <w:sz w:val="16"/>
                <w:szCs w:val="16"/>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138,396</w:t>
            </w:r>
          </w:p>
        </w:tc>
        <w:tc>
          <w:tcPr>
            <w:tcW w:w="132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1120" w:type="dxa"/>
            <w:vAlign w:val="bottom"/>
          </w:tcPr>
          <w:p>
            <w:pPr>
              <w:jc w:val="right"/>
              <w:ind w:right="300"/>
              <w:spacing w:after="0"/>
              <w:rPr>
                <w:sz w:val="20"/>
                <w:szCs w:val="20"/>
                <w:color w:val="auto"/>
              </w:rPr>
            </w:pPr>
            <w:r>
              <w:rPr>
                <w:rFonts w:ascii="Arial" w:cs="Arial" w:eastAsia="Arial" w:hAnsi="Arial"/>
                <w:sz w:val="16"/>
                <w:szCs w:val="16"/>
                <w:color w:val="auto"/>
              </w:rPr>
              <w:t>34,821</w:t>
            </w: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1,936,754</w:t>
            </w:r>
          </w:p>
        </w:tc>
      </w:tr>
      <w:tr>
        <w:trPr>
          <w:trHeight w:val="203"/>
        </w:trPr>
        <w:tc>
          <w:tcPr>
            <w:tcW w:w="1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2023</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485,600</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800,050</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200,012</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115,816</w:t>
            </w:r>
          </w:p>
        </w:tc>
        <w:tc>
          <w:tcPr>
            <w:tcW w:w="1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24,335</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1,625,813</w:t>
            </w:r>
          </w:p>
        </w:tc>
      </w:tr>
      <w:tr>
        <w:trPr>
          <w:trHeight w:val="168"/>
        </w:trPr>
        <w:tc>
          <w:tcPr>
            <w:tcW w:w="1480" w:type="dxa"/>
            <w:vAlign w:val="bottom"/>
          </w:tcPr>
          <w:p>
            <w:pPr>
              <w:spacing w:after="0" w:line="168" w:lineRule="exact"/>
              <w:rPr>
                <w:sz w:val="20"/>
                <w:szCs w:val="20"/>
                <w:color w:val="auto"/>
              </w:rPr>
            </w:pPr>
            <w:r>
              <w:rPr>
                <w:rFonts w:ascii="Arial" w:cs="Arial" w:eastAsia="Arial" w:hAnsi="Arial"/>
                <w:sz w:val="16"/>
                <w:szCs w:val="16"/>
                <w:b w:val="1"/>
                <w:bCs w:val="1"/>
                <w:color w:val="003A70"/>
              </w:rPr>
              <w:t>Lori M. Gustafson</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6"/>
        </w:trPr>
        <w:tc>
          <w:tcPr>
            <w:tcW w:w="6120" w:type="dxa"/>
            <w:vAlign w:val="bottom"/>
            <w:tcBorders>
              <w:bottom w:val="single" w:sz="8" w:color="auto"/>
            </w:tcBorders>
            <w:gridSpan w:val="8"/>
          </w:tcPr>
          <w:p>
            <w:pPr>
              <w:spacing w:after="0"/>
              <w:rPr>
                <w:sz w:val="20"/>
                <w:szCs w:val="20"/>
                <w:color w:val="auto"/>
              </w:rPr>
            </w:pPr>
            <w:r>
              <w:rPr>
                <w:rFonts w:ascii="Arial" w:cs="Arial" w:eastAsia="Arial" w:hAnsi="Arial"/>
                <w:sz w:val="16"/>
                <w:szCs w:val="16"/>
                <w:color w:val="auto"/>
              </w:rPr>
              <w:t>Executive Vice President and Chief Membership and Commercial Services Officer</w:t>
            </w:r>
          </w:p>
        </w:tc>
        <w:tc>
          <w:tcPr>
            <w:tcW w:w="1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6"/>
                <w:szCs w:val="16"/>
                <w:color w:val="auto"/>
              </w:rPr>
              <w:t>2025</w:t>
            </w:r>
          </w:p>
        </w:tc>
        <w:tc>
          <w:tcPr>
            <w:tcW w:w="840" w:type="dxa"/>
            <w:vAlign w:val="bottom"/>
          </w:tcPr>
          <w:p>
            <w:pPr>
              <w:jc w:val="right"/>
              <w:ind w:right="60"/>
              <w:spacing w:after="0" w:line="169" w:lineRule="exact"/>
              <w:rPr>
                <w:sz w:val="20"/>
                <w:szCs w:val="20"/>
                <w:color w:val="auto"/>
              </w:rPr>
            </w:pPr>
            <w:r>
              <w:rPr>
                <w:rFonts w:ascii="Arial" w:cs="Arial" w:eastAsia="Arial" w:hAnsi="Arial"/>
                <w:sz w:val="16"/>
                <w:szCs w:val="16"/>
                <w:color w:val="auto"/>
              </w:rPr>
              <w:t>$475,000</w:t>
            </w: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line="169" w:lineRule="exact"/>
              <w:rPr>
                <w:sz w:val="20"/>
                <w:szCs w:val="20"/>
                <w:color w:val="auto"/>
              </w:rPr>
            </w:pPr>
            <w:r>
              <w:rPr>
                <w:rFonts w:ascii="Arial" w:cs="Arial" w:eastAsia="Arial" w:hAnsi="Arial"/>
                <w:sz w:val="16"/>
                <w:szCs w:val="16"/>
                <w:color w:val="auto"/>
              </w:rPr>
              <w:t>720,000</w:t>
            </w:r>
          </w:p>
        </w:tc>
        <w:tc>
          <w:tcPr>
            <w:tcW w:w="200" w:type="dxa"/>
            <w:vAlign w:val="bottom"/>
          </w:tcPr>
          <w:p>
            <w:pPr>
              <w:ind w:left="100"/>
              <w:spacing w:after="0" w:line="169"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ind w:right="160"/>
              <w:spacing w:after="0" w:line="169" w:lineRule="exact"/>
              <w:rPr>
                <w:sz w:val="20"/>
                <w:szCs w:val="20"/>
                <w:color w:val="auto"/>
              </w:rPr>
            </w:pPr>
            <w:r>
              <w:rPr>
                <w:rFonts w:ascii="Arial" w:cs="Arial" w:eastAsia="Arial" w:hAnsi="Arial"/>
                <w:sz w:val="16"/>
                <w:szCs w:val="16"/>
                <w:color w:val="auto"/>
              </w:rPr>
              <w:t>179,992</w:t>
            </w:r>
          </w:p>
        </w:tc>
        <w:tc>
          <w:tcPr>
            <w:tcW w:w="480" w:type="dxa"/>
            <w:vAlign w:val="bottom"/>
          </w:tcPr>
          <w:p>
            <w:pPr>
              <w:ind w:left="400"/>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19"/>
              <w:spacing w:after="0" w:line="169" w:lineRule="exact"/>
              <w:rPr>
                <w:sz w:val="20"/>
                <w:szCs w:val="20"/>
                <w:color w:val="auto"/>
              </w:rPr>
            </w:pPr>
            <w:r>
              <w:rPr>
                <w:rFonts w:ascii="Arial" w:cs="Arial" w:eastAsia="Arial" w:hAnsi="Arial"/>
                <w:sz w:val="16"/>
                <w:szCs w:val="16"/>
                <w:color w:val="auto"/>
              </w:rPr>
              <w:t>319,545</w:t>
            </w:r>
          </w:p>
        </w:tc>
        <w:tc>
          <w:tcPr>
            <w:tcW w:w="1320" w:type="dxa"/>
            <w:vAlign w:val="bottom"/>
          </w:tcPr>
          <w:p>
            <w:pPr>
              <w:ind w:left="900"/>
              <w:spacing w:after="0" w:line="169" w:lineRule="exact"/>
              <w:rPr>
                <w:sz w:val="20"/>
                <w:szCs w:val="20"/>
                <w:color w:val="auto"/>
              </w:rPr>
            </w:pPr>
            <w:r>
              <w:rPr>
                <w:rFonts w:ascii="Arial" w:cs="Arial" w:eastAsia="Arial" w:hAnsi="Arial"/>
                <w:sz w:val="16"/>
                <w:szCs w:val="16"/>
                <w:color w:val="auto"/>
              </w:rPr>
              <w:t>$</w:t>
            </w:r>
          </w:p>
        </w:tc>
        <w:tc>
          <w:tcPr>
            <w:tcW w:w="7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300"/>
              <w:spacing w:after="0" w:line="169" w:lineRule="exact"/>
              <w:rPr>
                <w:sz w:val="20"/>
                <w:szCs w:val="20"/>
                <w:color w:val="auto"/>
              </w:rPr>
            </w:pPr>
            <w:r>
              <w:rPr>
                <w:rFonts w:ascii="Arial" w:cs="Arial" w:eastAsia="Arial" w:hAnsi="Arial"/>
                <w:sz w:val="16"/>
                <w:szCs w:val="16"/>
                <w:color w:val="auto"/>
              </w:rPr>
              <w:t>26,817</w:t>
            </w:r>
          </w:p>
        </w:tc>
        <w:tc>
          <w:tcPr>
            <w:tcW w:w="4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1,721,354</w:t>
            </w:r>
          </w:p>
        </w:tc>
      </w:tr>
      <w:tr>
        <w:trPr>
          <w:trHeight w:val="203"/>
        </w:trPr>
        <w:tc>
          <w:tcPr>
            <w:tcW w:w="148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2024</w:t>
            </w:r>
          </w:p>
        </w:tc>
        <w:tc>
          <w:tcPr>
            <w:tcW w:w="840" w:type="dxa"/>
            <w:vAlign w:val="bottom"/>
            <w:tcBorders>
              <w:bottom w:val="single" w:sz="8" w:color="003A70"/>
            </w:tcBorders>
          </w:tcPr>
          <w:p>
            <w:pPr>
              <w:jc w:val="right"/>
              <w:ind w:right="60"/>
              <w:spacing w:after="0"/>
              <w:rPr>
                <w:sz w:val="20"/>
                <w:szCs w:val="20"/>
                <w:color w:val="auto"/>
              </w:rPr>
            </w:pPr>
            <w:r>
              <w:rPr>
                <w:rFonts w:ascii="Arial" w:cs="Arial" w:eastAsia="Arial" w:hAnsi="Arial"/>
                <w:sz w:val="16"/>
                <w:szCs w:val="16"/>
                <w:color w:val="auto"/>
              </w:rPr>
              <w:t>458,478</w:t>
            </w:r>
          </w:p>
        </w:tc>
        <w:tc>
          <w:tcPr>
            <w:tcW w:w="240" w:type="dxa"/>
            <w:vAlign w:val="bottom"/>
            <w:tcBorders>
              <w:bottom w:val="single" w:sz="8" w:color="003A70"/>
            </w:tcBorders>
          </w:tcPr>
          <w:p>
            <w:pPr>
              <w:spacing w:after="0"/>
              <w:rPr>
                <w:sz w:val="17"/>
                <w:szCs w:val="17"/>
                <w:color w:val="auto"/>
              </w:rPr>
            </w:pPr>
          </w:p>
        </w:tc>
        <w:tc>
          <w:tcPr>
            <w:tcW w:w="920" w:type="dxa"/>
            <w:vAlign w:val="bottom"/>
            <w:tcBorders>
              <w:bottom w:val="single" w:sz="8" w:color="003A70"/>
            </w:tcBorders>
          </w:tcPr>
          <w:p>
            <w:pPr>
              <w:jc w:val="right"/>
              <w:ind w:right="100"/>
              <w:spacing w:after="0"/>
              <w:rPr>
                <w:sz w:val="20"/>
                <w:szCs w:val="20"/>
                <w:color w:val="auto"/>
              </w:rPr>
            </w:pPr>
            <w:r>
              <w:rPr>
                <w:rFonts w:ascii="Arial" w:cs="Arial" w:eastAsia="Arial" w:hAnsi="Arial"/>
                <w:sz w:val="16"/>
                <w:szCs w:val="16"/>
                <w:color w:val="auto"/>
              </w:rPr>
              <w:t>679,989</w:t>
            </w:r>
          </w:p>
        </w:tc>
        <w:tc>
          <w:tcPr>
            <w:tcW w:w="200" w:type="dxa"/>
            <w:vAlign w:val="bottom"/>
            <w:tcBorders>
              <w:bottom w:val="single" w:sz="8" w:color="003A70"/>
            </w:tcBorders>
          </w:tcPr>
          <w:p>
            <w:pPr>
              <w:spacing w:after="0"/>
              <w:rPr>
                <w:sz w:val="17"/>
                <w:szCs w:val="17"/>
                <w:color w:val="auto"/>
              </w:rPr>
            </w:pPr>
          </w:p>
        </w:tc>
        <w:tc>
          <w:tcPr>
            <w:tcW w:w="960" w:type="dxa"/>
            <w:vAlign w:val="bottom"/>
            <w:tcBorders>
              <w:bottom w:val="single" w:sz="8" w:color="003A70"/>
            </w:tcBorders>
          </w:tcPr>
          <w:p>
            <w:pPr>
              <w:jc w:val="right"/>
              <w:ind w:right="160"/>
              <w:spacing w:after="0"/>
              <w:rPr>
                <w:sz w:val="20"/>
                <w:szCs w:val="20"/>
                <w:color w:val="auto"/>
              </w:rPr>
            </w:pPr>
            <w:r>
              <w:rPr>
                <w:rFonts w:ascii="Arial" w:cs="Arial" w:eastAsia="Arial" w:hAnsi="Arial"/>
                <w:sz w:val="16"/>
                <w:szCs w:val="16"/>
                <w:color w:val="auto"/>
              </w:rPr>
              <w:t>169,985</w:t>
            </w:r>
          </w:p>
        </w:tc>
        <w:tc>
          <w:tcPr>
            <w:tcW w:w="480" w:type="dxa"/>
            <w:vAlign w:val="bottom"/>
            <w:tcBorders>
              <w:bottom w:val="single" w:sz="8" w:color="003A70"/>
            </w:tcBorders>
          </w:tcPr>
          <w:p>
            <w:pPr>
              <w:spacing w:after="0"/>
              <w:rPr>
                <w:sz w:val="17"/>
                <w:szCs w:val="17"/>
                <w:color w:val="auto"/>
              </w:rPr>
            </w:pPr>
          </w:p>
        </w:tc>
        <w:tc>
          <w:tcPr>
            <w:tcW w:w="1000" w:type="dxa"/>
            <w:vAlign w:val="bottom"/>
            <w:tcBorders>
              <w:bottom w:val="single" w:sz="8" w:color="003A70"/>
            </w:tcBorders>
          </w:tcPr>
          <w:p>
            <w:pPr>
              <w:jc w:val="right"/>
              <w:ind w:right="319"/>
              <w:spacing w:after="0"/>
              <w:rPr>
                <w:sz w:val="20"/>
                <w:szCs w:val="20"/>
                <w:color w:val="auto"/>
              </w:rPr>
            </w:pPr>
            <w:r>
              <w:rPr>
                <w:rFonts w:ascii="Arial" w:cs="Arial" w:eastAsia="Arial" w:hAnsi="Arial"/>
                <w:sz w:val="16"/>
                <w:szCs w:val="16"/>
                <w:color w:val="auto"/>
              </w:rPr>
              <w:t>112,988</w:t>
            </w:r>
          </w:p>
        </w:tc>
        <w:tc>
          <w:tcPr>
            <w:tcW w:w="1320" w:type="dxa"/>
            <w:vAlign w:val="bottom"/>
            <w:tcBorders>
              <w:bottom w:val="single" w:sz="8" w:color="003A70"/>
            </w:tcBorders>
          </w:tcPr>
          <w:p>
            <w:pPr>
              <w:spacing w:after="0"/>
              <w:rPr>
                <w:sz w:val="17"/>
                <w:szCs w:val="17"/>
                <w:color w:val="auto"/>
              </w:rPr>
            </w:pPr>
          </w:p>
        </w:tc>
        <w:tc>
          <w:tcPr>
            <w:tcW w:w="72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003A70"/>
            </w:tcBorders>
          </w:tcPr>
          <w:p>
            <w:pPr>
              <w:spacing w:after="0"/>
              <w:rPr>
                <w:sz w:val="17"/>
                <w:szCs w:val="17"/>
                <w:color w:val="auto"/>
              </w:rPr>
            </w:pPr>
          </w:p>
        </w:tc>
        <w:tc>
          <w:tcPr>
            <w:tcW w:w="1120" w:type="dxa"/>
            <w:vAlign w:val="bottom"/>
            <w:tcBorders>
              <w:bottom w:val="single" w:sz="8" w:color="003A70"/>
            </w:tcBorders>
          </w:tcPr>
          <w:p>
            <w:pPr>
              <w:jc w:val="right"/>
              <w:ind w:right="300"/>
              <w:spacing w:after="0"/>
              <w:rPr>
                <w:sz w:val="20"/>
                <w:szCs w:val="20"/>
                <w:color w:val="auto"/>
              </w:rPr>
            </w:pPr>
            <w:r>
              <w:rPr>
                <w:rFonts w:ascii="Arial" w:cs="Arial" w:eastAsia="Arial" w:hAnsi="Arial"/>
                <w:sz w:val="16"/>
                <w:szCs w:val="16"/>
                <w:color w:val="auto"/>
              </w:rPr>
              <w:t>33,879</w:t>
            </w:r>
          </w:p>
        </w:tc>
        <w:tc>
          <w:tcPr>
            <w:tcW w:w="400" w:type="dxa"/>
            <w:vAlign w:val="bottom"/>
            <w:tcBorders>
              <w:bottom w:val="single" w:sz="8" w:color="003A70"/>
            </w:tcBorders>
          </w:tcPr>
          <w:p>
            <w:pPr>
              <w:spacing w:after="0"/>
              <w:rPr>
                <w:sz w:val="17"/>
                <w:szCs w:val="17"/>
                <w:color w:val="auto"/>
              </w:rPr>
            </w:pPr>
          </w:p>
        </w:tc>
        <w:tc>
          <w:tcPr>
            <w:tcW w:w="880" w:type="dxa"/>
            <w:vAlign w:val="bottom"/>
            <w:tcBorders>
              <w:bottom w:val="single" w:sz="8" w:color="003A70"/>
            </w:tcBorders>
          </w:tcPr>
          <w:p>
            <w:pPr>
              <w:jc w:val="right"/>
              <w:spacing w:after="0"/>
              <w:rPr>
                <w:sz w:val="20"/>
                <w:szCs w:val="20"/>
                <w:color w:val="auto"/>
              </w:rPr>
            </w:pPr>
            <w:r>
              <w:rPr>
                <w:rFonts w:ascii="Arial" w:cs="Arial" w:eastAsia="Arial" w:hAnsi="Arial"/>
                <w:sz w:val="16"/>
                <w:szCs w:val="16"/>
                <w:b w:val="1"/>
                <w:bCs w:val="1"/>
                <w:color w:val="auto"/>
              </w:rPr>
              <w:t>1,455,319</w:t>
            </w:r>
          </w:p>
        </w:tc>
      </w:tr>
    </w:tbl>
    <w:p>
      <w:pPr>
        <w:spacing w:after="0" w:line="9" w:lineRule="exact"/>
        <w:rPr>
          <w:sz w:val="20"/>
          <w:szCs w:val="20"/>
          <w:color w:val="auto"/>
        </w:rPr>
      </w:pPr>
    </w:p>
    <w:p>
      <w:pPr>
        <w:ind w:left="440" w:hanging="324"/>
        <w:spacing w:after="0"/>
        <w:tabs>
          <w:tab w:leader="none" w:pos="44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This column reports all amounts earned as salary during the fiscal year, whether paid or deferred under employee benefit plans.</w:t>
      </w:r>
    </w:p>
    <w:p>
      <w:pPr>
        <w:spacing w:after="0" w:line="59" w:lineRule="exact"/>
        <w:rPr>
          <w:sz w:val="20"/>
          <w:szCs w:val="20"/>
          <w:color w:val="auto"/>
        </w:rPr>
      </w:pPr>
    </w:p>
    <w:p>
      <w:pPr>
        <w:ind w:left="440" w:right="40" w:hanging="324"/>
        <w:spacing w:after="0" w:line="224" w:lineRule="auto"/>
        <w:tabs>
          <w:tab w:leader="none" w:pos="44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The value reported for Stock Awards and Option/SAR awards is the aggregate grant date fair value of the awards granted in the fiscal year as determined in accordance with accounting guidance for share-based payments, although we recognize the expense of the awards for financial reporting purposes over the service period of the awards. The assumptions for making the valuation determinations are set forth in Footnote 17 “Share-Based Compensation” of the Notes to our Consolidated Financial Statements included in the 2025 Annual Report. For additional information on these awards, see the Grants of Plan-Based Awards for Fiscal Year 2025 table below. The value reported for the Performance Units granted in 2025 is the grant date value assuming performance at target, which was the most probable outcome of the performance conditions on the grant date. The values of the Performance Units granted in 2025 at the grant date assuming the maximum level of performance conditions is achieved are: Mr. Avril, NA; Mr. Geller, $6,999,991; Mr. Marino, $2,099,972; Mr. Miller, $2,000,033; Mr. Hunter, $1,400,023; and</w:t>
      </w:r>
    </w:p>
    <w:p>
      <w:pPr>
        <w:spacing w:after="0" w:line="4" w:lineRule="exact"/>
        <w:rPr>
          <w:rFonts w:ascii="Arial" w:cs="Arial" w:eastAsia="Arial" w:hAnsi="Arial"/>
          <w:sz w:val="22"/>
          <w:szCs w:val="22"/>
          <w:color w:val="auto"/>
          <w:vertAlign w:val="superscript"/>
        </w:rPr>
      </w:pPr>
    </w:p>
    <w:p>
      <w:pPr>
        <w:ind w:left="440"/>
        <w:spacing w:after="0"/>
        <w:rPr>
          <w:rFonts w:ascii="Arial" w:cs="Arial" w:eastAsia="Arial" w:hAnsi="Arial"/>
          <w:sz w:val="22"/>
          <w:szCs w:val="22"/>
          <w:color w:val="auto"/>
          <w:vertAlign w:val="superscript"/>
        </w:rPr>
      </w:pPr>
      <w:r>
        <w:rPr>
          <w:rFonts w:ascii="Arial" w:cs="Arial" w:eastAsia="Arial" w:hAnsi="Arial"/>
          <w:sz w:val="14"/>
          <w:szCs w:val="14"/>
          <w:color w:val="auto"/>
        </w:rPr>
        <w:t>Ms. Gustafson, $899,952.</w:t>
      </w:r>
    </w:p>
    <w:p>
      <w:pPr>
        <w:spacing w:after="0" w:line="68" w:lineRule="exact"/>
        <w:rPr>
          <w:sz w:val="20"/>
          <w:szCs w:val="20"/>
          <w:color w:val="auto"/>
        </w:rPr>
      </w:pPr>
    </w:p>
    <w:p>
      <w:pPr>
        <w:ind w:left="440" w:right="420" w:hanging="324"/>
        <w:spacing w:after="0" w:line="204" w:lineRule="auto"/>
        <w:tabs>
          <w:tab w:leader="none" w:pos="44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This column reports all amounts earned under the bonus plan in effect for such fiscal year, whether paid or deferred under other employee benefit plans. Amounts earned under a bonus plan during a fiscal year were paid in the first quarter of the following fiscal year.</w:t>
      </w:r>
    </w:p>
    <w:p>
      <w:pPr>
        <w:spacing w:after="0" w:line="117" w:lineRule="exact"/>
        <w:rPr>
          <w:sz w:val="20"/>
          <w:szCs w:val="20"/>
          <w:color w:val="auto"/>
        </w:rPr>
      </w:pPr>
    </w:p>
    <w:p>
      <w:pPr>
        <w:ind w:left="120"/>
        <w:spacing w:after="0"/>
        <w:tabs>
          <w:tab w:leader="none" w:pos="4460" w:val="left"/>
          <w:tab w:leader="none" w:pos="7820" w:val="left"/>
        </w:tabs>
        <w:rPr>
          <w:sz w:val="20"/>
          <w:szCs w:val="20"/>
          <w:color w:val="auto"/>
        </w:rPr>
      </w:pPr>
      <w:r>
        <w:rPr>
          <w:rFonts w:ascii="Arial" w:cs="Arial" w:eastAsia="Arial" w:hAnsi="Arial"/>
          <w:sz w:val="11"/>
          <w:szCs w:val="11"/>
          <w:b w:val="1"/>
          <w:bCs w:val="1"/>
          <w:color w:val="003A70"/>
        </w:rPr>
        <w:t>44</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p>
      <w:pPr>
        <w:ind w:left="440" w:right="20" w:hanging="324"/>
        <w:spacing w:after="0" w:line="220" w:lineRule="auto"/>
        <w:tabs>
          <w:tab w:leader="none" w:pos="440"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The values reported equal the excess of the return, if any, on amounts credited to accounts in the MVW Deferred Compensation Plan and the Marriott Deferred Compensation Plan at a fixed rate of return over 120% of the applicable federal long-term rate, as discussed below under “Nonqualified Deferred Compensation for Fiscal Year 2025.” The fixed rate of return in the MVW Deferred Compensation Plan and the Marriott Deferred Compensation Plan was less than 120% of the applicable federal long-term rate in fiscal years 2025, 2024 and 2023; thus, there was no excess return in any year.</w:t>
      </w:r>
    </w:p>
    <w:p>
      <w:pPr>
        <w:ind w:left="440" w:hanging="324"/>
        <w:spacing w:after="0" w:line="232" w:lineRule="auto"/>
        <w:tabs>
          <w:tab w:leader="none" w:pos="440" w:val="left"/>
        </w:tabs>
        <w:numPr>
          <w:ilvl w:val="0"/>
          <w:numId w:val="65"/>
        </w:numPr>
        <w:rPr>
          <w:rFonts w:ascii="Arial" w:cs="Arial" w:eastAsia="Arial" w:hAnsi="Arial"/>
          <w:sz w:val="22"/>
          <w:szCs w:val="22"/>
          <w:color w:val="auto"/>
          <w:vertAlign w:val="superscript"/>
        </w:rPr>
      </w:pPr>
      <w:r>
        <w:rPr>
          <w:rFonts w:ascii="Arial" w:cs="Arial" w:eastAsia="Arial" w:hAnsi="Arial"/>
          <w:sz w:val="14"/>
          <w:szCs w:val="14"/>
          <w:color w:val="auto"/>
        </w:rPr>
        <w:t>All Other Compensation for 2025 consists of:</w:t>
      </w:r>
    </w:p>
    <w:p>
      <w:pPr>
        <w:spacing w:after="0" w:line="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680" w:type="dxa"/>
            <w:vAlign w:val="bottom"/>
          </w:tcPr>
          <w:p>
            <w:pPr>
              <w:jc w:val="center"/>
              <w:ind w:left="403"/>
              <w:spacing w:after="0"/>
              <w:rPr>
                <w:sz w:val="20"/>
                <w:szCs w:val="20"/>
                <w:color w:val="auto"/>
              </w:rPr>
            </w:pPr>
            <w:r>
              <w:rPr>
                <w:rFonts w:ascii="Arial" w:cs="Arial" w:eastAsia="Arial" w:hAnsi="Arial"/>
                <w:sz w:val="14"/>
                <w:szCs w:val="14"/>
                <w:color w:val="003A70"/>
              </w:rPr>
              <w:t>Non-</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003A70"/>
              </w:rPr>
              <w:t>Contributions</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003A70"/>
              </w:rPr>
              <w:t>Discounts on</w:t>
            </w:r>
          </w:p>
        </w:tc>
      </w:tr>
      <w:tr>
        <w:trPr>
          <w:trHeight w:val="162"/>
        </w:trPr>
        <w:tc>
          <w:tcPr>
            <w:tcW w:w="1540" w:type="dxa"/>
            <w:vAlign w:val="bottom"/>
          </w:tcPr>
          <w:p>
            <w:pPr>
              <w:spacing w:after="0"/>
              <w:rPr>
                <w:sz w:val="14"/>
                <w:szCs w:val="14"/>
                <w:color w:val="auto"/>
              </w:rPr>
            </w:pPr>
          </w:p>
        </w:tc>
        <w:tc>
          <w:tcPr>
            <w:tcW w:w="1680" w:type="dxa"/>
            <w:vAlign w:val="bottom"/>
          </w:tcPr>
          <w:p>
            <w:pPr>
              <w:jc w:val="center"/>
              <w:ind w:left="403"/>
              <w:spacing w:after="0"/>
              <w:rPr>
                <w:sz w:val="20"/>
                <w:szCs w:val="20"/>
                <w:color w:val="auto"/>
              </w:rPr>
            </w:pPr>
            <w:r>
              <w:rPr>
                <w:rFonts w:ascii="Arial" w:cs="Arial" w:eastAsia="Arial" w:hAnsi="Arial"/>
                <w:sz w:val="14"/>
                <w:szCs w:val="14"/>
                <w:color w:val="003A70"/>
              </w:rPr>
              <w:t>Employee</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003A70"/>
              </w:rPr>
              <w:t>to MVW Deferred</w:t>
            </w:r>
          </w:p>
        </w:tc>
        <w:tc>
          <w:tcPr>
            <w:tcW w:w="860" w:type="dxa"/>
            <w:vAlign w:val="bottom"/>
          </w:tcPr>
          <w:p>
            <w:pPr>
              <w:jc w:val="center"/>
              <w:spacing w:after="0"/>
              <w:rPr>
                <w:sz w:val="20"/>
                <w:szCs w:val="20"/>
                <w:color w:val="auto"/>
              </w:rPr>
            </w:pPr>
            <w:r>
              <w:rPr>
                <w:rFonts w:ascii="Arial" w:cs="Arial" w:eastAsia="Arial" w:hAnsi="Arial"/>
                <w:sz w:val="14"/>
                <w:szCs w:val="14"/>
                <w:color w:val="003A70"/>
              </w:rPr>
              <w:t>Long-term</w:t>
            </w:r>
          </w:p>
        </w:tc>
        <w:tc>
          <w:tcPr>
            <w:tcW w:w="8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003A70"/>
              </w:rPr>
              <w:t>Executive</w:t>
            </w:r>
          </w:p>
        </w:tc>
        <w:tc>
          <w:tcPr>
            <w:tcW w:w="1060" w:type="dxa"/>
            <w:vAlign w:val="bottom"/>
          </w:tcPr>
          <w:p>
            <w:pPr>
              <w:jc w:val="center"/>
              <w:spacing w:after="0"/>
              <w:rPr>
                <w:sz w:val="20"/>
                <w:szCs w:val="20"/>
                <w:color w:val="auto"/>
              </w:rPr>
            </w:pPr>
            <w:r>
              <w:rPr>
                <w:rFonts w:ascii="Arial" w:cs="Arial" w:eastAsia="Arial" w:hAnsi="Arial"/>
                <w:sz w:val="14"/>
                <w:szCs w:val="14"/>
                <w:color w:val="003A70"/>
              </w:rPr>
              <w:t>Company</w:t>
            </w:r>
          </w:p>
        </w:tc>
      </w:tr>
      <w:tr>
        <w:trPr>
          <w:trHeight w:val="162"/>
        </w:trPr>
        <w:tc>
          <w:tcPr>
            <w:tcW w:w="1540" w:type="dxa"/>
            <w:vAlign w:val="bottom"/>
          </w:tcPr>
          <w:p>
            <w:pPr>
              <w:spacing w:after="0"/>
              <w:rPr>
                <w:sz w:val="14"/>
                <w:szCs w:val="14"/>
                <w:color w:val="auto"/>
              </w:rPr>
            </w:pPr>
          </w:p>
        </w:tc>
        <w:tc>
          <w:tcPr>
            <w:tcW w:w="1680" w:type="dxa"/>
            <w:vAlign w:val="bottom"/>
          </w:tcPr>
          <w:p>
            <w:pPr>
              <w:jc w:val="center"/>
              <w:ind w:left="403"/>
              <w:spacing w:after="0"/>
              <w:rPr>
                <w:sz w:val="20"/>
                <w:szCs w:val="20"/>
                <w:color w:val="auto"/>
              </w:rPr>
            </w:pPr>
            <w:r>
              <w:rPr>
                <w:rFonts w:ascii="Arial" w:cs="Arial" w:eastAsia="Arial" w:hAnsi="Arial"/>
                <w:sz w:val="14"/>
                <w:szCs w:val="14"/>
                <w:color w:val="003A70"/>
              </w:rPr>
              <w:t>Director</w:t>
            </w:r>
          </w:p>
        </w:tc>
        <w:tc>
          <w:tcPr>
            <w:tcW w:w="10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003A70"/>
              </w:rPr>
              <w:t>Legal</w:t>
            </w:r>
          </w:p>
        </w:tc>
        <w:tc>
          <w:tcPr>
            <w:tcW w:w="1080" w:type="dxa"/>
            <w:vAlign w:val="bottom"/>
          </w:tcPr>
          <w:p>
            <w:pPr>
              <w:jc w:val="center"/>
              <w:spacing w:after="0"/>
              <w:rPr>
                <w:sz w:val="20"/>
                <w:szCs w:val="20"/>
                <w:color w:val="auto"/>
              </w:rPr>
            </w:pPr>
            <w:r>
              <w:rPr>
                <w:rFonts w:ascii="Arial" w:cs="Arial" w:eastAsia="Arial" w:hAnsi="Arial"/>
                <w:sz w:val="14"/>
                <w:szCs w:val="14"/>
                <w:color w:val="003A70"/>
              </w:rPr>
              <w:t>401(k)</w:t>
            </w:r>
          </w:p>
        </w:tc>
        <w:tc>
          <w:tcPr>
            <w:tcW w:w="1320" w:type="dxa"/>
            <w:vAlign w:val="bottom"/>
          </w:tcPr>
          <w:p>
            <w:pPr>
              <w:jc w:val="center"/>
              <w:spacing w:after="0"/>
              <w:rPr>
                <w:sz w:val="20"/>
                <w:szCs w:val="20"/>
                <w:color w:val="auto"/>
              </w:rPr>
            </w:pPr>
            <w:r>
              <w:rPr>
                <w:rFonts w:ascii="Arial" w:cs="Arial" w:eastAsia="Arial" w:hAnsi="Arial"/>
                <w:sz w:val="14"/>
                <w:szCs w:val="14"/>
                <w:color w:val="003A70"/>
              </w:rPr>
              <w:t>Compensation</w:t>
            </w:r>
          </w:p>
        </w:tc>
        <w:tc>
          <w:tcPr>
            <w:tcW w:w="860" w:type="dxa"/>
            <w:vAlign w:val="bottom"/>
          </w:tcPr>
          <w:p>
            <w:pPr>
              <w:jc w:val="center"/>
              <w:spacing w:after="0"/>
              <w:rPr>
                <w:sz w:val="20"/>
                <w:szCs w:val="20"/>
                <w:color w:val="auto"/>
              </w:rPr>
            </w:pPr>
            <w:r>
              <w:rPr>
                <w:rFonts w:ascii="Arial" w:cs="Arial" w:eastAsia="Arial" w:hAnsi="Arial"/>
                <w:sz w:val="14"/>
                <w:szCs w:val="14"/>
                <w:color w:val="003A70"/>
              </w:rPr>
              <w:t>Disability</w:t>
            </w:r>
          </w:p>
        </w:tc>
        <w:tc>
          <w:tcPr>
            <w:tcW w:w="840" w:type="dxa"/>
            <w:vAlign w:val="bottom"/>
          </w:tcPr>
          <w:p>
            <w:pPr>
              <w:jc w:val="center"/>
              <w:spacing w:after="0"/>
              <w:rPr>
                <w:sz w:val="20"/>
                <w:szCs w:val="20"/>
                <w:color w:val="auto"/>
              </w:rPr>
            </w:pPr>
            <w:r>
              <w:rPr>
                <w:rFonts w:ascii="Arial" w:cs="Arial" w:eastAsia="Arial" w:hAnsi="Arial"/>
                <w:sz w:val="14"/>
                <w:szCs w:val="14"/>
                <w:color w:val="003A70"/>
              </w:rPr>
              <w:t>Life</w:t>
            </w:r>
          </w:p>
        </w:tc>
        <w:tc>
          <w:tcPr>
            <w:tcW w:w="900" w:type="dxa"/>
            <w:vAlign w:val="bottom"/>
          </w:tcPr>
          <w:p>
            <w:pPr>
              <w:jc w:val="center"/>
              <w:spacing w:after="0"/>
              <w:rPr>
                <w:sz w:val="20"/>
                <w:szCs w:val="20"/>
                <w:color w:val="auto"/>
              </w:rPr>
            </w:pPr>
            <w:r>
              <w:rPr>
                <w:rFonts w:ascii="Arial" w:cs="Arial" w:eastAsia="Arial" w:hAnsi="Arial"/>
                <w:sz w:val="14"/>
                <w:szCs w:val="14"/>
                <w:color w:val="003A70"/>
              </w:rPr>
              <w:t>Physical</w:t>
            </w:r>
          </w:p>
        </w:tc>
        <w:tc>
          <w:tcPr>
            <w:tcW w:w="1060" w:type="dxa"/>
            <w:vAlign w:val="bottom"/>
          </w:tcPr>
          <w:p>
            <w:pPr>
              <w:jc w:val="center"/>
              <w:spacing w:after="0"/>
              <w:rPr>
                <w:sz w:val="20"/>
                <w:szCs w:val="20"/>
                <w:color w:val="auto"/>
              </w:rPr>
            </w:pPr>
            <w:r>
              <w:rPr>
                <w:rFonts w:ascii="Arial" w:cs="Arial" w:eastAsia="Arial" w:hAnsi="Arial"/>
                <w:sz w:val="14"/>
                <w:szCs w:val="14"/>
                <w:color w:val="003A70"/>
              </w:rPr>
              <w:t>Products/</w:t>
            </w:r>
          </w:p>
        </w:tc>
      </w:tr>
      <w:tr>
        <w:trPr>
          <w:trHeight w:val="162"/>
        </w:trPr>
        <w:tc>
          <w:tcPr>
            <w:tcW w:w="1540" w:type="dxa"/>
            <w:vAlign w:val="bottom"/>
          </w:tcPr>
          <w:p>
            <w:pPr>
              <w:spacing w:after="0"/>
              <w:rPr>
                <w:sz w:val="14"/>
                <w:szCs w:val="14"/>
                <w:color w:val="auto"/>
              </w:rPr>
            </w:pPr>
          </w:p>
        </w:tc>
        <w:tc>
          <w:tcPr>
            <w:tcW w:w="1680" w:type="dxa"/>
            <w:vAlign w:val="bottom"/>
          </w:tcPr>
          <w:p>
            <w:pPr>
              <w:jc w:val="center"/>
              <w:ind w:left="403"/>
              <w:spacing w:after="0"/>
              <w:rPr>
                <w:sz w:val="20"/>
                <w:szCs w:val="20"/>
                <w:color w:val="auto"/>
              </w:rPr>
            </w:pPr>
            <w:r>
              <w:rPr>
                <w:rFonts w:ascii="Arial" w:cs="Arial" w:eastAsia="Arial" w:hAnsi="Arial"/>
                <w:sz w:val="14"/>
                <w:szCs w:val="14"/>
                <w:color w:val="003A70"/>
              </w:rPr>
              <w:t>Compensation</w:t>
            </w:r>
          </w:p>
        </w:tc>
        <w:tc>
          <w:tcPr>
            <w:tcW w:w="1000" w:type="dxa"/>
            <w:vAlign w:val="bottom"/>
          </w:tcPr>
          <w:p>
            <w:pPr>
              <w:jc w:val="right"/>
              <w:ind w:right="101"/>
              <w:spacing w:after="0"/>
              <w:rPr>
                <w:sz w:val="20"/>
                <w:szCs w:val="20"/>
                <w:color w:val="auto"/>
              </w:rPr>
            </w:pPr>
            <w:r>
              <w:rPr>
                <w:rFonts w:ascii="Arial" w:cs="Arial" w:eastAsia="Arial" w:hAnsi="Arial"/>
                <w:sz w:val="14"/>
                <w:szCs w:val="14"/>
                <w:color w:val="003A70"/>
              </w:rPr>
              <w:t>Severance</w:t>
            </w:r>
          </w:p>
        </w:tc>
        <w:tc>
          <w:tcPr>
            <w:tcW w:w="740" w:type="dxa"/>
            <w:vAlign w:val="bottom"/>
          </w:tcPr>
          <w:p>
            <w:pPr>
              <w:jc w:val="center"/>
              <w:spacing w:after="0"/>
              <w:rPr>
                <w:sz w:val="20"/>
                <w:szCs w:val="20"/>
                <w:color w:val="auto"/>
              </w:rPr>
            </w:pPr>
            <w:r>
              <w:rPr>
                <w:rFonts w:ascii="Arial" w:cs="Arial" w:eastAsia="Arial" w:hAnsi="Arial"/>
                <w:sz w:val="14"/>
                <w:szCs w:val="14"/>
                <w:color w:val="003A70"/>
              </w:rPr>
              <w:t>Fees</w:t>
            </w:r>
          </w:p>
        </w:tc>
        <w:tc>
          <w:tcPr>
            <w:tcW w:w="1080" w:type="dxa"/>
            <w:vAlign w:val="bottom"/>
          </w:tcPr>
          <w:p>
            <w:pPr>
              <w:jc w:val="right"/>
              <w:ind w:right="42"/>
              <w:spacing w:after="0"/>
              <w:rPr>
                <w:sz w:val="20"/>
                <w:szCs w:val="20"/>
                <w:color w:val="auto"/>
              </w:rPr>
            </w:pPr>
            <w:r>
              <w:rPr>
                <w:rFonts w:ascii="Arial" w:cs="Arial" w:eastAsia="Arial" w:hAnsi="Arial"/>
                <w:sz w:val="14"/>
                <w:szCs w:val="14"/>
                <w:color w:val="003A70"/>
              </w:rPr>
              <w:t>Contributions</w:t>
            </w:r>
          </w:p>
        </w:tc>
        <w:tc>
          <w:tcPr>
            <w:tcW w:w="1320" w:type="dxa"/>
            <w:vAlign w:val="bottom"/>
          </w:tcPr>
          <w:p>
            <w:pPr>
              <w:jc w:val="center"/>
              <w:spacing w:after="0"/>
              <w:rPr>
                <w:sz w:val="20"/>
                <w:szCs w:val="20"/>
                <w:color w:val="auto"/>
              </w:rPr>
            </w:pPr>
            <w:r>
              <w:rPr>
                <w:rFonts w:ascii="Arial" w:cs="Arial" w:eastAsia="Arial" w:hAnsi="Arial"/>
                <w:sz w:val="14"/>
                <w:szCs w:val="14"/>
                <w:color w:val="003A70"/>
                <w:w w:val="99"/>
              </w:rPr>
              <w:t>Plan</w:t>
            </w:r>
          </w:p>
        </w:tc>
        <w:tc>
          <w:tcPr>
            <w:tcW w:w="860" w:type="dxa"/>
            <w:vAlign w:val="bottom"/>
          </w:tcPr>
          <w:p>
            <w:pPr>
              <w:jc w:val="center"/>
              <w:spacing w:after="0"/>
              <w:rPr>
                <w:sz w:val="20"/>
                <w:szCs w:val="20"/>
                <w:color w:val="auto"/>
              </w:rPr>
            </w:pPr>
            <w:r>
              <w:rPr>
                <w:rFonts w:ascii="Arial" w:cs="Arial" w:eastAsia="Arial" w:hAnsi="Arial"/>
                <w:sz w:val="14"/>
                <w:szCs w:val="14"/>
                <w:color w:val="003A70"/>
              </w:rPr>
              <w:t>Premiums</w:t>
            </w:r>
          </w:p>
        </w:tc>
        <w:tc>
          <w:tcPr>
            <w:tcW w:w="840" w:type="dxa"/>
            <w:vAlign w:val="bottom"/>
          </w:tcPr>
          <w:p>
            <w:pPr>
              <w:jc w:val="center"/>
              <w:spacing w:after="0"/>
              <w:rPr>
                <w:sz w:val="20"/>
                <w:szCs w:val="20"/>
                <w:color w:val="auto"/>
              </w:rPr>
            </w:pPr>
            <w:r>
              <w:rPr>
                <w:rFonts w:ascii="Arial" w:cs="Arial" w:eastAsia="Arial" w:hAnsi="Arial"/>
                <w:sz w:val="14"/>
                <w:szCs w:val="14"/>
                <w:color w:val="003A70"/>
              </w:rPr>
              <w:t>Insurance</w:t>
            </w:r>
          </w:p>
        </w:tc>
        <w:tc>
          <w:tcPr>
            <w:tcW w:w="900" w:type="dxa"/>
            <w:vAlign w:val="bottom"/>
          </w:tcPr>
          <w:p>
            <w:pPr>
              <w:jc w:val="center"/>
              <w:spacing w:after="0"/>
              <w:rPr>
                <w:sz w:val="20"/>
                <w:szCs w:val="20"/>
                <w:color w:val="auto"/>
              </w:rPr>
            </w:pPr>
            <w:r>
              <w:rPr>
                <w:rFonts w:ascii="Arial" w:cs="Arial" w:eastAsia="Arial" w:hAnsi="Arial"/>
                <w:sz w:val="14"/>
                <w:szCs w:val="14"/>
                <w:color w:val="003A70"/>
              </w:rPr>
              <w:t>Exams</w:t>
            </w:r>
          </w:p>
        </w:tc>
        <w:tc>
          <w:tcPr>
            <w:tcW w:w="1060" w:type="dxa"/>
            <w:vAlign w:val="bottom"/>
          </w:tcPr>
          <w:p>
            <w:pPr>
              <w:jc w:val="center"/>
              <w:spacing w:after="0"/>
              <w:rPr>
                <w:sz w:val="20"/>
                <w:szCs w:val="20"/>
                <w:color w:val="auto"/>
              </w:rPr>
            </w:pPr>
            <w:r>
              <w:rPr>
                <w:rFonts w:ascii="Arial" w:cs="Arial" w:eastAsia="Arial" w:hAnsi="Arial"/>
                <w:sz w:val="14"/>
                <w:szCs w:val="14"/>
                <w:color w:val="003A70"/>
              </w:rPr>
              <w:t>Services</w:t>
            </w:r>
          </w:p>
        </w:tc>
      </w:tr>
      <w:tr>
        <w:trPr>
          <w:trHeight w:val="192"/>
        </w:trPr>
        <w:tc>
          <w:tcPr>
            <w:tcW w:w="154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Name</w:t>
            </w:r>
          </w:p>
        </w:tc>
        <w:tc>
          <w:tcPr>
            <w:tcW w:w="1680" w:type="dxa"/>
            <w:vAlign w:val="bottom"/>
            <w:tcBorders>
              <w:bottom w:val="single" w:sz="8" w:color="003A70"/>
            </w:tcBorders>
          </w:tcPr>
          <w:p>
            <w:pPr>
              <w:jc w:val="center"/>
              <w:ind w:left="403"/>
              <w:spacing w:after="0"/>
              <w:rPr>
                <w:sz w:val="20"/>
                <w:szCs w:val="20"/>
                <w:color w:val="auto"/>
              </w:rPr>
            </w:pPr>
            <w:r>
              <w:rPr>
                <w:rFonts w:ascii="Arial" w:cs="Arial" w:eastAsia="Arial" w:hAnsi="Arial"/>
                <w:sz w:val="14"/>
                <w:szCs w:val="14"/>
                <w:color w:val="003A70"/>
                <w:w w:val="93"/>
              </w:rPr>
              <w:t>($)</w:t>
            </w:r>
          </w:p>
        </w:tc>
        <w:tc>
          <w:tcPr>
            <w:tcW w:w="1000" w:type="dxa"/>
            <w:vAlign w:val="bottom"/>
            <w:tcBorders>
              <w:bottom w:val="single" w:sz="8" w:color="003A70"/>
            </w:tcBorders>
          </w:tcPr>
          <w:p>
            <w:pPr>
              <w:jc w:val="right"/>
              <w:ind w:right="361"/>
              <w:spacing w:after="0"/>
              <w:rPr>
                <w:sz w:val="20"/>
                <w:szCs w:val="20"/>
                <w:color w:val="auto"/>
              </w:rPr>
            </w:pPr>
            <w:r>
              <w:rPr>
                <w:rFonts w:ascii="Arial" w:cs="Arial" w:eastAsia="Arial" w:hAnsi="Arial"/>
                <w:sz w:val="14"/>
                <w:szCs w:val="14"/>
                <w:color w:val="003A70"/>
              </w:rPr>
              <w:t>($)</w:t>
            </w:r>
          </w:p>
        </w:tc>
        <w:tc>
          <w:tcPr>
            <w:tcW w:w="7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w w:val="93"/>
              </w:rPr>
              <w:t>($)</w:t>
            </w:r>
          </w:p>
        </w:tc>
        <w:tc>
          <w:tcPr>
            <w:tcW w:w="1080" w:type="dxa"/>
            <w:vAlign w:val="bottom"/>
            <w:tcBorders>
              <w:bottom w:val="single" w:sz="8" w:color="003A70"/>
            </w:tcBorders>
          </w:tcPr>
          <w:p>
            <w:pPr>
              <w:jc w:val="right"/>
              <w:ind w:right="382"/>
              <w:spacing w:after="0"/>
              <w:rPr>
                <w:sz w:val="20"/>
                <w:szCs w:val="20"/>
                <w:color w:val="auto"/>
              </w:rPr>
            </w:pPr>
            <w:r>
              <w:rPr>
                <w:rFonts w:ascii="Arial" w:cs="Arial" w:eastAsia="Arial" w:hAnsi="Arial"/>
                <w:sz w:val="14"/>
                <w:szCs w:val="14"/>
                <w:color w:val="003A70"/>
              </w:rPr>
              <w:t>($)</w:t>
            </w:r>
          </w:p>
        </w:tc>
        <w:tc>
          <w:tcPr>
            <w:tcW w:w="13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w w:val="93"/>
              </w:rPr>
              <w:t>($)</w:t>
            </w:r>
          </w:p>
        </w:tc>
        <w:tc>
          <w:tcPr>
            <w:tcW w:w="8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w:t>
            </w:r>
          </w:p>
        </w:tc>
        <w:tc>
          <w:tcPr>
            <w:tcW w:w="8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w:t>
            </w:r>
          </w:p>
        </w:tc>
        <w:tc>
          <w:tcPr>
            <w:tcW w:w="9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w:t>
            </w:r>
          </w:p>
        </w:tc>
        <w:tc>
          <w:tcPr>
            <w:tcW w:w="10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w w:val="93"/>
              </w:rPr>
              <w:t>($)</w:t>
            </w:r>
          </w:p>
        </w:tc>
      </w:tr>
      <w:tr>
        <w:trPr>
          <w:trHeight w:val="189"/>
        </w:trPr>
        <w:tc>
          <w:tcPr>
            <w:tcW w:w="1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 Avril</w:t>
            </w:r>
          </w:p>
        </w:tc>
        <w:tc>
          <w:tcPr>
            <w:tcW w:w="16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73,712</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1,731</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82</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81</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r>
      <w:tr>
        <w:trPr>
          <w:trHeight w:val="183"/>
        </w:trPr>
        <w:tc>
          <w:tcPr>
            <w:tcW w:w="15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 Geller</w:t>
            </w:r>
          </w:p>
        </w:tc>
        <w:tc>
          <w:tcPr>
            <w:tcW w:w="1680" w:type="dxa"/>
            <w:vAlign w:val="bottom"/>
            <w:tcBorders>
              <w:bottom w:val="single" w:sz="8" w:color="auto"/>
            </w:tcBorders>
          </w:tcPr>
          <w:p>
            <w:pPr>
              <w:jc w:val="right"/>
              <w:ind w:right="63"/>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6,369,787</w:t>
            </w:r>
          </w:p>
        </w:tc>
        <w:tc>
          <w:tcPr>
            <w:tcW w:w="74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color w:val="auto"/>
              </w:rPr>
              <w:t>40,000</w:t>
            </w:r>
          </w:p>
        </w:tc>
        <w:tc>
          <w:tcPr>
            <w:tcW w:w="108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11,813</w:t>
            </w:r>
          </w:p>
        </w:tc>
        <w:tc>
          <w:tcPr>
            <w:tcW w:w="1320" w:type="dxa"/>
            <w:vAlign w:val="bottom"/>
            <w:tcBorders>
              <w:bottom w:val="single" w:sz="8" w:color="auto"/>
            </w:tcBorders>
          </w:tcPr>
          <w:p>
            <w:pPr>
              <w:jc w:val="right"/>
              <w:ind w:right="23"/>
              <w:spacing w:after="0" w:line="183" w:lineRule="exact"/>
              <w:rPr>
                <w:sz w:val="20"/>
                <w:szCs w:val="20"/>
                <w:color w:val="auto"/>
              </w:rPr>
            </w:pPr>
            <w:r>
              <w:rPr>
                <w:rFonts w:ascii="Arial" w:cs="Arial" w:eastAsia="Arial" w:hAnsi="Arial"/>
                <w:sz w:val="16"/>
                <w:szCs w:val="16"/>
                <w:color w:val="auto"/>
              </w:rPr>
              <w:t>29,035</w:t>
            </w:r>
          </w:p>
        </w:tc>
        <w:tc>
          <w:tcPr>
            <w:tcW w:w="86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color w:val="auto"/>
              </w:rPr>
              <w:t>4,168</w:t>
            </w:r>
          </w:p>
        </w:tc>
        <w:tc>
          <w:tcPr>
            <w:tcW w:w="84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891</w:t>
            </w:r>
          </w:p>
        </w:tc>
        <w:tc>
          <w:tcPr>
            <w:tcW w:w="900" w:type="dxa"/>
            <w:vAlign w:val="bottom"/>
            <w:tcBorders>
              <w:bottom w:val="single" w:sz="8" w:color="auto"/>
            </w:tcBorders>
          </w:tcPr>
          <w:p>
            <w:pPr>
              <w:jc w:val="right"/>
              <w:ind w:right="63"/>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3"/>
              <w:spacing w:after="0" w:line="183" w:lineRule="exact"/>
              <w:rPr>
                <w:sz w:val="20"/>
                <w:szCs w:val="20"/>
                <w:color w:val="auto"/>
              </w:rPr>
            </w:pPr>
            <w:r>
              <w:rPr>
                <w:rFonts w:ascii="Arial" w:cs="Arial" w:eastAsia="Arial" w:hAnsi="Arial"/>
                <w:sz w:val="16"/>
                <w:szCs w:val="16"/>
                <w:color w:val="auto"/>
              </w:rPr>
              <w:t>—</w:t>
            </w:r>
          </w:p>
        </w:tc>
      </w:tr>
      <w:tr>
        <w:trPr>
          <w:trHeight w:val="183"/>
        </w:trPr>
        <w:tc>
          <w:tcPr>
            <w:tcW w:w="15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 Marino</w:t>
            </w:r>
          </w:p>
        </w:tc>
        <w:tc>
          <w:tcPr>
            <w:tcW w:w="1680" w:type="dxa"/>
            <w:vAlign w:val="bottom"/>
            <w:tcBorders>
              <w:bottom w:val="single" w:sz="8" w:color="auto"/>
            </w:tcBorders>
          </w:tcPr>
          <w:p>
            <w:pPr>
              <w:jc w:val="right"/>
              <w:ind w:right="63"/>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11,813</w:t>
            </w:r>
          </w:p>
        </w:tc>
        <w:tc>
          <w:tcPr>
            <w:tcW w:w="1320" w:type="dxa"/>
            <w:vAlign w:val="bottom"/>
            <w:tcBorders>
              <w:bottom w:val="single" w:sz="8" w:color="auto"/>
            </w:tcBorders>
          </w:tcPr>
          <w:p>
            <w:pPr>
              <w:jc w:val="right"/>
              <w:ind w:right="23"/>
              <w:spacing w:after="0" w:line="183" w:lineRule="exact"/>
              <w:rPr>
                <w:sz w:val="20"/>
                <w:szCs w:val="20"/>
                <w:color w:val="auto"/>
              </w:rPr>
            </w:pPr>
            <w:r>
              <w:rPr>
                <w:rFonts w:ascii="Arial" w:cs="Arial" w:eastAsia="Arial" w:hAnsi="Arial"/>
                <w:sz w:val="16"/>
                <w:szCs w:val="16"/>
                <w:color w:val="auto"/>
              </w:rPr>
              <w:t>8,072</w:t>
            </w:r>
          </w:p>
        </w:tc>
        <w:tc>
          <w:tcPr>
            <w:tcW w:w="86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color w:val="auto"/>
              </w:rPr>
              <w:t>3,911</w:t>
            </w:r>
          </w:p>
        </w:tc>
        <w:tc>
          <w:tcPr>
            <w:tcW w:w="84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356</w:t>
            </w:r>
          </w:p>
        </w:tc>
        <w:tc>
          <w:tcPr>
            <w:tcW w:w="900" w:type="dxa"/>
            <w:vAlign w:val="bottom"/>
            <w:tcBorders>
              <w:bottom w:val="single" w:sz="8" w:color="auto"/>
            </w:tcBorders>
          </w:tcPr>
          <w:p>
            <w:pPr>
              <w:jc w:val="right"/>
              <w:ind w:right="63"/>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3"/>
              <w:spacing w:after="0" w:line="183" w:lineRule="exact"/>
              <w:rPr>
                <w:sz w:val="20"/>
                <w:szCs w:val="20"/>
                <w:color w:val="auto"/>
              </w:rPr>
            </w:pPr>
            <w:r>
              <w:rPr>
                <w:rFonts w:ascii="Arial" w:cs="Arial" w:eastAsia="Arial" w:hAnsi="Arial"/>
                <w:sz w:val="16"/>
                <w:szCs w:val="16"/>
                <w:color w:val="auto"/>
              </w:rPr>
              <w:t>9,825</w:t>
            </w:r>
          </w:p>
        </w:tc>
      </w:tr>
      <w:tr>
        <w:trPr>
          <w:trHeight w:val="183"/>
        </w:trPr>
        <w:tc>
          <w:tcPr>
            <w:tcW w:w="15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 Miller</w:t>
            </w:r>
          </w:p>
        </w:tc>
        <w:tc>
          <w:tcPr>
            <w:tcW w:w="1680" w:type="dxa"/>
            <w:vAlign w:val="bottom"/>
            <w:tcBorders>
              <w:bottom w:val="single" w:sz="8" w:color="auto"/>
            </w:tcBorders>
          </w:tcPr>
          <w:p>
            <w:pPr>
              <w:jc w:val="right"/>
              <w:ind w:right="63"/>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11,813</w:t>
            </w:r>
          </w:p>
        </w:tc>
        <w:tc>
          <w:tcPr>
            <w:tcW w:w="1320" w:type="dxa"/>
            <w:vAlign w:val="bottom"/>
            <w:tcBorders>
              <w:bottom w:val="single" w:sz="8" w:color="auto"/>
            </w:tcBorders>
          </w:tcPr>
          <w:p>
            <w:pPr>
              <w:jc w:val="right"/>
              <w:ind w:right="23"/>
              <w:spacing w:after="0" w:line="183" w:lineRule="exact"/>
              <w:rPr>
                <w:sz w:val="20"/>
                <w:szCs w:val="20"/>
                <w:color w:val="auto"/>
              </w:rPr>
            </w:pPr>
            <w:r>
              <w:rPr>
                <w:rFonts w:ascii="Arial" w:cs="Arial" w:eastAsia="Arial" w:hAnsi="Arial"/>
                <w:sz w:val="16"/>
                <w:szCs w:val="16"/>
                <w:color w:val="auto"/>
              </w:rPr>
              <w:t>12,086</w:t>
            </w:r>
          </w:p>
        </w:tc>
        <w:tc>
          <w:tcPr>
            <w:tcW w:w="86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color w:val="auto"/>
              </w:rPr>
              <w:t>5,020</w:t>
            </w:r>
          </w:p>
        </w:tc>
        <w:tc>
          <w:tcPr>
            <w:tcW w:w="84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486</w:t>
            </w:r>
          </w:p>
        </w:tc>
        <w:tc>
          <w:tcPr>
            <w:tcW w:w="900" w:type="dxa"/>
            <w:vAlign w:val="bottom"/>
            <w:tcBorders>
              <w:bottom w:val="single" w:sz="8" w:color="auto"/>
            </w:tcBorders>
          </w:tcPr>
          <w:p>
            <w:pPr>
              <w:jc w:val="right"/>
              <w:ind w:right="63"/>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3"/>
              <w:spacing w:after="0" w:line="183" w:lineRule="exact"/>
              <w:rPr>
                <w:sz w:val="20"/>
                <w:szCs w:val="20"/>
                <w:color w:val="auto"/>
              </w:rPr>
            </w:pPr>
            <w:r>
              <w:rPr>
                <w:rFonts w:ascii="Arial" w:cs="Arial" w:eastAsia="Arial" w:hAnsi="Arial"/>
                <w:sz w:val="16"/>
                <w:szCs w:val="16"/>
                <w:color w:val="auto"/>
              </w:rPr>
              <w:t>300</w:t>
            </w:r>
          </w:p>
        </w:tc>
      </w:tr>
      <w:tr>
        <w:trPr>
          <w:trHeight w:val="183"/>
        </w:trPr>
        <w:tc>
          <w:tcPr>
            <w:tcW w:w="15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 Hunter</w:t>
            </w:r>
          </w:p>
        </w:tc>
        <w:tc>
          <w:tcPr>
            <w:tcW w:w="1680" w:type="dxa"/>
            <w:vAlign w:val="bottom"/>
            <w:tcBorders>
              <w:bottom w:val="single" w:sz="8" w:color="auto"/>
            </w:tcBorders>
          </w:tcPr>
          <w:p>
            <w:pPr>
              <w:jc w:val="right"/>
              <w:ind w:right="63"/>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11,813</w:t>
            </w:r>
          </w:p>
        </w:tc>
        <w:tc>
          <w:tcPr>
            <w:tcW w:w="1320" w:type="dxa"/>
            <w:vAlign w:val="bottom"/>
            <w:tcBorders>
              <w:bottom w:val="single" w:sz="8" w:color="auto"/>
            </w:tcBorders>
          </w:tcPr>
          <w:p>
            <w:pPr>
              <w:jc w:val="right"/>
              <w:ind w:right="23"/>
              <w:spacing w:after="0" w:line="183" w:lineRule="exact"/>
              <w:rPr>
                <w:sz w:val="20"/>
                <w:szCs w:val="20"/>
                <w:color w:val="auto"/>
              </w:rPr>
            </w:pPr>
            <w:r>
              <w:rPr>
                <w:rFonts w:ascii="Arial" w:cs="Arial" w:eastAsia="Arial" w:hAnsi="Arial"/>
                <w:sz w:val="16"/>
                <w:szCs w:val="16"/>
                <w:color w:val="auto"/>
              </w:rPr>
              <w:t>7,184</w:t>
            </w:r>
          </w:p>
        </w:tc>
        <w:tc>
          <w:tcPr>
            <w:tcW w:w="86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color w:val="auto"/>
              </w:rPr>
              <w:t>5,114</w:t>
            </w:r>
          </w:p>
        </w:tc>
        <w:tc>
          <w:tcPr>
            <w:tcW w:w="84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321</w:t>
            </w:r>
          </w:p>
        </w:tc>
        <w:tc>
          <w:tcPr>
            <w:tcW w:w="900" w:type="dxa"/>
            <w:vAlign w:val="bottom"/>
            <w:tcBorders>
              <w:bottom w:val="single" w:sz="8" w:color="auto"/>
            </w:tcBorders>
          </w:tcPr>
          <w:p>
            <w:pPr>
              <w:jc w:val="right"/>
              <w:ind w:right="63"/>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3"/>
              <w:spacing w:after="0" w:line="183" w:lineRule="exact"/>
              <w:rPr>
                <w:sz w:val="20"/>
                <w:szCs w:val="20"/>
                <w:color w:val="auto"/>
              </w:rPr>
            </w:pPr>
            <w:r>
              <w:rPr>
                <w:rFonts w:ascii="Arial" w:cs="Arial" w:eastAsia="Arial" w:hAnsi="Arial"/>
                <w:sz w:val="16"/>
                <w:szCs w:val="16"/>
                <w:color w:val="auto"/>
              </w:rPr>
              <w:t>1,184</w:t>
            </w:r>
          </w:p>
        </w:tc>
      </w:tr>
      <w:tr>
        <w:trPr>
          <w:trHeight w:val="183"/>
        </w:trPr>
        <w:tc>
          <w:tcPr>
            <w:tcW w:w="15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L. Gustafson</w:t>
            </w:r>
          </w:p>
        </w:tc>
        <w:tc>
          <w:tcPr>
            <w:tcW w:w="1680" w:type="dxa"/>
            <w:vAlign w:val="bottom"/>
            <w:tcBorders>
              <w:bottom w:val="single" w:sz="8" w:color="auto"/>
            </w:tcBorders>
          </w:tcPr>
          <w:p>
            <w:pPr>
              <w:jc w:val="right"/>
              <w:ind w:right="63"/>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11,813</w:t>
            </w:r>
          </w:p>
        </w:tc>
        <w:tc>
          <w:tcPr>
            <w:tcW w:w="1320" w:type="dxa"/>
            <w:vAlign w:val="bottom"/>
            <w:tcBorders>
              <w:bottom w:val="single" w:sz="8" w:color="auto"/>
            </w:tcBorders>
          </w:tcPr>
          <w:p>
            <w:pPr>
              <w:jc w:val="right"/>
              <w:ind w:right="23"/>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color w:val="auto"/>
              </w:rPr>
              <w:t>3,711</w:t>
            </w:r>
          </w:p>
        </w:tc>
        <w:tc>
          <w:tcPr>
            <w:tcW w:w="84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color w:val="auto"/>
              </w:rPr>
              <w:t>304</w:t>
            </w:r>
          </w:p>
        </w:tc>
        <w:tc>
          <w:tcPr>
            <w:tcW w:w="900" w:type="dxa"/>
            <w:vAlign w:val="bottom"/>
            <w:tcBorders>
              <w:bottom w:val="single" w:sz="8" w:color="auto"/>
            </w:tcBorders>
          </w:tcPr>
          <w:p>
            <w:pPr>
              <w:jc w:val="right"/>
              <w:ind w:right="63"/>
              <w:spacing w:after="0" w:line="183" w:lineRule="exact"/>
              <w:rPr>
                <w:sz w:val="20"/>
                <w:szCs w:val="20"/>
                <w:color w:val="auto"/>
              </w:rPr>
            </w:pPr>
            <w:r>
              <w:rPr>
                <w:rFonts w:ascii="Arial" w:cs="Arial" w:eastAsia="Arial" w:hAnsi="Arial"/>
                <w:sz w:val="16"/>
                <w:szCs w:val="16"/>
                <w:color w:val="auto"/>
              </w:rPr>
              <w:t>5,327</w:t>
            </w:r>
          </w:p>
        </w:tc>
        <w:tc>
          <w:tcPr>
            <w:tcW w:w="1060" w:type="dxa"/>
            <w:vAlign w:val="bottom"/>
            <w:tcBorders>
              <w:bottom w:val="single" w:sz="8" w:color="auto"/>
            </w:tcBorders>
          </w:tcPr>
          <w:p>
            <w:pPr>
              <w:jc w:val="right"/>
              <w:ind w:right="23"/>
              <w:spacing w:after="0" w:line="183" w:lineRule="exact"/>
              <w:rPr>
                <w:sz w:val="20"/>
                <w:szCs w:val="20"/>
                <w:color w:val="auto"/>
              </w:rPr>
            </w:pPr>
            <w:r>
              <w:rPr>
                <w:rFonts w:ascii="Arial" w:cs="Arial" w:eastAsia="Arial" w:hAnsi="Arial"/>
                <w:sz w:val="16"/>
                <w:szCs w:val="16"/>
                <w:color w:val="auto"/>
              </w:rPr>
              <w:t>5,662</w:t>
            </w:r>
          </w:p>
        </w:tc>
      </w:tr>
    </w:tbl>
    <w:p>
      <w:pPr>
        <w:spacing w:after="0" w:line="9" w:lineRule="exact"/>
        <w:rPr>
          <w:sz w:val="20"/>
          <w:szCs w:val="20"/>
          <w:color w:val="auto"/>
        </w:rPr>
      </w:pPr>
    </w:p>
    <w:p>
      <w:pPr>
        <w:ind w:left="440" w:hanging="324"/>
        <w:spacing w:after="0"/>
        <w:tabs>
          <w:tab w:leader="none" w:pos="44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Served as interim President and CEO from November 10, 2025 until his appointment as CEO on February 16, 2026.</w:t>
      </w:r>
    </w:p>
    <w:p>
      <w:pPr>
        <w:ind w:left="440" w:hanging="324"/>
        <w:spacing w:after="0" w:line="230" w:lineRule="auto"/>
        <w:tabs>
          <w:tab w:leader="none" w:pos="440"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Resigned at the request of the Board effective November 10, 2025.</w:t>
      </w:r>
    </w:p>
    <w:p>
      <w:pPr>
        <w:ind w:left="440" w:hanging="324"/>
        <w:spacing w:after="0" w:line="231" w:lineRule="auto"/>
        <w:tabs>
          <w:tab w:leader="none" w:pos="440"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Retired from the role of President, Vacation Ownership effective December 31, 2025.</w:t>
      </w:r>
    </w:p>
    <w:p>
      <w:pPr>
        <w:ind w:left="440" w:hanging="324"/>
        <w:spacing w:after="0" w:line="230" w:lineRule="auto"/>
        <w:tabs>
          <w:tab w:leader="none" w:pos="44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Resigned at the request of the Board effective March 9, 2026.</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Grants of Plan-Based Awards for Fiscal Year 2025</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the plan-based awards granted to the NEOs in 2025.</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003A70"/>
              </w:rPr>
              <w:t>All Other</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003A70"/>
              </w:rPr>
              <w:t>All</w:t>
            </w:r>
          </w:p>
        </w:tc>
        <w:tc>
          <w:tcPr>
            <w:tcW w:w="800" w:type="dxa"/>
            <w:vAlign w:val="bottom"/>
          </w:tcPr>
          <w:p>
            <w:pPr>
              <w:jc w:val="center"/>
              <w:spacing w:after="0"/>
              <w:rPr>
                <w:sz w:val="20"/>
                <w:szCs w:val="20"/>
                <w:color w:val="auto"/>
              </w:rPr>
            </w:pPr>
            <w:r>
              <w:rPr>
                <w:rFonts w:ascii="Arial" w:cs="Arial" w:eastAsia="Arial" w:hAnsi="Arial"/>
                <w:sz w:val="14"/>
                <w:szCs w:val="14"/>
                <w:color w:val="003A70"/>
              </w:rPr>
              <w:t>Options/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003A70"/>
              </w:rPr>
              <w:t>Other</w:t>
            </w:r>
          </w:p>
        </w:tc>
        <w:tc>
          <w:tcPr>
            <w:tcW w:w="800" w:type="dxa"/>
            <w:vAlign w:val="bottom"/>
          </w:tcPr>
          <w:p>
            <w:pPr>
              <w:jc w:val="center"/>
              <w:spacing w:after="0"/>
              <w:rPr>
                <w:sz w:val="20"/>
                <w:szCs w:val="20"/>
                <w:color w:val="auto"/>
              </w:rPr>
            </w:pPr>
            <w:r>
              <w:rPr>
                <w:rFonts w:ascii="Arial" w:cs="Arial" w:eastAsia="Arial" w:hAnsi="Arial"/>
                <w:sz w:val="14"/>
                <w:szCs w:val="14"/>
                <w:color w:val="003A70"/>
              </w:rPr>
              <w:t>SAR</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40" w:type="dxa"/>
            <w:vAlign w:val="bottom"/>
            <w:gridSpan w:val="4"/>
            <w:vMerge w:val="restart"/>
          </w:tcPr>
          <w:p>
            <w:pPr>
              <w:jc w:val="center"/>
              <w:ind w:right="199"/>
              <w:spacing w:after="0"/>
              <w:rPr>
                <w:sz w:val="20"/>
                <w:szCs w:val="20"/>
                <w:color w:val="auto"/>
              </w:rPr>
            </w:pPr>
            <w:r>
              <w:rPr>
                <w:rFonts w:ascii="Arial" w:cs="Arial" w:eastAsia="Arial" w:hAnsi="Arial"/>
                <w:sz w:val="14"/>
                <w:szCs w:val="14"/>
                <w:color w:val="003A70"/>
              </w:rPr>
              <w:t>Estimated Possible Payouts Under</w:t>
            </w:r>
          </w:p>
        </w:tc>
        <w:tc>
          <w:tcPr>
            <w:tcW w:w="2300" w:type="dxa"/>
            <w:vAlign w:val="bottom"/>
            <w:gridSpan w:val="3"/>
            <w:vMerge w:val="restart"/>
          </w:tcPr>
          <w:p>
            <w:pPr>
              <w:jc w:val="center"/>
              <w:spacing w:after="0"/>
              <w:rPr>
                <w:sz w:val="20"/>
                <w:szCs w:val="20"/>
                <w:color w:val="auto"/>
              </w:rPr>
            </w:pPr>
            <w:r>
              <w:rPr>
                <w:rFonts w:ascii="Arial" w:cs="Arial" w:eastAsia="Arial" w:hAnsi="Arial"/>
                <w:sz w:val="14"/>
                <w:szCs w:val="14"/>
                <w:color w:val="003A70"/>
              </w:rPr>
              <w:t>Estimated Possible Payouts</w:t>
            </w:r>
          </w:p>
        </w:tc>
        <w:tc>
          <w:tcPr>
            <w:tcW w:w="880" w:type="dxa"/>
            <w:vAlign w:val="bottom"/>
          </w:tcPr>
          <w:p>
            <w:pPr>
              <w:jc w:val="center"/>
              <w:spacing w:after="0"/>
              <w:rPr>
                <w:sz w:val="20"/>
                <w:szCs w:val="20"/>
                <w:color w:val="auto"/>
              </w:rPr>
            </w:pPr>
            <w:r>
              <w:rPr>
                <w:rFonts w:ascii="Arial" w:cs="Arial" w:eastAsia="Arial" w:hAnsi="Arial"/>
                <w:sz w:val="14"/>
                <w:szCs w:val="14"/>
                <w:color w:val="003A70"/>
              </w:rPr>
              <w:t>Stock</w:t>
            </w:r>
          </w:p>
        </w:tc>
        <w:tc>
          <w:tcPr>
            <w:tcW w:w="800" w:type="dxa"/>
            <w:vAlign w:val="bottom"/>
          </w:tcPr>
          <w:p>
            <w:pPr>
              <w:jc w:val="center"/>
              <w:spacing w:after="0"/>
              <w:rPr>
                <w:sz w:val="20"/>
                <w:szCs w:val="20"/>
                <w:color w:val="auto"/>
              </w:rPr>
            </w:pPr>
            <w:r>
              <w:rPr>
                <w:rFonts w:ascii="Arial" w:cs="Arial" w:eastAsia="Arial" w:hAnsi="Arial"/>
                <w:sz w:val="14"/>
                <w:szCs w:val="14"/>
                <w:color w:val="003A70"/>
              </w:rPr>
              <w:t>Awards: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980" w:type="dxa"/>
            <w:vAlign w:val="bottom"/>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color w:val="003A70"/>
              </w:rPr>
              <w:t>Awards:</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3A70"/>
              </w:rPr>
              <w:t>Number of</w:t>
            </w:r>
          </w:p>
        </w:tc>
        <w:tc>
          <w:tcPr>
            <w:tcW w:w="720" w:type="dxa"/>
            <w:vAlign w:val="bottom"/>
          </w:tcPr>
          <w:p>
            <w:pPr>
              <w:spacing w:after="0"/>
              <w:rPr>
                <w:sz w:val="5"/>
                <w:szCs w:val="5"/>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3A70"/>
              </w:rPr>
              <w:t>Grant Date</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540" w:type="dxa"/>
            <w:vAlign w:val="bottom"/>
            <w:gridSpan w:val="4"/>
          </w:tcPr>
          <w:p>
            <w:pPr>
              <w:jc w:val="center"/>
              <w:ind w:right="219"/>
              <w:spacing w:after="0" w:line="149" w:lineRule="exact"/>
              <w:rPr>
                <w:sz w:val="20"/>
                <w:szCs w:val="20"/>
                <w:color w:val="auto"/>
              </w:rPr>
            </w:pPr>
            <w:r>
              <w:rPr>
                <w:rFonts w:ascii="Arial" w:cs="Arial" w:eastAsia="Arial" w:hAnsi="Arial"/>
                <w:sz w:val="12"/>
                <w:szCs w:val="12"/>
                <w:color w:val="003A70"/>
              </w:rPr>
              <w:t>Non-Equity Incentive Plan Awards</w:t>
            </w:r>
            <w:r>
              <w:rPr>
                <w:rFonts w:ascii="Arial" w:cs="Arial" w:eastAsia="Arial" w:hAnsi="Arial"/>
                <w:sz w:val="17"/>
                <w:szCs w:val="17"/>
                <w:color w:val="003A70"/>
                <w:vertAlign w:val="superscript"/>
              </w:rPr>
              <w:t>3</w:t>
            </w:r>
          </w:p>
        </w:tc>
        <w:tc>
          <w:tcPr>
            <w:tcW w:w="2300" w:type="dxa"/>
            <w:vAlign w:val="bottom"/>
            <w:gridSpan w:val="3"/>
          </w:tcPr>
          <w:p>
            <w:pPr>
              <w:jc w:val="center"/>
              <w:spacing w:after="0" w:line="148" w:lineRule="exact"/>
              <w:rPr>
                <w:sz w:val="20"/>
                <w:szCs w:val="20"/>
                <w:color w:val="auto"/>
              </w:rPr>
            </w:pPr>
            <w:r>
              <w:rPr>
                <w:rFonts w:ascii="Arial" w:cs="Arial" w:eastAsia="Arial" w:hAnsi="Arial"/>
                <w:sz w:val="14"/>
                <w:szCs w:val="14"/>
                <w:color w:val="003A70"/>
              </w:rPr>
              <w:t>Under Equity Incentive Plan Awards</w:t>
            </w: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Borders>
              <w:bottom w:val="single" w:sz="8" w:color="003A70"/>
            </w:tcBorders>
          </w:tcPr>
          <w:p>
            <w:pPr>
              <w:spacing w:after="0"/>
              <w:rPr>
                <w:sz w:val="2"/>
                <w:szCs w:val="2"/>
                <w:color w:val="auto"/>
              </w:rPr>
            </w:pPr>
          </w:p>
        </w:tc>
        <w:tc>
          <w:tcPr>
            <w:tcW w:w="880" w:type="dxa"/>
            <w:vAlign w:val="bottom"/>
            <w:tcBorders>
              <w:bottom w:val="single" w:sz="8" w:color="003A70"/>
            </w:tcBorders>
          </w:tcPr>
          <w:p>
            <w:pPr>
              <w:spacing w:after="0"/>
              <w:rPr>
                <w:sz w:val="2"/>
                <w:szCs w:val="2"/>
                <w:color w:val="auto"/>
              </w:rPr>
            </w:pPr>
          </w:p>
        </w:tc>
        <w:tc>
          <w:tcPr>
            <w:tcW w:w="620" w:type="dxa"/>
            <w:vAlign w:val="bottom"/>
            <w:tcBorders>
              <w:bottom w:val="single" w:sz="8" w:color="003A70"/>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bottom w:val="single" w:sz="8" w:color="003A70"/>
            </w:tcBorders>
          </w:tcPr>
          <w:p>
            <w:pPr>
              <w:spacing w:after="0"/>
              <w:rPr>
                <w:sz w:val="2"/>
                <w:szCs w:val="2"/>
                <w:color w:val="auto"/>
              </w:rPr>
            </w:pPr>
          </w:p>
        </w:tc>
        <w:tc>
          <w:tcPr>
            <w:tcW w:w="740" w:type="dxa"/>
            <w:vAlign w:val="bottom"/>
            <w:tcBorders>
              <w:bottom w:val="single" w:sz="8" w:color="003A70"/>
            </w:tcBorders>
          </w:tcPr>
          <w:p>
            <w:pPr>
              <w:spacing w:after="0"/>
              <w:rPr>
                <w:sz w:val="2"/>
                <w:szCs w:val="2"/>
                <w:color w:val="auto"/>
              </w:rPr>
            </w:pPr>
          </w:p>
        </w:tc>
        <w:tc>
          <w:tcPr>
            <w:tcW w:w="760" w:type="dxa"/>
            <w:vAlign w:val="bottom"/>
            <w:tcBorders>
              <w:bottom w:val="single" w:sz="8" w:color="003A70"/>
            </w:tcBorders>
          </w:tcPr>
          <w:p>
            <w:pPr>
              <w:spacing w:after="0"/>
              <w:rPr>
                <w:sz w:val="2"/>
                <w:szCs w:val="2"/>
                <w:color w:val="auto"/>
              </w:rPr>
            </w:pPr>
          </w:p>
        </w:tc>
        <w:tc>
          <w:tcPr>
            <w:tcW w:w="880" w:type="dxa"/>
            <w:vAlign w:val="bottom"/>
            <w:vMerge w:val="restart"/>
          </w:tcPr>
          <w:p>
            <w:pPr>
              <w:jc w:val="center"/>
              <w:spacing w:after="0" w:line="113" w:lineRule="exact"/>
              <w:rPr>
                <w:sz w:val="20"/>
                <w:szCs w:val="20"/>
                <w:color w:val="auto"/>
              </w:rPr>
            </w:pPr>
            <w:r>
              <w:rPr>
                <w:rFonts w:ascii="Arial" w:cs="Arial" w:eastAsia="Arial" w:hAnsi="Arial"/>
                <w:sz w:val="13"/>
                <w:szCs w:val="13"/>
                <w:color w:val="003A70"/>
              </w:rPr>
              <w:t>Number</w:t>
            </w:r>
          </w:p>
        </w:tc>
        <w:tc>
          <w:tcPr>
            <w:tcW w:w="800" w:type="dxa"/>
            <w:vAlign w:val="bottom"/>
            <w:vMerge w:val="restart"/>
          </w:tcPr>
          <w:p>
            <w:pPr>
              <w:jc w:val="center"/>
              <w:spacing w:after="0" w:line="113" w:lineRule="exact"/>
              <w:rPr>
                <w:sz w:val="20"/>
                <w:szCs w:val="20"/>
                <w:color w:val="auto"/>
              </w:rPr>
            </w:pPr>
            <w:r>
              <w:rPr>
                <w:rFonts w:ascii="Arial" w:cs="Arial" w:eastAsia="Arial" w:hAnsi="Arial"/>
                <w:sz w:val="13"/>
                <w:szCs w:val="13"/>
                <w:color w:val="003A70"/>
              </w:rPr>
              <w:t>Securities</w:t>
            </w:r>
          </w:p>
        </w:tc>
        <w:tc>
          <w:tcPr>
            <w:tcW w:w="720" w:type="dxa"/>
            <w:vAlign w:val="bottom"/>
          </w:tcPr>
          <w:p>
            <w:pPr>
              <w:spacing w:after="0"/>
              <w:rPr>
                <w:sz w:val="2"/>
                <w:szCs w:val="2"/>
                <w:color w:val="auto"/>
              </w:rPr>
            </w:pPr>
          </w:p>
        </w:tc>
        <w:tc>
          <w:tcPr>
            <w:tcW w:w="940" w:type="dxa"/>
            <w:vAlign w:val="bottom"/>
            <w:vMerge w:val="restart"/>
          </w:tcPr>
          <w:p>
            <w:pPr>
              <w:jc w:val="center"/>
              <w:spacing w:after="0" w:line="113" w:lineRule="exact"/>
              <w:rPr>
                <w:sz w:val="20"/>
                <w:szCs w:val="20"/>
                <w:color w:val="auto"/>
              </w:rPr>
            </w:pPr>
            <w:r>
              <w:rPr>
                <w:rFonts w:ascii="Arial" w:cs="Arial" w:eastAsia="Arial" w:hAnsi="Arial"/>
                <w:sz w:val="13"/>
                <w:szCs w:val="13"/>
                <w:color w:val="003A70"/>
              </w:rPr>
              <w:t>Fair Value of</w:t>
            </w:r>
          </w:p>
        </w:tc>
        <w:tc>
          <w:tcPr>
            <w:tcW w:w="0" w:type="dxa"/>
            <w:vAlign w:val="bottom"/>
          </w:tcPr>
          <w:p>
            <w:pPr>
              <w:spacing w:after="0"/>
              <w:rPr>
                <w:sz w:val="1"/>
                <w:szCs w:val="1"/>
                <w:color w:val="auto"/>
              </w:rPr>
            </w:pPr>
          </w:p>
        </w:tc>
      </w:tr>
      <w:tr>
        <w:trPr>
          <w:trHeight w:val="65"/>
        </w:trPr>
        <w:tc>
          <w:tcPr>
            <w:tcW w:w="980" w:type="dxa"/>
            <w:vAlign w:val="bottom"/>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960" w:type="dxa"/>
            <w:vAlign w:val="bottom"/>
            <w:vMerge w:val="restart"/>
          </w:tcPr>
          <w:p>
            <w:pPr>
              <w:jc w:val="right"/>
              <w:ind w:right="260"/>
              <w:spacing w:after="0"/>
              <w:rPr>
                <w:sz w:val="20"/>
                <w:szCs w:val="20"/>
                <w:color w:val="auto"/>
              </w:rPr>
            </w:pPr>
            <w:r>
              <w:rPr>
                <w:rFonts w:ascii="Arial" w:cs="Arial" w:eastAsia="Arial" w:hAnsi="Arial"/>
                <w:sz w:val="14"/>
                <w:szCs w:val="14"/>
                <w:color w:val="003A70"/>
              </w:rPr>
              <w:t>Grant</w:t>
            </w:r>
          </w:p>
        </w:tc>
        <w:tc>
          <w:tcPr>
            <w:tcW w:w="900" w:type="dxa"/>
            <w:vAlign w:val="bottom"/>
            <w:vMerge w:val="restart"/>
          </w:tcPr>
          <w:p>
            <w:pPr>
              <w:jc w:val="right"/>
              <w:ind w:right="140"/>
              <w:spacing w:after="0"/>
              <w:rPr>
                <w:sz w:val="20"/>
                <w:szCs w:val="20"/>
                <w:color w:val="auto"/>
              </w:rPr>
            </w:pPr>
            <w:r>
              <w:rPr>
                <w:rFonts w:ascii="Arial" w:cs="Arial" w:eastAsia="Arial" w:hAnsi="Arial"/>
                <w:sz w:val="14"/>
                <w:szCs w:val="14"/>
                <w:color w:val="003A70"/>
              </w:rPr>
              <w:t>Approval</w:t>
            </w:r>
          </w:p>
        </w:tc>
        <w:tc>
          <w:tcPr>
            <w:tcW w:w="740" w:type="dxa"/>
            <w:vAlign w:val="bottom"/>
            <w:vMerge w:val="restart"/>
          </w:tcPr>
          <w:p>
            <w:pPr>
              <w:jc w:val="right"/>
              <w:ind w:right="21"/>
              <w:spacing w:after="0"/>
              <w:rPr>
                <w:sz w:val="20"/>
                <w:szCs w:val="20"/>
                <w:color w:val="auto"/>
              </w:rPr>
            </w:pPr>
            <w:r>
              <w:rPr>
                <w:rFonts w:ascii="Arial" w:cs="Arial" w:eastAsia="Arial" w:hAnsi="Arial"/>
                <w:sz w:val="14"/>
                <w:szCs w:val="14"/>
                <w:color w:val="003A70"/>
                <w:w w:val="99"/>
              </w:rPr>
              <w:t>Threshold</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003A70"/>
                <w:w w:val="98"/>
              </w:rPr>
              <w:t>Target</w:t>
            </w: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color w:val="003A70"/>
              </w:rPr>
              <w:t>Maximum</w:t>
            </w:r>
          </w:p>
        </w:tc>
        <w:tc>
          <w:tcPr>
            <w:tcW w:w="800" w:type="dxa"/>
            <w:vAlign w:val="bottom"/>
            <w:vMerge w:val="restart"/>
          </w:tcPr>
          <w:p>
            <w:pPr>
              <w:ind w:left="40"/>
              <w:spacing w:after="0"/>
              <w:rPr>
                <w:sz w:val="20"/>
                <w:szCs w:val="20"/>
                <w:color w:val="auto"/>
              </w:rPr>
            </w:pPr>
            <w:r>
              <w:rPr>
                <w:rFonts w:ascii="Arial" w:cs="Arial" w:eastAsia="Arial" w:hAnsi="Arial"/>
                <w:sz w:val="14"/>
                <w:szCs w:val="14"/>
                <w:color w:val="003A70"/>
              </w:rPr>
              <w:t>Threshold</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003A70"/>
                <w:w w:val="98"/>
              </w:rPr>
              <w:t>Target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003A70"/>
              </w:rPr>
              <w:t>Maximum</w:t>
            </w:r>
          </w:p>
        </w:tc>
        <w:tc>
          <w:tcPr>
            <w:tcW w:w="880" w:type="dxa"/>
            <w:vAlign w:val="bottom"/>
          </w:tcPr>
          <w:p>
            <w:pPr>
              <w:jc w:val="center"/>
              <w:spacing w:after="0"/>
              <w:rPr>
                <w:sz w:val="20"/>
                <w:szCs w:val="20"/>
                <w:color w:val="auto"/>
              </w:rPr>
            </w:pPr>
            <w:r>
              <w:rPr>
                <w:rFonts w:ascii="Arial" w:cs="Arial" w:eastAsia="Arial" w:hAnsi="Arial"/>
                <w:sz w:val="14"/>
                <w:szCs w:val="14"/>
                <w:color w:val="003A70"/>
              </w:rPr>
              <w:t>of Shares</w:t>
            </w:r>
          </w:p>
        </w:tc>
        <w:tc>
          <w:tcPr>
            <w:tcW w:w="800" w:type="dxa"/>
            <w:vAlign w:val="bottom"/>
          </w:tcPr>
          <w:p>
            <w:pPr>
              <w:jc w:val="center"/>
              <w:spacing w:after="0"/>
              <w:rPr>
                <w:sz w:val="20"/>
                <w:szCs w:val="20"/>
                <w:color w:val="auto"/>
              </w:rPr>
            </w:pPr>
            <w:r>
              <w:rPr>
                <w:rFonts w:ascii="Arial" w:cs="Arial" w:eastAsia="Arial" w:hAnsi="Arial"/>
                <w:sz w:val="14"/>
                <w:szCs w:val="14"/>
                <w:color w:val="003A70"/>
              </w:rPr>
              <w:t>Underlying</w:t>
            </w:r>
          </w:p>
        </w:tc>
        <w:tc>
          <w:tcPr>
            <w:tcW w:w="720" w:type="dxa"/>
            <w:vAlign w:val="bottom"/>
          </w:tcPr>
          <w:p>
            <w:pPr>
              <w:ind w:left="80"/>
              <w:spacing w:after="0"/>
              <w:rPr>
                <w:sz w:val="20"/>
                <w:szCs w:val="20"/>
                <w:color w:val="auto"/>
              </w:rPr>
            </w:pPr>
            <w:r>
              <w:rPr>
                <w:rFonts w:ascii="Arial" w:cs="Arial" w:eastAsia="Arial" w:hAnsi="Arial"/>
                <w:sz w:val="14"/>
                <w:szCs w:val="14"/>
                <w:color w:val="003A70"/>
              </w:rPr>
              <w:t>Exercise</w:t>
            </w:r>
          </w:p>
        </w:tc>
        <w:tc>
          <w:tcPr>
            <w:tcW w:w="940" w:type="dxa"/>
            <w:vAlign w:val="bottom"/>
          </w:tcPr>
          <w:p>
            <w:pPr>
              <w:jc w:val="center"/>
              <w:spacing w:after="0"/>
              <w:rPr>
                <w:sz w:val="20"/>
                <w:szCs w:val="20"/>
                <w:color w:val="auto"/>
              </w:rPr>
            </w:pPr>
            <w:r>
              <w:rPr>
                <w:rFonts w:ascii="Arial" w:cs="Arial" w:eastAsia="Arial" w:hAnsi="Arial"/>
                <w:sz w:val="14"/>
                <w:szCs w:val="14"/>
                <w:color w:val="003A70"/>
              </w:rPr>
              <w:t>Stock and</w:t>
            </w: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color w:val="003A70"/>
              </w:rPr>
              <w:t>of Stock</w:t>
            </w:r>
          </w:p>
        </w:tc>
        <w:tc>
          <w:tcPr>
            <w:tcW w:w="800" w:type="dxa"/>
            <w:vAlign w:val="bottom"/>
          </w:tcPr>
          <w:p>
            <w:pPr>
              <w:jc w:val="center"/>
              <w:spacing w:after="0" w:line="145" w:lineRule="exact"/>
              <w:rPr>
                <w:sz w:val="20"/>
                <w:szCs w:val="20"/>
                <w:color w:val="auto"/>
              </w:rPr>
            </w:pPr>
            <w:r>
              <w:rPr>
                <w:rFonts w:ascii="Arial" w:cs="Arial" w:eastAsia="Arial" w:hAnsi="Arial"/>
                <w:sz w:val="14"/>
                <w:szCs w:val="14"/>
                <w:color w:val="003A70"/>
              </w:rPr>
              <w:t>Options/</w:t>
            </w:r>
          </w:p>
        </w:tc>
        <w:tc>
          <w:tcPr>
            <w:tcW w:w="720" w:type="dxa"/>
            <w:vAlign w:val="bottom"/>
          </w:tcPr>
          <w:p>
            <w:pPr>
              <w:ind w:left="100"/>
              <w:spacing w:after="0" w:line="145" w:lineRule="exact"/>
              <w:rPr>
                <w:sz w:val="20"/>
                <w:szCs w:val="20"/>
                <w:color w:val="auto"/>
              </w:rPr>
            </w:pPr>
            <w:r>
              <w:rPr>
                <w:rFonts w:ascii="Arial" w:cs="Arial" w:eastAsia="Arial" w:hAnsi="Arial"/>
                <w:sz w:val="14"/>
                <w:szCs w:val="14"/>
                <w:color w:val="003A70"/>
              </w:rPr>
              <w:t>or Base</w:t>
            </w:r>
          </w:p>
        </w:tc>
        <w:tc>
          <w:tcPr>
            <w:tcW w:w="940" w:type="dxa"/>
            <w:vAlign w:val="bottom"/>
          </w:tcPr>
          <w:p>
            <w:pPr>
              <w:jc w:val="center"/>
              <w:spacing w:after="0" w:line="145" w:lineRule="exact"/>
              <w:rPr>
                <w:sz w:val="20"/>
                <w:szCs w:val="20"/>
                <w:color w:val="auto"/>
              </w:rPr>
            </w:pPr>
            <w:r>
              <w:rPr>
                <w:rFonts w:ascii="Arial" w:cs="Arial" w:eastAsia="Arial" w:hAnsi="Arial"/>
                <w:sz w:val="14"/>
                <w:szCs w:val="14"/>
                <w:color w:val="003A70"/>
              </w:rPr>
              <w:t>Option/SAR</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3A70"/>
            </w:tcBorders>
          </w:tcPr>
          <w:p>
            <w:pPr>
              <w:spacing w:after="0" w:line="189" w:lineRule="exact"/>
              <w:rPr>
                <w:sz w:val="20"/>
                <w:szCs w:val="20"/>
                <w:color w:val="auto"/>
              </w:rPr>
            </w:pPr>
            <w:r>
              <w:rPr>
                <w:rFonts w:ascii="Arial" w:cs="Arial" w:eastAsia="Arial" w:hAnsi="Arial"/>
                <w:sz w:val="14"/>
                <w:szCs w:val="14"/>
                <w:color w:val="003A70"/>
              </w:rPr>
              <w:t>Award Type</w:t>
            </w:r>
            <w:r>
              <w:rPr>
                <w:rFonts w:ascii="Arial" w:cs="Arial" w:eastAsia="Arial" w:hAnsi="Arial"/>
                <w:sz w:val="21"/>
                <w:szCs w:val="21"/>
                <w:color w:val="003A70"/>
                <w:vertAlign w:val="superscript"/>
              </w:rPr>
              <w:t>1</w:t>
            </w:r>
          </w:p>
        </w:tc>
        <w:tc>
          <w:tcPr>
            <w:tcW w:w="960" w:type="dxa"/>
            <w:vAlign w:val="bottom"/>
            <w:tcBorders>
              <w:bottom w:val="single" w:sz="8" w:color="003A70"/>
            </w:tcBorders>
          </w:tcPr>
          <w:p>
            <w:pPr>
              <w:jc w:val="right"/>
              <w:ind w:right="260"/>
              <w:spacing w:after="0" w:line="189" w:lineRule="exact"/>
              <w:rPr>
                <w:sz w:val="20"/>
                <w:szCs w:val="20"/>
                <w:color w:val="auto"/>
              </w:rPr>
            </w:pPr>
            <w:r>
              <w:rPr>
                <w:rFonts w:ascii="Arial" w:cs="Arial" w:eastAsia="Arial" w:hAnsi="Arial"/>
                <w:sz w:val="14"/>
                <w:szCs w:val="14"/>
                <w:color w:val="003A70"/>
              </w:rPr>
              <w:t>Date</w:t>
            </w:r>
            <w:r>
              <w:rPr>
                <w:rFonts w:ascii="Arial" w:cs="Arial" w:eastAsia="Arial" w:hAnsi="Arial"/>
                <w:sz w:val="21"/>
                <w:szCs w:val="21"/>
                <w:color w:val="003A70"/>
                <w:vertAlign w:val="superscript"/>
              </w:rPr>
              <w:t>2</w:t>
            </w:r>
          </w:p>
        </w:tc>
        <w:tc>
          <w:tcPr>
            <w:tcW w:w="900" w:type="dxa"/>
            <w:vAlign w:val="bottom"/>
            <w:tcBorders>
              <w:bottom w:val="single" w:sz="8" w:color="003A70"/>
            </w:tcBorders>
          </w:tcPr>
          <w:p>
            <w:pPr>
              <w:jc w:val="right"/>
              <w:ind w:right="240"/>
              <w:spacing w:after="0" w:line="189" w:lineRule="exact"/>
              <w:rPr>
                <w:sz w:val="20"/>
                <w:szCs w:val="20"/>
                <w:color w:val="auto"/>
              </w:rPr>
            </w:pPr>
            <w:r>
              <w:rPr>
                <w:rFonts w:ascii="Arial" w:cs="Arial" w:eastAsia="Arial" w:hAnsi="Arial"/>
                <w:sz w:val="14"/>
                <w:szCs w:val="14"/>
                <w:color w:val="003A70"/>
              </w:rPr>
              <w:t>Date</w:t>
            </w:r>
            <w:r>
              <w:rPr>
                <w:rFonts w:ascii="Arial" w:cs="Arial" w:eastAsia="Arial" w:hAnsi="Arial"/>
                <w:sz w:val="21"/>
                <w:szCs w:val="21"/>
                <w:color w:val="003A70"/>
                <w:vertAlign w:val="superscript"/>
              </w:rPr>
              <w:t>2</w:t>
            </w:r>
          </w:p>
        </w:tc>
        <w:tc>
          <w:tcPr>
            <w:tcW w:w="740" w:type="dxa"/>
            <w:vAlign w:val="bottom"/>
            <w:tcBorders>
              <w:bottom w:val="single" w:sz="8" w:color="003A70"/>
            </w:tcBorders>
          </w:tcPr>
          <w:p>
            <w:pPr>
              <w:jc w:val="right"/>
              <w:ind w:right="241"/>
              <w:spacing w:after="0"/>
              <w:rPr>
                <w:sz w:val="20"/>
                <w:szCs w:val="20"/>
                <w:color w:val="auto"/>
              </w:rPr>
            </w:pPr>
            <w:r>
              <w:rPr>
                <w:rFonts w:ascii="Arial" w:cs="Arial" w:eastAsia="Arial" w:hAnsi="Arial"/>
                <w:sz w:val="14"/>
                <w:szCs w:val="14"/>
                <w:color w:val="003A70"/>
              </w:rPr>
              <w:t>($)</w:t>
            </w:r>
          </w:p>
        </w:tc>
        <w:tc>
          <w:tcPr>
            <w:tcW w:w="8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w:t>
            </w:r>
          </w:p>
        </w:tc>
        <w:tc>
          <w:tcPr>
            <w:tcW w:w="620" w:type="dxa"/>
            <w:vAlign w:val="bottom"/>
            <w:tcBorders>
              <w:bottom w:val="single" w:sz="8" w:color="003A70"/>
            </w:tcBorders>
          </w:tcPr>
          <w:p>
            <w:pPr>
              <w:jc w:val="right"/>
              <w:ind w:right="22"/>
              <w:spacing w:after="0"/>
              <w:rPr>
                <w:sz w:val="20"/>
                <w:szCs w:val="20"/>
                <w:color w:val="auto"/>
              </w:rPr>
            </w:pPr>
            <w:r>
              <w:rPr>
                <w:rFonts w:ascii="Arial" w:cs="Arial" w:eastAsia="Arial" w:hAnsi="Arial"/>
                <w:sz w:val="14"/>
                <w:szCs w:val="14"/>
                <w:color w:val="003A70"/>
              </w:rPr>
              <w:t>($)</w:t>
            </w:r>
          </w:p>
        </w:tc>
        <w:tc>
          <w:tcPr>
            <w:tcW w:w="300" w:type="dxa"/>
            <w:vAlign w:val="bottom"/>
            <w:tcBorders>
              <w:bottom w:val="single" w:sz="8" w:color="003A70"/>
            </w:tcBorders>
          </w:tcPr>
          <w:p>
            <w:pPr>
              <w:spacing w:after="0"/>
              <w:rPr>
                <w:sz w:val="17"/>
                <w:szCs w:val="17"/>
                <w:color w:val="auto"/>
              </w:rPr>
            </w:pPr>
          </w:p>
        </w:tc>
        <w:tc>
          <w:tcPr>
            <w:tcW w:w="800" w:type="dxa"/>
            <w:vAlign w:val="bottom"/>
            <w:tcBorders>
              <w:bottom w:val="single" w:sz="8" w:color="003A70"/>
            </w:tcBorders>
          </w:tcPr>
          <w:p>
            <w:pPr>
              <w:ind w:left="280"/>
              <w:spacing w:after="0"/>
              <w:rPr>
                <w:sz w:val="20"/>
                <w:szCs w:val="20"/>
                <w:color w:val="auto"/>
              </w:rPr>
            </w:pPr>
            <w:r>
              <w:rPr>
                <w:rFonts w:ascii="Arial" w:cs="Arial" w:eastAsia="Arial" w:hAnsi="Arial"/>
                <w:sz w:val="14"/>
                <w:szCs w:val="14"/>
                <w:color w:val="003A70"/>
              </w:rPr>
              <w:t>(#)</w:t>
            </w:r>
          </w:p>
        </w:tc>
        <w:tc>
          <w:tcPr>
            <w:tcW w:w="7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w:t>
            </w:r>
          </w:p>
        </w:tc>
        <w:tc>
          <w:tcPr>
            <w:tcW w:w="760" w:type="dxa"/>
            <w:vAlign w:val="bottom"/>
            <w:tcBorders>
              <w:bottom w:val="single" w:sz="8" w:color="003A70"/>
            </w:tcBorders>
          </w:tcPr>
          <w:p>
            <w:pPr>
              <w:jc w:val="right"/>
              <w:ind w:right="200"/>
              <w:spacing w:after="0"/>
              <w:rPr>
                <w:sz w:val="20"/>
                <w:szCs w:val="20"/>
                <w:color w:val="auto"/>
              </w:rPr>
            </w:pPr>
            <w:r>
              <w:rPr>
                <w:rFonts w:ascii="Arial" w:cs="Arial" w:eastAsia="Arial" w:hAnsi="Arial"/>
                <w:sz w:val="14"/>
                <w:szCs w:val="14"/>
                <w:color w:val="003A70"/>
              </w:rPr>
              <w:t>(#)</w:t>
            </w:r>
          </w:p>
        </w:tc>
        <w:tc>
          <w:tcPr>
            <w:tcW w:w="8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or Units (#)</w:t>
            </w:r>
          </w:p>
        </w:tc>
        <w:tc>
          <w:tcPr>
            <w:tcW w:w="8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SARs (#)</w:t>
            </w:r>
          </w:p>
        </w:tc>
        <w:tc>
          <w:tcPr>
            <w:tcW w:w="720" w:type="dxa"/>
            <w:vAlign w:val="bottom"/>
            <w:tcBorders>
              <w:bottom w:val="single" w:sz="8" w:color="003A70"/>
            </w:tcBorders>
          </w:tcPr>
          <w:p>
            <w:pPr>
              <w:ind w:left="40"/>
              <w:spacing w:after="0" w:line="189" w:lineRule="exact"/>
              <w:rPr>
                <w:sz w:val="20"/>
                <w:szCs w:val="20"/>
                <w:color w:val="auto"/>
              </w:rPr>
            </w:pPr>
            <w:r>
              <w:rPr>
                <w:rFonts w:ascii="Arial" w:cs="Arial" w:eastAsia="Arial" w:hAnsi="Arial"/>
                <w:sz w:val="14"/>
                <w:szCs w:val="14"/>
                <w:color w:val="003A70"/>
              </w:rPr>
              <w:t>Price ($)</w:t>
            </w:r>
            <w:r>
              <w:rPr>
                <w:rFonts w:ascii="Arial" w:cs="Arial" w:eastAsia="Arial" w:hAnsi="Arial"/>
                <w:sz w:val="21"/>
                <w:szCs w:val="21"/>
                <w:color w:val="003A70"/>
                <w:vertAlign w:val="superscript"/>
              </w:rPr>
              <w:t>4</w:t>
            </w:r>
          </w:p>
        </w:tc>
        <w:tc>
          <w:tcPr>
            <w:tcW w:w="940" w:type="dxa"/>
            <w:vAlign w:val="bottom"/>
            <w:tcBorders>
              <w:bottom w:val="single" w:sz="8" w:color="003A70"/>
            </w:tcBorders>
          </w:tcPr>
          <w:p>
            <w:pPr>
              <w:jc w:val="center"/>
              <w:spacing w:after="0" w:line="189" w:lineRule="exact"/>
              <w:rPr>
                <w:sz w:val="20"/>
                <w:szCs w:val="20"/>
                <w:color w:val="auto"/>
              </w:rPr>
            </w:pPr>
            <w:r>
              <w:rPr>
                <w:rFonts w:ascii="Arial" w:cs="Arial" w:eastAsia="Arial" w:hAnsi="Arial"/>
                <w:sz w:val="14"/>
                <w:szCs w:val="14"/>
                <w:color w:val="003A70"/>
              </w:rPr>
              <w:t>Awards ($)</w:t>
            </w:r>
            <w:r>
              <w:rPr>
                <w:rFonts w:ascii="Arial" w:cs="Arial" w:eastAsia="Arial" w:hAnsi="Arial"/>
                <w:sz w:val="21"/>
                <w:szCs w:val="21"/>
                <w:color w:val="003A70"/>
                <w:vertAlign w:val="superscript"/>
              </w:rPr>
              <w:t>5</w:t>
            </w:r>
          </w:p>
        </w:tc>
        <w:tc>
          <w:tcPr>
            <w:tcW w:w="0" w:type="dxa"/>
            <w:vAlign w:val="bottom"/>
          </w:tcPr>
          <w:p>
            <w:pPr>
              <w:spacing w:after="0"/>
              <w:rPr>
                <w:sz w:val="1"/>
                <w:szCs w:val="1"/>
                <w:color w:val="auto"/>
              </w:rPr>
            </w:pPr>
          </w:p>
        </w:tc>
      </w:tr>
      <w:tr>
        <w:trPr>
          <w:trHeight w:val="175"/>
        </w:trPr>
        <w:tc>
          <w:tcPr>
            <w:tcW w:w="980" w:type="dxa"/>
            <w:vAlign w:val="bottom"/>
          </w:tcPr>
          <w:p>
            <w:pPr>
              <w:spacing w:after="0" w:line="175" w:lineRule="exact"/>
              <w:rPr>
                <w:sz w:val="20"/>
                <w:szCs w:val="20"/>
                <w:color w:val="auto"/>
              </w:rPr>
            </w:pPr>
            <w:r>
              <w:rPr>
                <w:rFonts w:ascii="Arial" w:cs="Arial" w:eastAsia="Arial" w:hAnsi="Arial"/>
                <w:sz w:val="16"/>
                <w:szCs w:val="16"/>
                <w:b w:val="1"/>
                <w:bCs w:val="1"/>
                <w:color w:val="003A70"/>
              </w:rPr>
              <w:t>M. Avril</w:t>
            </w: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Bonus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SARs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11/13/2025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11/9/2025</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100,000</w:t>
            </w:r>
          </w:p>
        </w:tc>
        <w:tc>
          <w:tcPr>
            <w:tcW w:w="720" w:type="dxa"/>
            <w:vAlign w:val="bottom"/>
          </w:tcPr>
          <w:p>
            <w:pPr>
              <w:jc w:val="right"/>
              <w:spacing w:after="0"/>
              <w:rPr>
                <w:sz w:val="20"/>
                <w:szCs w:val="20"/>
                <w:color w:val="auto"/>
              </w:rPr>
            </w:pPr>
            <w:r>
              <w:rPr>
                <w:rFonts w:ascii="Arial" w:cs="Arial" w:eastAsia="Arial" w:hAnsi="Arial"/>
                <w:sz w:val="16"/>
                <w:szCs w:val="16"/>
                <w:color w:val="auto"/>
              </w:rPr>
              <w:t>46.76</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1,250,700</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RSUs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5/14/2025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12/5/2024</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2,981</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214,975</w:t>
            </w:r>
          </w:p>
        </w:tc>
        <w:tc>
          <w:tcPr>
            <w:tcW w:w="0" w:type="dxa"/>
            <w:vAlign w:val="bottom"/>
          </w:tcPr>
          <w:p>
            <w:pPr>
              <w:spacing w:after="0"/>
              <w:rPr>
                <w:sz w:val="1"/>
                <w:szCs w:val="1"/>
                <w:color w:val="auto"/>
              </w:rPr>
            </w:pPr>
          </w:p>
        </w:tc>
      </w:tr>
      <w:tr>
        <w:trPr>
          <w:trHeight w:val="203"/>
        </w:trPr>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RSUs</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11/13/2025</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11/9/2025</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2,337,750</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b w:val="1"/>
                <w:bCs w:val="1"/>
                <w:color w:val="003A70"/>
              </w:rPr>
              <w:t>J. Geller</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Bonus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375,000</w:t>
            </w:r>
          </w:p>
        </w:tc>
        <w:tc>
          <w:tcPr>
            <w:tcW w:w="880" w:type="dxa"/>
            <w:vAlign w:val="bottom"/>
          </w:tcPr>
          <w:p>
            <w:pPr>
              <w:jc w:val="right"/>
              <w:spacing w:after="0"/>
              <w:rPr>
                <w:sz w:val="20"/>
                <w:szCs w:val="20"/>
                <w:color w:val="auto"/>
              </w:rPr>
            </w:pPr>
            <w:r>
              <w:rPr>
                <w:rFonts w:ascii="Arial" w:cs="Arial" w:eastAsia="Arial" w:hAnsi="Arial"/>
                <w:sz w:val="16"/>
                <w:szCs w:val="16"/>
                <w:color w:val="auto"/>
              </w:rPr>
              <w:t>1,500,000</w:t>
            </w:r>
          </w:p>
        </w:tc>
        <w:tc>
          <w:tcPr>
            <w:tcW w:w="920" w:type="dxa"/>
            <w:vAlign w:val="bottom"/>
            <w:gridSpan w:val="2"/>
          </w:tcPr>
          <w:p>
            <w:pPr>
              <w:jc w:val="right"/>
              <w:ind w:right="19"/>
              <w:spacing w:after="0"/>
              <w:rPr>
                <w:sz w:val="20"/>
                <w:szCs w:val="20"/>
                <w:color w:val="auto"/>
              </w:rPr>
            </w:pPr>
            <w:r>
              <w:rPr>
                <w:rFonts w:ascii="Arial" w:cs="Arial" w:eastAsia="Arial" w:hAnsi="Arial"/>
                <w:sz w:val="16"/>
                <w:szCs w:val="16"/>
                <w:color w:val="auto"/>
              </w:rPr>
              <w:t>3,000,000</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Performance</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3/4/2025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2/19/2025</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56,034</w:t>
            </w:r>
          </w:p>
        </w:tc>
        <w:tc>
          <w:tcPr>
            <w:tcW w:w="760" w:type="dxa"/>
            <w:vAlign w:val="bottom"/>
          </w:tcPr>
          <w:p>
            <w:pPr>
              <w:jc w:val="right"/>
              <w:spacing w:after="0"/>
              <w:rPr>
                <w:sz w:val="20"/>
                <w:szCs w:val="20"/>
                <w:color w:val="auto"/>
              </w:rPr>
            </w:pPr>
            <w:r>
              <w:rPr>
                <w:rFonts w:ascii="Arial" w:cs="Arial" w:eastAsia="Arial" w:hAnsi="Arial"/>
                <w:sz w:val="16"/>
                <w:szCs w:val="16"/>
                <w:color w:val="auto"/>
              </w:rPr>
              <w:t>112,068</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3,499,996</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SARs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3/4/2025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2/19/2025</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60,420</w:t>
            </w:r>
          </w:p>
        </w:tc>
        <w:tc>
          <w:tcPr>
            <w:tcW w:w="720" w:type="dxa"/>
            <w:vAlign w:val="bottom"/>
          </w:tcPr>
          <w:p>
            <w:pPr>
              <w:jc w:val="right"/>
              <w:spacing w:after="0"/>
              <w:rPr>
                <w:sz w:val="20"/>
                <w:szCs w:val="20"/>
                <w:color w:val="auto"/>
              </w:rPr>
            </w:pPr>
            <w:r>
              <w:rPr>
                <w:rFonts w:ascii="Arial" w:cs="Arial" w:eastAsia="Arial" w:hAnsi="Arial"/>
                <w:sz w:val="16"/>
                <w:szCs w:val="16"/>
                <w:color w:val="auto"/>
              </w:rPr>
              <w:t>71.17</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1,399,992</w:t>
            </w:r>
          </w:p>
        </w:tc>
        <w:tc>
          <w:tcPr>
            <w:tcW w:w="0" w:type="dxa"/>
            <w:vAlign w:val="bottom"/>
          </w:tcPr>
          <w:p>
            <w:pPr>
              <w:spacing w:after="0"/>
              <w:rPr>
                <w:sz w:val="1"/>
                <w:szCs w:val="1"/>
                <w:color w:val="auto"/>
              </w:rPr>
            </w:pPr>
          </w:p>
        </w:tc>
      </w:tr>
      <w:tr>
        <w:trPr>
          <w:trHeight w:val="203"/>
        </w:trPr>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RSUs</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3/4/2025</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2/19/2025</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32,858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2,099,988</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b w:val="1"/>
                <w:bCs w:val="1"/>
                <w:color w:val="003A70"/>
              </w:rPr>
              <w:t>J. Marino</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Bonus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158,125</w:t>
            </w:r>
          </w:p>
        </w:tc>
        <w:tc>
          <w:tcPr>
            <w:tcW w:w="880" w:type="dxa"/>
            <w:vAlign w:val="bottom"/>
          </w:tcPr>
          <w:p>
            <w:pPr>
              <w:jc w:val="right"/>
              <w:spacing w:after="0"/>
              <w:rPr>
                <w:sz w:val="20"/>
                <w:szCs w:val="20"/>
                <w:color w:val="auto"/>
              </w:rPr>
            </w:pPr>
            <w:r>
              <w:rPr>
                <w:rFonts w:ascii="Arial" w:cs="Arial" w:eastAsia="Arial" w:hAnsi="Arial"/>
                <w:sz w:val="16"/>
                <w:szCs w:val="16"/>
                <w:color w:val="auto"/>
              </w:rPr>
              <w:t>632,500</w:t>
            </w:r>
          </w:p>
        </w:tc>
        <w:tc>
          <w:tcPr>
            <w:tcW w:w="920" w:type="dxa"/>
            <w:vAlign w:val="bottom"/>
            <w:gridSpan w:val="2"/>
          </w:tcPr>
          <w:p>
            <w:pPr>
              <w:jc w:val="right"/>
              <w:ind w:right="19"/>
              <w:spacing w:after="0"/>
              <w:rPr>
                <w:sz w:val="20"/>
                <w:szCs w:val="20"/>
                <w:color w:val="auto"/>
              </w:rPr>
            </w:pPr>
            <w:r>
              <w:rPr>
                <w:rFonts w:ascii="Arial" w:cs="Arial" w:eastAsia="Arial" w:hAnsi="Arial"/>
                <w:sz w:val="16"/>
                <w:szCs w:val="16"/>
                <w:color w:val="auto"/>
              </w:rPr>
              <w:t>1,265,000</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Performance</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3/4/2025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2/19/2025</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16,810</w:t>
            </w:r>
          </w:p>
        </w:tc>
        <w:tc>
          <w:tcPr>
            <w:tcW w:w="760" w:type="dxa"/>
            <w:vAlign w:val="bottom"/>
          </w:tcPr>
          <w:p>
            <w:pPr>
              <w:jc w:val="right"/>
              <w:spacing w:after="0"/>
              <w:rPr>
                <w:sz w:val="20"/>
                <w:szCs w:val="20"/>
                <w:color w:val="auto"/>
              </w:rPr>
            </w:pPr>
            <w:r>
              <w:rPr>
                <w:rFonts w:ascii="Arial" w:cs="Arial" w:eastAsia="Arial" w:hAnsi="Arial"/>
                <w:sz w:val="16"/>
                <w:szCs w:val="16"/>
                <w:color w:val="auto"/>
              </w:rPr>
              <w:t>33,620</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1,049,986</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SARs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3/4/2025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2/19/2025</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18,126</w:t>
            </w:r>
          </w:p>
        </w:tc>
        <w:tc>
          <w:tcPr>
            <w:tcW w:w="720" w:type="dxa"/>
            <w:vAlign w:val="bottom"/>
          </w:tcPr>
          <w:p>
            <w:pPr>
              <w:jc w:val="right"/>
              <w:spacing w:after="0"/>
              <w:rPr>
                <w:sz w:val="20"/>
                <w:szCs w:val="20"/>
                <w:color w:val="auto"/>
              </w:rPr>
            </w:pPr>
            <w:r>
              <w:rPr>
                <w:rFonts w:ascii="Arial" w:cs="Arial" w:eastAsia="Arial" w:hAnsi="Arial"/>
                <w:sz w:val="16"/>
                <w:szCs w:val="16"/>
                <w:color w:val="auto"/>
              </w:rPr>
              <w:t>71.17</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419,998</w:t>
            </w:r>
          </w:p>
        </w:tc>
        <w:tc>
          <w:tcPr>
            <w:tcW w:w="0" w:type="dxa"/>
            <w:vAlign w:val="bottom"/>
          </w:tcPr>
          <w:p>
            <w:pPr>
              <w:spacing w:after="0"/>
              <w:rPr>
                <w:sz w:val="1"/>
                <w:szCs w:val="1"/>
                <w:color w:val="auto"/>
              </w:rPr>
            </w:pPr>
          </w:p>
        </w:tc>
      </w:tr>
      <w:tr>
        <w:trPr>
          <w:trHeight w:val="203"/>
        </w:trPr>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RSUs</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3/4/2025</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2/19/2025</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629,971</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b w:val="1"/>
                <w:bCs w:val="1"/>
                <w:color w:val="003A70"/>
              </w:rPr>
              <w:t>B. Miller</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Bonus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231,415</w:t>
            </w:r>
          </w:p>
        </w:tc>
        <w:tc>
          <w:tcPr>
            <w:tcW w:w="880" w:type="dxa"/>
            <w:vAlign w:val="bottom"/>
          </w:tcPr>
          <w:p>
            <w:pPr>
              <w:jc w:val="right"/>
              <w:spacing w:after="0"/>
              <w:rPr>
                <w:sz w:val="20"/>
                <w:szCs w:val="20"/>
                <w:color w:val="auto"/>
              </w:rPr>
            </w:pPr>
            <w:r>
              <w:rPr>
                <w:rFonts w:ascii="Arial" w:cs="Arial" w:eastAsia="Arial" w:hAnsi="Arial"/>
                <w:sz w:val="16"/>
                <w:szCs w:val="16"/>
                <w:color w:val="auto"/>
              </w:rPr>
              <w:t>925,661</w:t>
            </w:r>
          </w:p>
        </w:tc>
        <w:tc>
          <w:tcPr>
            <w:tcW w:w="920" w:type="dxa"/>
            <w:vAlign w:val="bottom"/>
            <w:gridSpan w:val="2"/>
          </w:tcPr>
          <w:p>
            <w:pPr>
              <w:jc w:val="right"/>
              <w:ind w:right="19"/>
              <w:spacing w:after="0"/>
              <w:rPr>
                <w:sz w:val="20"/>
                <w:szCs w:val="20"/>
                <w:color w:val="auto"/>
              </w:rPr>
            </w:pPr>
            <w:r>
              <w:rPr>
                <w:rFonts w:ascii="Arial" w:cs="Arial" w:eastAsia="Arial" w:hAnsi="Arial"/>
                <w:sz w:val="16"/>
                <w:szCs w:val="16"/>
                <w:color w:val="auto"/>
              </w:rPr>
              <w:t>1,851,322</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Performance</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3/4/2025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2/19/2025</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16,010</w:t>
            </w:r>
          </w:p>
        </w:tc>
        <w:tc>
          <w:tcPr>
            <w:tcW w:w="760" w:type="dxa"/>
            <w:vAlign w:val="bottom"/>
          </w:tcPr>
          <w:p>
            <w:pPr>
              <w:jc w:val="right"/>
              <w:spacing w:after="0"/>
              <w:rPr>
                <w:sz w:val="20"/>
                <w:szCs w:val="20"/>
                <w:color w:val="auto"/>
              </w:rPr>
            </w:pPr>
            <w:r>
              <w:rPr>
                <w:rFonts w:ascii="Arial" w:cs="Arial" w:eastAsia="Arial" w:hAnsi="Arial"/>
                <w:sz w:val="16"/>
                <w:szCs w:val="16"/>
                <w:color w:val="auto"/>
              </w:rPr>
              <w:t>32,020</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1,000,017</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SARs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3/4/2025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2/19/2025</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17,263</w:t>
            </w:r>
          </w:p>
        </w:tc>
        <w:tc>
          <w:tcPr>
            <w:tcW w:w="720" w:type="dxa"/>
            <w:vAlign w:val="bottom"/>
          </w:tcPr>
          <w:p>
            <w:pPr>
              <w:jc w:val="right"/>
              <w:spacing w:after="0"/>
              <w:rPr>
                <w:sz w:val="20"/>
                <w:szCs w:val="20"/>
                <w:color w:val="auto"/>
              </w:rPr>
            </w:pPr>
            <w:r>
              <w:rPr>
                <w:rFonts w:ascii="Arial" w:cs="Arial" w:eastAsia="Arial" w:hAnsi="Arial"/>
                <w:sz w:val="16"/>
                <w:szCs w:val="16"/>
                <w:color w:val="auto"/>
              </w:rPr>
              <w:t>71.17</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400,001</w:t>
            </w:r>
          </w:p>
        </w:tc>
        <w:tc>
          <w:tcPr>
            <w:tcW w:w="0" w:type="dxa"/>
            <w:vAlign w:val="bottom"/>
          </w:tcPr>
          <w:p>
            <w:pPr>
              <w:spacing w:after="0"/>
              <w:rPr>
                <w:sz w:val="1"/>
                <w:szCs w:val="1"/>
                <w:color w:val="auto"/>
              </w:rPr>
            </w:pPr>
          </w:p>
        </w:tc>
      </w:tr>
      <w:tr>
        <w:trPr>
          <w:trHeight w:val="203"/>
        </w:trPr>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RSUs</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3/4/2025</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2/19/2025</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599,996</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b w:val="1"/>
                <w:bCs w:val="1"/>
                <w:color w:val="003A70"/>
              </w:rPr>
              <w:t>J. Hunter</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Bonus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125,042</w:t>
            </w:r>
          </w:p>
        </w:tc>
        <w:tc>
          <w:tcPr>
            <w:tcW w:w="880" w:type="dxa"/>
            <w:vAlign w:val="bottom"/>
          </w:tcPr>
          <w:p>
            <w:pPr>
              <w:jc w:val="right"/>
              <w:spacing w:after="0"/>
              <w:rPr>
                <w:sz w:val="20"/>
                <w:szCs w:val="20"/>
                <w:color w:val="auto"/>
              </w:rPr>
            </w:pPr>
            <w:r>
              <w:rPr>
                <w:rFonts w:ascii="Arial" w:cs="Arial" w:eastAsia="Arial" w:hAnsi="Arial"/>
                <w:sz w:val="16"/>
                <w:szCs w:val="16"/>
                <w:color w:val="auto"/>
              </w:rPr>
              <w:t>500,168</w:t>
            </w:r>
          </w:p>
        </w:tc>
        <w:tc>
          <w:tcPr>
            <w:tcW w:w="920" w:type="dxa"/>
            <w:vAlign w:val="bottom"/>
            <w:gridSpan w:val="2"/>
          </w:tcPr>
          <w:p>
            <w:pPr>
              <w:jc w:val="right"/>
              <w:ind w:right="19"/>
              <w:spacing w:after="0"/>
              <w:rPr>
                <w:sz w:val="20"/>
                <w:szCs w:val="20"/>
                <w:color w:val="auto"/>
              </w:rPr>
            </w:pPr>
            <w:r>
              <w:rPr>
                <w:rFonts w:ascii="Arial" w:cs="Arial" w:eastAsia="Arial" w:hAnsi="Arial"/>
                <w:sz w:val="16"/>
                <w:szCs w:val="16"/>
                <w:color w:val="auto"/>
              </w:rPr>
              <w:t>1,000,336</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Performance</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3/4/2025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2/19/2025</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11,207</w:t>
            </w:r>
          </w:p>
        </w:tc>
        <w:tc>
          <w:tcPr>
            <w:tcW w:w="760" w:type="dxa"/>
            <w:vAlign w:val="bottom"/>
          </w:tcPr>
          <w:p>
            <w:pPr>
              <w:jc w:val="right"/>
              <w:spacing w:after="0"/>
              <w:rPr>
                <w:sz w:val="20"/>
                <w:szCs w:val="20"/>
                <w:color w:val="auto"/>
              </w:rPr>
            </w:pPr>
            <w:r>
              <w:rPr>
                <w:rFonts w:ascii="Arial" w:cs="Arial" w:eastAsia="Arial" w:hAnsi="Arial"/>
                <w:sz w:val="16"/>
                <w:szCs w:val="16"/>
                <w:color w:val="auto"/>
              </w:rPr>
              <w:t>22,414</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700,012</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SARs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3/4/2025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2/19/2025</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12,084</w:t>
            </w:r>
          </w:p>
        </w:tc>
        <w:tc>
          <w:tcPr>
            <w:tcW w:w="720" w:type="dxa"/>
            <w:vAlign w:val="bottom"/>
          </w:tcPr>
          <w:p>
            <w:pPr>
              <w:jc w:val="right"/>
              <w:spacing w:after="0"/>
              <w:rPr>
                <w:sz w:val="20"/>
                <w:szCs w:val="20"/>
                <w:color w:val="auto"/>
              </w:rPr>
            </w:pPr>
            <w:r>
              <w:rPr>
                <w:rFonts w:ascii="Arial" w:cs="Arial" w:eastAsia="Arial" w:hAnsi="Arial"/>
                <w:sz w:val="16"/>
                <w:szCs w:val="16"/>
                <w:color w:val="auto"/>
              </w:rPr>
              <w:t>71.17</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279,998</w:t>
            </w:r>
          </w:p>
        </w:tc>
        <w:tc>
          <w:tcPr>
            <w:tcW w:w="0" w:type="dxa"/>
            <w:vAlign w:val="bottom"/>
          </w:tcPr>
          <w:p>
            <w:pPr>
              <w:spacing w:after="0"/>
              <w:rPr>
                <w:sz w:val="1"/>
                <w:szCs w:val="1"/>
                <w:color w:val="auto"/>
              </w:rPr>
            </w:pPr>
          </w:p>
        </w:tc>
      </w:tr>
      <w:tr>
        <w:trPr>
          <w:trHeight w:val="203"/>
        </w:trPr>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RSUs</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3/4/2025</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2/19/2025</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420,023</w:t>
            </w:r>
          </w:p>
        </w:tc>
        <w:tc>
          <w:tcPr>
            <w:tcW w:w="0" w:type="dxa"/>
            <w:vAlign w:val="bottom"/>
          </w:tcPr>
          <w:p>
            <w:pPr>
              <w:spacing w:after="0"/>
              <w:rPr>
                <w:sz w:val="1"/>
                <w:szCs w:val="1"/>
                <w:color w:val="auto"/>
              </w:rPr>
            </w:pPr>
          </w:p>
        </w:tc>
      </w:tr>
      <w:tr>
        <w:trPr>
          <w:trHeight w:val="168"/>
        </w:trPr>
        <w:tc>
          <w:tcPr>
            <w:tcW w:w="980" w:type="dxa"/>
            <w:vAlign w:val="bottom"/>
          </w:tcPr>
          <w:p>
            <w:pPr>
              <w:spacing w:after="0" w:line="168" w:lineRule="exact"/>
              <w:rPr>
                <w:sz w:val="20"/>
                <w:szCs w:val="20"/>
                <w:color w:val="auto"/>
              </w:rPr>
            </w:pPr>
            <w:r>
              <w:rPr>
                <w:rFonts w:ascii="Arial" w:cs="Arial" w:eastAsia="Arial" w:hAnsi="Arial"/>
                <w:sz w:val="16"/>
                <w:szCs w:val="16"/>
                <w:b w:val="1"/>
                <w:bCs w:val="1"/>
                <w:color w:val="003A70"/>
              </w:rPr>
              <w:t>L.</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b w:val="1"/>
                <w:bCs w:val="1"/>
                <w:color w:val="003A70"/>
              </w:rPr>
              <w:t>Gustafson</w:t>
            </w: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Bonus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118,750</w:t>
            </w:r>
          </w:p>
        </w:tc>
        <w:tc>
          <w:tcPr>
            <w:tcW w:w="880" w:type="dxa"/>
            <w:vAlign w:val="bottom"/>
          </w:tcPr>
          <w:p>
            <w:pPr>
              <w:jc w:val="right"/>
              <w:spacing w:after="0"/>
              <w:rPr>
                <w:sz w:val="20"/>
                <w:szCs w:val="20"/>
                <w:color w:val="auto"/>
              </w:rPr>
            </w:pPr>
            <w:r>
              <w:rPr>
                <w:rFonts w:ascii="Arial" w:cs="Arial" w:eastAsia="Arial" w:hAnsi="Arial"/>
                <w:sz w:val="16"/>
                <w:szCs w:val="16"/>
                <w:color w:val="auto"/>
              </w:rPr>
              <w:t>475,000</w:t>
            </w:r>
          </w:p>
        </w:tc>
        <w:tc>
          <w:tcPr>
            <w:tcW w:w="920" w:type="dxa"/>
            <w:vAlign w:val="bottom"/>
            <w:gridSpan w:val="2"/>
          </w:tcPr>
          <w:p>
            <w:pPr>
              <w:jc w:val="right"/>
              <w:ind w:right="19"/>
              <w:spacing w:after="0"/>
              <w:rPr>
                <w:sz w:val="20"/>
                <w:szCs w:val="20"/>
                <w:color w:val="auto"/>
              </w:rPr>
            </w:pPr>
            <w:r>
              <w:rPr>
                <w:rFonts w:ascii="Arial" w:cs="Arial" w:eastAsia="Arial" w:hAnsi="Arial"/>
                <w:sz w:val="16"/>
                <w:szCs w:val="16"/>
                <w:color w:val="auto"/>
              </w:rPr>
              <w:t>950,000</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Performance</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3/4/2025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2/19/2025</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7,204</w:t>
            </w:r>
          </w:p>
        </w:tc>
        <w:tc>
          <w:tcPr>
            <w:tcW w:w="760" w:type="dxa"/>
            <w:vAlign w:val="bottom"/>
          </w:tcPr>
          <w:p>
            <w:pPr>
              <w:jc w:val="right"/>
              <w:spacing w:after="0"/>
              <w:rPr>
                <w:sz w:val="20"/>
                <w:szCs w:val="20"/>
                <w:color w:val="auto"/>
              </w:rPr>
            </w:pPr>
            <w:r>
              <w:rPr>
                <w:rFonts w:ascii="Arial" w:cs="Arial" w:eastAsia="Arial" w:hAnsi="Arial"/>
                <w:sz w:val="16"/>
                <w:szCs w:val="16"/>
                <w:color w:val="auto"/>
              </w:rPr>
              <w:t>14,408</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449,976</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SARs</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3/4/2025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2/19/2025</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ind w:left="3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7,768</w:t>
            </w:r>
          </w:p>
        </w:tc>
        <w:tc>
          <w:tcPr>
            <w:tcW w:w="720" w:type="dxa"/>
            <w:vAlign w:val="bottom"/>
          </w:tcPr>
          <w:p>
            <w:pPr>
              <w:jc w:val="right"/>
              <w:spacing w:after="0"/>
              <w:rPr>
                <w:sz w:val="20"/>
                <w:szCs w:val="20"/>
                <w:color w:val="auto"/>
              </w:rPr>
            </w:pPr>
            <w:r>
              <w:rPr>
                <w:rFonts w:ascii="Arial" w:cs="Arial" w:eastAsia="Arial" w:hAnsi="Arial"/>
                <w:sz w:val="16"/>
                <w:szCs w:val="16"/>
                <w:color w:val="auto"/>
              </w:rPr>
              <w:t>71.17</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179,992</w:t>
            </w:r>
          </w:p>
        </w:tc>
        <w:tc>
          <w:tcPr>
            <w:tcW w:w="0" w:type="dxa"/>
            <w:vAlign w:val="bottom"/>
          </w:tcPr>
          <w:p>
            <w:pPr>
              <w:spacing w:after="0"/>
              <w:rPr>
                <w:sz w:val="1"/>
                <w:szCs w:val="1"/>
                <w:color w:val="auto"/>
              </w:rPr>
            </w:pPr>
          </w:p>
        </w:tc>
      </w:tr>
      <w:tr>
        <w:trPr>
          <w:trHeight w:val="203"/>
        </w:trPr>
        <w:tc>
          <w:tcPr>
            <w:tcW w:w="98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RSUs</w:t>
            </w:r>
          </w:p>
        </w:tc>
        <w:tc>
          <w:tcPr>
            <w:tcW w:w="960" w:type="dxa"/>
            <w:vAlign w:val="bottom"/>
            <w:tcBorders>
              <w:bottom w:val="single" w:sz="8" w:color="003A70"/>
            </w:tcBorders>
          </w:tcPr>
          <w:p>
            <w:pPr>
              <w:jc w:val="right"/>
              <w:ind w:right="20"/>
              <w:spacing w:after="0"/>
              <w:rPr>
                <w:sz w:val="20"/>
                <w:szCs w:val="20"/>
                <w:color w:val="auto"/>
              </w:rPr>
            </w:pPr>
            <w:r>
              <w:rPr>
                <w:rFonts w:ascii="Arial" w:cs="Arial" w:eastAsia="Arial" w:hAnsi="Arial"/>
                <w:sz w:val="16"/>
                <w:szCs w:val="16"/>
                <w:color w:val="auto"/>
              </w:rPr>
              <w:t>3/4/2025</w:t>
            </w:r>
          </w:p>
        </w:tc>
        <w:tc>
          <w:tcPr>
            <w:tcW w:w="900" w:type="dxa"/>
            <w:vAlign w:val="bottom"/>
            <w:tcBorders>
              <w:bottom w:val="single" w:sz="8" w:color="003A70"/>
            </w:tcBorders>
          </w:tcPr>
          <w:p>
            <w:pPr>
              <w:jc w:val="right"/>
              <w:ind w:right="20"/>
              <w:spacing w:after="0"/>
              <w:rPr>
                <w:sz w:val="20"/>
                <w:szCs w:val="20"/>
                <w:color w:val="auto"/>
              </w:rPr>
            </w:pPr>
            <w:r>
              <w:rPr>
                <w:rFonts w:ascii="Arial" w:cs="Arial" w:eastAsia="Arial" w:hAnsi="Arial"/>
                <w:sz w:val="16"/>
                <w:szCs w:val="16"/>
                <w:color w:val="auto"/>
              </w:rPr>
              <w:t>2/19/2025</w:t>
            </w:r>
          </w:p>
        </w:tc>
        <w:tc>
          <w:tcPr>
            <w:tcW w:w="740" w:type="dxa"/>
            <w:vAlign w:val="bottom"/>
            <w:tcBorders>
              <w:bottom w:val="single" w:sz="8" w:color="003A70"/>
            </w:tcBorders>
          </w:tcPr>
          <w:p>
            <w:pPr>
              <w:jc w:val="right"/>
              <w:ind w:right="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003A70"/>
            </w:tcBorders>
          </w:tcPr>
          <w:p>
            <w:pPr>
              <w:spacing w:after="0"/>
              <w:rPr>
                <w:sz w:val="17"/>
                <w:szCs w:val="17"/>
                <w:color w:val="auto"/>
              </w:rPr>
            </w:pPr>
          </w:p>
        </w:tc>
        <w:tc>
          <w:tcPr>
            <w:tcW w:w="300" w:type="dxa"/>
            <w:vAlign w:val="bottom"/>
            <w:tcBorders>
              <w:bottom w:val="single" w:sz="8" w:color="003A70"/>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003A70"/>
            </w:tcBorders>
          </w:tcPr>
          <w:p>
            <w:pPr>
              <w:ind w:left="3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003A70"/>
            </w:tcBorders>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4,225</w:t>
            </w:r>
          </w:p>
        </w:tc>
        <w:tc>
          <w:tcPr>
            <w:tcW w:w="80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03A70"/>
            </w:tcBorders>
          </w:tcPr>
          <w:p>
            <w:pPr>
              <w:jc w:val="right"/>
              <w:ind w:right="1"/>
              <w:spacing w:after="0"/>
              <w:rPr>
                <w:sz w:val="20"/>
                <w:szCs w:val="20"/>
                <w:color w:val="auto"/>
              </w:rPr>
            </w:pPr>
            <w:r>
              <w:rPr>
                <w:rFonts w:ascii="Arial" w:cs="Arial" w:eastAsia="Arial" w:hAnsi="Arial"/>
                <w:sz w:val="16"/>
                <w:szCs w:val="16"/>
                <w:color w:val="auto"/>
              </w:rPr>
              <w:t>270,024</w:t>
            </w:r>
          </w:p>
        </w:tc>
        <w:tc>
          <w:tcPr>
            <w:tcW w:w="0" w:type="dxa"/>
            <w:vAlign w:val="bottom"/>
          </w:tcPr>
          <w:p>
            <w:pPr>
              <w:spacing w:after="0"/>
              <w:rPr>
                <w:sz w:val="1"/>
                <w:szCs w:val="1"/>
                <w:color w:val="auto"/>
              </w:rPr>
            </w:pPr>
          </w:p>
        </w:tc>
      </w:tr>
    </w:tbl>
    <w:p>
      <w:pPr>
        <w:spacing w:after="0" w:line="135" w:lineRule="exact"/>
        <w:rPr>
          <w:sz w:val="20"/>
          <w:szCs w:val="20"/>
          <w:color w:val="auto"/>
        </w:rPr>
      </w:pPr>
    </w:p>
    <w:p>
      <w:pPr>
        <w:sectPr>
          <w:pgSz w:w="11900" w:h="16838" w:orient="portrait"/>
          <w:cols w:equalWidth="0" w:num="1">
            <w:col w:w="11140"/>
          </w:cols>
          <w:pgMar w:left="320" w:top="482" w:right="439" w:bottom="1440" w:gutter="0" w:footer="0" w:header="0"/>
        </w:sectPr>
      </w:pPr>
    </w:p>
    <w:p>
      <w:pPr>
        <w:ind w:left="120"/>
        <w:spacing w:after="0"/>
        <w:tabs>
          <w:tab w:leader="none" w:pos="446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p>
      <w:pPr>
        <w:ind w:left="440" w:right="420" w:hanging="324"/>
        <w:spacing w:after="0" w:line="204" w:lineRule="auto"/>
        <w:tabs>
          <w:tab w:leader="none" w:pos="4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“Bonus” refers to our Bonus Plan in which our NEOs, other than Mr. Avril, participated. “Performance,” “SARs” and “RSUs” refers to Performance Units, SARs and RSUs, respectively, granted under the 2020 Equity Plan.</w:t>
      </w:r>
    </w:p>
    <w:p>
      <w:pPr>
        <w:spacing w:after="0" w:line="53" w:lineRule="exact"/>
        <w:rPr>
          <w:sz w:val="20"/>
          <w:szCs w:val="20"/>
          <w:color w:val="auto"/>
        </w:rPr>
      </w:pPr>
    </w:p>
    <w:p>
      <w:pPr>
        <w:ind w:left="440" w:right="20" w:hanging="324"/>
        <w:spacing w:after="0"/>
        <w:tabs>
          <w:tab w:leader="none" w:pos="4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“Grant Date” applies to equity awards reported in the “Estimated Possible Payouts Under Equity Incentive Plan Awards,” “All Other Stock Awards” and “All Other Options/SAR Awards” columns. The CPC approved grants of annual Performance Units, SARs and RSUs for the NEOs (other than Mr. Avril) on February 19, 2025, and the grant date of these awards was March 4, 2025 consistent with the Company’s Equity Grant Policy. The CPC approved grants to Mr. Avril of annual non-employee director share awards on December 5, 2024, and the grant date of these awards was May 14, 2025 consistent with the Company’s Equity Grant Policy. The CPC approved grants to Mr. Avril in connection with his appointment as interim President and CEO on November 9, 2025 and the grant date of these awards was November 13, 2025.</w:t>
      </w:r>
    </w:p>
    <w:p>
      <w:pPr>
        <w:spacing w:after="0" w:line="156" w:lineRule="exact"/>
        <w:rPr>
          <w:sz w:val="20"/>
          <w:szCs w:val="20"/>
          <w:color w:val="auto"/>
        </w:rPr>
      </w:pPr>
    </w:p>
    <w:p>
      <w:pPr>
        <w:ind w:left="440" w:right="300" w:hanging="324"/>
        <w:spacing w:after="0" w:line="204" w:lineRule="auto"/>
        <w:tabs>
          <w:tab w:leader="none" w:pos="4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These columns are intended to include potential payouts corresponding to the achievement of the threshold, target and maximum performance objectives under the Bonus Plan.</w:t>
      </w:r>
    </w:p>
    <w:p>
      <w:pPr>
        <w:ind w:left="440" w:hanging="324"/>
        <w:spacing w:after="0" w:line="230" w:lineRule="auto"/>
        <w:tabs>
          <w:tab w:leader="none" w:pos="4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The awards were granted with an exercise or base price equal to the average of the high and low stock price on the NYSE on the date of grant.</w:t>
      </w:r>
    </w:p>
    <w:p>
      <w:pPr>
        <w:spacing w:after="0" w:line="60" w:lineRule="exact"/>
        <w:rPr>
          <w:sz w:val="20"/>
          <w:szCs w:val="20"/>
          <w:color w:val="auto"/>
        </w:rPr>
      </w:pPr>
    </w:p>
    <w:p>
      <w:pPr>
        <w:ind w:left="440" w:right="280" w:hanging="324"/>
        <w:spacing w:after="0" w:line="222" w:lineRule="auto"/>
        <w:tabs>
          <w:tab w:leader="none" w:pos="44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The value reported for Equity Incentive Plan Awards, Stock Awards and Option/SAR Awards is the aggregate grant date fair value of the awards granted in 2025 as determined in accordance with accounting standards for share-based payments. The value reported for the Performance Units is the grant date value assuming performance at the target level, which was the probable outcome of the performance conditions as of the grant date. The assumptions for making the valuation determinations are set forth in Footnote 17 “Share-Based Compensation” of the Notes to our annual Consolidated Financial Statements included in the 2025 Annual Report.</w:t>
      </w:r>
    </w:p>
    <w:p>
      <w:pPr>
        <w:spacing w:after="0" w:line="77"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The Grants of Plan-Based Awards table reports the potential dollar value of cash incentive awards under the Bonus Plan at their threshold, target and maximum achievement levels, and the number and grant date fair value of Performance Units, SARs, RSUs and Non-Employee Director Share Awards granted under the 2020 Equity Plan, in each case granted to each NEO during the 2025 fiscal year. For cash incentives, this table reports the range of potential amounts that could have been earned by the executive under the Bonus Plans for 2025, whereas the Non-Equity Incentive Plan Compensation column in the Summary Compensation Table reports the actual value earned by the executive for 2025.</w:t>
      </w:r>
    </w:p>
    <w:p>
      <w:pPr>
        <w:spacing w:after="0" w:line="72"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Annual RSU and SAR grants under the 2020 Equity Plan typically vest in four equal annual increments beginning approximately a year after the grant date, contingent on continued employment. Mr. Avril’s November 2025 RSU and SAR awards vest on the earlier of one year from the grant date or termination of employment. Even when vested, an executive could lose the right to exercise or receive a distribution of any outstanding stock awards if the executive’s employment terminated due to serious misconduct as defined in the Equity Plans, if it is determined that the executive has engaged in competition or has engaged in criminal conduct or other behavior that was actually or potentially harmful or if the executive receives erroneously awarded incentive-based compensation in the event that we are required to prepare an accounting restatement due to our material noncompliance with any financial reporting requirement under the securities laws. These awards do not accrue or pay cash dividends and do not bear voting rights until they vest (in the case of RSUs) or are exercised (in the case of SARs) and shares are issued to the grantee.</w:t>
      </w:r>
    </w:p>
    <w:p>
      <w:pPr>
        <w:spacing w:after="0" w:line="75"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Performance Units represent the right to receive shares of our Common Stock at the end of a performance period, which with respect to the Performance Units granted in 2025 began January 1, 2025 and will end on December 31, 2027, contingent on continued employment through such date. The number of shares that will be received following the end of the performance period will be based on the Company’s achievement over the period with respect to specified performance objectives and can range from zero to two times the number of Performance Units granted. Performance Units will be forfeited if the NEO engages in competition or acts that are or potentially are injurious to the Company’s operations, financial condition or business reputation during the performance period or if the executive receives erroneously awarded incentive-based compensation in the event that we are required to prepare an accounting restatement due to our material noncompliance with any financial reporting requirement under the securities laws; the NEOs are also prohibited from soliciting any of our employees to leave our employment during the period from the grant date until the first anniversary of the termination of the officer’s employment for any reason. Performance Units do not accrue or pay cash dividends and do not bear voting rights until they vest and shares are issued to the grantee.</w:t>
      </w:r>
    </w:p>
    <w:p>
      <w:pPr>
        <w:spacing w:after="0" w:line="81"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For information regarding treatment of the equity awards upon a termination of employment, see “Potential Payments Upon Termination or Change in Control.”</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Outstanding Equity Awards at 2025 Fiscal Year-End</w:t>
      </w:r>
    </w:p>
    <w:p>
      <w:pPr>
        <w:spacing w:after="0" w:line="104"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The following table shows information about outstanding Performance Units, SARs and RSUs with respect to our Common Stock as of December 31, 2025, our fiscal year-end. The market values are based on the closing price of our Common Stock on the NYSE on December 31, 2025, the last trading day of our fiscal year, which was $57.69.</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Borders>
              <w:bottom w:val="single" w:sz="8" w:color="003A70"/>
            </w:tcBorders>
          </w:tcPr>
          <w:p>
            <w:pPr>
              <w:spacing w:after="0"/>
              <w:rPr>
                <w:sz w:val="14"/>
                <w:szCs w:val="14"/>
                <w:color w:val="auto"/>
              </w:rPr>
            </w:pPr>
          </w:p>
        </w:tc>
        <w:tc>
          <w:tcPr>
            <w:tcW w:w="1060" w:type="dxa"/>
            <w:vAlign w:val="bottom"/>
            <w:tcBorders>
              <w:bottom w:val="single" w:sz="8" w:color="003A70"/>
            </w:tcBorders>
          </w:tcPr>
          <w:p>
            <w:pPr>
              <w:ind w:left="20"/>
              <w:spacing w:after="0"/>
              <w:rPr>
                <w:sz w:val="20"/>
                <w:szCs w:val="20"/>
                <w:color w:val="auto"/>
              </w:rPr>
            </w:pPr>
            <w:r>
              <w:rPr>
                <w:rFonts w:ascii="Arial" w:cs="Arial" w:eastAsia="Arial" w:hAnsi="Arial"/>
                <w:sz w:val="14"/>
                <w:szCs w:val="14"/>
                <w:color w:val="003A70"/>
              </w:rPr>
              <w:t>Option Awards</w:t>
            </w:r>
          </w:p>
        </w:tc>
        <w:tc>
          <w:tcPr>
            <w:tcW w:w="920" w:type="dxa"/>
            <w:vAlign w:val="bottom"/>
            <w:tcBorders>
              <w:bottom w:val="single" w:sz="8" w:color="003A70"/>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003A70"/>
            </w:tcBorders>
          </w:tcPr>
          <w:p>
            <w:pPr>
              <w:spacing w:after="0"/>
              <w:rPr>
                <w:sz w:val="14"/>
                <w:szCs w:val="14"/>
                <w:color w:val="auto"/>
              </w:rPr>
            </w:pPr>
          </w:p>
        </w:tc>
        <w:tc>
          <w:tcPr>
            <w:tcW w:w="860" w:type="dxa"/>
            <w:vAlign w:val="bottom"/>
            <w:tcBorders>
              <w:bottom w:val="single" w:sz="8" w:color="003A70"/>
            </w:tcBorders>
          </w:tcPr>
          <w:p>
            <w:pPr>
              <w:spacing w:after="0"/>
              <w:rPr>
                <w:sz w:val="14"/>
                <w:szCs w:val="14"/>
                <w:color w:val="auto"/>
              </w:rPr>
            </w:pPr>
          </w:p>
        </w:tc>
        <w:tc>
          <w:tcPr>
            <w:tcW w:w="144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Stock Awards</w:t>
            </w:r>
          </w:p>
        </w:tc>
        <w:tc>
          <w:tcPr>
            <w:tcW w:w="1140" w:type="dxa"/>
            <w:vAlign w:val="bottom"/>
            <w:tcBorders>
              <w:bottom w:val="single" w:sz="8" w:color="003A70"/>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jc w:val="center"/>
              <w:ind w:left="48"/>
              <w:spacing w:after="0" w:line="147" w:lineRule="exact"/>
              <w:rPr>
                <w:sz w:val="20"/>
                <w:szCs w:val="20"/>
                <w:color w:val="auto"/>
              </w:rPr>
            </w:pPr>
            <w:r>
              <w:rPr>
                <w:rFonts w:ascii="Arial" w:cs="Arial" w:eastAsia="Arial" w:hAnsi="Arial"/>
                <w:sz w:val="14"/>
                <w:szCs w:val="14"/>
                <w:color w:val="003A70"/>
              </w:rPr>
              <w:t>Equity Incentive</w:t>
            </w:r>
          </w:p>
        </w:tc>
        <w:tc>
          <w:tcPr>
            <w:tcW w:w="60" w:type="dxa"/>
            <w:vAlign w:val="bottom"/>
          </w:tcPr>
          <w:p>
            <w:pPr>
              <w:spacing w:after="0"/>
              <w:rPr>
                <w:sz w:val="12"/>
                <w:szCs w:val="12"/>
                <w:color w:val="auto"/>
              </w:rPr>
            </w:pPr>
          </w:p>
        </w:tc>
      </w:tr>
      <w:tr>
        <w:trPr>
          <w:trHeight w:val="162"/>
        </w:trPr>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Pr>
          <w:p>
            <w:pPr>
              <w:jc w:val="center"/>
              <w:ind w:left="8"/>
              <w:spacing w:after="0"/>
              <w:rPr>
                <w:sz w:val="20"/>
                <w:szCs w:val="20"/>
                <w:color w:val="auto"/>
              </w:rPr>
            </w:pPr>
            <w:r>
              <w:rPr>
                <w:rFonts w:ascii="Arial" w:cs="Arial" w:eastAsia="Arial" w:hAnsi="Arial"/>
                <w:sz w:val="14"/>
                <w:szCs w:val="14"/>
                <w:color w:val="003A70"/>
              </w:rPr>
              <w:t>Number of</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003A70"/>
              </w:rPr>
              <w:t>Number of</w:t>
            </w:r>
          </w:p>
        </w:tc>
        <w:tc>
          <w:tcPr>
            <w:tcW w:w="860" w:type="dxa"/>
            <w:vAlign w:val="bottom"/>
          </w:tcPr>
          <w:p>
            <w:pPr>
              <w:spacing w:after="0"/>
              <w:rPr>
                <w:sz w:val="14"/>
                <w:szCs w:val="14"/>
                <w:color w:val="auto"/>
              </w:rPr>
            </w:pPr>
          </w:p>
        </w:tc>
        <w:tc>
          <w:tcPr>
            <w:tcW w:w="1440" w:type="dxa"/>
            <w:vAlign w:val="bottom"/>
          </w:tcPr>
          <w:p>
            <w:pPr>
              <w:jc w:val="center"/>
              <w:ind w:left="148"/>
              <w:spacing w:after="0"/>
              <w:rPr>
                <w:sz w:val="20"/>
                <w:szCs w:val="20"/>
                <w:color w:val="auto"/>
              </w:rPr>
            </w:pPr>
            <w:r>
              <w:rPr>
                <w:rFonts w:ascii="Arial" w:cs="Arial" w:eastAsia="Arial" w:hAnsi="Arial"/>
                <w:sz w:val="14"/>
                <w:szCs w:val="14"/>
                <w:color w:val="003A70"/>
              </w:rPr>
              <w:t>Equity Incentive</w:t>
            </w:r>
          </w:p>
        </w:tc>
        <w:tc>
          <w:tcPr>
            <w:tcW w:w="1200" w:type="dxa"/>
            <w:vAlign w:val="bottom"/>
            <w:gridSpan w:val="2"/>
          </w:tcPr>
          <w:p>
            <w:pPr>
              <w:jc w:val="center"/>
              <w:spacing w:after="0"/>
              <w:rPr>
                <w:sz w:val="20"/>
                <w:szCs w:val="20"/>
                <w:color w:val="auto"/>
              </w:rPr>
            </w:pPr>
            <w:r>
              <w:rPr>
                <w:rFonts w:ascii="Arial" w:cs="Arial" w:eastAsia="Arial" w:hAnsi="Arial"/>
                <w:sz w:val="14"/>
                <w:szCs w:val="14"/>
                <w:color w:val="003A70"/>
              </w:rPr>
              <w:t>Plan Awards:</w:t>
            </w:r>
          </w:p>
        </w:tc>
      </w:tr>
      <w:tr>
        <w:trPr>
          <w:trHeight w:val="162"/>
        </w:trPr>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Pr>
          <w:p>
            <w:pPr>
              <w:jc w:val="center"/>
              <w:ind w:left="8"/>
              <w:spacing w:after="0"/>
              <w:rPr>
                <w:sz w:val="20"/>
                <w:szCs w:val="20"/>
                <w:color w:val="auto"/>
              </w:rPr>
            </w:pPr>
            <w:r>
              <w:rPr>
                <w:rFonts w:ascii="Arial" w:cs="Arial" w:eastAsia="Arial" w:hAnsi="Arial"/>
                <w:sz w:val="14"/>
                <w:szCs w:val="14"/>
                <w:color w:val="003A70"/>
              </w:rPr>
              <w:t>Securities</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003A70"/>
              </w:rPr>
              <w:t>Shares or</w:t>
            </w:r>
          </w:p>
        </w:tc>
        <w:tc>
          <w:tcPr>
            <w:tcW w:w="860" w:type="dxa"/>
            <w:vAlign w:val="bottom"/>
          </w:tcPr>
          <w:p>
            <w:pPr>
              <w:jc w:val="center"/>
              <w:ind w:left="68"/>
              <w:spacing w:after="0"/>
              <w:rPr>
                <w:sz w:val="20"/>
                <w:szCs w:val="20"/>
                <w:color w:val="auto"/>
              </w:rPr>
            </w:pPr>
            <w:r>
              <w:rPr>
                <w:rFonts w:ascii="Arial" w:cs="Arial" w:eastAsia="Arial" w:hAnsi="Arial"/>
                <w:sz w:val="14"/>
                <w:szCs w:val="14"/>
                <w:color w:val="003A70"/>
              </w:rPr>
              <w:t>Market</w:t>
            </w:r>
          </w:p>
        </w:tc>
        <w:tc>
          <w:tcPr>
            <w:tcW w:w="1440" w:type="dxa"/>
            <w:vAlign w:val="bottom"/>
          </w:tcPr>
          <w:p>
            <w:pPr>
              <w:jc w:val="center"/>
              <w:ind w:left="128"/>
              <w:spacing w:after="0"/>
              <w:rPr>
                <w:sz w:val="20"/>
                <w:szCs w:val="20"/>
                <w:color w:val="auto"/>
              </w:rPr>
            </w:pPr>
            <w:r>
              <w:rPr>
                <w:rFonts w:ascii="Arial" w:cs="Arial" w:eastAsia="Arial" w:hAnsi="Arial"/>
                <w:sz w:val="14"/>
                <w:szCs w:val="14"/>
                <w:color w:val="003A70"/>
              </w:rPr>
              <w:t>Plan Awards:</w:t>
            </w:r>
          </w:p>
        </w:tc>
        <w:tc>
          <w:tcPr>
            <w:tcW w:w="1200" w:type="dxa"/>
            <w:vAlign w:val="bottom"/>
            <w:gridSpan w:val="2"/>
          </w:tcPr>
          <w:p>
            <w:pPr>
              <w:jc w:val="center"/>
              <w:spacing w:after="0"/>
              <w:rPr>
                <w:sz w:val="20"/>
                <w:szCs w:val="20"/>
                <w:color w:val="auto"/>
              </w:rPr>
            </w:pPr>
            <w:r>
              <w:rPr>
                <w:rFonts w:ascii="Arial" w:cs="Arial" w:eastAsia="Arial" w:hAnsi="Arial"/>
                <w:sz w:val="14"/>
                <w:szCs w:val="14"/>
                <w:color w:val="003A70"/>
              </w:rPr>
              <w:t>Market or</w:t>
            </w:r>
          </w:p>
        </w:tc>
      </w:tr>
      <w:tr>
        <w:trPr>
          <w:trHeight w:val="162"/>
        </w:trPr>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Pr>
          <w:p>
            <w:pPr>
              <w:jc w:val="center"/>
              <w:ind w:left="8"/>
              <w:spacing w:after="0"/>
              <w:rPr>
                <w:sz w:val="20"/>
                <w:szCs w:val="20"/>
                <w:color w:val="auto"/>
              </w:rPr>
            </w:pPr>
            <w:r>
              <w:rPr>
                <w:rFonts w:ascii="Arial" w:cs="Arial" w:eastAsia="Arial" w:hAnsi="Arial"/>
                <w:sz w:val="14"/>
                <w:szCs w:val="14"/>
                <w:color w:val="003A70"/>
              </w:rPr>
              <w:t>Underlying</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003A70"/>
              </w:rPr>
              <w:t>Units of</w:t>
            </w:r>
          </w:p>
        </w:tc>
        <w:tc>
          <w:tcPr>
            <w:tcW w:w="860" w:type="dxa"/>
            <w:vAlign w:val="bottom"/>
          </w:tcPr>
          <w:p>
            <w:pPr>
              <w:jc w:val="center"/>
              <w:ind w:left="68"/>
              <w:spacing w:after="0"/>
              <w:rPr>
                <w:sz w:val="20"/>
                <w:szCs w:val="20"/>
                <w:color w:val="auto"/>
              </w:rPr>
            </w:pPr>
            <w:r>
              <w:rPr>
                <w:rFonts w:ascii="Arial" w:cs="Arial" w:eastAsia="Arial" w:hAnsi="Arial"/>
                <w:sz w:val="14"/>
                <w:szCs w:val="14"/>
                <w:color w:val="003A70"/>
              </w:rPr>
              <w:t>Value of</w:t>
            </w:r>
          </w:p>
        </w:tc>
        <w:tc>
          <w:tcPr>
            <w:tcW w:w="1440" w:type="dxa"/>
            <w:vAlign w:val="bottom"/>
          </w:tcPr>
          <w:p>
            <w:pPr>
              <w:jc w:val="center"/>
              <w:ind w:left="128"/>
              <w:spacing w:after="0"/>
              <w:rPr>
                <w:sz w:val="20"/>
                <w:szCs w:val="20"/>
                <w:color w:val="auto"/>
              </w:rPr>
            </w:pPr>
            <w:r>
              <w:rPr>
                <w:rFonts w:ascii="Arial" w:cs="Arial" w:eastAsia="Arial" w:hAnsi="Arial"/>
                <w:sz w:val="14"/>
                <w:szCs w:val="14"/>
                <w:color w:val="003A70"/>
              </w:rPr>
              <w:t>Number of</w:t>
            </w:r>
          </w:p>
        </w:tc>
        <w:tc>
          <w:tcPr>
            <w:tcW w:w="1200" w:type="dxa"/>
            <w:vAlign w:val="bottom"/>
            <w:gridSpan w:val="2"/>
          </w:tcPr>
          <w:p>
            <w:pPr>
              <w:jc w:val="center"/>
              <w:spacing w:after="0"/>
              <w:rPr>
                <w:sz w:val="20"/>
                <w:szCs w:val="20"/>
                <w:color w:val="auto"/>
              </w:rPr>
            </w:pPr>
            <w:r>
              <w:rPr>
                <w:rFonts w:ascii="Arial" w:cs="Arial" w:eastAsia="Arial" w:hAnsi="Arial"/>
                <w:sz w:val="14"/>
                <w:szCs w:val="14"/>
                <w:color w:val="003A70"/>
              </w:rPr>
              <w:t>Payout Value</w:t>
            </w:r>
          </w:p>
        </w:tc>
      </w:tr>
      <w:tr>
        <w:trPr>
          <w:trHeight w:val="162"/>
        </w:trPr>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Pr>
          <w:p>
            <w:pPr>
              <w:jc w:val="center"/>
              <w:ind w:left="8"/>
              <w:spacing w:after="0"/>
              <w:rPr>
                <w:sz w:val="20"/>
                <w:szCs w:val="20"/>
                <w:color w:val="auto"/>
              </w:rPr>
            </w:pPr>
            <w:r>
              <w:rPr>
                <w:rFonts w:ascii="Arial" w:cs="Arial" w:eastAsia="Arial" w:hAnsi="Arial"/>
                <w:sz w:val="14"/>
                <w:szCs w:val="14"/>
                <w:color w:val="003A70"/>
              </w:rPr>
              <w:t>Unexercised</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ind w:right="108"/>
              <w:spacing w:after="0"/>
              <w:rPr>
                <w:sz w:val="20"/>
                <w:szCs w:val="20"/>
                <w:color w:val="auto"/>
              </w:rPr>
            </w:pPr>
            <w:r>
              <w:rPr>
                <w:rFonts w:ascii="Arial" w:cs="Arial" w:eastAsia="Arial" w:hAnsi="Arial"/>
                <w:sz w:val="14"/>
                <w:szCs w:val="14"/>
                <w:color w:val="003A70"/>
              </w:rPr>
              <w:t>Stock</w:t>
            </w:r>
          </w:p>
        </w:tc>
        <w:tc>
          <w:tcPr>
            <w:tcW w:w="860" w:type="dxa"/>
            <w:vAlign w:val="bottom"/>
          </w:tcPr>
          <w:p>
            <w:pPr>
              <w:jc w:val="center"/>
              <w:ind w:left="88"/>
              <w:spacing w:after="0"/>
              <w:rPr>
                <w:sz w:val="20"/>
                <w:szCs w:val="20"/>
                <w:color w:val="auto"/>
              </w:rPr>
            </w:pPr>
            <w:r>
              <w:rPr>
                <w:rFonts w:ascii="Arial" w:cs="Arial" w:eastAsia="Arial" w:hAnsi="Arial"/>
                <w:sz w:val="14"/>
                <w:szCs w:val="14"/>
                <w:color w:val="003A70"/>
              </w:rPr>
              <w:t>Shares or</w:t>
            </w:r>
          </w:p>
        </w:tc>
        <w:tc>
          <w:tcPr>
            <w:tcW w:w="1440" w:type="dxa"/>
            <w:vAlign w:val="bottom"/>
          </w:tcPr>
          <w:p>
            <w:pPr>
              <w:jc w:val="center"/>
              <w:ind w:left="128"/>
              <w:spacing w:after="0"/>
              <w:rPr>
                <w:sz w:val="20"/>
                <w:szCs w:val="20"/>
                <w:color w:val="auto"/>
              </w:rPr>
            </w:pPr>
            <w:r>
              <w:rPr>
                <w:rFonts w:ascii="Arial" w:cs="Arial" w:eastAsia="Arial" w:hAnsi="Arial"/>
                <w:sz w:val="14"/>
                <w:szCs w:val="14"/>
                <w:color w:val="003A70"/>
              </w:rPr>
              <w:t>Unearned</w:t>
            </w:r>
          </w:p>
        </w:tc>
        <w:tc>
          <w:tcPr>
            <w:tcW w:w="1200" w:type="dxa"/>
            <w:vAlign w:val="bottom"/>
            <w:gridSpan w:val="2"/>
          </w:tcPr>
          <w:p>
            <w:pPr>
              <w:jc w:val="center"/>
              <w:spacing w:after="0"/>
              <w:rPr>
                <w:sz w:val="20"/>
                <w:szCs w:val="20"/>
                <w:color w:val="auto"/>
              </w:rPr>
            </w:pPr>
            <w:r>
              <w:rPr>
                <w:rFonts w:ascii="Arial" w:cs="Arial" w:eastAsia="Arial" w:hAnsi="Arial"/>
                <w:sz w:val="14"/>
                <w:szCs w:val="14"/>
                <w:color w:val="003A70"/>
              </w:rPr>
              <w:t>of Unearned</w:t>
            </w:r>
          </w:p>
        </w:tc>
      </w:tr>
      <w:tr>
        <w:trPr>
          <w:trHeight w:val="162"/>
        </w:trPr>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Pr>
          <w:p>
            <w:pPr>
              <w:jc w:val="center"/>
              <w:ind w:left="8"/>
              <w:spacing w:after="0"/>
              <w:rPr>
                <w:sz w:val="20"/>
                <w:szCs w:val="20"/>
                <w:color w:val="auto"/>
              </w:rPr>
            </w:pPr>
            <w:r>
              <w:rPr>
                <w:rFonts w:ascii="Arial" w:cs="Arial" w:eastAsia="Arial" w:hAnsi="Arial"/>
                <w:sz w:val="14"/>
                <w:szCs w:val="14"/>
                <w:color w:val="003A70"/>
              </w:rPr>
              <w:t>Options/SARs</w:t>
            </w:r>
          </w:p>
        </w:tc>
        <w:tc>
          <w:tcPr>
            <w:tcW w:w="1060" w:type="dxa"/>
            <w:vAlign w:val="bottom"/>
          </w:tcPr>
          <w:p>
            <w:pPr>
              <w:jc w:val="center"/>
              <w:ind w:left="8"/>
              <w:spacing w:after="0"/>
              <w:rPr>
                <w:sz w:val="20"/>
                <w:szCs w:val="20"/>
                <w:color w:val="auto"/>
              </w:rPr>
            </w:pPr>
            <w:r>
              <w:rPr>
                <w:rFonts w:ascii="Arial" w:cs="Arial" w:eastAsia="Arial" w:hAnsi="Arial"/>
                <w:sz w:val="14"/>
                <w:szCs w:val="14"/>
                <w:color w:val="003A70"/>
              </w:rPr>
              <w:t>Option/</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ind w:right="88"/>
              <w:spacing w:after="0"/>
              <w:rPr>
                <w:sz w:val="20"/>
                <w:szCs w:val="20"/>
                <w:color w:val="auto"/>
              </w:rPr>
            </w:pPr>
            <w:r>
              <w:rPr>
                <w:rFonts w:ascii="Arial" w:cs="Arial" w:eastAsia="Arial" w:hAnsi="Arial"/>
                <w:sz w:val="14"/>
                <w:szCs w:val="14"/>
                <w:color w:val="003A70"/>
              </w:rPr>
              <w:t>That Have</w:t>
            </w:r>
          </w:p>
        </w:tc>
        <w:tc>
          <w:tcPr>
            <w:tcW w:w="860" w:type="dxa"/>
            <w:vAlign w:val="bottom"/>
          </w:tcPr>
          <w:p>
            <w:pPr>
              <w:jc w:val="center"/>
              <w:ind w:left="88"/>
              <w:spacing w:after="0"/>
              <w:rPr>
                <w:sz w:val="20"/>
                <w:szCs w:val="20"/>
                <w:color w:val="auto"/>
              </w:rPr>
            </w:pPr>
            <w:r>
              <w:rPr>
                <w:rFonts w:ascii="Arial" w:cs="Arial" w:eastAsia="Arial" w:hAnsi="Arial"/>
                <w:sz w:val="14"/>
                <w:szCs w:val="14"/>
                <w:color w:val="003A70"/>
              </w:rPr>
              <w:t>Units of</w:t>
            </w:r>
          </w:p>
        </w:tc>
        <w:tc>
          <w:tcPr>
            <w:tcW w:w="1440" w:type="dxa"/>
            <w:vAlign w:val="bottom"/>
          </w:tcPr>
          <w:p>
            <w:pPr>
              <w:jc w:val="center"/>
              <w:ind w:left="148"/>
              <w:spacing w:after="0"/>
              <w:rPr>
                <w:sz w:val="20"/>
                <w:szCs w:val="20"/>
                <w:color w:val="auto"/>
              </w:rPr>
            </w:pPr>
            <w:r>
              <w:rPr>
                <w:rFonts w:ascii="Arial" w:cs="Arial" w:eastAsia="Arial" w:hAnsi="Arial"/>
                <w:sz w:val="14"/>
                <w:szCs w:val="14"/>
                <w:color w:val="003A70"/>
              </w:rPr>
              <w:t>Shares, Units</w:t>
            </w:r>
          </w:p>
        </w:tc>
        <w:tc>
          <w:tcPr>
            <w:tcW w:w="1200" w:type="dxa"/>
            <w:vAlign w:val="bottom"/>
            <w:gridSpan w:val="2"/>
          </w:tcPr>
          <w:p>
            <w:pPr>
              <w:jc w:val="center"/>
              <w:spacing w:after="0"/>
              <w:rPr>
                <w:sz w:val="20"/>
                <w:szCs w:val="20"/>
                <w:color w:val="auto"/>
              </w:rPr>
            </w:pPr>
            <w:r>
              <w:rPr>
                <w:rFonts w:ascii="Arial" w:cs="Arial" w:eastAsia="Arial" w:hAnsi="Arial"/>
                <w:sz w:val="14"/>
                <w:szCs w:val="14"/>
                <w:color w:val="003A70"/>
              </w:rPr>
              <w:t>Shares, Units</w:t>
            </w:r>
          </w:p>
        </w:tc>
      </w:tr>
      <w:tr>
        <w:trPr>
          <w:trHeight w:val="162"/>
        </w:trPr>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0" w:type="dxa"/>
            <w:vAlign w:val="bottom"/>
          </w:tcPr>
          <w:p>
            <w:pPr>
              <w:jc w:val="center"/>
              <w:ind w:left="8"/>
              <w:spacing w:after="0"/>
              <w:rPr>
                <w:sz w:val="20"/>
                <w:szCs w:val="20"/>
                <w:color w:val="auto"/>
              </w:rPr>
            </w:pPr>
            <w:r>
              <w:rPr>
                <w:rFonts w:ascii="Arial" w:cs="Arial" w:eastAsia="Arial" w:hAnsi="Arial"/>
                <w:sz w:val="14"/>
                <w:szCs w:val="14"/>
                <w:color w:val="003A70"/>
              </w:rPr>
              <w:t>Exercisable/</w:t>
            </w:r>
          </w:p>
        </w:tc>
        <w:tc>
          <w:tcPr>
            <w:tcW w:w="1060" w:type="dxa"/>
            <w:vAlign w:val="bottom"/>
          </w:tcPr>
          <w:p>
            <w:pPr>
              <w:jc w:val="center"/>
              <w:ind w:left="8"/>
              <w:spacing w:after="0"/>
              <w:rPr>
                <w:sz w:val="20"/>
                <w:szCs w:val="20"/>
                <w:color w:val="auto"/>
              </w:rPr>
            </w:pPr>
            <w:r>
              <w:rPr>
                <w:rFonts w:ascii="Arial" w:cs="Arial" w:eastAsia="Arial" w:hAnsi="Arial"/>
                <w:sz w:val="14"/>
                <w:szCs w:val="14"/>
                <w:color w:val="003A70"/>
              </w:rPr>
              <w:t>SAR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color w:val="003A70"/>
              </w:rPr>
              <w:t>Option/SAR</w:t>
            </w:r>
          </w:p>
        </w:tc>
        <w:tc>
          <w:tcPr>
            <w:tcW w:w="820" w:type="dxa"/>
            <w:vAlign w:val="bottom"/>
          </w:tcPr>
          <w:p>
            <w:pPr>
              <w:jc w:val="center"/>
              <w:ind w:right="88"/>
              <w:spacing w:after="0"/>
              <w:rPr>
                <w:sz w:val="20"/>
                <w:szCs w:val="20"/>
                <w:color w:val="auto"/>
              </w:rPr>
            </w:pPr>
            <w:r>
              <w:rPr>
                <w:rFonts w:ascii="Arial" w:cs="Arial" w:eastAsia="Arial" w:hAnsi="Arial"/>
                <w:sz w:val="14"/>
                <w:szCs w:val="14"/>
                <w:color w:val="003A70"/>
              </w:rPr>
              <w:t>Not</w:t>
            </w:r>
          </w:p>
        </w:tc>
        <w:tc>
          <w:tcPr>
            <w:tcW w:w="860" w:type="dxa"/>
            <w:vAlign w:val="bottom"/>
          </w:tcPr>
          <w:p>
            <w:pPr>
              <w:jc w:val="center"/>
              <w:ind w:left="88"/>
              <w:spacing w:after="0"/>
              <w:rPr>
                <w:sz w:val="20"/>
                <w:szCs w:val="20"/>
                <w:color w:val="auto"/>
              </w:rPr>
            </w:pPr>
            <w:r>
              <w:rPr>
                <w:rFonts w:ascii="Arial" w:cs="Arial" w:eastAsia="Arial" w:hAnsi="Arial"/>
                <w:sz w:val="14"/>
                <w:szCs w:val="14"/>
                <w:color w:val="003A70"/>
              </w:rPr>
              <w:t>Stock That</w:t>
            </w:r>
          </w:p>
        </w:tc>
        <w:tc>
          <w:tcPr>
            <w:tcW w:w="1440" w:type="dxa"/>
            <w:vAlign w:val="bottom"/>
          </w:tcPr>
          <w:p>
            <w:pPr>
              <w:jc w:val="center"/>
              <w:ind w:left="148"/>
              <w:spacing w:after="0"/>
              <w:rPr>
                <w:sz w:val="20"/>
                <w:szCs w:val="20"/>
                <w:color w:val="auto"/>
              </w:rPr>
            </w:pPr>
            <w:r>
              <w:rPr>
                <w:rFonts w:ascii="Arial" w:cs="Arial" w:eastAsia="Arial" w:hAnsi="Arial"/>
                <w:sz w:val="14"/>
                <w:szCs w:val="14"/>
                <w:color w:val="003A70"/>
              </w:rPr>
              <w:t>or Other Rights</w:t>
            </w:r>
          </w:p>
        </w:tc>
        <w:tc>
          <w:tcPr>
            <w:tcW w:w="1200" w:type="dxa"/>
            <w:vAlign w:val="bottom"/>
            <w:gridSpan w:val="2"/>
          </w:tcPr>
          <w:p>
            <w:pPr>
              <w:jc w:val="center"/>
              <w:spacing w:after="0"/>
              <w:rPr>
                <w:sz w:val="20"/>
                <w:szCs w:val="20"/>
                <w:color w:val="auto"/>
              </w:rPr>
            </w:pPr>
            <w:r>
              <w:rPr>
                <w:rFonts w:ascii="Arial" w:cs="Arial" w:eastAsia="Arial" w:hAnsi="Arial"/>
                <w:sz w:val="14"/>
                <w:szCs w:val="14"/>
                <w:color w:val="003A70"/>
              </w:rPr>
              <w:t>or Other Rights</w:t>
            </w:r>
          </w:p>
        </w:tc>
      </w:tr>
      <w:tr>
        <w:trPr>
          <w:trHeight w:val="162"/>
        </w:trPr>
        <w:tc>
          <w:tcPr>
            <w:tcW w:w="1580" w:type="dxa"/>
            <w:vAlign w:val="bottom"/>
          </w:tcPr>
          <w:p>
            <w:pPr>
              <w:spacing w:after="0"/>
              <w:rPr>
                <w:sz w:val="14"/>
                <w:szCs w:val="14"/>
                <w:color w:val="auto"/>
              </w:rPr>
            </w:pPr>
          </w:p>
        </w:tc>
        <w:tc>
          <w:tcPr>
            <w:tcW w:w="1860" w:type="dxa"/>
            <w:vAlign w:val="bottom"/>
          </w:tcPr>
          <w:p>
            <w:pPr>
              <w:ind w:left="900"/>
              <w:spacing w:after="0"/>
              <w:rPr>
                <w:sz w:val="20"/>
                <w:szCs w:val="20"/>
                <w:color w:val="auto"/>
              </w:rPr>
            </w:pPr>
            <w:r>
              <w:rPr>
                <w:rFonts w:ascii="Arial" w:cs="Arial" w:eastAsia="Arial" w:hAnsi="Arial"/>
                <w:sz w:val="14"/>
                <w:szCs w:val="14"/>
                <w:color w:val="003A70"/>
              </w:rPr>
              <w:t>Award</w:t>
            </w:r>
          </w:p>
        </w:tc>
        <w:tc>
          <w:tcPr>
            <w:tcW w:w="1000" w:type="dxa"/>
            <w:vAlign w:val="bottom"/>
          </w:tcPr>
          <w:p>
            <w:pPr>
              <w:jc w:val="center"/>
              <w:ind w:left="8"/>
              <w:spacing w:after="0"/>
              <w:rPr>
                <w:sz w:val="20"/>
                <w:szCs w:val="20"/>
                <w:color w:val="auto"/>
              </w:rPr>
            </w:pPr>
            <w:r>
              <w:rPr>
                <w:rFonts w:ascii="Arial" w:cs="Arial" w:eastAsia="Arial" w:hAnsi="Arial"/>
                <w:sz w:val="14"/>
                <w:szCs w:val="14"/>
                <w:color w:val="003A70"/>
              </w:rPr>
              <w:t>Unexercisable</w:t>
            </w:r>
          </w:p>
        </w:tc>
        <w:tc>
          <w:tcPr>
            <w:tcW w:w="1060" w:type="dxa"/>
            <w:vAlign w:val="bottom"/>
          </w:tcPr>
          <w:p>
            <w:pPr>
              <w:jc w:val="center"/>
              <w:ind w:left="8"/>
              <w:spacing w:after="0"/>
              <w:rPr>
                <w:sz w:val="20"/>
                <w:szCs w:val="20"/>
                <w:color w:val="auto"/>
              </w:rPr>
            </w:pPr>
            <w:r>
              <w:rPr>
                <w:rFonts w:ascii="Arial" w:cs="Arial" w:eastAsia="Arial" w:hAnsi="Arial"/>
                <w:sz w:val="14"/>
                <w:szCs w:val="14"/>
                <w:color w:val="003A70"/>
              </w:rPr>
              <w:t>Exercise</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color w:val="003A70"/>
              </w:rPr>
              <w:t>Expiration</w:t>
            </w:r>
          </w:p>
        </w:tc>
        <w:tc>
          <w:tcPr>
            <w:tcW w:w="820" w:type="dxa"/>
            <w:vAlign w:val="bottom"/>
          </w:tcPr>
          <w:p>
            <w:pPr>
              <w:jc w:val="center"/>
              <w:ind w:right="108"/>
              <w:spacing w:after="0"/>
              <w:rPr>
                <w:sz w:val="20"/>
                <w:szCs w:val="20"/>
                <w:color w:val="auto"/>
              </w:rPr>
            </w:pPr>
            <w:r>
              <w:rPr>
                <w:rFonts w:ascii="Arial" w:cs="Arial" w:eastAsia="Arial" w:hAnsi="Arial"/>
                <w:sz w:val="14"/>
                <w:szCs w:val="14"/>
                <w:color w:val="003A70"/>
              </w:rPr>
              <w:t>Vested</w:t>
            </w:r>
          </w:p>
        </w:tc>
        <w:tc>
          <w:tcPr>
            <w:tcW w:w="860" w:type="dxa"/>
            <w:vAlign w:val="bottom"/>
          </w:tcPr>
          <w:p>
            <w:pPr>
              <w:jc w:val="center"/>
              <w:ind w:left="68"/>
              <w:spacing w:after="0"/>
              <w:rPr>
                <w:sz w:val="20"/>
                <w:szCs w:val="20"/>
                <w:color w:val="auto"/>
              </w:rPr>
            </w:pPr>
            <w:r>
              <w:rPr>
                <w:rFonts w:ascii="Arial" w:cs="Arial" w:eastAsia="Arial" w:hAnsi="Arial"/>
                <w:sz w:val="14"/>
                <w:szCs w:val="14"/>
                <w:color w:val="003A70"/>
              </w:rPr>
              <w:t>Have Not</w:t>
            </w:r>
          </w:p>
        </w:tc>
        <w:tc>
          <w:tcPr>
            <w:tcW w:w="1440" w:type="dxa"/>
            <w:vAlign w:val="bottom"/>
          </w:tcPr>
          <w:p>
            <w:pPr>
              <w:jc w:val="center"/>
              <w:ind w:left="128"/>
              <w:spacing w:after="0"/>
              <w:rPr>
                <w:sz w:val="20"/>
                <w:szCs w:val="20"/>
                <w:color w:val="auto"/>
              </w:rPr>
            </w:pPr>
            <w:r>
              <w:rPr>
                <w:rFonts w:ascii="Arial" w:cs="Arial" w:eastAsia="Arial" w:hAnsi="Arial"/>
                <w:sz w:val="14"/>
                <w:szCs w:val="14"/>
                <w:color w:val="003A70"/>
              </w:rPr>
              <w:t>That Have Not</w:t>
            </w:r>
          </w:p>
        </w:tc>
        <w:tc>
          <w:tcPr>
            <w:tcW w:w="1200" w:type="dxa"/>
            <w:vAlign w:val="bottom"/>
            <w:gridSpan w:val="2"/>
          </w:tcPr>
          <w:p>
            <w:pPr>
              <w:jc w:val="center"/>
              <w:spacing w:after="0"/>
              <w:rPr>
                <w:sz w:val="20"/>
                <w:szCs w:val="20"/>
                <w:color w:val="auto"/>
              </w:rPr>
            </w:pPr>
            <w:r>
              <w:rPr>
                <w:rFonts w:ascii="Arial" w:cs="Arial" w:eastAsia="Arial" w:hAnsi="Arial"/>
                <w:sz w:val="14"/>
                <w:szCs w:val="14"/>
                <w:color w:val="003A70"/>
              </w:rPr>
              <w:t>That Have Not</w:t>
            </w:r>
          </w:p>
        </w:tc>
      </w:tr>
      <w:tr>
        <w:trPr>
          <w:trHeight w:val="192"/>
        </w:trPr>
        <w:tc>
          <w:tcPr>
            <w:tcW w:w="158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Grant Date</w:t>
            </w:r>
          </w:p>
        </w:tc>
        <w:tc>
          <w:tcPr>
            <w:tcW w:w="1860" w:type="dxa"/>
            <w:vAlign w:val="bottom"/>
            <w:tcBorders>
              <w:bottom w:val="single" w:sz="8" w:color="003A70"/>
            </w:tcBorders>
          </w:tcPr>
          <w:p>
            <w:pPr>
              <w:ind w:left="920"/>
              <w:spacing w:after="0" w:line="185" w:lineRule="exact"/>
              <w:rPr>
                <w:sz w:val="20"/>
                <w:szCs w:val="20"/>
                <w:color w:val="auto"/>
              </w:rPr>
            </w:pPr>
            <w:r>
              <w:rPr>
                <w:rFonts w:ascii="Arial" w:cs="Arial" w:eastAsia="Arial" w:hAnsi="Arial"/>
                <w:sz w:val="14"/>
                <w:szCs w:val="14"/>
                <w:color w:val="003A70"/>
              </w:rPr>
              <w:t>Type</w:t>
            </w:r>
            <w:r>
              <w:rPr>
                <w:rFonts w:ascii="Arial" w:cs="Arial" w:eastAsia="Arial" w:hAnsi="Arial"/>
                <w:sz w:val="21"/>
                <w:szCs w:val="21"/>
                <w:color w:val="003A70"/>
                <w:vertAlign w:val="superscript"/>
              </w:rPr>
              <w:t>1</w:t>
            </w:r>
          </w:p>
        </w:tc>
        <w:tc>
          <w:tcPr>
            <w:tcW w:w="1000" w:type="dxa"/>
            <w:vAlign w:val="bottom"/>
            <w:tcBorders>
              <w:bottom w:val="single" w:sz="8" w:color="003A70"/>
            </w:tcBorders>
          </w:tcPr>
          <w:p>
            <w:pPr>
              <w:jc w:val="center"/>
              <w:ind w:left="8"/>
              <w:spacing w:after="0" w:line="185" w:lineRule="exact"/>
              <w:rPr>
                <w:sz w:val="20"/>
                <w:szCs w:val="20"/>
                <w:color w:val="auto"/>
              </w:rPr>
            </w:pPr>
            <w:r>
              <w:rPr>
                <w:rFonts w:ascii="Arial" w:cs="Arial" w:eastAsia="Arial" w:hAnsi="Arial"/>
                <w:sz w:val="14"/>
                <w:szCs w:val="14"/>
                <w:color w:val="003A70"/>
                <w:w w:val="96"/>
              </w:rPr>
              <w:t>(#)</w:t>
            </w:r>
            <w:r>
              <w:rPr>
                <w:rFonts w:ascii="Arial" w:cs="Arial" w:eastAsia="Arial" w:hAnsi="Arial"/>
                <w:sz w:val="21"/>
                <w:szCs w:val="21"/>
                <w:color w:val="003A70"/>
                <w:w w:val="96"/>
                <w:vertAlign w:val="superscript"/>
              </w:rPr>
              <w:t>2</w:t>
            </w:r>
          </w:p>
        </w:tc>
        <w:tc>
          <w:tcPr>
            <w:tcW w:w="1060" w:type="dxa"/>
            <w:vAlign w:val="bottom"/>
            <w:tcBorders>
              <w:bottom w:val="single" w:sz="8" w:color="003A70"/>
            </w:tcBorders>
          </w:tcPr>
          <w:p>
            <w:pPr>
              <w:jc w:val="center"/>
              <w:ind w:left="8"/>
              <w:spacing w:after="0"/>
              <w:rPr>
                <w:sz w:val="20"/>
                <w:szCs w:val="20"/>
                <w:color w:val="auto"/>
              </w:rPr>
            </w:pPr>
            <w:r>
              <w:rPr>
                <w:rFonts w:ascii="Arial" w:cs="Arial" w:eastAsia="Arial" w:hAnsi="Arial"/>
                <w:sz w:val="14"/>
                <w:szCs w:val="14"/>
                <w:color w:val="003A70"/>
              </w:rPr>
              <w:t>Price ($)</w:t>
            </w:r>
          </w:p>
        </w:tc>
        <w:tc>
          <w:tcPr>
            <w:tcW w:w="1200" w:type="dxa"/>
            <w:vAlign w:val="bottom"/>
            <w:tcBorders>
              <w:bottom w:val="single" w:sz="8" w:color="003A70"/>
            </w:tcBorders>
            <w:gridSpan w:val="2"/>
          </w:tcPr>
          <w:p>
            <w:pPr>
              <w:jc w:val="center"/>
              <w:ind w:right="220"/>
              <w:spacing w:after="0"/>
              <w:rPr>
                <w:sz w:val="20"/>
                <w:szCs w:val="20"/>
                <w:color w:val="auto"/>
              </w:rPr>
            </w:pPr>
            <w:r>
              <w:rPr>
                <w:rFonts w:ascii="Arial" w:cs="Arial" w:eastAsia="Arial" w:hAnsi="Arial"/>
                <w:sz w:val="14"/>
                <w:szCs w:val="14"/>
                <w:color w:val="003A70"/>
              </w:rPr>
              <w:t>Date</w:t>
            </w:r>
          </w:p>
        </w:tc>
        <w:tc>
          <w:tcPr>
            <w:tcW w:w="820" w:type="dxa"/>
            <w:vAlign w:val="bottom"/>
            <w:tcBorders>
              <w:bottom w:val="single" w:sz="8" w:color="003A70"/>
            </w:tcBorders>
          </w:tcPr>
          <w:p>
            <w:pPr>
              <w:jc w:val="center"/>
              <w:ind w:right="88"/>
              <w:spacing w:after="0" w:line="185" w:lineRule="exact"/>
              <w:rPr>
                <w:sz w:val="20"/>
                <w:szCs w:val="20"/>
                <w:color w:val="auto"/>
              </w:rPr>
            </w:pPr>
            <w:r>
              <w:rPr>
                <w:rFonts w:ascii="Arial" w:cs="Arial" w:eastAsia="Arial" w:hAnsi="Arial"/>
                <w:sz w:val="14"/>
                <w:szCs w:val="14"/>
                <w:color w:val="003A70"/>
                <w:w w:val="88"/>
              </w:rPr>
              <w:t>(#)</w:t>
            </w:r>
            <w:r>
              <w:rPr>
                <w:rFonts w:ascii="Arial" w:cs="Arial" w:eastAsia="Arial" w:hAnsi="Arial"/>
                <w:sz w:val="21"/>
                <w:szCs w:val="21"/>
                <w:color w:val="003A70"/>
                <w:w w:val="88"/>
                <w:vertAlign w:val="superscript"/>
              </w:rPr>
              <w:t>3</w:t>
            </w:r>
          </w:p>
        </w:tc>
        <w:tc>
          <w:tcPr>
            <w:tcW w:w="860" w:type="dxa"/>
            <w:vAlign w:val="bottom"/>
            <w:tcBorders>
              <w:bottom w:val="single" w:sz="8" w:color="003A70"/>
            </w:tcBorders>
          </w:tcPr>
          <w:p>
            <w:pPr>
              <w:jc w:val="center"/>
              <w:ind w:left="88"/>
              <w:spacing w:after="0"/>
              <w:rPr>
                <w:sz w:val="20"/>
                <w:szCs w:val="20"/>
                <w:color w:val="auto"/>
              </w:rPr>
            </w:pPr>
            <w:r>
              <w:rPr>
                <w:rFonts w:ascii="Arial" w:cs="Arial" w:eastAsia="Arial" w:hAnsi="Arial"/>
                <w:sz w:val="14"/>
                <w:szCs w:val="14"/>
                <w:color w:val="003A70"/>
              </w:rPr>
              <w:t>Vested ($)</w:t>
            </w:r>
          </w:p>
        </w:tc>
        <w:tc>
          <w:tcPr>
            <w:tcW w:w="1440" w:type="dxa"/>
            <w:vAlign w:val="bottom"/>
            <w:tcBorders>
              <w:bottom w:val="single" w:sz="8" w:color="003A70"/>
            </w:tcBorders>
          </w:tcPr>
          <w:p>
            <w:pPr>
              <w:jc w:val="center"/>
              <w:ind w:left="148"/>
              <w:spacing w:after="0"/>
              <w:rPr>
                <w:sz w:val="20"/>
                <w:szCs w:val="20"/>
                <w:color w:val="auto"/>
              </w:rPr>
            </w:pPr>
            <w:r>
              <w:rPr>
                <w:rFonts w:ascii="Arial" w:cs="Arial" w:eastAsia="Arial" w:hAnsi="Arial"/>
                <w:sz w:val="14"/>
                <w:szCs w:val="14"/>
                <w:color w:val="003A70"/>
              </w:rPr>
              <w:t>Vested (#)</w:t>
            </w:r>
          </w:p>
        </w:tc>
        <w:tc>
          <w:tcPr>
            <w:tcW w:w="1200" w:type="dxa"/>
            <w:vAlign w:val="bottom"/>
            <w:tcBorders>
              <w:bottom w:val="single" w:sz="8" w:color="003A70"/>
            </w:tcBorders>
            <w:gridSpan w:val="2"/>
          </w:tcPr>
          <w:p>
            <w:pPr>
              <w:jc w:val="center"/>
              <w:spacing w:after="0"/>
              <w:rPr>
                <w:sz w:val="20"/>
                <w:szCs w:val="20"/>
                <w:color w:val="auto"/>
              </w:rPr>
            </w:pPr>
            <w:r>
              <w:rPr>
                <w:rFonts w:ascii="Arial" w:cs="Arial" w:eastAsia="Arial" w:hAnsi="Arial"/>
                <w:sz w:val="14"/>
                <w:szCs w:val="14"/>
                <w:color w:val="003A70"/>
              </w:rPr>
              <w:t>Vested ($)</w:t>
            </w: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560" w:type="dxa"/>
            <w:vAlign w:val="bottom"/>
          </w:tcPr>
          <w:p>
            <w:pPr>
              <w:spacing w:after="0" w:line="175" w:lineRule="exact"/>
              <w:rPr>
                <w:sz w:val="20"/>
                <w:szCs w:val="20"/>
                <w:color w:val="auto"/>
              </w:rPr>
            </w:pPr>
            <w:r>
              <w:rPr>
                <w:rFonts w:ascii="Arial" w:cs="Arial" w:eastAsia="Arial" w:hAnsi="Arial"/>
                <w:sz w:val="16"/>
                <w:szCs w:val="16"/>
                <w:b w:val="1"/>
                <w:bCs w:val="1"/>
                <w:color w:val="003A70"/>
              </w:rPr>
              <w:t>M. Avril</w:t>
            </w:r>
          </w:p>
        </w:tc>
        <w:tc>
          <w:tcPr>
            <w:tcW w:w="1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9"/>
        </w:trPr>
        <w:tc>
          <w:tcPr>
            <w:tcW w:w="1560" w:type="dxa"/>
            <w:vAlign w:val="bottom"/>
          </w:tcPr>
          <w:p>
            <w:pPr>
              <w:spacing w:after="0"/>
              <w:rPr>
                <w:sz w:val="20"/>
                <w:szCs w:val="20"/>
                <w:color w:val="auto"/>
              </w:rPr>
            </w:pPr>
            <w:r>
              <w:rPr>
                <w:rFonts w:ascii="Arial" w:cs="Arial" w:eastAsia="Arial" w:hAnsi="Arial"/>
                <w:sz w:val="16"/>
                <w:szCs w:val="16"/>
                <w:color w:val="auto"/>
              </w:rPr>
              <w:t>11/13/2025</w:t>
            </w:r>
          </w:p>
        </w:tc>
        <w:tc>
          <w:tcPr>
            <w:tcW w:w="1740" w:type="dxa"/>
            <w:vAlign w:val="bottom"/>
          </w:tcPr>
          <w:p>
            <w:pPr>
              <w:jc w:val="right"/>
              <w:ind w:right="119"/>
              <w:spacing w:after="0"/>
              <w:rPr>
                <w:sz w:val="20"/>
                <w:szCs w:val="20"/>
                <w:color w:val="auto"/>
              </w:rPr>
            </w:pPr>
            <w:r>
              <w:rPr>
                <w:rFonts w:ascii="Arial" w:cs="Arial" w:eastAsia="Arial" w:hAnsi="Arial"/>
                <w:sz w:val="16"/>
                <w:szCs w:val="16"/>
                <w:color w:val="auto"/>
              </w:rPr>
              <w:t>VAC SARs</w:t>
            </w:r>
          </w:p>
        </w:tc>
        <w:tc>
          <w:tcPr>
            <w:tcW w:w="500" w:type="dxa"/>
            <w:vAlign w:val="bottom"/>
          </w:tcPr>
          <w:p>
            <w:pPr>
              <w:ind w:lef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8"/>
              <w:spacing w:after="0"/>
              <w:rPr>
                <w:sz w:val="20"/>
                <w:szCs w:val="20"/>
                <w:color w:val="auto"/>
              </w:rPr>
            </w:pPr>
            <w:r>
              <w:rPr>
                <w:rFonts w:ascii="Arial" w:cs="Arial" w:eastAsia="Arial" w:hAnsi="Arial"/>
                <w:sz w:val="16"/>
                <w:szCs w:val="16"/>
                <w:color w:val="auto"/>
              </w:rPr>
              <w:t>100,000</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46.76</w:t>
            </w:r>
          </w:p>
        </w:tc>
        <w:tc>
          <w:tcPr>
            <w:tcW w:w="1300" w:type="dxa"/>
            <w:vAlign w:val="bottom"/>
          </w:tcPr>
          <w:p>
            <w:pPr>
              <w:jc w:val="right"/>
              <w:ind w:right="259"/>
              <w:spacing w:after="0"/>
              <w:rPr>
                <w:sz w:val="20"/>
                <w:szCs w:val="20"/>
                <w:color w:val="auto"/>
              </w:rPr>
            </w:pPr>
            <w:r>
              <w:rPr>
                <w:rFonts w:ascii="Arial" w:cs="Arial" w:eastAsia="Arial" w:hAnsi="Arial"/>
                <w:sz w:val="16"/>
                <w:szCs w:val="16"/>
                <w:color w:val="auto"/>
              </w:rPr>
              <w:t>11/13/2031</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88"/>
              <w:spacing w:after="0"/>
              <w:rPr>
                <w:sz w:val="20"/>
                <w:szCs w:val="20"/>
                <w:color w:val="auto"/>
              </w:rPr>
            </w:pPr>
            <w:r>
              <w:rPr>
                <w:rFonts w:ascii="Arial" w:cs="Arial" w:eastAsia="Arial" w:hAnsi="Arial"/>
                <w:sz w:val="16"/>
                <w:szCs w:val="16"/>
                <w:color w:val="auto"/>
              </w:rPr>
              <w:t>—</w:t>
            </w:r>
          </w:p>
        </w:tc>
        <w:tc>
          <w:tcPr>
            <w:tcW w:w="1260" w:type="dxa"/>
            <w:vAlign w:val="bottom"/>
          </w:tcPr>
          <w:p>
            <w:pPr>
              <w:ind w:left="460"/>
              <w:spacing w:after="0"/>
              <w:rPr>
                <w:sz w:val="20"/>
                <w:szCs w:val="20"/>
                <w:color w:val="auto"/>
              </w:rPr>
            </w:pPr>
            <w:r>
              <w:rPr>
                <w:rFonts w:ascii="Arial" w:cs="Arial" w:eastAsia="Arial" w:hAnsi="Arial"/>
                <w:sz w:val="16"/>
                <w:szCs w:val="16"/>
                <w:color w:val="auto"/>
              </w:rPr>
              <w:t>—</w:t>
            </w:r>
          </w:p>
        </w:tc>
        <w:tc>
          <w:tcPr>
            <w:tcW w:w="880" w:type="dxa"/>
            <w:vAlign w:val="bottom"/>
          </w:tcPr>
          <w:p>
            <w:pPr>
              <w:ind w:left="660"/>
              <w:spacing w:after="0"/>
              <w:rPr>
                <w:sz w:val="20"/>
                <w:szCs w:val="20"/>
                <w:color w:val="auto"/>
              </w:rPr>
            </w:pPr>
            <w:r>
              <w:rPr>
                <w:rFonts w:ascii="Arial" w:cs="Arial" w:eastAsia="Arial" w:hAnsi="Arial"/>
                <w:sz w:val="16"/>
                <w:szCs w:val="16"/>
                <w:color w:val="auto"/>
              </w:rPr>
              <w:t>—</w:t>
            </w:r>
          </w:p>
        </w:tc>
      </w:tr>
      <w:tr>
        <w:trPr>
          <w:trHeight w:val="203"/>
        </w:trPr>
        <w:tc>
          <w:tcPr>
            <w:tcW w:w="1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11/13/2025</w:t>
            </w:r>
          </w:p>
        </w:tc>
        <w:tc>
          <w:tcPr>
            <w:tcW w:w="1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VAC RSUs</w:t>
            </w: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50,000</w:t>
            </w:r>
          </w:p>
        </w:tc>
        <w:tc>
          <w:tcPr>
            <w:tcW w:w="1340" w:type="dxa"/>
            <w:vAlign w:val="bottom"/>
            <w:tcBorders>
              <w:bottom w:val="single" w:sz="8" w:color="auto"/>
            </w:tcBorders>
          </w:tcPr>
          <w:p>
            <w:pPr>
              <w:jc w:val="right"/>
              <w:ind w:right="388"/>
              <w:spacing w:after="0"/>
              <w:rPr>
                <w:sz w:val="20"/>
                <w:szCs w:val="20"/>
                <w:color w:val="auto"/>
              </w:rPr>
            </w:pPr>
            <w:r>
              <w:rPr>
                <w:rFonts w:ascii="Arial" w:cs="Arial" w:eastAsia="Arial" w:hAnsi="Arial"/>
                <w:sz w:val="16"/>
                <w:szCs w:val="16"/>
                <w:color w:val="auto"/>
              </w:rPr>
              <w:t>2,884,500</w:t>
            </w: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r>
      <w:tr>
        <w:trPr>
          <w:trHeight w:val="263"/>
        </w:trPr>
        <w:tc>
          <w:tcPr>
            <w:tcW w:w="1560" w:type="dxa"/>
            <w:vAlign w:val="bottom"/>
            <w:tcBorders>
              <w:bottom w:val="single" w:sz="8" w:color="003A70"/>
            </w:tcBorders>
          </w:tcPr>
          <w:p>
            <w:pPr>
              <w:spacing w:after="0"/>
              <w:rPr>
                <w:sz w:val="20"/>
                <w:szCs w:val="20"/>
                <w:color w:val="auto"/>
              </w:rPr>
            </w:pPr>
            <w:r>
              <w:rPr>
                <w:rFonts w:ascii="Arial" w:cs="Arial" w:eastAsia="Arial" w:hAnsi="Arial"/>
                <w:sz w:val="11"/>
                <w:szCs w:val="11"/>
                <w:b w:val="1"/>
                <w:bCs w:val="1"/>
                <w:color w:val="003A70"/>
              </w:rPr>
              <w:t>46</w:t>
            </w:r>
          </w:p>
        </w:tc>
        <w:tc>
          <w:tcPr>
            <w:tcW w:w="1740" w:type="dxa"/>
            <w:vAlign w:val="bottom"/>
            <w:tcBorders>
              <w:bottom w:val="single" w:sz="8" w:color="003A70"/>
            </w:tcBorders>
          </w:tcPr>
          <w:p>
            <w:pPr>
              <w:spacing w:after="0"/>
              <w:rPr>
                <w:sz w:val="22"/>
                <w:szCs w:val="22"/>
                <w:color w:val="auto"/>
              </w:rPr>
            </w:pPr>
          </w:p>
        </w:tc>
        <w:tc>
          <w:tcPr>
            <w:tcW w:w="500" w:type="dxa"/>
            <w:vAlign w:val="bottom"/>
            <w:tcBorders>
              <w:bottom w:val="single" w:sz="8" w:color="003A70"/>
            </w:tcBorders>
          </w:tcPr>
          <w:p>
            <w:pPr>
              <w:spacing w:after="0"/>
              <w:rPr>
                <w:sz w:val="22"/>
                <w:szCs w:val="22"/>
                <w:color w:val="auto"/>
              </w:rPr>
            </w:pPr>
          </w:p>
        </w:tc>
        <w:tc>
          <w:tcPr>
            <w:tcW w:w="2960" w:type="dxa"/>
            <w:vAlign w:val="bottom"/>
            <w:tcBorders>
              <w:bottom w:val="single" w:sz="8" w:color="003A70"/>
            </w:tcBorders>
            <w:gridSpan w:val="3"/>
          </w:tcPr>
          <w:p>
            <w:pPr>
              <w:jc w:val="right"/>
              <w:ind w:right="19"/>
              <w:spacing w:after="0"/>
              <w:rPr>
                <w:sz w:val="20"/>
                <w:szCs w:val="20"/>
                <w:color w:val="auto"/>
              </w:rPr>
            </w:pPr>
            <w:r>
              <w:rPr>
                <w:rFonts w:ascii="Arial" w:cs="Arial" w:eastAsia="Arial" w:hAnsi="Arial"/>
                <w:sz w:val="11"/>
                <w:szCs w:val="11"/>
                <w:color w:val="auto"/>
              </w:rPr>
              <w:t>Executive Compensation Tables and Discussion</w:t>
            </w:r>
          </w:p>
        </w:tc>
        <w:tc>
          <w:tcPr>
            <w:tcW w:w="780" w:type="dxa"/>
            <w:vAlign w:val="bottom"/>
            <w:tcBorders>
              <w:bottom w:val="single" w:sz="8" w:color="003A70"/>
            </w:tcBorders>
          </w:tcPr>
          <w:p>
            <w:pPr>
              <w:spacing w:after="0"/>
              <w:rPr>
                <w:sz w:val="22"/>
                <w:szCs w:val="22"/>
                <w:color w:val="auto"/>
              </w:rPr>
            </w:pPr>
          </w:p>
        </w:tc>
        <w:tc>
          <w:tcPr>
            <w:tcW w:w="3480" w:type="dxa"/>
            <w:vAlign w:val="bottom"/>
            <w:tcBorders>
              <w:bottom w:val="single" w:sz="8" w:color="003A70"/>
            </w:tcBorders>
            <w:gridSpan w:val="3"/>
          </w:tcPr>
          <w:p>
            <w:pPr>
              <w:ind w:left="180"/>
              <w:spacing w:after="0"/>
              <w:rPr>
                <w:sz w:val="20"/>
                <w:szCs w:val="20"/>
                <w:color w:val="auto"/>
              </w:rPr>
            </w:pPr>
            <w:r>
              <w:rPr>
                <w:rFonts w:ascii="Arial" w:cs="Arial" w:eastAsia="Arial" w:hAnsi="Arial"/>
                <w:sz w:val="11"/>
                <w:szCs w:val="11"/>
                <w:color w:val="auto"/>
                <w:w w:val="97"/>
              </w:rPr>
              <w:t xml:space="preserve">2026 PROXY STATEMENT </w:t>
            </w:r>
            <w:r>
              <w:rPr>
                <w:rFonts w:ascii="Arial" w:cs="Arial" w:eastAsia="Arial" w:hAnsi="Arial"/>
                <w:sz w:val="11"/>
                <w:szCs w:val="11"/>
                <w:b w:val="1"/>
                <w:bCs w:val="1"/>
                <w:color w:val="003A70"/>
                <w:w w:val="97"/>
              </w:rPr>
              <w:t>MARRIOTT VACATIONS WORLDWIDE</w:t>
            </w:r>
          </w:p>
        </w:tc>
      </w:tr>
    </w:tbl>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120" w:type="dxa"/>
            <w:vAlign w:val="bottom"/>
            <w:tcBorders>
              <w:bottom w:val="single" w:sz="8" w:color="003A70"/>
            </w:tcBorders>
            <w:gridSpan w:val="2"/>
          </w:tcPr>
          <w:p>
            <w:pPr>
              <w:ind w:left="1060"/>
              <w:spacing w:after="0"/>
              <w:rPr>
                <w:sz w:val="20"/>
                <w:szCs w:val="20"/>
                <w:color w:val="auto"/>
              </w:rPr>
            </w:pPr>
            <w:r>
              <w:rPr>
                <w:rFonts w:ascii="Arial" w:cs="Arial" w:eastAsia="Arial" w:hAnsi="Arial"/>
                <w:sz w:val="14"/>
                <w:szCs w:val="14"/>
                <w:color w:val="003A70"/>
              </w:rPr>
              <w:t>Option Awards</w:t>
            </w:r>
          </w:p>
        </w:tc>
        <w:tc>
          <w:tcPr>
            <w:tcW w:w="940" w:type="dxa"/>
            <w:vAlign w:val="bottom"/>
            <w:tcBorders>
              <w:bottom w:val="single" w:sz="8" w:color="003A70"/>
            </w:tcBorders>
          </w:tcPr>
          <w:p>
            <w:pPr>
              <w:spacing w:after="0"/>
              <w:rPr>
                <w:sz w:val="14"/>
                <w:szCs w:val="14"/>
                <w:color w:val="auto"/>
              </w:rPr>
            </w:pPr>
          </w:p>
        </w:tc>
        <w:tc>
          <w:tcPr>
            <w:tcW w:w="0" w:type="dxa"/>
            <w:vAlign w:val="bottom"/>
          </w:tcPr>
          <w:p>
            <w:pPr>
              <w:spacing w:after="0"/>
              <w:rPr>
                <w:sz w:val="1"/>
                <w:szCs w:val="1"/>
                <w:color w:val="auto"/>
              </w:rPr>
            </w:pPr>
          </w:p>
        </w:tc>
      </w:tr>
      <w:tr>
        <w:trPr>
          <w:trHeight w:val="484"/>
        </w:trPr>
        <w:tc>
          <w:tcPr>
            <w:tcW w:w="1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003A70"/>
              </w:rPr>
              <w:t>Number of</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003A70"/>
              </w:rPr>
              <w:t>Securities</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003A70"/>
              </w:rPr>
              <w:t>Underlying</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003A70"/>
              </w:rPr>
              <w:t>Option/</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003A70"/>
              </w:rPr>
              <w:t>Unexercised</w:t>
            </w:r>
          </w:p>
        </w:tc>
        <w:tc>
          <w:tcPr>
            <w:tcW w:w="86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003A70"/>
              </w:rPr>
              <w:t>Options/SARs</w:t>
            </w:r>
          </w:p>
        </w:tc>
        <w:tc>
          <w:tcPr>
            <w:tcW w:w="860" w:type="dxa"/>
            <w:vAlign w:val="bottom"/>
          </w:tcPr>
          <w:p>
            <w:pPr>
              <w:jc w:val="center"/>
              <w:spacing w:after="0"/>
              <w:rPr>
                <w:sz w:val="20"/>
                <w:szCs w:val="20"/>
                <w:color w:val="auto"/>
              </w:rPr>
            </w:pPr>
            <w:r>
              <w:rPr>
                <w:rFonts w:ascii="Arial" w:cs="Arial" w:eastAsia="Arial" w:hAnsi="Arial"/>
                <w:sz w:val="14"/>
                <w:szCs w:val="14"/>
                <w:color w:val="003A70"/>
                <w:w w:val="97"/>
              </w:rPr>
              <w:t>SAR</w:t>
            </w:r>
          </w:p>
        </w:tc>
        <w:tc>
          <w:tcPr>
            <w:tcW w:w="940" w:type="dxa"/>
            <w:vAlign w:val="bottom"/>
          </w:tcPr>
          <w:p>
            <w:pPr>
              <w:jc w:val="center"/>
              <w:spacing w:after="0"/>
              <w:rPr>
                <w:sz w:val="20"/>
                <w:szCs w:val="20"/>
                <w:color w:val="auto"/>
              </w:rPr>
            </w:pPr>
            <w:r>
              <w:rPr>
                <w:rFonts w:ascii="Arial" w:cs="Arial" w:eastAsia="Arial" w:hAnsi="Arial"/>
                <w:sz w:val="14"/>
                <w:szCs w:val="14"/>
                <w:color w:val="003A70"/>
              </w:rPr>
              <w:t>Option/SAR</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920" w:type="dxa"/>
            <w:vAlign w:val="bottom"/>
          </w:tcPr>
          <w:p>
            <w:pPr>
              <w:ind w:left="900"/>
              <w:spacing w:after="0"/>
              <w:rPr>
                <w:sz w:val="20"/>
                <w:szCs w:val="20"/>
                <w:color w:val="auto"/>
              </w:rPr>
            </w:pPr>
            <w:r>
              <w:rPr>
                <w:rFonts w:ascii="Arial" w:cs="Arial" w:eastAsia="Arial" w:hAnsi="Arial"/>
                <w:sz w:val="14"/>
                <w:szCs w:val="14"/>
                <w:color w:val="003A70"/>
              </w:rPr>
              <w:t>Award</w:t>
            </w:r>
          </w:p>
        </w:tc>
        <w:tc>
          <w:tcPr>
            <w:tcW w:w="1260" w:type="dxa"/>
            <w:vAlign w:val="bottom"/>
          </w:tcPr>
          <w:p>
            <w:pPr>
              <w:jc w:val="center"/>
              <w:spacing w:after="0"/>
              <w:rPr>
                <w:sz w:val="20"/>
                <w:szCs w:val="20"/>
                <w:color w:val="auto"/>
              </w:rPr>
            </w:pPr>
            <w:r>
              <w:rPr>
                <w:rFonts w:ascii="Arial" w:cs="Arial" w:eastAsia="Arial" w:hAnsi="Arial"/>
                <w:sz w:val="14"/>
                <w:szCs w:val="14"/>
                <w:color w:val="003A70"/>
              </w:rPr>
              <w:t>Exercisable/</w:t>
            </w:r>
          </w:p>
        </w:tc>
        <w:tc>
          <w:tcPr>
            <w:tcW w:w="860" w:type="dxa"/>
            <w:vAlign w:val="bottom"/>
          </w:tcPr>
          <w:p>
            <w:pPr>
              <w:jc w:val="center"/>
              <w:spacing w:after="0"/>
              <w:rPr>
                <w:sz w:val="20"/>
                <w:szCs w:val="20"/>
                <w:color w:val="auto"/>
              </w:rPr>
            </w:pPr>
            <w:r>
              <w:rPr>
                <w:rFonts w:ascii="Arial" w:cs="Arial" w:eastAsia="Arial" w:hAnsi="Arial"/>
                <w:sz w:val="14"/>
                <w:szCs w:val="14"/>
                <w:color w:val="003A70"/>
              </w:rPr>
              <w:t>Exercise</w:t>
            </w:r>
          </w:p>
        </w:tc>
        <w:tc>
          <w:tcPr>
            <w:tcW w:w="940" w:type="dxa"/>
            <w:vAlign w:val="bottom"/>
          </w:tcPr>
          <w:p>
            <w:pPr>
              <w:jc w:val="center"/>
              <w:spacing w:after="0"/>
              <w:rPr>
                <w:sz w:val="20"/>
                <w:szCs w:val="20"/>
                <w:color w:val="auto"/>
              </w:rPr>
            </w:pPr>
            <w:r>
              <w:rPr>
                <w:rFonts w:ascii="Arial" w:cs="Arial" w:eastAsia="Arial" w:hAnsi="Arial"/>
                <w:sz w:val="14"/>
                <w:szCs w:val="14"/>
                <w:color w:val="003A70"/>
              </w:rPr>
              <w:t>Expiration</w:t>
            </w:r>
          </w:p>
        </w:tc>
        <w:tc>
          <w:tcPr>
            <w:tcW w:w="0" w:type="dxa"/>
            <w:vAlign w:val="bottom"/>
          </w:tcPr>
          <w:p>
            <w:pPr>
              <w:spacing w:after="0"/>
              <w:rPr>
                <w:sz w:val="1"/>
                <w:szCs w:val="1"/>
                <w:color w:val="auto"/>
              </w:rPr>
            </w:pPr>
          </w:p>
        </w:tc>
      </w:tr>
      <w:tr>
        <w:trPr>
          <w:trHeight w:val="185"/>
        </w:trPr>
        <w:tc>
          <w:tcPr>
            <w:tcW w:w="1620" w:type="dxa"/>
            <w:vAlign w:val="bottom"/>
          </w:tcPr>
          <w:p>
            <w:pPr>
              <w:spacing w:after="0"/>
              <w:rPr>
                <w:sz w:val="20"/>
                <w:szCs w:val="20"/>
                <w:color w:val="auto"/>
              </w:rPr>
            </w:pPr>
            <w:r>
              <w:rPr>
                <w:rFonts w:ascii="Arial" w:cs="Arial" w:eastAsia="Arial" w:hAnsi="Arial"/>
                <w:sz w:val="14"/>
                <w:szCs w:val="14"/>
                <w:color w:val="003A70"/>
              </w:rPr>
              <w:t>Grant Date</w:t>
            </w:r>
          </w:p>
        </w:tc>
        <w:tc>
          <w:tcPr>
            <w:tcW w:w="1920" w:type="dxa"/>
            <w:vAlign w:val="bottom"/>
          </w:tcPr>
          <w:p>
            <w:pPr>
              <w:ind w:left="920"/>
              <w:spacing w:after="0" w:line="185" w:lineRule="exact"/>
              <w:rPr>
                <w:sz w:val="20"/>
                <w:szCs w:val="20"/>
                <w:color w:val="auto"/>
              </w:rPr>
            </w:pPr>
            <w:r>
              <w:rPr>
                <w:rFonts w:ascii="Arial" w:cs="Arial" w:eastAsia="Arial" w:hAnsi="Arial"/>
                <w:sz w:val="14"/>
                <w:szCs w:val="14"/>
                <w:color w:val="003A70"/>
              </w:rPr>
              <w:t>Type</w:t>
            </w:r>
            <w:r>
              <w:rPr>
                <w:rFonts w:ascii="Arial" w:cs="Arial" w:eastAsia="Arial" w:hAnsi="Arial"/>
                <w:sz w:val="21"/>
                <w:szCs w:val="21"/>
                <w:color w:val="003A70"/>
                <w:vertAlign w:val="superscript"/>
              </w:rPr>
              <w:t>1</w:t>
            </w:r>
          </w:p>
        </w:tc>
        <w:tc>
          <w:tcPr>
            <w:tcW w:w="1260" w:type="dxa"/>
            <w:vAlign w:val="bottom"/>
          </w:tcPr>
          <w:p>
            <w:pPr>
              <w:jc w:val="center"/>
              <w:spacing w:after="0" w:line="185" w:lineRule="exact"/>
              <w:rPr>
                <w:sz w:val="20"/>
                <w:szCs w:val="20"/>
                <w:color w:val="auto"/>
              </w:rPr>
            </w:pPr>
            <w:r>
              <w:rPr>
                <w:rFonts w:ascii="Arial" w:cs="Arial" w:eastAsia="Arial" w:hAnsi="Arial"/>
                <w:sz w:val="14"/>
                <w:szCs w:val="14"/>
                <w:color w:val="003A70"/>
              </w:rPr>
              <w:t>Unexercisable</w:t>
            </w:r>
            <w:r>
              <w:rPr>
                <w:rFonts w:ascii="Arial" w:cs="Arial" w:eastAsia="Arial" w:hAnsi="Arial"/>
                <w:sz w:val="21"/>
                <w:szCs w:val="21"/>
                <w:color w:val="003A70"/>
                <w:vertAlign w:val="superscript"/>
              </w:rPr>
              <w:t>2</w:t>
            </w:r>
          </w:p>
        </w:tc>
        <w:tc>
          <w:tcPr>
            <w:tcW w:w="860" w:type="dxa"/>
            <w:vAlign w:val="bottom"/>
          </w:tcPr>
          <w:p>
            <w:pPr>
              <w:jc w:val="center"/>
              <w:spacing w:after="0"/>
              <w:rPr>
                <w:sz w:val="20"/>
                <w:szCs w:val="20"/>
                <w:color w:val="auto"/>
              </w:rPr>
            </w:pPr>
            <w:r>
              <w:rPr>
                <w:rFonts w:ascii="Arial" w:cs="Arial" w:eastAsia="Arial" w:hAnsi="Arial"/>
                <w:sz w:val="14"/>
                <w:szCs w:val="14"/>
                <w:color w:val="003A70"/>
              </w:rPr>
              <w:t>Price</w:t>
            </w:r>
          </w:p>
        </w:tc>
        <w:tc>
          <w:tcPr>
            <w:tcW w:w="940" w:type="dxa"/>
            <w:vAlign w:val="bottom"/>
          </w:tcPr>
          <w:p>
            <w:pPr>
              <w:jc w:val="center"/>
              <w:ind w:left="8"/>
              <w:spacing w:after="0"/>
              <w:rPr>
                <w:sz w:val="20"/>
                <w:szCs w:val="20"/>
                <w:color w:val="auto"/>
              </w:rPr>
            </w:pPr>
            <w:r>
              <w:rPr>
                <w:rFonts w:ascii="Arial" w:cs="Arial" w:eastAsia="Arial" w:hAnsi="Arial"/>
                <w:sz w:val="14"/>
                <w:szCs w:val="14"/>
                <w:color w:val="003A70"/>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003A70"/>
        </w:rPr>
        <w:t>Stock Awards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800" w:type="dxa"/>
            <w:vAlign w:val="bottom"/>
            <w:tcBorders>
              <w:top w:val="single" w:sz="8" w:color="003A70"/>
            </w:tcBorders>
          </w:tcPr>
          <w:p>
            <w:pPr>
              <w:spacing w:after="0"/>
              <w:rPr>
                <w:sz w:val="12"/>
                <w:szCs w:val="12"/>
                <w:color w:val="auto"/>
              </w:rPr>
            </w:pPr>
          </w:p>
        </w:tc>
        <w:tc>
          <w:tcPr>
            <w:tcW w:w="960" w:type="dxa"/>
            <w:vAlign w:val="bottom"/>
            <w:tcBorders>
              <w:top w:val="single" w:sz="8" w:color="003A70"/>
            </w:tcBorders>
          </w:tcPr>
          <w:p>
            <w:pPr>
              <w:spacing w:after="0"/>
              <w:rPr>
                <w:sz w:val="12"/>
                <w:szCs w:val="12"/>
                <w:color w:val="auto"/>
              </w:rPr>
            </w:pPr>
          </w:p>
        </w:tc>
        <w:tc>
          <w:tcPr>
            <w:tcW w:w="1200" w:type="dxa"/>
            <w:vAlign w:val="bottom"/>
            <w:tcBorders>
              <w:top w:val="single" w:sz="8" w:color="003A70"/>
            </w:tcBorders>
          </w:tcPr>
          <w:p>
            <w:pPr>
              <w:spacing w:after="0"/>
              <w:rPr>
                <w:sz w:val="12"/>
                <w:szCs w:val="12"/>
                <w:color w:val="auto"/>
              </w:rPr>
            </w:pPr>
          </w:p>
        </w:tc>
        <w:tc>
          <w:tcPr>
            <w:tcW w:w="1080" w:type="dxa"/>
            <w:vAlign w:val="bottom"/>
            <w:tcBorders>
              <w:top w:val="single" w:sz="8" w:color="003A70"/>
            </w:tcBorders>
          </w:tcPr>
          <w:p>
            <w:pPr>
              <w:jc w:val="center"/>
              <w:spacing w:after="0" w:line="147" w:lineRule="exact"/>
              <w:rPr>
                <w:sz w:val="20"/>
                <w:szCs w:val="20"/>
                <w:color w:val="auto"/>
              </w:rPr>
            </w:pPr>
            <w:r>
              <w:rPr>
                <w:rFonts w:ascii="Arial" w:cs="Arial" w:eastAsia="Arial" w:hAnsi="Arial"/>
                <w:sz w:val="14"/>
                <w:szCs w:val="14"/>
                <w:color w:val="003A70"/>
              </w:rPr>
              <w:t>Equity Incentive</w:t>
            </w:r>
          </w:p>
        </w:tc>
      </w:tr>
      <w:tr>
        <w:trPr>
          <w:trHeight w:val="162"/>
        </w:trPr>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003A70"/>
              </w:rPr>
              <w:t>Equity Incentive</w:t>
            </w:r>
          </w:p>
        </w:tc>
        <w:tc>
          <w:tcPr>
            <w:tcW w:w="1080" w:type="dxa"/>
            <w:vAlign w:val="bottom"/>
          </w:tcPr>
          <w:p>
            <w:pPr>
              <w:jc w:val="center"/>
              <w:spacing w:after="0"/>
              <w:rPr>
                <w:sz w:val="20"/>
                <w:szCs w:val="20"/>
                <w:color w:val="auto"/>
              </w:rPr>
            </w:pPr>
            <w:r>
              <w:rPr>
                <w:rFonts w:ascii="Arial" w:cs="Arial" w:eastAsia="Arial" w:hAnsi="Arial"/>
                <w:sz w:val="14"/>
                <w:szCs w:val="14"/>
                <w:color w:val="003A70"/>
              </w:rPr>
              <w:t>Plan Awards:</w:t>
            </w:r>
          </w:p>
        </w:tc>
      </w:tr>
      <w:tr>
        <w:trPr>
          <w:trHeight w:val="162"/>
        </w:trPr>
        <w:tc>
          <w:tcPr>
            <w:tcW w:w="800" w:type="dxa"/>
            <w:vAlign w:val="bottom"/>
          </w:tcPr>
          <w:p>
            <w:pPr>
              <w:jc w:val="center"/>
              <w:ind w:right="68"/>
              <w:spacing w:after="0"/>
              <w:rPr>
                <w:sz w:val="20"/>
                <w:szCs w:val="20"/>
                <w:color w:val="auto"/>
              </w:rPr>
            </w:pPr>
            <w:r>
              <w:rPr>
                <w:rFonts w:ascii="Arial" w:cs="Arial" w:eastAsia="Arial" w:hAnsi="Arial"/>
                <w:sz w:val="14"/>
                <w:szCs w:val="14"/>
                <w:color w:val="003A70"/>
              </w:rPr>
              <w:t>Number of</w:t>
            </w:r>
          </w:p>
        </w:tc>
        <w:tc>
          <w:tcPr>
            <w:tcW w:w="960" w:type="dxa"/>
            <w:vAlign w:val="bottom"/>
          </w:tcPr>
          <w:p>
            <w:pPr>
              <w:jc w:val="center"/>
              <w:spacing w:after="0"/>
              <w:rPr>
                <w:sz w:val="20"/>
                <w:szCs w:val="20"/>
                <w:color w:val="auto"/>
              </w:rPr>
            </w:pPr>
            <w:r>
              <w:rPr>
                <w:rFonts w:ascii="Arial" w:cs="Arial" w:eastAsia="Arial" w:hAnsi="Arial"/>
                <w:sz w:val="14"/>
                <w:szCs w:val="14"/>
                <w:color w:val="003A70"/>
              </w:rPr>
              <w:t>Market</w:t>
            </w:r>
          </w:p>
        </w:tc>
        <w:tc>
          <w:tcPr>
            <w:tcW w:w="1200" w:type="dxa"/>
            <w:vAlign w:val="bottom"/>
          </w:tcPr>
          <w:p>
            <w:pPr>
              <w:jc w:val="center"/>
              <w:ind w:left="8"/>
              <w:spacing w:after="0"/>
              <w:rPr>
                <w:sz w:val="20"/>
                <w:szCs w:val="20"/>
                <w:color w:val="auto"/>
              </w:rPr>
            </w:pPr>
            <w:r>
              <w:rPr>
                <w:rFonts w:ascii="Arial" w:cs="Arial" w:eastAsia="Arial" w:hAnsi="Arial"/>
                <w:sz w:val="14"/>
                <w:szCs w:val="14"/>
                <w:color w:val="003A70"/>
              </w:rPr>
              <w:t>Plan Awards:</w:t>
            </w:r>
          </w:p>
        </w:tc>
        <w:tc>
          <w:tcPr>
            <w:tcW w:w="1080" w:type="dxa"/>
            <w:vAlign w:val="bottom"/>
          </w:tcPr>
          <w:p>
            <w:pPr>
              <w:jc w:val="center"/>
              <w:spacing w:after="0"/>
              <w:rPr>
                <w:sz w:val="20"/>
                <w:szCs w:val="20"/>
                <w:color w:val="auto"/>
              </w:rPr>
            </w:pPr>
            <w:r>
              <w:rPr>
                <w:rFonts w:ascii="Arial" w:cs="Arial" w:eastAsia="Arial" w:hAnsi="Arial"/>
                <w:sz w:val="14"/>
                <w:szCs w:val="14"/>
                <w:color w:val="003A70"/>
              </w:rPr>
              <w:t>Market or</w:t>
            </w:r>
          </w:p>
        </w:tc>
      </w:tr>
      <w:tr>
        <w:trPr>
          <w:trHeight w:val="162"/>
        </w:trPr>
        <w:tc>
          <w:tcPr>
            <w:tcW w:w="800" w:type="dxa"/>
            <w:vAlign w:val="bottom"/>
          </w:tcPr>
          <w:p>
            <w:pPr>
              <w:jc w:val="center"/>
              <w:ind w:right="68"/>
              <w:spacing w:after="0"/>
              <w:rPr>
                <w:sz w:val="20"/>
                <w:szCs w:val="20"/>
                <w:color w:val="auto"/>
              </w:rPr>
            </w:pPr>
            <w:r>
              <w:rPr>
                <w:rFonts w:ascii="Arial" w:cs="Arial" w:eastAsia="Arial" w:hAnsi="Arial"/>
                <w:sz w:val="14"/>
                <w:szCs w:val="14"/>
                <w:color w:val="003A70"/>
              </w:rPr>
              <w:t>Shares or</w:t>
            </w:r>
          </w:p>
        </w:tc>
        <w:tc>
          <w:tcPr>
            <w:tcW w:w="960" w:type="dxa"/>
            <w:vAlign w:val="bottom"/>
          </w:tcPr>
          <w:p>
            <w:pPr>
              <w:jc w:val="center"/>
              <w:spacing w:after="0"/>
              <w:rPr>
                <w:sz w:val="20"/>
                <w:szCs w:val="20"/>
                <w:color w:val="auto"/>
              </w:rPr>
            </w:pPr>
            <w:r>
              <w:rPr>
                <w:rFonts w:ascii="Arial" w:cs="Arial" w:eastAsia="Arial" w:hAnsi="Arial"/>
                <w:sz w:val="14"/>
                <w:szCs w:val="14"/>
                <w:color w:val="003A70"/>
              </w:rPr>
              <w:t>Value of</w:t>
            </w:r>
          </w:p>
        </w:tc>
        <w:tc>
          <w:tcPr>
            <w:tcW w:w="1200" w:type="dxa"/>
            <w:vAlign w:val="bottom"/>
          </w:tcPr>
          <w:p>
            <w:pPr>
              <w:jc w:val="center"/>
              <w:ind w:left="8"/>
              <w:spacing w:after="0"/>
              <w:rPr>
                <w:sz w:val="20"/>
                <w:szCs w:val="20"/>
                <w:color w:val="auto"/>
              </w:rPr>
            </w:pPr>
            <w:r>
              <w:rPr>
                <w:rFonts w:ascii="Arial" w:cs="Arial" w:eastAsia="Arial" w:hAnsi="Arial"/>
                <w:sz w:val="14"/>
                <w:szCs w:val="14"/>
                <w:color w:val="003A70"/>
              </w:rPr>
              <w:t>Number of</w:t>
            </w:r>
          </w:p>
        </w:tc>
        <w:tc>
          <w:tcPr>
            <w:tcW w:w="1080" w:type="dxa"/>
            <w:vAlign w:val="bottom"/>
          </w:tcPr>
          <w:p>
            <w:pPr>
              <w:jc w:val="center"/>
              <w:spacing w:after="0"/>
              <w:rPr>
                <w:sz w:val="20"/>
                <w:szCs w:val="20"/>
                <w:color w:val="auto"/>
              </w:rPr>
            </w:pPr>
            <w:r>
              <w:rPr>
                <w:rFonts w:ascii="Arial" w:cs="Arial" w:eastAsia="Arial" w:hAnsi="Arial"/>
                <w:sz w:val="14"/>
                <w:szCs w:val="14"/>
                <w:color w:val="003A70"/>
              </w:rPr>
              <w:t>Payout Value</w:t>
            </w:r>
          </w:p>
        </w:tc>
      </w:tr>
      <w:tr>
        <w:trPr>
          <w:trHeight w:val="162"/>
        </w:trPr>
        <w:tc>
          <w:tcPr>
            <w:tcW w:w="800" w:type="dxa"/>
            <w:vAlign w:val="bottom"/>
          </w:tcPr>
          <w:p>
            <w:pPr>
              <w:jc w:val="center"/>
              <w:ind w:right="68"/>
              <w:spacing w:after="0"/>
              <w:rPr>
                <w:sz w:val="20"/>
                <w:szCs w:val="20"/>
                <w:color w:val="auto"/>
              </w:rPr>
            </w:pPr>
            <w:r>
              <w:rPr>
                <w:rFonts w:ascii="Arial" w:cs="Arial" w:eastAsia="Arial" w:hAnsi="Arial"/>
                <w:sz w:val="14"/>
                <w:szCs w:val="14"/>
                <w:color w:val="003A70"/>
              </w:rPr>
              <w:t>Units of</w:t>
            </w:r>
          </w:p>
        </w:tc>
        <w:tc>
          <w:tcPr>
            <w:tcW w:w="960" w:type="dxa"/>
            <w:vAlign w:val="bottom"/>
          </w:tcPr>
          <w:p>
            <w:pPr>
              <w:jc w:val="center"/>
              <w:spacing w:after="0"/>
              <w:rPr>
                <w:sz w:val="20"/>
                <w:szCs w:val="20"/>
                <w:color w:val="auto"/>
              </w:rPr>
            </w:pPr>
            <w:r>
              <w:rPr>
                <w:rFonts w:ascii="Arial" w:cs="Arial" w:eastAsia="Arial" w:hAnsi="Arial"/>
                <w:sz w:val="14"/>
                <w:szCs w:val="14"/>
                <w:color w:val="003A70"/>
              </w:rPr>
              <w:t>Shares or</w:t>
            </w:r>
          </w:p>
        </w:tc>
        <w:tc>
          <w:tcPr>
            <w:tcW w:w="1200" w:type="dxa"/>
            <w:vAlign w:val="bottom"/>
          </w:tcPr>
          <w:p>
            <w:pPr>
              <w:jc w:val="center"/>
              <w:ind w:left="8"/>
              <w:spacing w:after="0"/>
              <w:rPr>
                <w:sz w:val="20"/>
                <w:szCs w:val="20"/>
                <w:color w:val="auto"/>
              </w:rPr>
            </w:pPr>
            <w:r>
              <w:rPr>
                <w:rFonts w:ascii="Arial" w:cs="Arial" w:eastAsia="Arial" w:hAnsi="Arial"/>
                <w:sz w:val="14"/>
                <w:szCs w:val="14"/>
                <w:color w:val="003A70"/>
              </w:rPr>
              <w:t>Unearned</w:t>
            </w:r>
          </w:p>
        </w:tc>
        <w:tc>
          <w:tcPr>
            <w:tcW w:w="1080" w:type="dxa"/>
            <w:vAlign w:val="bottom"/>
          </w:tcPr>
          <w:p>
            <w:pPr>
              <w:jc w:val="center"/>
              <w:spacing w:after="0"/>
              <w:rPr>
                <w:sz w:val="20"/>
                <w:szCs w:val="20"/>
                <w:color w:val="auto"/>
              </w:rPr>
            </w:pPr>
            <w:r>
              <w:rPr>
                <w:rFonts w:ascii="Arial" w:cs="Arial" w:eastAsia="Arial" w:hAnsi="Arial"/>
                <w:sz w:val="14"/>
                <w:szCs w:val="14"/>
                <w:color w:val="003A70"/>
              </w:rPr>
              <w:t>of Unearned</w:t>
            </w:r>
          </w:p>
        </w:tc>
      </w:tr>
      <w:tr>
        <w:trPr>
          <w:trHeight w:val="162"/>
        </w:trPr>
        <w:tc>
          <w:tcPr>
            <w:tcW w:w="800" w:type="dxa"/>
            <w:vAlign w:val="bottom"/>
          </w:tcPr>
          <w:p>
            <w:pPr>
              <w:jc w:val="center"/>
              <w:ind w:right="48"/>
              <w:spacing w:after="0"/>
              <w:rPr>
                <w:sz w:val="20"/>
                <w:szCs w:val="20"/>
                <w:color w:val="auto"/>
              </w:rPr>
            </w:pPr>
            <w:r>
              <w:rPr>
                <w:rFonts w:ascii="Arial" w:cs="Arial" w:eastAsia="Arial" w:hAnsi="Arial"/>
                <w:sz w:val="14"/>
                <w:szCs w:val="14"/>
                <w:color w:val="003A70"/>
              </w:rPr>
              <w:t>Stock</w:t>
            </w:r>
          </w:p>
        </w:tc>
        <w:tc>
          <w:tcPr>
            <w:tcW w:w="960" w:type="dxa"/>
            <w:vAlign w:val="bottom"/>
          </w:tcPr>
          <w:p>
            <w:pPr>
              <w:jc w:val="center"/>
              <w:spacing w:after="0"/>
              <w:rPr>
                <w:sz w:val="20"/>
                <w:szCs w:val="20"/>
                <w:color w:val="auto"/>
              </w:rPr>
            </w:pPr>
            <w:r>
              <w:rPr>
                <w:rFonts w:ascii="Arial" w:cs="Arial" w:eastAsia="Arial" w:hAnsi="Arial"/>
                <w:sz w:val="14"/>
                <w:szCs w:val="14"/>
                <w:color w:val="003A70"/>
              </w:rPr>
              <w:t>Units of</w:t>
            </w:r>
          </w:p>
        </w:tc>
        <w:tc>
          <w:tcPr>
            <w:tcW w:w="1200" w:type="dxa"/>
            <w:vAlign w:val="bottom"/>
          </w:tcPr>
          <w:p>
            <w:pPr>
              <w:jc w:val="center"/>
              <w:spacing w:after="0"/>
              <w:rPr>
                <w:sz w:val="20"/>
                <w:szCs w:val="20"/>
                <w:color w:val="auto"/>
              </w:rPr>
            </w:pPr>
            <w:r>
              <w:rPr>
                <w:rFonts w:ascii="Arial" w:cs="Arial" w:eastAsia="Arial" w:hAnsi="Arial"/>
                <w:sz w:val="14"/>
                <w:szCs w:val="14"/>
                <w:color w:val="003A70"/>
              </w:rPr>
              <w:t>Shares, Units</w:t>
            </w:r>
          </w:p>
        </w:tc>
        <w:tc>
          <w:tcPr>
            <w:tcW w:w="1080" w:type="dxa"/>
            <w:vAlign w:val="bottom"/>
          </w:tcPr>
          <w:p>
            <w:pPr>
              <w:jc w:val="center"/>
              <w:spacing w:after="0"/>
              <w:rPr>
                <w:sz w:val="20"/>
                <w:szCs w:val="20"/>
                <w:color w:val="auto"/>
              </w:rPr>
            </w:pPr>
            <w:r>
              <w:rPr>
                <w:rFonts w:ascii="Arial" w:cs="Arial" w:eastAsia="Arial" w:hAnsi="Arial"/>
                <w:sz w:val="14"/>
                <w:szCs w:val="14"/>
                <w:color w:val="003A70"/>
              </w:rPr>
              <w:t>Shares, Units</w:t>
            </w:r>
          </w:p>
        </w:tc>
      </w:tr>
      <w:tr>
        <w:trPr>
          <w:trHeight w:val="162"/>
        </w:trPr>
        <w:tc>
          <w:tcPr>
            <w:tcW w:w="800" w:type="dxa"/>
            <w:vAlign w:val="bottom"/>
          </w:tcPr>
          <w:p>
            <w:pPr>
              <w:jc w:val="center"/>
              <w:ind w:right="68"/>
              <w:spacing w:after="0"/>
              <w:rPr>
                <w:sz w:val="20"/>
                <w:szCs w:val="20"/>
                <w:color w:val="auto"/>
              </w:rPr>
            </w:pPr>
            <w:r>
              <w:rPr>
                <w:rFonts w:ascii="Arial" w:cs="Arial" w:eastAsia="Arial" w:hAnsi="Arial"/>
                <w:sz w:val="14"/>
                <w:szCs w:val="14"/>
                <w:color w:val="003A70"/>
              </w:rPr>
              <w:t>That Have</w:t>
            </w:r>
          </w:p>
        </w:tc>
        <w:tc>
          <w:tcPr>
            <w:tcW w:w="960" w:type="dxa"/>
            <w:vAlign w:val="bottom"/>
          </w:tcPr>
          <w:p>
            <w:pPr>
              <w:jc w:val="center"/>
              <w:spacing w:after="0"/>
              <w:rPr>
                <w:sz w:val="20"/>
                <w:szCs w:val="20"/>
                <w:color w:val="auto"/>
              </w:rPr>
            </w:pPr>
            <w:r>
              <w:rPr>
                <w:rFonts w:ascii="Arial" w:cs="Arial" w:eastAsia="Arial" w:hAnsi="Arial"/>
                <w:sz w:val="14"/>
                <w:szCs w:val="14"/>
                <w:color w:val="003A70"/>
              </w:rPr>
              <w:t>Stock That</w:t>
            </w:r>
          </w:p>
        </w:tc>
        <w:tc>
          <w:tcPr>
            <w:tcW w:w="1200" w:type="dxa"/>
            <w:vAlign w:val="bottom"/>
          </w:tcPr>
          <w:p>
            <w:pPr>
              <w:jc w:val="center"/>
              <w:spacing w:after="0"/>
              <w:rPr>
                <w:sz w:val="20"/>
                <w:szCs w:val="20"/>
                <w:color w:val="auto"/>
              </w:rPr>
            </w:pPr>
            <w:r>
              <w:rPr>
                <w:rFonts w:ascii="Arial" w:cs="Arial" w:eastAsia="Arial" w:hAnsi="Arial"/>
                <w:sz w:val="14"/>
                <w:szCs w:val="14"/>
                <w:color w:val="003A70"/>
              </w:rPr>
              <w:t>or Other Rights</w:t>
            </w:r>
          </w:p>
        </w:tc>
        <w:tc>
          <w:tcPr>
            <w:tcW w:w="1080" w:type="dxa"/>
            <w:vAlign w:val="bottom"/>
          </w:tcPr>
          <w:p>
            <w:pPr>
              <w:jc w:val="center"/>
              <w:spacing w:after="0"/>
              <w:rPr>
                <w:sz w:val="20"/>
                <w:szCs w:val="20"/>
                <w:color w:val="auto"/>
              </w:rPr>
            </w:pPr>
            <w:r>
              <w:rPr>
                <w:rFonts w:ascii="Arial" w:cs="Arial" w:eastAsia="Arial" w:hAnsi="Arial"/>
                <w:sz w:val="14"/>
                <w:szCs w:val="14"/>
                <w:color w:val="003A70"/>
              </w:rPr>
              <w:t>or Other Rights</w:t>
            </w:r>
          </w:p>
        </w:tc>
      </w:tr>
      <w:tr>
        <w:trPr>
          <w:trHeight w:val="162"/>
        </w:trPr>
        <w:tc>
          <w:tcPr>
            <w:tcW w:w="800" w:type="dxa"/>
            <w:vAlign w:val="bottom"/>
          </w:tcPr>
          <w:p>
            <w:pPr>
              <w:jc w:val="center"/>
              <w:ind w:right="68"/>
              <w:spacing w:after="0"/>
              <w:rPr>
                <w:sz w:val="20"/>
                <w:szCs w:val="20"/>
                <w:color w:val="auto"/>
              </w:rPr>
            </w:pPr>
            <w:r>
              <w:rPr>
                <w:rFonts w:ascii="Arial" w:cs="Arial" w:eastAsia="Arial" w:hAnsi="Arial"/>
                <w:sz w:val="14"/>
                <w:szCs w:val="14"/>
                <w:color w:val="003A70"/>
              </w:rPr>
              <w:t>Not</w:t>
            </w:r>
          </w:p>
        </w:tc>
        <w:tc>
          <w:tcPr>
            <w:tcW w:w="960" w:type="dxa"/>
            <w:vAlign w:val="bottom"/>
          </w:tcPr>
          <w:p>
            <w:pPr>
              <w:jc w:val="center"/>
              <w:spacing w:after="0"/>
              <w:rPr>
                <w:sz w:val="20"/>
                <w:szCs w:val="20"/>
                <w:color w:val="auto"/>
              </w:rPr>
            </w:pPr>
            <w:r>
              <w:rPr>
                <w:rFonts w:ascii="Arial" w:cs="Arial" w:eastAsia="Arial" w:hAnsi="Arial"/>
                <w:sz w:val="14"/>
                <w:szCs w:val="14"/>
                <w:color w:val="003A70"/>
              </w:rPr>
              <w:t>Have Not</w:t>
            </w:r>
          </w:p>
        </w:tc>
        <w:tc>
          <w:tcPr>
            <w:tcW w:w="1200" w:type="dxa"/>
            <w:vAlign w:val="bottom"/>
          </w:tcPr>
          <w:p>
            <w:pPr>
              <w:jc w:val="center"/>
              <w:ind w:left="8"/>
              <w:spacing w:after="0"/>
              <w:rPr>
                <w:sz w:val="20"/>
                <w:szCs w:val="20"/>
                <w:color w:val="auto"/>
              </w:rPr>
            </w:pPr>
            <w:r>
              <w:rPr>
                <w:rFonts w:ascii="Arial" w:cs="Arial" w:eastAsia="Arial" w:hAnsi="Arial"/>
                <w:sz w:val="14"/>
                <w:szCs w:val="14"/>
                <w:color w:val="003A70"/>
              </w:rPr>
              <w:t>That Have Not</w:t>
            </w:r>
          </w:p>
        </w:tc>
        <w:tc>
          <w:tcPr>
            <w:tcW w:w="1080" w:type="dxa"/>
            <w:vAlign w:val="bottom"/>
          </w:tcPr>
          <w:p>
            <w:pPr>
              <w:jc w:val="center"/>
              <w:spacing w:after="0"/>
              <w:rPr>
                <w:sz w:val="20"/>
                <w:szCs w:val="20"/>
                <w:color w:val="auto"/>
              </w:rPr>
            </w:pPr>
            <w:r>
              <w:rPr>
                <w:rFonts w:ascii="Arial" w:cs="Arial" w:eastAsia="Arial" w:hAnsi="Arial"/>
                <w:sz w:val="14"/>
                <w:szCs w:val="14"/>
                <w:color w:val="003A70"/>
              </w:rPr>
              <w:t>That Have Not</w:t>
            </w:r>
          </w:p>
        </w:tc>
      </w:tr>
      <w:tr>
        <w:trPr>
          <w:trHeight w:val="185"/>
        </w:trPr>
        <w:tc>
          <w:tcPr>
            <w:tcW w:w="800" w:type="dxa"/>
            <w:vAlign w:val="bottom"/>
          </w:tcPr>
          <w:p>
            <w:pPr>
              <w:jc w:val="center"/>
              <w:ind w:right="68"/>
              <w:spacing w:after="0" w:line="185" w:lineRule="exact"/>
              <w:rPr>
                <w:sz w:val="20"/>
                <w:szCs w:val="20"/>
                <w:color w:val="auto"/>
              </w:rPr>
            </w:pPr>
            <w:r>
              <w:rPr>
                <w:rFonts w:ascii="Arial" w:cs="Arial" w:eastAsia="Arial" w:hAnsi="Arial"/>
                <w:sz w:val="14"/>
                <w:szCs w:val="14"/>
                <w:color w:val="003A70"/>
                <w:w w:val="97"/>
              </w:rPr>
              <w:t>Vested</w:t>
            </w:r>
            <w:r>
              <w:rPr>
                <w:rFonts w:ascii="Arial" w:cs="Arial" w:eastAsia="Arial" w:hAnsi="Arial"/>
                <w:sz w:val="21"/>
                <w:szCs w:val="21"/>
                <w:color w:val="003A70"/>
                <w:w w:val="97"/>
                <w:vertAlign w:val="superscript"/>
              </w:rPr>
              <w:t>3</w:t>
            </w:r>
          </w:p>
        </w:tc>
        <w:tc>
          <w:tcPr>
            <w:tcW w:w="960" w:type="dxa"/>
            <w:vAlign w:val="bottom"/>
          </w:tcPr>
          <w:p>
            <w:pPr>
              <w:jc w:val="center"/>
              <w:spacing w:after="0"/>
              <w:rPr>
                <w:sz w:val="20"/>
                <w:szCs w:val="20"/>
                <w:color w:val="auto"/>
              </w:rPr>
            </w:pPr>
            <w:r>
              <w:rPr>
                <w:rFonts w:ascii="Arial" w:cs="Arial" w:eastAsia="Arial" w:hAnsi="Arial"/>
                <w:sz w:val="14"/>
                <w:szCs w:val="14"/>
                <w:color w:val="003A70"/>
              </w:rPr>
              <w:t>Vested</w:t>
            </w:r>
          </w:p>
        </w:tc>
        <w:tc>
          <w:tcPr>
            <w:tcW w:w="1200" w:type="dxa"/>
            <w:vAlign w:val="bottom"/>
          </w:tcPr>
          <w:p>
            <w:pPr>
              <w:jc w:val="center"/>
              <w:spacing w:after="0"/>
              <w:rPr>
                <w:sz w:val="20"/>
                <w:szCs w:val="20"/>
                <w:color w:val="auto"/>
              </w:rPr>
            </w:pPr>
            <w:r>
              <w:rPr>
                <w:rFonts w:ascii="Arial" w:cs="Arial" w:eastAsia="Arial" w:hAnsi="Arial"/>
                <w:sz w:val="14"/>
                <w:szCs w:val="14"/>
                <w:color w:val="003A70"/>
              </w:rPr>
              <w:t>Vested (#)</w:t>
            </w:r>
          </w:p>
        </w:tc>
        <w:tc>
          <w:tcPr>
            <w:tcW w:w="1080" w:type="dxa"/>
            <w:vAlign w:val="bottom"/>
          </w:tcPr>
          <w:p>
            <w:pPr>
              <w:jc w:val="center"/>
              <w:spacing w:after="0"/>
              <w:rPr>
                <w:sz w:val="20"/>
                <w:szCs w:val="20"/>
                <w:color w:val="auto"/>
              </w:rPr>
            </w:pPr>
            <w:r>
              <w:rPr>
                <w:rFonts w:ascii="Arial" w:cs="Arial" w:eastAsia="Arial" w:hAnsi="Arial"/>
                <w:sz w:val="14"/>
                <w:szCs w:val="14"/>
                <w:color w:val="003A70"/>
              </w:rPr>
              <w:t>Vested ($)</w:t>
            </w:r>
          </w:p>
        </w:tc>
      </w:tr>
    </w:tbl>
    <w:p>
      <w:pPr>
        <w:spacing w:after="0" w:line="1" w:lineRule="exact"/>
        <w:rPr>
          <w:sz w:val="20"/>
          <w:szCs w:val="20"/>
          <w:color w:val="auto"/>
        </w:rPr>
      </w:pPr>
    </w:p>
    <w:p>
      <w:pPr>
        <w:sectPr>
          <w:pgSz w:w="11900" w:h="16838" w:orient="portrait"/>
          <w:cols w:equalWidth="0" w:num="2">
            <w:col w:w="6720" w:space="220"/>
            <w:col w:w="4200"/>
          </w:cols>
          <w:pgMar w:left="320" w:top="482" w:right="439" w:bottom="1440" w:gutter="0" w:footer="0" w:header="0"/>
        </w:sectPr>
      </w:pPr>
    </w:p>
    <w:tbl>
      <w:tblPr>
        <w:tblLayout w:type="fixed"/>
        <w:tblInd w:w="120" w:type="dxa"/>
        <w:tblCellMar>
          <w:top w:w="0" w:type="dxa"/>
          <w:left w:w="0" w:type="dxa"/>
          <w:bottom w:w="0" w:type="dxa"/>
          <w:right w:w="0" w:type="dxa"/>
        </w:tblCellMar>
      </w:tblPr>
      <w:tr>
        <w:trPr>
          <w:trHeight w:val="182"/>
        </w:trPr>
        <w:tc>
          <w:tcPr>
            <w:tcW w:w="1540" w:type="dxa"/>
            <w:vAlign w:val="bottom"/>
            <w:tcBorders>
              <w:top w:val="single" w:sz="8" w:color="003A70"/>
            </w:tcBorders>
          </w:tcPr>
          <w:p>
            <w:pPr>
              <w:spacing w:after="0" w:line="182" w:lineRule="exact"/>
              <w:rPr>
                <w:sz w:val="20"/>
                <w:szCs w:val="20"/>
                <w:color w:val="auto"/>
              </w:rPr>
            </w:pPr>
            <w:r>
              <w:rPr>
                <w:rFonts w:ascii="Arial" w:cs="Arial" w:eastAsia="Arial" w:hAnsi="Arial"/>
                <w:sz w:val="16"/>
                <w:szCs w:val="16"/>
                <w:b w:val="1"/>
                <w:bCs w:val="1"/>
                <w:color w:val="003A70"/>
              </w:rPr>
              <w:t>J. Geller</w:t>
            </w:r>
          </w:p>
        </w:tc>
        <w:tc>
          <w:tcPr>
            <w:tcW w:w="1920" w:type="dxa"/>
            <w:vAlign w:val="bottom"/>
            <w:tcBorders>
              <w:top w:val="single" w:sz="8" w:color="003A70"/>
            </w:tcBorders>
          </w:tcPr>
          <w:p>
            <w:pPr>
              <w:spacing w:after="0"/>
              <w:rPr>
                <w:sz w:val="15"/>
                <w:szCs w:val="15"/>
                <w:color w:val="auto"/>
              </w:rPr>
            </w:pPr>
          </w:p>
        </w:tc>
        <w:tc>
          <w:tcPr>
            <w:tcW w:w="740" w:type="dxa"/>
            <w:vAlign w:val="bottom"/>
            <w:tcBorders>
              <w:top w:val="single" w:sz="8" w:color="003A70"/>
            </w:tcBorders>
          </w:tcPr>
          <w:p>
            <w:pPr>
              <w:spacing w:after="0"/>
              <w:rPr>
                <w:sz w:val="15"/>
                <w:szCs w:val="15"/>
                <w:color w:val="auto"/>
              </w:rPr>
            </w:pPr>
          </w:p>
        </w:tc>
        <w:tc>
          <w:tcPr>
            <w:tcW w:w="720" w:type="dxa"/>
            <w:vAlign w:val="bottom"/>
            <w:tcBorders>
              <w:top w:val="single" w:sz="8" w:color="003A70"/>
            </w:tcBorders>
          </w:tcPr>
          <w:p>
            <w:pPr>
              <w:spacing w:after="0"/>
              <w:rPr>
                <w:sz w:val="15"/>
                <w:szCs w:val="15"/>
                <w:color w:val="auto"/>
              </w:rPr>
            </w:pPr>
          </w:p>
        </w:tc>
        <w:tc>
          <w:tcPr>
            <w:tcW w:w="740" w:type="dxa"/>
            <w:vAlign w:val="bottom"/>
            <w:tcBorders>
              <w:top w:val="single" w:sz="8" w:color="003A70"/>
            </w:tcBorders>
          </w:tcPr>
          <w:p>
            <w:pPr>
              <w:spacing w:after="0"/>
              <w:rPr>
                <w:sz w:val="15"/>
                <w:szCs w:val="15"/>
                <w:color w:val="auto"/>
              </w:rPr>
            </w:pPr>
          </w:p>
        </w:tc>
        <w:tc>
          <w:tcPr>
            <w:tcW w:w="1180" w:type="dxa"/>
            <w:vAlign w:val="bottom"/>
            <w:tcBorders>
              <w:top w:val="single" w:sz="8" w:color="003A70"/>
            </w:tcBorders>
          </w:tcPr>
          <w:p>
            <w:pPr>
              <w:spacing w:after="0"/>
              <w:rPr>
                <w:sz w:val="15"/>
                <w:szCs w:val="15"/>
                <w:color w:val="auto"/>
              </w:rPr>
            </w:pPr>
          </w:p>
        </w:tc>
        <w:tc>
          <w:tcPr>
            <w:tcW w:w="780" w:type="dxa"/>
            <w:vAlign w:val="bottom"/>
            <w:tcBorders>
              <w:top w:val="single" w:sz="8" w:color="003A70"/>
            </w:tcBorders>
          </w:tcPr>
          <w:p>
            <w:pPr>
              <w:spacing w:after="0"/>
              <w:rPr>
                <w:sz w:val="15"/>
                <w:szCs w:val="15"/>
                <w:color w:val="auto"/>
              </w:rPr>
            </w:pPr>
          </w:p>
        </w:tc>
        <w:tc>
          <w:tcPr>
            <w:tcW w:w="1120" w:type="dxa"/>
            <w:vAlign w:val="bottom"/>
            <w:tcBorders>
              <w:top w:val="single" w:sz="8" w:color="003A70"/>
            </w:tcBorders>
          </w:tcPr>
          <w:p>
            <w:pPr>
              <w:spacing w:after="0"/>
              <w:rPr>
                <w:sz w:val="15"/>
                <w:szCs w:val="15"/>
                <w:color w:val="auto"/>
              </w:rPr>
            </w:pPr>
          </w:p>
        </w:tc>
        <w:tc>
          <w:tcPr>
            <w:tcW w:w="1120" w:type="dxa"/>
            <w:vAlign w:val="bottom"/>
            <w:tcBorders>
              <w:top w:val="single" w:sz="8" w:color="003A70"/>
            </w:tcBorders>
          </w:tcPr>
          <w:p>
            <w:pPr>
              <w:spacing w:after="0"/>
              <w:rPr>
                <w:sz w:val="15"/>
                <w:szCs w:val="15"/>
                <w:color w:val="auto"/>
              </w:rPr>
            </w:pPr>
          </w:p>
        </w:tc>
        <w:tc>
          <w:tcPr>
            <w:tcW w:w="1160" w:type="dxa"/>
            <w:vAlign w:val="bottom"/>
            <w:tcBorders>
              <w:top w:val="single" w:sz="8" w:color="003A70"/>
            </w:tcBorders>
          </w:tcPr>
          <w:p>
            <w:pPr>
              <w:spacing w:after="0"/>
              <w:rPr>
                <w:sz w:val="15"/>
                <w:szCs w:val="15"/>
                <w:color w:val="auto"/>
              </w:rPr>
            </w:pP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2/29/2024</w:t>
            </w:r>
          </w:p>
        </w:tc>
        <w:tc>
          <w:tcPr>
            <w:tcW w:w="1920" w:type="dxa"/>
            <w:vAlign w:val="bottom"/>
          </w:tcPr>
          <w:p>
            <w:pPr>
              <w:jc w:val="center"/>
              <w:ind w:left="540"/>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4</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0"/>
              <w:spacing w:after="0" w:line="189" w:lineRule="exact"/>
              <w:rPr>
                <w:sz w:val="20"/>
                <w:szCs w:val="20"/>
                <w:color w:val="auto"/>
              </w:rPr>
            </w:pPr>
            <w:r>
              <w:rPr>
                <w:rFonts w:ascii="Arial" w:cs="Arial" w:eastAsia="Arial" w:hAnsi="Arial"/>
                <w:sz w:val="14"/>
                <w:szCs w:val="14"/>
                <w:color w:val="auto"/>
              </w:rPr>
              <w:t>21,854</w:t>
            </w:r>
            <w:r>
              <w:rPr>
                <w:rFonts w:ascii="Arial" w:cs="Arial" w:eastAsia="Arial" w:hAnsi="Arial"/>
                <w:sz w:val="21"/>
                <w:szCs w:val="21"/>
                <w:color w:val="auto"/>
                <w:vertAlign w:val="superscript"/>
              </w:rPr>
              <w:t> 4</w:t>
            </w:r>
          </w:p>
        </w:tc>
        <w:tc>
          <w:tcPr>
            <w:tcW w:w="1160" w:type="dxa"/>
            <w:vAlign w:val="bottom"/>
          </w:tcPr>
          <w:p>
            <w:pPr>
              <w:jc w:val="right"/>
              <w:spacing w:after="0" w:line="189" w:lineRule="exact"/>
              <w:rPr>
                <w:sz w:val="20"/>
                <w:szCs w:val="20"/>
                <w:color w:val="auto"/>
              </w:rPr>
            </w:pPr>
            <w:r>
              <w:rPr>
                <w:rFonts w:ascii="Arial" w:cs="Arial" w:eastAsia="Arial" w:hAnsi="Arial"/>
                <w:sz w:val="14"/>
                <w:szCs w:val="14"/>
                <w:color w:val="auto"/>
              </w:rPr>
              <w:t>1,260,757</w:t>
            </w:r>
            <w:r>
              <w:rPr>
                <w:rFonts w:ascii="Arial" w:cs="Arial" w:eastAsia="Arial" w:hAnsi="Arial"/>
                <w:sz w:val="21"/>
                <w:szCs w:val="21"/>
                <w:color w:val="auto"/>
                <w:vertAlign w:val="superscript"/>
              </w:rPr>
              <w:t> 5</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3/4/2025</w:t>
            </w:r>
          </w:p>
        </w:tc>
        <w:tc>
          <w:tcPr>
            <w:tcW w:w="1920" w:type="dxa"/>
            <w:vAlign w:val="bottom"/>
          </w:tcPr>
          <w:p>
            <w:pPr>
              <w:jc w:val="center"/>
              <w:ind w:left="540"/>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6</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0"/>
              <w:spacing w:after="0" w:line="189" w:lineRule="exact"/>
              <w:rPr>
                <w:sz w:val="20"/>
                <w:szCs w:val="20"/>
                <w:color w:val="auto"/>
              </w:rPr>
            </w:pPr>
            <w:r>
              <w:rPr>
                <w:rFonts w:ascii="Arial" w:cs="Arial" w:eastAsia="Arial" w:hAnsi="Arial"/>
                <w:sz w:val="14"/>
                <w:szCs w:val="14"/>
                <w:color w:val="auto"/>
              </w:rPr>
              <w:t>16,032</w:t>
            </w:r>
            <w:r>
              <w:rPr>
                <w:rFonts w:ascii="Arial" w:cs="Arial" w:eastAsia="Arial" w:hAnsi="Arial"/>
                <w:sz w:val="21"/>
                <w:szCs w:val="21"/>
                <w:color w:val="auto"/>
                <w:vertAlign w:val="superscript"/>
              </w:rPr>
              <w:t> 6</w:t>
            </w:r>
          </w:p>
        </w:tc>
        <w:tc>
          <w:tcPr>
            <w:tcW w:w="1160" w:type="dxa"/>
            <w:vAlign w:val="bottom"/>
          </w:tcPr>
          <w:p>
            <w:pPr>
              <w:jc w:val="right"/>
              <w:spacing w:after="0" w:line="189" w:lineRule="exact"/>
              <w:rPr>
                <w:sz w:val="20"/>
                <w:szCs w:val="20"/>
                <w:color w:val="auto"/>
              </w:rPr>
            </w:pPr>
            <w:r>
              <w:rPr>
                <w:rFonts w:ascii="Arial" w:cs="Arial" w:eastAsia="Arial" w:hAnsi="Arial"/>
                <w:sz w:val="14"/>
                <w:szCs w:val="14"/>
                <w:color w:val="auto"/>
              </w:rPr>
              <w:t>924,886</w:t>
            </w:r>
            <w:r>
              <w:rPr>
                <w:rFonts w:ascii="Arial" w:cs="Arial" w:eastAsia="Arial" w:hAnsi="Arial"/>
                <w:sz w:val="21"/>
                <w:szCs w:val="21"/>
                <w:color w:val="auto"/>
                <w:vertAlign w:val="superscript"/>
              </w:rPr>
              <w:t> 7</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2/29/2016</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20,471</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61.71</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2/28/2026</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2/27/2017</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11,944</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97.53</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2/27/2027</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3/1/2018</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9,050</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143.38</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3/1/2028</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3/4/2019</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15,576</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100.52</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3/4/2029</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3/2/2020</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15,187</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96.82</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3/2/2030</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3/1/2021</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14,152</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173.88</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11/10/2030</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2/28/2022</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7,540</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2,514</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159.27</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11/10/2030</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2/27/2023</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6,837</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6,838</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153.10</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11/10/2030</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2/29/2024</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8,676</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26,028</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93.73</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11/10/2030</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3/4/2025</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43,579</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71.17</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11/10/2030</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2/28/2022</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8"/>
              </w:rPr>
              <w:t>VAC RSUs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653</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37,672</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2/27/2023</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8"/>
              </w:rPr>
              <w:t>VAC RSUs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4,106</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236,875</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2/29/2024</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8"/>
              </w:rPr>
              <w:t>VAC RSUs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15,598</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899,849</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203"/>
        </w:trPr>
        <w:tc>
          <w:tcPr>
            <w:tcW w:w="1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3/4/2025</w:t>
            </w:r>
          </w:p>
        </w:tc>
        <w:tc>
          <w:tcPr>
            <w:tcW w:w="1920" w:type="dxa"/>
            <w:vAlign w:val="bottom"/>
            <w:tcBorders>
              <w:bottom w:val="single" w:sz="8" w:color="auto"/>
            </w:tcBorders>
          </w:tcPr>
          <w:p>
            <w:pPr>
              <w:jc w:val="center"/>
              <w:ind w:left="580"/>
              <w:spacing w:after="0"/>
              <w:rPr>
                <w:sz w:val="20"/>
                <w:szCs w:val="20"/>
                <w:color w:val="auto"/>
              </w:rPr>
            </w:pPr>
            <w:r>
              <w:rPr>
                <w:rFonts w:ascii="Arial" w:cs="Arial" w:eastAsia="Arial" w:hAnsi="Arial"/>
                <w:sz w:val="16"/>
                <w:szCs w:val="16"/>
                <w:color w:val="auto"/>
                <w:w w:val="98"/>
              </w:rPr>
              <w:t>VAC RSUs</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23,699</w:t>
            </w: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1,367,195</w:t>
            </w: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r>
      <w:tr>
        <w:trPr>
          <w:trHeight w:val="168"/>
        </w:trPr>
        <w:tc>
          <w:tcPr>
            <w:tcW w:w="1540" w:type="dxa"/>
            <w:vAlign w:val="bottom"/>
          </w:tcPr>
          <w:p>
            <w:pPr>
              <w:spacing w:after="0" w:line="168" w:lineRule="exact"/>
              <w:rPr>
                <w:sz w:val="20"/>
                <w:szCs w:val="20"/>
                <w:color w:val="auto"/>
              </w:rPr>
            </w:pPr>
            <w:r>
              <w:rPr>
                <w:rFonts w:ascii="Arial" w:cs="Arial" w:eastAsia="Arial" w:hAnsi="Arial"/>
                <w:sz w:val="16"/>
                <w:szCs w:val="16"/>
                <w:b w:val="1"/>
                <w:bCs w:val="1"/>
                <w:color w:val="003A70"/>
              </w:rPr>
              <w:t>J. Marino</w:t>
            </w:r>
          </w:p>
        </w:tc>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2/29/2024</w:t>
            </w:r>
          </w:p>
        </w:tc>
        <w:tc>
          <w:tcPr>
            <w:tcW w:w="1920" w:type="dxa"/>
            <w:vAlign w:val="bottom"/>
          </w:tcPr>
          <w:p>
            <w:pPr>
              <w:jc w:val="center"/>
              <w:ind w:left="540"/>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4</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0"/>
              <w:spacing w:after="0" w:line="189" w:lineRule="exact"/>
              <w:rPr>
                <w:sz w:val="20"/>
                <w:szCs w:val="20"/>
                <w:color w:val="auto"/>
              </w:rPr>
            </w:pPr>
            <w:r>
              <w:rPr>
                <w:rFonts w:ascii="Arial" w:cs="Arial" w:eastAsia="Arial" w:hAnsi="Arial"/>
                <w:sz w:val="14"/>
                <w:szCs w:val="14"/>
                <w:color w:val="auto"/>
              </w:rPr>
              <w:t>9,398</w:t>
            </w:r>
            <w:r>
              <w:rPr>
                <w:rFonts w:ascii="Arial" w:cs="Arial" w:eastAsia="Arial" w:hAnsi="Arial"/>
                <w:sz w:val="21"/>
                <w:szCs w:val="21"/>
                <w:color w:val="auto"/>
                <w:vertAlign w:val="superscript"/>
              </w:rPr>
              <w:t> 4</w:t>
            </w:r>
          </w:p>
        </w:tc>
        <w:tc>
          <w:tcPr>
            <w:tcW w:w="1160" w:type="dxa"/>
            <w:vAlign w:val="bottom"/>
          </w:tcPr>
          <w:p>
            <w:pPr>
              <w:jc w:val="right"/>
              <w:spacing w:after="0" w:line="189" w:lineRule="exact"/>
              <w:rPr>
                <w:sz w:val="20"/>
                <w:szCs w:val="20"/>
                <w:color w:val="auto"/>
              </w:rPr>
            </w:pPr>
            <w:r>
              <w:rPr>
                <w:rFonts w:ascii="Arial" w:cs="Arial" w:eastAsia="Arial" w:hAnsi="Arial"/>
                <w:sz w:val="14"/>
                <w:szCs w:val="14"/>
                <w:color w:val="auto"/>
              </w:rPr>
              <w:t>542,171</w:t>
            </w:r>
            <w:r>
              <w:rPr>
                <w:rFonts w:ascii="Arial" w:cs="Arial" w:eastAsia="Arial" w:hAnsi="Arial"/>
                <w:sz w:val="21"/>
                <w:szCs w:val="21"/>
                <w:color w:val="auto"/>
                <w:vertAlign w:val="superscript"/>
              </w:rPr>
              <w:t> 5</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3/4/2025</w:t>
            </w:r>
          </w:p>
        </w:tc>
        <w:tc>
          <w:tcPr>
            <w:tcW w:w="1920" w:type="dxa"/>
            <w:vAlign w:val="bottom"/>
          </w:tcPr>
          <w:p>
            <w:pPr>
              <w:jc w:val="center"/>
              <w:ind w:left="540"/>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6</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0"/>
              <w:spacing w:after="0" w:line="189" w:lineRule="exact"/>
              <w:rPr>
                <w:sz w:val="20"/>
                <w:szCs w:val="20"/>
                <w:color w:val="auto"/>
              </w:rPr>
            </w:pPr>
            <w:r>
              <w:rPr>
                <w:rFonts w:ascii="Arial" w:cs="Arial" w:eastAsia="Arial" w:hAnsi="Arial"/>
                <w:sz w:val="14"/>
                <w:szCs w:val="14"/>
                <w:color w:val="auto"/>
              </w:rPr>
              <w:t>16,810</w:t>
            </w:r>
            <w:r>
              <w:rPr>
                <w:rFonts w:ascii="Arial" w:cs="Arial" w:eastAsia="Arial" w:hAnsi="Arial"/>
                <w:sz w:val="21"/>
                <w:szCs w:val="21"/>
                <w:color w:val="auto"/>
                <w:vertAlign w:val="superscript"/>
              </w:rPr>
              <w:t> 6</w:t>
            </w:r>
          </w:p>
        </w:tc>
        <w:tc>
          <w:tcPr>
            <w:tcW w:w="1160" w:type="dxa"/>
            <w:vAlign w:val="bottom"/>
          </w:tcPr>
          <w:p>
            <w:pPr>
              <w:jc w:val="right"/>
              <w:spacing w:after="0" w:line="189" w:lineRule="exact"/>
              <w:rPr>
                <w:sz w:val="20"/>
                <w:szCs w:val="20"/>
                <w:color w:val="auto"/>
              </w:rPr>
            </w:pPr>
            <w:r>
              <w:rPr>
                <w:rFonts w:ascii="Arial" w:cs="Arial" w:eastAsia="Arial" w:hAnsi="Arial"/>
                <w:sz w:val="14"/>
                <w:szCs w:val="14"/>
                <w:color w:val="auto"/>
              </w:rPr>
              <w:t>969,769</w:t>
            </w:r>
            <w:r>
              <w:rPr>
                <w:rFonts w:ascii="Arial" w:cs="Arial" w:eastAsia="Arial" w:hAnsi="Arial"/>
                <w:sz w:val="21"/>
                <w:szCs w:val="21"/>
                <w:color w:val="auto"/>
                <w:vertAlign w:val="superscript"/>
              </w:rPr>
              <w:t> 7</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3/1/2021</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708</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173.88</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3/1/2031</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2/29/2024</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2,313</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6,941</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93.73</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2/28/2034</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3/4/2025</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18,126</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71.17</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3/4/2035</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2/28/2022</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8"/>
              </w:rPr>
              <w:t>VAC RSUs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172</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9,923</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2/27/2023</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8"/>
              </w:rPr>
              <w:t>VAC RSUs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514</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29,653</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11/15/2023</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8"/>
              </w:rPr>
              <w:t>VAC RSUs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3,338</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192,569</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2/29/2024</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8"/>
              </w:rPr>
              <w:t>VAC RSUs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4,160</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239,990</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203"/>
        </w:trPr>
        <w:tc>
          <w:tcPr>
            <w:tcW w:w="1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3/4/2025</w:t>
            </w:r>
          </w:p>
        </w:tc>
        <w:tc>
          <w:tcPr>
            <w:tcW w:w="1920" w:type="dxa"/>
            <w:vAlign w:val="bottom"/>
            <w:tcBorders>
              <w:bottom w:val="single" w:sz="8" w:color="auto"/>
            </w:tcBorders>
          </w:tcPr>
          <w:p>
            <w:pPr>
              <w:jc w:val="center"/>
              <w:ind w:left="580"/>
              <w:spacing w:after="0"/>
              <w:rPr>
                <w:sz w:val="20"/>
                <w:szCs w:val="20"/>
                <w:color w:val="auto"/>
              </w:rPr>
            </w:pPr>
            <w:r>
              <w:rPr>
                <w:rFonts w:ascii="Arial" w:cs="Arial" w:eastAsia="Arial" w:hAnsi="Arial"/>
                <w:sz w:val="16"/>
                <w:szCs w:val="16"/>
                <w:color w:val="auto"/>
                <w:w w:val="98"/>
              </w:rPr>
              <w:t>VAC RSUs</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9,857</w:t>
            </w: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568,650</w:t>
            </w: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r>
      <w:tr>
        <w:trPr>
          <w:trHeight w:val="168"/>
        </w:trPr>
        <w:tc>
          <w:tcPr>
            <w:tcW w:w="1540" w:type="dxa"/>
            <w:vAlign w:val="bottom"/>
          </w:tcPr>
          <w:p>
            <w:pPr>
              <w:spacing w:after="0" w:line="168" w:lineRule="exact"/>
              <w:rPr>
                <w:sz w:val="20"/>
                <w:szCs w:val="20"/>
                <w:color w:val="auto"/>
              </w:rPr>
            </w:pPr>
            <w:r>
              <w:rPr>
                <w:rFonts w:ascii="Arial" w:cs="Arial" w:eastAsia="Arial" w:hAnsi="Arial"/>
                <w:sz w:val="16"/>
                <w:szCs w:val="16"/>
                <w:b w:val="1"/>
                <w:bCs w:val="1"/>
                <w:color w:val="003A70"/>
              </w:rPr>
              <w:t>B. Miller</w:t>
            </w:r>
          </w:p>
        </w:tc>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2/29/2024</w:t>
            </w:r>
          </w:p>
        </w:tc>
        <w:tc>
          <w:tcPr>
            <w:tcW w:w="1920" w:type="dxa"/>
            <w:vAlign w:val="bottom"/>
          </w:tcPr>
          <w:p>
            <w:pPr>
              <w:jc w:val="center"/>
              <w:ind w:left="540"/>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4</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0"/>
              <w:spacing w:after="0" w:line="189" w:lineRule="exact"/>
              <w:rPr>
                <w:sz w:val="20"/>
                <w:szCs w:val="20"/>
                <w:color w:val="auto"/>
              </w:rPr>
            </w:pPr>
            <w:r>
              <w:rPr>
                <w:rFonts w:ascii="Arial" w:cs="Arial" w:eastAsia="Arial" w:hAnsi="Arial"/>
                <w:sz w:val="14"/>
                <w:szCs w:val="14"/>
                <w:color w:val="auto"/>
              </w:rPr>
              <w:t>10,280</w:t>
            </w:r>
            <w:r>
              <w:rPr>
                <w:rFonts w:ascii="Arial" w:cs="Arial" w:eastAsia="Arial" w:hAnsi="Arial"/>
                <w:sz w:val="21"/>
                <w:szCs w:val="21"/>
                <w:color w:val="auto"/>
                <w:vertAlign w:val="superscript"/>
              </w:rPr>
              <w:t> 4</w:t>
            </w:r>
          </w:p>
        </w:tc>
        <w:tc>
          <w:tcPr>
            <w:tcW w:w="1160" w:type="dxa"/>
            <w:vAlign w:val="bottom"/>
          </w:tcPr>
          <w:p>
            <w:pPr>
              <w:jc w:val="right"/>
              <w:spacing w:after="0" w:line="189" w:lineRule="exact"/>
              <w:rPr>
                <w:sz w:val="20"/>
                <w:szCs w:val="20"/>
                <w:color w:val="auto"/>
              </w:rPr>
            </w:pPr>
            <w:r>
              <w:rPr>
                <w:rFonts w:ascii="Arial" w:cs="Arial" w:eastAsia="Arial" w:hAnsi="Arial"/>
                <w:sz w:val="14"/>
                <w:szCs w:val="14"/>
                <w:color w:val="auto"/>
              </w:rPr>
              <w:t>593,053</w:t>
            </w:r>
            <w:r>
              <w:rPr>
                <w:rFonts w:ascii="Arial" w:cs="Arial" w:eastAsia="Arial" w:hAnsi="Arial"/>
                <w:sz w:val="21"/>
                <w:szCs w:val="21"/>
                <w:color w:val="auto"/>
                <w:vertAlign w:val="superscript"/>
              </w:rPr>
              <w:t> 5</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3/4/2025</w:t>
            </w:r>
          </w:p>
        </w:tc>
        <w:tc>
          <w:tcPr>
            <w:tcW w:w="1920" w:type="dxa"/>
            <w:vAlign w:val="bottom"/>
          </w:tcPr>
          <w:p>
            <w:pPr>
              <w:jc w:val="center"/>
              <w:ind w:left="540"/>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6</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0"/>
              <w:spacing w:after="0" w:line="189" w:lineRule="exact"/>
              <w:rPr>
                <w:sz w:val="20"/>
                <w:szCs w:val="20"/>
                <w:color w:val="auto"/>
              </w:rPr>
            </w:pPr>
            <w:r>
              <w:rPr>
                <w:rFonts w:ascii="Arial" w:cs="Arial" w:eastAsia="Arial" w:hAnsi="Arial"/>
                <w:sz w:val="14"/>
                <w:szCs w:val="14"/>
                <w:color w:val="auto"/>
              </w:rPr>
              <w:t>16,010</w:t>
            </w:r>
            <w:r>
              <w:rPr>
                <w:rFonts w:ascii="Arial" w:cs="Arial" w:eastAsia="Arial" w:hAnsi="Arial"/>
                <w:sz w:val="21"/>
                <w:szCs w:val="21"/>
                <w:color w:val="auto"/>
                <w:vertAlign w:val="superscript"/>
              </w:rPr>
              <w:t> 6</w:t>
            </w:r>
          </w:p>
        </w:tc>
        <w:tc>
          <w:tcPr>
            <w:tcW w:w="1160" w:type="dxa"/>
            <w:vAlign w:val="bottom"/>
          </w:tcPr>
          <w:p>
            <w:pPr>
              <w:jc w:val="right"/>
              <w:spacing w:after="0" w:line="189" w:lineRule="exact"/>
              <w:rPr>
                <w:sz w:val="20"/>
                <w:szCs w:val="20"/>
                <w:color w:val="auto"/>
              </w:rPr>
            </w:pPr>
            <w:r>
              <w:rPr>
                <w:rFonts w:ascii="Arial" w:cs="Arial" w:eastAsia="Arial" w:hAnsi="Arial"/>
                <w:sz w:val="14"/>
                <w:szCs w:val="14"/>
                <w:color w:val="auto"/>
              </w:rPr>
              <w:t>923,617</w:t>
            </w:r>
            <w:r>
              <w:rPr>
                <w:rFonts w:ascii="Arial" w:cs="Arial" w:eastAsia="Arial" w:hAnsi="Arial"/>
                <w:sz w:val="21"/>
                <w:szCs w:val="21"/>
                <w:color w:val="auto"/>
                <w:vertAlign w:val="superscript"/>
              </w:rPr>
              <w:t> 7</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3/1/2018</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4,358</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143.38</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3/1/2028</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3/4/2019</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3,635</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100.52</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3/4/2029</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3/2/2020</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6,834</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96.82</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3/2/2030</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3/1/2021</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7,784</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173.88</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3/1/2031</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2/28/2022</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4,524</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1,508</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159.27</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2/28/2032</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2/27/2023</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2,564</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2,564</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153.10</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2/27/2033</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2/29/2024</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2,530</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7,592</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93.73</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2/28/2034</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3/4/2025</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9"/>
              </w:rPr>
              <w:t>VAC SARs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17,263</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71.17</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3/4/2035</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2/28/2022</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8"/>
              </w:rPr>
              <w:t>VAC RSUs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392</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22,614</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2/27/2023</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8"/>
              </w:rPr>
              <w:t>VAC RSUs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1,540</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88,843</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2/29/2024</w:t>
            </w:r>
          </w:p>
        </w:tc>
        <w:tc>
          <w:tcPr>
            <w:tcW w:w="1920" w:type="dxa"/>
            <w:vAlign w:val="bottom"/>
          </w:tcPr>
          <w:p>
            <w:pPr>
              <w:jc w:val="center"/>
              <w:ind w:left="580"/>
              <w:spacing w:after="0"/>
              <w:rPr>
                <w:sz w:val="20"/>
                <w:szCs w:val="20"/>
                <w:color w:val="auto"/>
              </w:rPr>
            </w:pPr>
            <w:r>
              <w:rPr>
                <w:rFonts w:ascii="Arial" w:cs="Arial" w:eastAsia="Arial" w:hAnsi="Arial"/>
                <w:sz w:val="16"/>
                <w:szCs w:val="16"/>
                <w:color w:val="auto"/>
                <w:w w:val="98"/>
              </w:rPr>
              <w:t>VAC RSUs</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4,550</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262,490</w:t>
            </w:r>
          </w:p>
        </w:tc>
        <w:tc>
          <w:tcPr>
            <w:tcW w:w="11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r>
      <w:tr>
        <w:trPr>
          <w:trHeight w:val="203"/>
        </w:trPr>
        <w:tc>
          <w:tcPr>
            <w:tcW w:w="1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3/4/2025</w:t>
            </w:r>
          </w:p>
        </w:tc>
        <w:tc>
          <w:tcPr>
            <w:tcW w:w="1920" w:type="dxa"/>
            <w:vAlign w:val="bottom"/>
            <w:tcBorders>
              <w:bottom w:val="single" w:sz="8" w:color="auto"/>
            </w:tcBorders>
          </w:tcPr>
          <w:p>
            <w:pPr>
              <w:jc w:val="center"/>
              <w:ind w:left="580"/>
              <w:spacing w:after="0"/>
              <w:rPr>
                <w:sz w:val="20"/>
                <w:szCs w:val="20"/>
                <w:color w:val="auto"/>
              </w:rPr>
            </w:pPr>
            <w:r>
              <w:rPr>
                <w:rFonts w:ascii="Arial" w:cs="Arial" w:eastAsia="Arial" w:hAnsi="Arial"/>
                <w:sz w:val="16"/>
                <w:szCs w:val="16"/>
                <w:color w:val="auto"/>
                <w:w w:val="98"/>
              </w:rPr>
              <w:t>VAC RSUs</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9,388</w:t>
            </w: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541,594</w:t>
            </w:r>
          </w:p>
        </w:tc>
        <w:tc>
          <w:tcPr>
            <w:tcW w:w="11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r>
      <w:tr>
        <w:trPr>
          <w:trHeight w:val="263"/>
        </w:trPr>
        <w:tc>
          <w:tcPr>
            <w:tcW w:w="3460" w:type="dxa"/>
            <w:vAlign w:val="bottom"/>
            <w:tcBorders>
              <w:bottom w:val="single" w:sz="8" w:color="003A70"/>
            </w:tcBorders>
            <w:gridSpan w:val="2"/>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p>
        </w:tc>
        <w:tc>
          <w:tcPr>
            <w:tcW w:w="740" w:type="dxa"/>
            <w:vAlign w:val="bottom"/>
            <w:tcBorders>
              <w:bottom w:val="single" w:sz="8" w:color="003A70"/>
            </w:tcBorders>
          </w:tcPr>
          <w:p>
            <w:pPr>
              <w:spacing w:after="0"/>
              <w:rPr>
                <w:sz w:val="22"/>
                <w:szCs w:val="22"/>
                <w:color w:val="auto"/>
              </w:rPr>
            </w:pPr>
          </w:p>
        </w:tc>
        <w:tc>
          <w:tcPr>
            <w:tcW w:w="2640" w:type="dxa"/>
            <w:vAlign w:val="bottom"/>
            <w:tcBorders>
              <w:bottom w:val="single" w:sz="8" w:color="003A70"/>
            </w:tcBorders>
            <w:gridSpan w:val="3"/>
          </w:tcPr>
          <w:p>
            <w:pPr>
              <w:jc w:val="right"/>
              <w:ind w:right="99"/>
              <w:spacing w:after="0"/>
              <w:rPr>
                <w:sz w:val="20"/>
                <w:szCs w:val="20"/>
                <w:color w:val="auto"/>
              </w:rPr>
            </w:pPr>
            <w:r>
              <w:rPr>
                <w:rFonts w:ascii="Arial" w:cs="Arial" w:eastAsia="Arial" w:hAnsi="Arial"/>
                <w:sz w:val="11"/>
                <w:szCs w:val="11"/>
                <w:color w:val="auto"/>
              </w:rPr>
              <w:t>Executive Compensation Tables and Discussion</w:t>
            </w:r>
          </w:p>
        </w:tc>
        <w:tc>
          <w:tcPr>
            <w:tcW w:w="780" w:type="dxa"/>
            <w:vAlign w:val="bottom"/>
            <w:tcBorders>
              <w:bottom w:val="single" w:sz="8" w:color="003A70"/>
            </w:tcBorders>
          </w:tcPr>
          <w:p>
            <w:pPr>
              <w:spacing w:after="0"/>
              <w:rPr>
                <w:sz w:val="22"/>
                <w:szCs w:val="22"/>
                <w:color w:val="auto"/>
              </w:rPr>
            </w:pPr>
          </w:p>
        </w:tc>
        <w:tc>
          <w:tcPr>
            <w:tcW w:w="1120" w:type="dxa"/>
            <w:vAlign w:val="bottom"/>
            <w:tcBorders>
              <w:bottom w:val="single" w:sz="8" w:color="003A70"/>
            </w:tcBorders>
          </w:tcPr>
          <w:p>
            <w:pPr>
              <w:spacing w:after="0"/>
              <w:rPr>
                <w:sz w:val="22"/>
                <w:szCs w:val="22"/>
                <w:color w:val="auto"/>
              </w:rPr>
            </w:pPr>
          </w:p>
        </w:tc>
        <w:tc>
          <w:tcPr>
            <w:tcW w:w="1120" w:type="dxa"/>
            <w:vAlign w:val="bottom"/>
            <w:tcBorders>
              <w:bottom w:val="single" w:sz="8" w:color="003A70"/>
            </w:tcBorders>
          </w:tcPr>
          <w:p>
            <w:pPr>
              <w:spacing w:after="0"/>
              <w:rPr>
                <w:sz w:val="22"/>
                <w:szCs w:val="22"/>
                <w:color w:val="auto"/>
              </w:rPr>
            </w:pPr>
          </w:p>
        </w:tc>
        <w:tc>
          <w:tcPr>
            <w:tcW w:w="1160" w:type="dxa"/>
            <w:vAlign w:val="bottom"/>
            <w:tcBorders>
              <w:bottom w:val="single" w:sz="8" w:color="003A70"/>
            </w:tcBorders>
          </w:tcPr>
          <w:p>
            <w:pPr>
              <w:jc w:val="right"/>
              <w:spacing w:after="0"/>
              <w:rPr>
                <w:sz w:val="20"/>
                <w:szCs w:val="20"/>
                <w:color w:val="auto"/>
              </w:rPr>
            </w:pPr>
            <w:r>
              <w:rPr>
                <w:rFonts w:ascii="Arial" w:cs="Arial" w:eastAsia="Arial" w:hAnsi="Arial"/>
                <w:sz w:val="11"/>
                <w:szCs w:val="11"/>
                <w:b w:val="1"/>
                <w:bCs w:val="1"/>
                <w:color w:val="003A70"/>
              </w:rPr>
              <w:t>47</w:t>
            </w:r>
          </w:p>
        </w:tc>
      </w:tr>
    </w:tbl>
    <w:p>
      <w:pPr>
        <w:sectPr>
          <w:pgSz w:w="11900" w:h="16838" w:orient="portrait"/>
          <w:cols w:equalWidth="0" w:num="1">
            <w:col w:w="11140"/>
          </w:cols>
          <w:pgMar w:left="320" w:top="482" w:right="4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0" w:type="dxa"/>
            <w:vAlign w:val="bottom"/>
            <w:tcBorders>
              <w:bottom w:val="single" w:sz="8" w:color="003A70"/>
            </w:tcBorders>
          </w:tcPr>
          <w:p>
            <w:pPr>
              <w:spacing w:after="0"/>
              <w:rPr>
                <w:sz w:val="14"/>
                <w:szCs w:val="14"/>
                <w:color w:val="auto"/>
              </w:rPr>
            </w:pPr>
          </w:p>
        </w:tc>
        <w:tc>
          <w:tcPr>
            <w:tcW w:w="1560" w:type="dxa"/>
            <w:vAlign w:val="bottom"/>
            <w:tcBorders>
              <w:bottom w:val="single" w:sz="8" w:color="003A70"/>
            </w:tcBorders>
            <w:gridSpan w:val="2"/>
          </w:tcPr>
          <w:p>
            <w:pPr>
              <w:jc w:val="right"/>
              <w:ind w:right="80"/>
              <w:spacing w:after="0"/>
              <w:rPr>
                <w:sz w:val="20"/>
                <w:szCs w:val="20"/>
                <w:color w:val="auto"/>
              </w:rPr>
            </w:pPr>
            <w:r>
              <w:rPr>
                <w:rFonts w:ascii="Arial" w:cs="Arial" w:eastAsia="Arial" w:hAnsi="Arial"/>
                <w:sz w:val="14"/>
                <w:szCs w:val="14"/>
                <w:color w:val="003A70"/>
              </w:rPr>
              <w:t>Option Awards</w:t>
            </w:r>
          </w:p>
        </w:tc>
        <w:tc>
          <w:tcPr>
            <w:tcW w:w="920" w:type="dxa"/>
            <w:vAlign w:val="bottom"/>
            <w:tcBorders>
              <w:bottom w:val="single" w:sz="8" w:color="003A70"/>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003A70"/>
            </w:tcBorders>
          </w:tcPr>
          <w:p>
            <w:pPr>
              <w:spacing w:after="0"/>
              <w:rPr>
                <w:sz w:val="14"/>
                <w:szCs w:val="14"/>
                <w:color w:val="auto"/>
              </w:rPr>
            </w:pPr>
          </w:p>
        </w:tc>
        <w:tc>
          <w:tcPr>
            <w:tcW w:w="780" w:type="dxa"/>
            <w:vAlign w:val="bottom"/>
            <w:tcBorders>
              <w:bottom w:val="single" w:sz="8" w:color="003A70"/>
            </w:tcBorders>
          </w:tcPr>
          <w:p>
            <w:pPr>
              <w:spacing w:after="0"/>
              <w:rPr>
                <w:sz w:val="14"/>
                <w:szCs w:val="14"/>
                <w:color w:val="auto"/>
              </w:rPr>
            </w:pPr>
          </w:p>
        </w:tc>
        <w:tc>
          <w:tcPr>
            <w:tcW w:w="1400" w:type="dxa"/>
            <w:vAlign w:val="bottom"/>
            <w:tcBorders>
              <w:bottom w:val="single" w:sz="8" w:color="003A70"/>
            </w:tcBorders>
          </w:tcPr>
          <w:p>
            <w:pPr>
              <w:jc w:val="right"/>
              <w:ind w:right="422"/>
              <w:spacing w:after="0"/>
              <w:rPr>
                <w:sz w:val="20"/>
                <w:szCs w:val="20"/>
                <w:color w:val="auto"/>
              </w:rPr>
            </w:pPr>
            <w:r>
              <w:rPr>
                <w:rFonts w:ascii="Arial" w:cs="Arial" w:eastAsia="Arial" w:hAnsi="Arial"/>
                <w:sz w:val="14"/>
                <w:szCs w:val="14"/>
                <w:color w:val="003A70"/>
              </w:rPr>
              <w:t>Stock Awards</w:t>
            </w:r>
          </w:p>
        </w:tc>
        <w:tc>
          <w:tcPr>
            <w:tcW w:w="1100" w:type="dxa"/>
            <w:vAlign w:val="bottom"/>
            <w:tcBorders>
              <w:bottom w:val="single" w:sz="8" w:color="003A70"/>
            </w:tcBorders>
          </w:tcPr>
          <w:p>
            <w:pPr>
              <w:spacing w:after="0"/>
              <w:rPr>
                <w:sz w:val="14"/>
                <w:szCs w:val="14"/>
                <w:color w:val="auto"/>
              </w:rPr>
            </w:pPr>
          </w:p>
        </w:tc>
        <w:tc>
          <w:tcPr>
            <w:tcW w:w="160" w:type="dxa"/>
            <w:vAlign w:val="bottom"/>
          </w:tcPr>
          <w:p>
            <w:pPr>
              <w:spacing w:after="0"/>
              <w:rPr>
                <w:sz w:val="14"/>
                <w:szCs w:val="14"/>
                <w:color w:val="auto"/>
              </w:rPr>
            </w:pPr>
          </w:p>
        </w:tc>
      </w:tr>
      <w:tr>
        <w:trPr>
          <w:trHeight w:val="146"/>
        </w:trPr>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Arial" w:cs="Arial" w:eastAsia="Arial" w:hAnsi="Arial"/>
                <w:sz w:val="14"/>
                <w:szCs w:val="14"/>
                <w:color w:val="003A70"/>
              </w:rPr>
              <w:t>Equity Incentive</w:t>
            </w:r>
          </w:p>
        </w:tc>
        <w:tc>
          <w:tcPr>
            <w:tcW w:w="160" w:type="dxa"/>
            <w:vAlign w:val="bottom"/>
          </w:tcPr>
          <w:p>
            <w:pPr>
              <w:spacing w:after="0"/>
              <w:rPr>
                <w:sz w:val="12"/>
                <w:szCs w:val="12"/>
                <w:color w:val="auto"/>
              </w:rPr>
            </w:pPr>
          </w:p>
        </w:tc>
      </w:tr>
      <w:tr>
        <w:trPr>
          <w:trHeight w:val="162"/>
        </w:trPr>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jc w:val="center"/>
              <w:ind w:left="61"/>
              <w:spacing w:after="0"/>
              <w:rPr>
                <w:sz w:val="20"/>
                <w:szCs w:val="20"/>
                <w:color w:val="auto"/>
              </w:rPr>
            </w:pPr>
            <w:r>
              <w:rPr>
                <w:rFonts w:ascii="Arial" w:cs="Arial" w:eastAsia="Arial" w:hAnsi="Arial"/>
                <w:sz w:val="14"/>
                <w:szCs w:val="14"/>
                <w:color w:val="003A70"/>
              </w:rPr>
              <w:t>Market</w:t>
            </w:r>
          </w:p>
        </w:tc>
        <w:tc>
          <w:tcPr>
            <w:tcW w:w="1400" w:type="dxa"/>
            <w:vAlign w:val="bottom"/>
          </w:tcPr>
          <w:p>
            <w:pPr>
              <w:jc w:val="center"/>
              <w:ind w:left="142"/>
              <w:spacing w:after="0"/>
              <w:rPr>
                <w:sz w:val="20"/>
                <w:szCs w:val="20"/>
                <w:color w:val="auto"/>
              </w:rPr>
            </w:pPr>
            <w:r>
              <w:rPr>
                <w:rFonts w:ascii="Arial" w:cs="Arial" w:eastAsia="Arial" w:hAnsi="Arial"/>
                <w:sz w:val="14"/>
                <w:szCs w:val="14"/>
                <w:color w:val="003A70"/>
              </w:rPr>
              <w:t>Equity Incentive</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color w:val="003A70"/>
              </w:rPr>
              <w:t>Plan Awards:</w:t>
            </w:r>
          </w:p>
        </w:tc>
      </w:tr>
      <w:tr>
        <w:trPr>
          <w:trHeight w:val="162"/>
        </w:trPr>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gridSpan w:val="2"/>
          </w:tcPr>
          <w:p>
            <w:pPr>
              <w:jc w:val="center"/>
              <w:ind w:right="19"/>
              <w:spacing w:after="0"/>
              <w:rPr>
                <w:sz w:val="20"/>
                <w:szCs w:val="20"/>
                <w:color w:val="auto"/>
              </w:rPr>
            </w:pPr>
            <w:r>
              <w:rPr>
                <w:rFonts w:ascii="Arial" w:cs="Arial" w:eastAsia="Arial" w:hAnsi="Arial"/>
                <w:sz w:val="14"/>
                <w:szCs w:val="14"/>
                <w:color w:val="003A70"/>
              </w:rPr>
              <w:t>Number of</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ind w:right="61"/>
              <w:spacing w:after="0"/>
              <w:rPr>
                <w:sz w:val="20"/>
                <w:szCs w:val="20"/>
                <w:color w:val="auto"/>
              </w:rPr>
            </w:pPr>
            <w:r>
              <w:rPr>
                <w:rFonts w:ascii="Arial" w:cs="Arial" w:eastAsia="Arial" w:hAnsi="Arial"/>
                <w:sz w:val="14"/>
                <w:szCs w:val="14"/>
                <w:color w:val="003A70"/>
              </w:rPr>
              <w:t>Number of</w:t>
            </w:r>
          </w:p>
        </w:tc>
        <w:tc>
          <w:tcPr>
            <w:tcW w:w="780" w:type="dxa"/>
            <w:vAlign w:val="bottom"/>
          </w:tcPr>
          <w:p>
            <w:pPr>
              <w:jc w:val="center"/>
              <w:ind w:left="61"/>
              <w:spacing w:after="0"/>
              <w:rPr>
                <w:sz w:val="20"/>
                <w:szCs w:val="20"/>
                <w:color w:val="auto"/>
              </w:rPr>
            </w:pPr>
            <w:r>
              <w:rPr>
                <w:rFonts w:ascii="Arial" w:cs="Arial" w:eastAsia="Arial" w:hAnsi="Arial"/>
                <w:sz w:val="14"/>
                <w:szCs w:val="14"/>
                <w:color w:val="003A70"/>
              </w:rPr>
              <w:t>Value of</w:t>
            </w:r>
          </w:p>
        </w:tc>
        <w:tc>
          <w:tcPr>
            <w:tcW w:w="1400" w:type="dxa"/>
            <w:vAlign w:val="bottom"/>
          </w:tcPr>
          <w:p>
            <w:pPr>
              <w:jc w:val="center"/>
              <w:ind w:left="122"/>
              <w:spacing w:after="0"/>
              <w:rPr>
                <w:sz w:val="20"/>
                <w:szCs w:val="20"/>
                <w:color w:val="auto"/>
              </w:rPr>
            </w:pPr>
            <w:r>
              <w:rPr>
                <w:rFonts w:ascii="Arial" w:cs="Arial" w:eastAsia="Arial" w:hAnsi="Arial"/>
                <w:sz w:val="14"/>
                <w:szCs w:val="14"/>
                <w:color w:val="003A70"/>
              </w:rPr>
              <w:t>Plan Awards:</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color w:val="003A70"/>
              </w:rPr>
              <w:t>Market or</w:t>
            </w:r>
          </w:p>
        </w:tc>
      </w:tr>
      <w:tr>
        <w:trPr>
          <w:trHeight w:val="162"/>
        </w:trPr>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gridSpan w:val="2"/>
          </w:tcPr>
          <w:p>
            <w:pPr>
              <w:jc w:val="center"/>
              <w:ind w:right="19"/>
              <w:spacing w:after="0"/>
              <w:rPr>
                <w:sz w:val="20"/>
                <w:szCs w:val="20"/>
                <w:color w:val="auto"/>
              </w:rPr>
            </w:pPr>
            <w:r>
              <w:rPr>
                <w:rFonts w:ascii="Arial" w:cs="Arial" w:eastAsia="Arial" w:hAnsi="Arial"/>
                <w:sz w:val="14"/>
                <w:szCs w:val="14"/>
                <w:color w:val="003A70"/>
              </w:rPr>
              <w:t>Securities</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ind w:right="81"/>
              <w:spacing w:after="0"/>
              <w:rPr>
                <w:sz w:val="20"/>
                <w:szCs w:val="20"/>
                <w:color w:val="auto"/>
              </w:rPr>
            </w:pPr>
            <w:r>
              <w:rPr>
                <w:rFonts w:ascii="Arial" w:cs="Arial" w:eastAsia="Arial" w:hAnsi="Arial"/>
                <w:sz w:val="14"/>
                <w:szCs w:val="14"/>
                <w:color w:val="003A70"/>
              </w:rPr>
              <w:t>Shares or</w:t>
            </w:r>
          </w:p>
        </w:tc>
        <w:tc>
          <w:tcPr>
            <w:tcW w:w="780" w:type="dxa"/>
            <w:vAlign w:val="bottom"/>
          </w:tcPr>
          <w:p>
            <w:pPr>
              <w:jc w:val="center"/>
              <w:ind w:left="81"/>
              <w:spacing w:after="0"/>
              <w:rPr>
                <w:sz w:val="20"/>
                <w:szCs w:val="20"/>
                <w:color w:val="auto"/>
              </w:rPr>
            </w:pPr>
            <w:r>
              <w:rPr>
                <w:rFonts w:ascii="Arial" w:cs="Arial" w:eastAsia="Arial" w:hAnsi="Arial"/>
                <w:sz w:val="14"/>
                <w:szCs w:val="14"/>
                <w:color w:val="003A70"/>
              </w:rPr>
              <w:t>Shares or</w:t>
            </w:r>
          </w:p>
        </w:tc>
        <w:tc>
          <w:tcPr>
            <w:tcW w:w="1400" w:type="dxa"/>
            <w:vAlign w:val="bottom"/>
          </w:tcPr>
          <w:p>
            <w:pPr>
              <w:jc w:val="center"/>
              <w:ind w:left="122"/>
              <w:spacing w:after="0"/>
              <w:rPr>
                <w:sz w:val="20"/>
                <w:szCs w:val="20"/>
                <w:color w:val="auto"/>
              </w:rPr>
            </w:pPr>
            <w:r>
              <w:rPr>
                <w:rFonts w:ascii="Arial" w:cs="Arial" w:eastAsia="Arial" w:hAnsi="Arial"/>
                <w:sz w:val="14"/>
                <w:szCs w:val="14"/>
                <w:color w:val="003A70"/>
              </w:rPr>
              <w:t>Number of</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color w:val="003A70"/>
              </w:rPr>
              <w:t>Payout Value</w:t>
            </w:r>
          </w:p>
        </w:tc>
      </w:tr>
      <w:tr>
        <w:trPr>
          <w:trHeight w:val="162"/>
        </w:trPr>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gridSpan w:val="2"/>
          </w:tcPr>
          <w:p>
            <w:pPr>
              <w:jc w:val="center"/>
              <w:ind w:right="19"/>
              <w:spacing w:after="0"/>
              <w:rPr>
                <w:sz w:val="20"/>
                <w:szCs w:val="20"/>
                <w:color w:val="auto"/>
              </w:rPr>
            </w:pPr>
            <w:r>
              <w:rPr>
                <w:rFonts w:ascii="Arial" w:cs="Arial" w:eastAsia="Arial" w:hAnsi="Arial"/>
                <w:sz w:val="14"/>
                <w:szCs w:val="14"/>
                <w:color w:val="003A70"/>
              </w:rPr>
              <w:t>Underlying</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ind w:right="61"/>
              <w:spacing w:after="0"/>
              <w:rPr>
                <w:sz w:val="20"/>
                <w:szCs w:val="20"/>
                <w:color w:val="auto"/>
              </w:rPr>
            </w:pPr>
            <w:r>
              <w:rPr>
                <w:rFonts w:ascii="Arial" w:cs="Arial" w:eastAsia="Arial" w:hAnsi="Arial"/>
                <w:sz w:val="14"/>
                <w:szCs w:val="14"/>
                <w:color w:val="003A70"/>
              </w:rPr>
              <w:t>Units of</w:t>
            </w:r>
          </w:p>
        </w:tc>
        <w:tc>
          <w:tcPr>
            <w:tcW w:w="780" w:type="dxa"/>
            <w:vAlign w:val="bottom"/>
          </w:tcPr>
          <w:p>
            <w:pPr>
              <w:jc w:val="center"/>
              <w:ind w:left="61"/>
              <w:spacing w:after="0"/>
              <w:rPr>
                <w:sz w:val="20"/>
                <w:szCs w:val="20"/>
                <w:color w:val="auto"/>
              </w:rPr>
            </w:pPr>
            <w:r>
              <w:rPr>
                <w:rFonts w:ascii="Arial" w:cs="Arial" w:eastAsia="Arial" w:hAnsi="Arial"/>
                <w:sz w:val="14"/>
                <w:szCs w:val="14"/>
                <w:color w:val="003A70"/>
              </w:rPr>
              <w:t>Units of</w:t>
            </w:r>
          </w:p>
        </w:tc>
        <w:tc>
          <w:tcPr>
            <w:tcW w:w="1400" w:type="dxa"/>
            <w:vAlign w:val="bottom"/>
          </w:tcPr>
          <w:p>
            <w:pPr>
              <w:jc w:val="center"/>
              <w:ind w:left="122"/>
              <w:spacing w:after="0"/>
              <w:rPr>
                <w:sz w:val="20"/>
                <w:szCs w:val="20"/>
                <w:color w:val="auto"/>
              </w:rPr>
            </w:pPr>
            <w:r>
              <w:rPr>
                <w:rFonts w:ascii="Arial" w:cs="Arial" w:eastAsia="Arial" w:hAnsi="Arial"/>
                <w:sz w:val="14"/>
                <w:szCs w:val="14"/>
                <w:color w:val="003A70"/>
              </w:rPr>
              <w:t>Unearned</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color w:val="003A70"/>
              </w:rPr>
              <w:t>of Unearned</w:t>
            </w:r>
          </w:p>
        </w:tc>
      </w:tr>
      <w:tr>
        <w:trPr>
          <w:trHeight w:val="162"/>
        </w:trPr>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gridSpan w:val="2"/>
          </w:tcPr>
          <w:p>
            <w:pPr>
              <w:jc w:val="center"/>
              <w:ind w:right="19"/>
              <w:spacing w:after="0"/>
              <w:rPr>
                <w:sz w:val="20"/>
                <w:szCs w:val="20"/>
                <w:color w:val="auto"/>
              </w:rPr>
            </w:pPr>
            <w:r>
              <w:rPr>
                <w:rFonts w:ascii="Arial" w:cs="Arial" w:eastAsia="Arial" w:hAnsi="Arial"/>
                <w:sz w:val="14"/>
                <w:szCs w:val="14"/>
                <w:color w:val="003A70"/>
              </w:rPr>
              <w:t>Unexercised</w:t>
            </w:r>
          </w:p>
        </w:tc>
        <w:tc>
          <w:tcPr>
            <w:tcW w:w="820" w:type="dxa"/>
            <w:vAlign w:val="bottom"/>
          </w:tcPr>
          <w:p>
            <w:pPr>
              <w:jc w:val="center"/>
              <w:spacing w:after="0"/>
              <w:rPr>
                <w:sz w:val="20"/>
                <w:szCs w:val="20"/>
                <w:color w:val="auto"/>
              </w:rPr>
            </w:pPr>
            <w:r>
              <w:rPr>
                <w:rFonts w:ascii="Arial" w:cs="Arial" w:eastAsia="Arial" w:hAnsi="Arial"/>
                <w:sz w:val="14"/>
                <w:szCs w:val="14"/>
                <w:color w:val="003A70"/>
              </w:rPr>
              <w:t>Option/</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ind w:right="61"/>
              <w:spacing w:after="0"/>
              <w:rPr>
                <w:sz w:val="20"/>
                <w:szCs w:val="20"/>
                <w:color w:val="auto"/>
              </w:rPr>
            </w:pPr>
            <w:r>
              <w:rPr>
                <w:rFonts w:ascii="Arial" w:cs="Arial" w:eastAsia="Arial" w:hAnsi="Arial"/>
                <w:sz w:val="14"/>
                <w:szCs w:val="14"/>
                <w:color w:val="003A70"/>
              </w:rPr>
              <w:t>Stock</w:t>
            </w:r>
          </w:p>
        </w:tc>
        <w:tc>
          <w:tcPr>
            <w:tcW w:w="780" w:type="dxa"/>
            <w:vAlign w:val="bottom"/>
          </w:tcPr>
          <w:p>
            <w:pPr>
              <w:jc w:val="center"/>
              <w:ind w:left="61"/>
              <w:spacing w:after="0"/>
              <w:rPr>
                <w:sz w:val="20"/>
                <w:szCs w:val="20"/>
                <w:color w:val="auto"/>
              </w:rPr>
            </w:pPr>
            <w:r>
              <w:rPr>
                <w:rFonts w:ascii="Arial" w:cs="Arial" w:eastAsia="Arial" w:hAnsi="Arial"/>
                <w:sz w:val="14"/>
                <w:szCs w:val="14"/>
                <w:color w:val="003A70"/>
              </w:rPr>
              <w:t>Stock</w:t>
            </w:r>
          </w:p>
        </w:tc>
        <w:tc>
          <w:tcPr>
            <w:tcW w:w="1400" w:type="dxa"/>
            <w:vAlign w:val="bottom"/>
          </w:tcPr>
          <w:p>
            <w:pPr>
              <w:jc w:val="center"/>
              <w:ind w:left="142"/>
              <w:spacing w:after="0"/>
              <w:rPr>
                <w:sz w:val="20"/>
                <w:szCs w:val="20"/>
                <w:color w:val="auto"/>
              </w:rPr>
            </w:pPr>
            <w:r>
              <w:rPr>
                <w:rFonts w:ascii="Arial" w:cs="Arial" w:eastAsia="Arial" w:hAnsi="Arial"/>
                <w:sz w:val="14"/>
                <w:szCs w:val="14"/>
                <w:color w:val="003A70"/>
              </w:rPr>
              <w:t>Shares, Units</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color w:val="003A70"/>
              </w:rPr>
              <w:t>Shares, Units</w:t>
            </w:r>
          </w:p>
        </w:tc>
      </w:tr>
      <w:tr>
        <w:trPr>
          <w:trHeight w:val="162"/>
        </w:trPr>
        <w:tc>
          <w:tcPr>
            <w:tcW w:w="1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40" w:type="dxa"/>
            <w:vAlign w:val="bottom"/>
            <w:gridSpan w:val="2"/>
          </w:tcPr>
          <w:p>
            <w:pPr>
              <w:jc w:val="center"/>
              <w:ind w:right="19"/>
              <w:spacing w:after="0"/>
              <w:rPr>
                <w:sz w:val="20"/>
                <w:szCs w:val="20"/>
                <w:color w:val="auto"/>
              </w:rPr>
            </w:pPr>
            <w:r>
              <w:rPr>
                <w:rFonts w:ascii="Arial" w:cs="Arial" w:eastAsia="Arial" w:hAnsi="Arial"/>
                <w:sz w:val="14"/>
                <w:szCs w:val="14"/>
                <w:color w:val="003A70"/>
              </w:rPr>
              <w:t>Options/SARs</w:t>
            </w:r>
          </w:p>
        </w:tc>
        <w:tc>
          <w:tcPr>
            <w:tcW w:w="820" w:type="dxa"/>
            <w:vAlign w:val="bottom"/>
          </w:tcPr>
          <w:p>
            <w:pPr>
              <w:jc w:val="center"/>
              <w:spacing w:after="0"/>
              <w:rPr>
                <w:sz w:val="20"/>
                <w:szCs w:val="20"/>
                <w:color w:val="auto"/>
              </w:rPr>
            </w:pPr>
            <w:r>
              <w:rPr>
                <w:rFonts w:ascii="Arial" w:cs="Arial" w:eastAsia="Arial" w:hAnsi="Arial"/>
                <w:sz w:val="14"/>
                <w:szCs w:val="14"/>
                <w:color w:val="003A70"/>
              </w:rPr>
              <w:t>SAR</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color w:val="003A70"/>
              </w:rPr>
              <w:t>Option/SAR</w:t>
            </w:r>
          </w:p>
        </w:tc>
        <w:tc>
          <w:tcPr>
            <w:tcW w:w="820" w:type="dxa"/>
            <w:vAlign w:val="bottom"/>
          </w:tcPr>
          <w:p>
            <w:pPr>
              <w:jc w:val="center"/>
              <w:ind w:right="81"/>
              <w:spacing w:after="0"/>
              <w:rPr>
                <w:sz w:val="20"/>
                <w:szCs w:val="20"/>
                <w:color w:val="auto"/>
              </w:rPr>
            </w:pPr>
            <w:r>
              <w:rPr>
                <w:rFonts w:ascii="Arial" w:cs="Arial" w:eastAsia="Arial" w:hAnsi="Arial"/>
                <w:sz w:val="14"/>
                <w:szCs w:val="14"/>
                <w:color w:val="003A70"/>
              </w:rPr>
              <w:t>That Have</w:t>
            </w:r>
          </w:p>
        </w:tc>
        <w:tc>
          <w:tcPr>
            <w:tcW w:w="780" w:type="dxa"/>
            <w:vAlign w:val="bottom"/>
          </w:tcPr>
          <w:p>
            <w:pPr>
              <w:jc w:val="center"/>
              <w:ind w:left="61"/>
              <w:spacing w:after="0"/>
              <w:rPr>
                <w:sz w:val="20"/>
                <w:szCs w:val="20"/>
                <w:color w:val="auto"/>
              </w:rPr>
            </w:pPr>
            <w:r>
              <w:rPr>
                <w:rFonts w:ascii="Arial" w:cs="Arial" w:eastAsia="Arial" w:hAnsi="Arial"/>
                <w:sz w:val="14"/>
                <w:szCs w:val="14"/>
                <w:color w:val="003A70"/>
                <w:w w:val="99"/>
              </w:rPr>
              <w:t>That</w:t>
            </w:r>
          </w:p>
        </w:tc>
        <w:tc>
          <w:tcPr>
            <w:tcW w:w="1400" w:type="dxa"/>
            <w:vAlign w:val="bottom"/>
          </w:tcPr>
          <w:p>
            <w:pPr>
              <w:jc w:val="center"/>
              <w:ind w:left="142"/>
              <w:spacing w:after="0"/>
              <w:rPr>
                <w:sz w:val="20"/>
                <w:szCs w:val="20"/>
                <w:color w:val="auto"/>
              </w:rPr>
            </w:pPr>
            <w:r>
              <w:rPr>
                <w:rFonts w:ascii="Arial" w:cs="Arial" w:eastAsia="Arial" w:hAnsi="Arial"/>
                <w:sz w:val="14"/>
                <w:szCs w:val="14"/>
                <w:color w:val="003A70"/>
              </w:rPr>
              <w:t>or Other Rights</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003A70"/>
              </w:rPr>
              <w:t>or Other Rights</w:t>
            </w:r>
          </w:p>
        </w:tc>
      </w:tr>
      <w:tr>
        <w:trPr>
          <w:trHeight w:val="162"/>
        </w:trPr>
        <w:tc>
          <w:tcPr>
            <w:tcW w:w="1540" w:type="dxa"/>
            <w:vAlign w:val="bottom"/>
          </w:tcPr>
          <w:p>
            <w:pPr>
              <w:spacing w:after="0"/>
              <w:rPr>
                <w:sz w:val="14"/>
                <w:szCs w:val="14"/>
                <w:color w:val="auto"/>
              </w:rPr>
            </w:pPr>
          </w:p>
        </w:tc>
        <w:tc>
          <w:tcPr>
            <w:tcW w:w="1860" w:type="dxa"/>
            <w:vAlign w:val="bottom"/>
          </w:tcPr>
          <w:p>
            <w:pPr>
              <w:jc w:val="right"/>
              <w:ind w:right="581"/>
              <w:spacing w:after="0"/>
              <w:rPr>
                <w:sz w:val="20"/>
                <w:szCs w:val="20"/>
                <w:color w:val="auto"/>
              </w:rPr>
            </w:pPr>
            <w:r>
              <w:rPr>
                <w:rFonts w:ascii="Arial" w:cs="Arial" w:eastAsia="Arial" w:hAnsi="Arial"/>
                <w:sz w:val="14"/>
                <w:szCs w:val="14"/>
                <w:color w:val="003A70"/>
              </w:rPr>
              <w:t>Award</w:t>
            </w:r>
          </w:p>
        </w:tc>
        <w:tc>
          <w:tcPr>
            <w:tcW w:w="1340" w:type="dxa"/>
            <w:vAlign w:val="bottom"/>
            <w:gridSpan w:val="2"/>
          </w:tcPr>
          <w:p>
            <w:pPr>
              <w:jc w:val="center"/>
              <w:ind w:right="19"/>
              <w:spacing w:after="0"/>
              <w:rPr>
                <w:sz w:val="20"/>
                <w:szCs w:val="20"/>
                <w:color w:val="auto"/>
              </w:rPr>
            </w:pPr>
            <w:r>
              <w:rPr>
                <w:rFonts w:ascii="Arial" w:cs="Arial" w:eastAsia="Arial" w:hAnsi="Arial"/>
                <w:sz w:val="14"/>
                <w:szCs w:val="14"/>
                <w:color w:val="003A70"/>
              </w:rPr>
              <w:t>Exercisable/</w:t>
            </w:r>
          </w:p>
        </w:tc>
        <w:tc>
          <w:tcPr>
            <w:tcW w:w="820" w:type="dxa"/>
            <w:vAlign w:val="bottom"/>
          </w:tcPr>
          <w:p>
            <w:pPr>
              <w:jc w:val="center"/>
              <w:spacing w:after="0"/>
              <w:rPr>
                <w:sz w:val="20"/>
                <w:szCs w:val="20"/>
                <w:color w:val="auto"/>
              </w:rPr>
            </w:pPr>
            <w:r>
              <w:rPr>
                <w:rFonts w:ascii="Arial" w:cs="Arial" w:eastAsia="Arial" w:hAnsi="Arial"/>
                <w:sz w:val="14"/>
                <w:szCs w:val="14"/>
                <w:color w:val="003A70"/>
              </w:rPr>
              <w:t>Exercise</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color w:val="003A70"/>
              </w:rPr>
              <w:t>Expiration</w:t>
            </w:r>
          </w:p>
        </w:tc>
        <w:tc>
          <w:tcPr>
            <w:tcW w:w="820" w:type="dxa"/>
            <w:vAlign w:val="bottom"/>
          </w:tcPr>
          <w:p>
            <w:pPr>
              <w:jc w:val="center"/>
              <w:ind w:right="81"/>
              <w:spacing w:after="0"/>
              <w:rPr>
                <w:sz w:val="20"/>
                <w:szCs w:val="20"/>
                <w:color w:val="auto"/>
              </w:rPr>
            </w:pPr>
            <w:r>
              <w:rPr>
                <w:rFonts w:ascii="Arial" w:cs="Arial" w:eastAsia="Arial" w:hAnsi="Arial"/>
                <w:sz w:val="14"/>
                <w:szCs w:val="14"/>
                <w:color w:val="003A70"/>
              </w:rPr>
              <w:t>Not</w:t>
            </w:r>
          </w:p>
        </w:tc>
        <w:tc>
          <w:tcPr>
            <w:tcW w:w="780" w:type="dxa"/>
            <w:vAlign w:val="bottom"/>
          </w:tcPr>
          <w:p>
            <w:pPr>
              <w:jc w:val="center"/>
              <w:ind w:left="61"/>
              <w:spacing w:after="0"/>
              <w:rPr>
                <w:sz w:val="20"/>
                <w:szCs w:val="20"/>
                <w:color w:val="auto"/>
              </w:rPr>
            </w:pPr>
            <w:r>
              <w:rPr>
                <w:rFonts w:ascii="Arial" w:cs="Arial" w:eastAsia="Arial" w:hAnsi="Arial"/>
                <w:sz w:val="14"/>
                <w:szCs w:val="14"/>
                <w:color w:val="003A70"/>
              </w:rPr>
              <w:t>Have Not</w:t>
            </w:r>
          </w:p>
        </w:tc>
        <w:tc>
          <w:tcPr>
            <w:tcW w:w="1400" w:type="dxa"/>
            <w:vAlign w:val="bottom"/>
          </w:tcPr>
          <w:p>
            <w:pPr>
              <w:jc w:val="center"/>
              <w:ind w:left="122"/>
              <w:spacing w:after="0"/>
              <w:rPr>
                <w:sz w:val="20"/>
                <w:szCs w:val="20"/>
                <w:color w:val="auto"/>
              </w:rPr>
            </w:pPr>
            <w:r>
              <w:rPr>
                <w:rFonts w:ascii="Arial" w:cs="Arial" w:eastAsia="Arial" w:hAnsi="Arial"/>
                <w:sz w:val="14"/>
                <w:szCs w:val="14"/>
                <w:color w:val="003A70"/>
              </w:rPr>
              <w:t>That Have Not</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color w:val="003A70"/>
              </w:rPr>
              <w:t>That Have Not</w:t>
            </w:r>
          </w:p>
        </w:tc>
      </w:tr>
      <w:tr>
        <w:trPr>
          <w:trHeight w:val="192"/>
        </w:trPr>
        <w:tc>
          <w:tcPr>
            <w:tcW w:w="154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Grant Date</w:t>
            </w:r>
          </w:p>
        </w:tc>
        <w:tc>
          <w:tcPr>
            <w:tcW w:w="1860" w:type="dxa"/>
            <w:vAlign w:val="bottom"/>
            <w:tcBorders>
              <w:bottom w:val="single" w:sz="8" w:color="003A70"/>
            </w:tcBorders>
          </w:tcPr>
          <w:p>
            <w:pPr>
              <w:jc w:val="right"/>
              <w:ind w:right="601"/>
              <w:spacing w:after="0" w:line="185" w:lineRule="exact"/>
              <w:rPr>
                <w:sz w:val="20"/>
                <w:szCs w:val="20"/>
                <w:color w:val="auto"/>
              </w:rPr>
            </w:pPr>
            <w:r>
              <w:rPr>
                <w:rFonts w:ascii="Arial" w:cs="Arial" w:eastAsia="Arial" w:hAnsi="Arial"/>
                <w:sz w:val="14"/>
                <w:szCs w:val="14"/>
                <w:color w:val="003A70"/>
              </w:rPr>
              <w:t>Type</w:t>
            </w:r>
            <w:r>
              <w:rPr>
                <w:rFonts w:ascii="Arial" w:cs="Arial" w:eastAsia="Arial" w:hAnsi="Arial"/>
                <w:sz w:val="21"/>
                <w:szCs w:val="21"/>
                <w:color w:val="003A70"/>
                <w:vertAlign w:val="superscript"/>
              </w:rPr>
              <w:t>1</w:t>
            </w:r>
          </w:p>
        </w:tc>
        <w:tc>
          <w:tcPr>
            <w:tcW w:w="1340" w:type="dxa"/>
            <w:vAlign w:val="bottom"/>
            <w:tcBorders>
              <w:bottom w:val="single" w:sz="8" w:color="003A70"/>
            </w:tcBorders>
            <w:gridSpan w:val="2"/>
          </w:tcPr>
          <w:p>
            <w:pPr>
              <w:jc w:val="center"/>
              <w:ind w:right="19"/>
              <w:spacing w:after="0" w:line="185" w:lineRule="exact"/>
              <w:rPr>
                <w:sz w:val="20"/>
                <w:szCs w:val="20"/>
                <w:color w:val="auto"/>
              </w:rPr>
            </w:pPr>
            <w:r>
              <w:rPr>
                <w:rFonts w:ascii="Arial" w:cs="Arial" w:eastAsia="Arial" w:hAnsi="Arial"/>
                <w:sz w:val="14"/>
                <w:szCs w:val="14"/>
                <w:color w:val="003A70"/>
                <w:w w:val="99"/>
              </w:rPr>
              <w:t>Unexercisable</w:t>
            </w:r>
            <w:r>
              <w:rPr>
                <w:rFonts w:ascii="Arial" w:cs="Arial" w:eastAsia="Arial" w:hAnsi="Arial"/>
                <w:sz w:val="21"/>
                <w:szCs w:val="21"/>
                <w:color w:val="003A70"/>
                <w:w w:val="99"/>
                <w:vertAlign w:val="superscript"/>
              </w:rPr>
              <w:t>2</w:t>
            </w:r>
          </w:p>
        </w:tc>
        <w:tc>
          <w:tcPr>
            <w:tcW w:w="8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Price</w:t>
            </w:r>
          </w:p>
        </w:tc>
        <w:tc>
          <w:tcPr>
            <w:tcW w:w="1200" w:type="dxa"/>
            <w:vAlign w:val="bottom"/>
            <w:tcBorders>
              <w:bottom w:val="single" w:sz="8" w:color="003A70"/>
            </w:tcBorders>
            <w:gridSpan w:val="2"/>
          </w:tcPr>
          <w:p>
            <w:pPr>
              <w:jc w:val="center"/>
              <w:ind w:right="140"/>
              <w:spacing w:after="0"/>
              <w:rPr>
                <w:sz w:val="20"/>
                <w:szCs w:val="20"/>
                <w:color w:val="auto"/>
              </w:rPr>
            </w:pPr>
            <w:r>
              <w:rPr>
                <w:rFonts w:ascii="Arial" w:cs="Arial" w:eastAsia="Arial" w:hAnsi="Arial"/>
                <w:sz w:val="14"/>
                <w:szCs w:val="14"/>
                <w:color w:val="003A70"/>
              </w:rPr>
              <w:t>Date</w:t>
            </w:r>
          </w:p>
        </w:tc>
        <w:tc>
          <w:tcPr>
            <w:tcW w:w="820" w:type="dxa"/>
            <w:vAlign w:val="bottom"/>
            <w:tcBorders>
              <w:bottom w:val="single" w:sz="8" w:color="003A70"/>
            </w:tcBorders>
          </w:tcPr>
          <w:p>
            <w:pPr>
              <w:jc w:val="center"/>
              <w:ind w:right="81"/>
              <w:spacing w:after="0" w:line="185" w:lineRule="exact"/>
              <w:rPr>
                <w:sz w:val="20"/>
                <w:szCs w:val="20"/>
                <w:color w:val="auto"/>
              </w:rPr>
            </w:pPr>
            <w:r>
              <w:rPr>
                <w:rFonts w:ascii="Arial" w:cs="Arial" w:eastAsia="Arial" w:hAnsi="Arial"/>
                <w:sz w:val="14"/>
                <w:szCs w:val="14"/>
                <w:color w:val="003A70"/>
                <w:w w:val="97"/>
              </w:rPr>
              <w:t>Vested</w:t>
            </w:r>
            <w:r>
              <w:rPr>
                <w:rFonts w:ascii="Arial" w:cs="Arial" w:eastAsia="Arial" w:hAnsi="Arial"/>
                <w:sz w:val="21"/>
                <w:szCs w:val="21"/>
                <w:color w:val="003A70"/>
                <w:w w:val="97"/>
                <w:vertAlign w:val="superscript"/>
              </w:rPr>
              <w:t>3</w:t>
            </w:r>
          </w:p>
        </w:tc>
        <w:tc>
          <w:tcPr>
            <w:tcW w:w="780" w:type="dxa"/>
            <w:vAlign w:val="bottom"/>
            <w:tcBorders>
              <w:bottom w:val="single" w:sz="8" w:color="003A70"/>
            </w:tcBorders>
          </w:tcPr>
          <w:p>
            <w:pPr>
              <w:jc w:val="center"/>
              <w:ind w:left="61"/>
              <w:spacing w:after="0"/>
              <w:rPr>
                <w:sz w:val="20"/>
                <w:szCs w:val="20"/>
                <w:color w:val="auto"/>
              </w:rPr>
            </w:pPr>
            <w:r>
              <w:rPr>
                <w:rFonts w:ascii="Arial" w:cs="Arial" w:eastAsia="Arial" w:hAnsi="Arial"/>
                <w:sz w:val="14"/>
                <w:szCs w:val="14"/>
                <w:color w:val="003A70"/>
              </w:rPr>
              <w:t>Vested</w:t>
            </w:r>
          </w:p>
        </w:tc>
        <w:tc>
          <w:tcPr>
            <w:tcW w:w="1400" w:type="dxa"/>
            <w:vAlign w:val="bottom"/>
            <w:tcBorders>
              <w:bottom w:val="single" w:sz="8" w:color="003A70"/>
            </w:tcBorders>
          </w:tcPr>
          <w:p>
            <w:pPr>
              <w:jc w:val="center"/>
              <w:ind w:left="142"/>
              <w:spacing w:after="0"/>
              <w:rPr>
                <w:sz w:val="20"/>
                <w:szCs w:val="20"/>
                <w:color w:val="auto"/>
              </w:rPr>
            </w:pPr>
            <w:r>
              <w:rPr>
                <w:rFonts w:ascii="Arial" w:cs="Arial" w:eastAsia="Arial" w:hAnsi="Arial"/>
                <w:sz w:val="14"/>
                <w:szCs w:val="14"/>
                <w:color w:val="003A70"/>
              </w:rPr>
              <w:t>Vested (#)</w:t>
            </w:r>
          </w:p>
        </w:tc>
        <w:tc>
          <w:tcPr>
            <w:tcW w:w="1260" w:type="dxa"/>
            <w:vAlign w:val="bottom"/>
            <w:tcBorders>
              <w:bottom w:val="single" w:sz="8" w:color="003A70"/>
            </w:tcBorders>
            <w:gridSpan w:val="2"/>
          </w:tcPr>
          <w:p>
            <w:pPr>
              <w:jc w:val="center"/>
              <w:ind w:right="80"/>
              <w:spacing w:after="0"/>
              <w:rPr>
                <w:sz w:val="20"/>
                <w:szCs w:val="20"/>
                <w:color w:val="auto"/>
              </w:rPr>
            </w:pPr>
            <w:r>
              <w:rPr>
                <w:rFonts w:ascii="Arial" w:cs="Arial" w:eastAsia="Arial" w:hAnsi="Arial"/>
                <w:sz w:val="14"/>
                <w:szCs w:val="14"/>
                <w:color w:val="003A70"/>
              </w:rPr>
              <w:t>Vested ($)</w:t>
            </w:r>
          </w:p>
        </w:tc>
      </w:tr>
      <w:tr>
        <w:trPr>
          <w:trHeight w:val="175"/>
        </w:trPr>
        <w:tc>
          <w:tcPr>
            <w:tcW w:w="1540" w:type="dxa"/>
            <w:vAlign w:val="bottom"/>
          </w:tcPr>
          <w:p>
            <w:pPr>
              <w:spacing w:after="0" w:line="175" w:lineRule="exact"/>
              <w:rPr>
                <w:sz w:val="20"/>
                <w:szCs w:val="20"/>
                <w:color w:val="auto"/>
              </w:rPr>
            </w:pPr>
            <w:r>
              <w:rPr>
                <w:rFonts w:ascii="Arial" w:cs="Arial" w:eastAsia="Arial" w:hAnsi="Arial"/>
                <w:sz w:val="16"/>
                <w:szCs w:val="16"/>
                <w:b w:val="1"/>
                <w:bCs w:val="1"/>
                <w:color w:val="003A70"/>
              </w:rPr>
              <w:t>J. Hunter</w:t>
            </w:r>
          </w:p>
        </w:tc>
        <w:tc>
          <w:tcPr>
            <w:tcW w:w="1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2/29/2024</w:t>
            </w:r>
          </w:p>
        </w:tc>
        <w:tc>
          <w:tcPr>
            <w:tcW w:w="1860" w:type="dxa"/>
            <w:vAlign w:val="bottom"/>
          </w:tcPr>
          <w:p>
            <w:pPr>
              <w:jc w:val="right"/>
              <w:ind w:right="201"/>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4</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2"/>
              <w:spacing w:after="0" w:line="189" w:lineRule="exact"/>
              <w:rPr>
                <w:sz w:val="20"/>
                <w:szCs w:val="20"/>
                <w:color w:val="auto"/>
              </w:rPr>
            </w:pPr>
            <w:r>
              <w:rPr>
                <w:rFonts w:ascii="Arial" w:cs="Arial" w:eastAsia="Arial" w:hAnsi="Arial"/>
                <w:sz w:val="14"/>
                <w:szCs w:val="14"/>
                <w:color w:val="auto"/>
              </w:rPr>
              <w:t>7,343</w:t>
            </w:r>
            <w:r>
              <w:rPr>
                <w:rFonts w:ascii="Arial" w:cs="Arial" w:eastAsia="Arial" w:hAnsi="Arial"/>
                <w:sz w:val="21"/>
                <w:szCs w:val="21"/>
                <w:color w:val="auto"/>
                <w:vertAlign w:val="superscript"/>
              </w:rPr>
              <w:t> 4</w:t>
            </w:r>
          </w:p>
        </w:tc>
        <w:tc>
          <w:tcPr>
            <w:tcW w:w="1260" w:type="dxa"/>
            <w:vAlign w:val="bottom"/>
            <w:gridSpan w:val="2"/>
          </w:tcPr>
          <w:p>
            <w:pPr>
              <w:jc w:val="right"/>
              <w:ind w:right="60"/>
              <w:spacing w:after="0" w:line="189" w:lineRule="exact"/>
              <w:rPr>
                <w:sz w:val="20"/>
                <w:szCs w:val="20"/>
                <w:color w:val="auto"/>
              </w:rPr>
            </w:pPr>
            <w:r>
              <w:rPr>
                <w:rFonts w:ascii="Arial" w:cs="Arial" w:eastAsia="Arial" w:hAnsi="Arial"/>
                <w:sz w:val="14"/>
                <w:szCs w:val="14"/>
                <w:color w:val="auto"/>
              </w:rPr>
              <w:t>423,618</w:t>
            </w:r>
            <w:r>
              <w:rPr>
                <w:rFonts w:ascii="Arial" w:cs="Arial" w:eastAsia="Arial" w:hAnsi="Arial"/>
                <w:sz w:val="21"/>
                <w:szCs w:val="21"/>
                <w:color w:val="auto"/>
                <w:vertAlign w:val="superscript"/>
              </w:rPr>
              <w:t> 5</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3/4/2025</w:t>
            </w:r>
          </w:p>
        </w:tc>
        <w:tc>
          <w:tcPr>
            <w:tcW w:w="1860" w:type="dxa"/>
            <w:vAlign w:val="bottom"/>
          </w:tcPr>
          <w:p>
            <w:pPr>
              <w:jc w:val="right"/>
              <w:ind w:right="201"/>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6</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2"/>
              <w:spacing w:after="0" w:line="189" w:lineRule="exact"/>
              <w:rPr>
                <w:sz w:val="20"/>
                <w:szCs w:val="20"/>
                <w:color w:val="auto"/>
              </w:rPr>
            </w:pPr>
            <w:r>
              <w:rPr>
                <w:rFonts w:ascii="Arial" w:cs="Arial" w:eastAsia="Arial" w:hAnsi="Arial"/>
                <w:sz w:val="14"/>
                <w:szCs w:val="14"/>
                <w:color w:val="auto"/>
              </w:rPr>
              <w:t>11,207</w:t>
            </w:r>
            <w:r>
              <w:rPr>
                <w:rFonts w:ascii="Arial" w:cs="Arial" w:eastAsia="Arial" w:hAnsi="Arial"/>
                <w:sz w:val="21"/>
                <w:szCs w:val="21"/>
                <w:color w:val="auto"/>
                <w:vertAlign w:val="superscript"/>
              </w:rPr>
              <w:t> 6</w:t>
            </w:r>
          </w:p>
        </w:tc>
        <w:tc>
          <w:tcPr>
            <w:tcW w:w="1260" w:type="dxa"/>
            <w:vAlign w:val="bottom"/>
            <w:gridSpan w:val="2"/>
          </w:tcPr>
          <w:p>
            <w:pPr>
              <w:jc w:val="right"/>
              <w:ind w:right="60"/>
              <w:spacing w:after="0" w:line="189" w:lineRule="exact"/>
              <w:rPr>
                <w:sz w:val="20"/>
                <w:szCs w:val="20"/>
                <w:color w:val="auto"/>
              </w:rPr>
            </w:pPr>
            <w:r>
              <w:rPr>
                <w:rFonts w:ascii="Arial" w:cs="Arial" w:eastAsia="Arial" w:hAnsi="Arial"/>
                <w:sz w:val="14"/>
                <w:szCs w:val="14"/>
                <w:color w:val="auto"/>
              </w:rPr>
              <w:t>646,532</w:t>
            </w:r>
            <w:r>
              <w:rPr>
                <w:rFonts w:ascii="Arial" w:cs="Arial" w:eastAsia="Arial" w:hAnsi="Arial"/>
                <w:sz w:val="21"/>
                <w:szCs w:val="21"/>
                <w:color w:val="auto"/>
                <w:vertAlign w:val="superscript"/>
              </w:rPr>
              <w:t> 7</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2/29/2016</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7,444</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61.71</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2/28/2026</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2/27/2017</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4,886</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97.53</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2/27/2027</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3/1/2018</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4,190</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143.38</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3/1/2028</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3/4/2019</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6,750</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100.52</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3/4/2029</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3/2/2020</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7,594</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96.82</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3/2/2030</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3/1/2021</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6,015</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173.88</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3/1/2031</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2/28/2022</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3,393</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1,131</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159.27</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2/28/2032</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2/27/2023</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1,709</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1,710</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153.10</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2/27/2033</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2/29/2024</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1,807</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5,423</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93.73</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2/28/2034</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3/4/2025</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12,084</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71.17</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3/4/2035</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2/28/2022</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294</w:t>
            </w:r>
          </w:p>
        </w:tc>
        <w:tc>
          <w:tcPr>
            <w:tcW w:w="780" w:type="dxa"/>
            <w:vAlign w:val="bottom"/>
          </w:tcPr>
          <w:p>
            <w:pPr>
              <w:jc w:val="right"/>
              <w:spacing w:after="0"/>
              <w:rPr>
                <w:sz w:val="20"/>
                <w:szCs w:val="20"/>
                <w:color w:val="auto"/>
              </w:rPr>
            </w:pPr>
            <w:r>
              <w:rPr>
                <w:rFonts w:ascii="Arial" w:cs="Arial" w:eastAsia="Arial" w:hAnsi="Arial"/>
                <w:sz w:val="16"/>
                <w:szCs w:val="16"/>
                <w:color w:val="auto"/>
              </w:rPr>
              <w:t>16,961</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2/27/2023</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1,027</w:t>
            </w:r>
          </w:p>
        </w:tc>
        <w:tc>
          <w:tcPr>
            <w:tcW w:w="780" w:type="dxa"/>
            <w:vAlign w:val="bottom"/>
          </w:tcPr>
          <w:p>
            <w:pPr>
              <w:jc w:val="right"/>
              <w:spacing w:after="0"/>
              <w:rPr>
                <w:sz w:val="20"/>
                <w:szCs w:val="20"/>
                <w:color w:val="auto"/>
              </w:rPr>
            </w:pPr>
            <w:r>
              <w:rPr>
                <w:rFonts w:ascii="Arial" w:cs="Arial" w:eastAsia="Arial" w:hAnsi="Arial"/>
                <w:sz w:val="16"/>
                <w:szCs w:val="16"/>
                <w:color w:val="auto"/>
              </w:rPr>
              <w:t>59,248</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2/29/2024</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3,250</w:t>
            </w:r>
          </w:p>
        </w:tc>
        <w:tc>
          <w:tcPr>
            <w:tcW w:w="780" w:type="dxa"/>
            <w:vAlign w:val="bottom"/>
          </w:tcPr>
          <w:p>
            <w:pPr>
              <w:jc w:val="right"/>
              <w:spacing w:after="0"/>
              <w:rPr>
                <w:sz w:val="20"/>
                <w:szCs w:val="20"/>
                <w:color w:val="auto"/>
              </w:rPr>
            </w:pPr>
            <w:r>
              <w:rPr>
                <w:rFonts w:ascii="Arial" w:cs="Arial" w:eastAsia="Arial" w:hAnsi="Arial"/>
                <w:sz w:val="16"/>
                <w:szCs w:val="16"/>
                <w:color w:val="auto"/>
              </w:rPr>
              <w:t>187,493</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1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3/4/2025</w:t>
            </w:r>
          </w:p>
        </w:tc>
        <w:tc>
          <w:tcPr>
            <w:tcW w:w="18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VAC RSUs</w:t>
            </w: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6,572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379,139</w:t>
            </w:r>
          </w:p>
        </w:tc>
        <w:tc>
          <w:tcPr>
            <w:tcW w:w="14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68"/>
        </w:trPr>
        <w:tc>
          <w:tcPr>
            <w:tcW w:w="1540" w:type="dxa"/>
            <w:vAlign w:val="bottom"/>
          </w:tcPr>
          <w:p>
            <w:pPr>
              <w:spacing w:after="0" w:line="168" w:lineRule="exact"/>
              <w:rPr>
                <w:sz w:val="20"/>
                <w:szCs w:val="20"/>
                <w:color w:val="auto"/>
              </w:rPr>
            </w:pPr>
            <w:r>
              <w:rPr>
                <w:rFonts w:ascii="Arial" w:cs="Arial" w:eastAsia="Arial" w:hAnsi="Arial"/>
                <w:sz w:val="16"/>
                <w:szCs w:val="16"/>
                <w:b w:val="1"/>
                <w:bCs w:val="1"/>
                <w:color w:val="003A70"/>
              </w:rPr>
              <w:t>L. Gustafson</w:t>
            </w:r>
          </w:p>
        </w:tc>
        <w:tc>
          <w:tcPr>
            <w:tcW w:w="1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2/29/2024</w:t>
            </w:r>
          </w:p>
        </w:tc>
        <w:tc>
          <w:tcPr>
            <w:tcW w:w="1860" w:type="dxa"/>
            <w:vAlign w:val="bottom"/>
          </w:tcPr>
          <w:p>
            <w:pPr>
              <w:jc w:val="right"/>
              <w:ind w:right="201"/>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4</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2"/>
              <w:spacing w:after="0" w:line="189" w:lineRule="exact"/>
              <w:rPr>
                <w:sz w:val="20"/>
                <w:szCs w:val="20"/>
                <w:color w:val="auto"/>
              </w:rPr>
            </w:pPr>
            <w:r>
              <w:rPr>
                <w:rFonts w:ascii="Arial" w:cs="Arial" w:eastAsia="Arial" w:hAnsi="Arial"/>
                <w:sz w:val="14"/>
                <w:szCs w:val="14"/>
                <w:color w:val="auto"/>
              </w:rPr>
              <w:t>4,993</w:t>
            </w:r>
            <w:r>
              <w:rPr>
                <w:rFonts w:ascii="Arial" w:cs="Arial" w:eastAsia="Arial" w:hAnsi="Arial"/>
                <w:sz w:val="21"/>
                <w:szCs w:val="21"/>
                <w:color w:val="auto"/>
                <w:vertAlign w:val="superscript"/>
              </w:rPr>
              <w:t> 4</w:t>
            </w:r>
          </w:p>
        </w:tc>
        <w:tc>
          <w:tcPr>
            <w:tcW w:w="1260" w:type="dxa"/>
            <w:vAlign w:val="bottom"/>
            <w:gridSpan w:val="2"/>
          </w:tcPr>
          <w:p>
            <w:pPr>
              <w:jc w:val="right"/>
              <w:ind w:right="60"/>
              <w:spacing w:after="0" w:line="189" w:lineRule="exact"/>
              <w:rPr>
                <w:sz w:val="20"/>
                <w:szCs w:val="20"/>
                <w:color w:val="auto"/>
              </w:rPr>
            </w:pPr>
            <w:r>
              <w:rPr>
                <w:rFonts w:ascii="Arial" w:cs="Arial" w:eastAsia="Arial" w:hAnsi="Arial"/>
                <w:sz w:val="14"/>
                <w:szCs w:val="14"/>
                <w:color w:val="auto"/>
              </w:rPr>
              <w:t>288,046</w:t>
            </w:r>
            <w:r>
              <w:rPr>
                <w:rFonts w:ascii="Arial" w:cs="Arial" w:eastAsia="Arial" w:hAnsi="Arial"/>
                <w:sz w:val="21"/>
                <w:szCs w:val="21"/>
                <w:color w:val="auto"/>
                <w:vertAlign w:val="superscript"/>
              </w:rPr>
              <w:t> 5</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3/4/2025</w:t>
            </w:r>
          </w:p>
        </w:tc>
        <w:tc>
          <w:tcPr>
            <w:tcW w:w="1860" w:type="dxa"/>
            <w:vAlign w:val="bottom"/>
          </w:tcPr>
          <w:p>
            <w:pPr>
              <w:jc w:val="right"/>
              <w:ind w:right="201"/>
              <w:spacing w:after="0" w:line="189" w:lineRule="exact"/>
              <w:rPr>
                <w:sz w:val="20"/>
                <w:szCs w:val="20"/>
                <w:color w:val="auto"/>
              </w:rPr>
            </w:pPr>
            <w:r>
              <w:rPr>
                <w:rFonts w:ascii="Arial" w:cs="Arial" w:eastAsia="Arial" w:hAnsi="Arial"/>
                <w:sz w:val="14"/>
                <w:szCs w:val="14"/>
                <w:color w:val="auto"/>
              </w:rPr>
              <w:t>Performance</w:t>
            </w:r>
            <w:r>
              <w:rPr>
                <w:rFonts w:ascii="Arial" w:cs="Arial" w:eastAsia="Arial" w:hAnsi="Arial"/>
                <w:sz w:val="21"/>
                <w:szCs w:val="21"/>
                <w:color w:val="auto"/>
                <w:vertAlign w:val="superscript"/>
              </w:rPr>
              <w:t> 6</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42"/>
              <w:spacing w:after="0" w:line="189" w:lineRule="exact"/>
              <w:rPr>
                <w:sz w:val="20"/>
                <w:szCs w:val="20"/>
                <w:color w:val="auto"/>
              </w:rPr>
            </w:pPr>
            <w:r>
              <w:rPr>
                <w:rFonts w:ascii="Arial" w:cs="Arial" w:eastAsia="Arial" w:hAnsi="Arial"/>
                <w:sz w:val="14"/>
                <w:szCs w:val="14"/>
                <w:color w:val="auto"/>
              </w:rPr>
              <w:t>7,204</w:t>
            </w:r>
            <w:r>
              <w:rPr>
                <w:rFonts w:ascii="Arial" w:cs="Arial" w:eastAsia="Arial" w:hAnsi="Arial"/>
                <w:sz w:val="21"/>
                <w:szCs w:val="21"/>
                <w:color w:val="auto"/>
                <w:vertAlign w:val="superscript"/>
              </w:rPr>
              <w:t> 6</w:t>
            </w:r>
          </w:p>
        </w:tc>
        <w:tc>
          <w:tcPr>
            <w:tcW w:w="1260" w:type="dxa"/>
            <w:vAlign w:val="bottom"/>
            <w:gridSpan w:val="2"/>
          </w:tcPr>
          <w:p>
            <w:pPr>
              <w:jc w:val="right"/>
              <w:ind w:right="60"/>
              <w:spacing w:after="0" w:line="189" w:lineRule="exact"/>
              <w:rPr>
                <w:sz w:val="20"/>
                <w:szCs w:val="20"/>
                <w:color w:val="auto"/>
              </w:rPr>
            </w:pPr>
            <w:r>
              <w:rPr>
                <w:rFonts w:ascii="Arial" w:cs="Arial" w:eastAsia="Arial" w:hAnsi="Arial"/>
                <w:sz w:val="14"/>
                <w:szCs w:val="14"/>
                <w:color w:val="auto"/>
              </w:rPr>
              <w:t>415,599</w:t>
            </w:r>
            <w:r>
              <w:rPr>
                <w:rFonts w:ascii="Arial" w:cs="Arial" w:eastAsia="Arial" w:hAnsi="Arial"/>
                <w:sz w:val="21"/>
                <w:szCs w:val="21"/>
                <w:color w:val="auto"/>
                <w:vertAlign w:val="superscript"/>
              </w:rPr>
              <w:t> 7</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3/1/2021</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1,769</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173.88</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3/1/2031</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2/28/2022</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1,508</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503</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159.27</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2/28/2032</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2/27/2023</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940</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940</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153.10</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2/27/2033</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2/29/2024</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SARs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1,229</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3,687</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93.73</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2/28/2034</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3/4/2025</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7,768</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71.17</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3/4/2035</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2/28/2022</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131</w:t>
            </w:r>
          </w:p>
        </w:tc>
        <w:tc>
          <w:tcPr>
            <w:tcW w:w="780" w:type="dxa"/>
            <w:vAlign w:val="bottom"/>
          </w:tcPr>
          <w:p>
            <w:pPr>
              <w:jc w:val="right"/>
              <w:spacing w:after="0"/>
              <w:rPr>
                <w:sz w:val="20"/>
                <w:szCs w:val="20"/>
                <w:color w:val="auto"/>
              </w:rPr>
            </w:pPr>
            <w:r>
              <w:rPr>
                <w:rFonts w:ascii="Arial" w:cs="Arial" w:eastAsia="Arial" w:hAnsi="Arial"/>
                <w:sz w:val="16"/>
                <w:szCs w:val="16"/>
                <w:color w:val="auto"/>
              </w:rPr>
              <w:t>7,557</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2/27/2023</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RSUs</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565</w:t>
            </w:r>
          </w:p>
        </w:tc>
        <w:tc>
          <w:tcPr>
            <w:tcW w:w="780" w:type="dxa"/>
            <w:vAlign w:val="bottom"/>
          </w:tcPr>
          <w:p>
            <w:pPr>
              <w:jc w:val="right"/>
              <w:spacing w:after="0"/>
              <w:rPr>
                <w:sz w:val="20"/>
                <w:szCs w:val="20"/>
                <w:color w:val="auto"/>
              </w:rPr>
            </w:pPr>
            <w:r>
              <w:rPr>
                <w:rFonts w:ascii="Arial" w:cs="Arial" w:eastAsia="Arial" w:hAnsi="Arial"/>
                <w:sz w:val="16"/>
                <w:szCs w:val="16"/>
                <w:color w:val="auto"/>
              </w:rPr>
              <w:t>32,595</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189"/>
        </w:trPr>
        <w:tc>
          <w:tcPr>
            <w:tcW w:w="1540" w:type="dxa"/>
            <w:vAlign w:val="bottom"/>
          </w:tcPr>
          <w:p>
            <w:pPr>
              <w:spacing w:after="0"/>
              <w:rPr>
                <w:sz w:val="20"/>
                <w:szCs w:val="20"/>
                <w:color w:val="auto"/>
              </w:rPr>
            </w:pPr>
            <w:r>
              <w:rPr>
                <w:rFonts w:ascii="Arial" w:cs="Arial" w:eastAsia="Arial" w:hAnsi="Arial"/>
                <w:sz w:val="16"/>
                <w:szCs w:val="16"/>
                <w:color w:val="auto"/>
              </w:rPr>
              <w:t>2/29/2024</w:t>
            </w:r>
          </w:p>
        </w:tc>
        <w:tc>
          <w:tcPr>
            <w:tcW w:w="1860" w:type="dxa"/>
            <w:vAlign w:val="bottom"/>
          </w:tcPr>
          <w:p>
            <w:pPr>
              <w:jc w:val="right"/>
              <w:ind w:right="281"/>
              <w:spacing w:after="0"/>
              <w:rPr>
                <w:sz w:val="20"/>
                <w:szCs w:val="20"/>
                <w:color w:val="auto"/>
              </w:rPr>
            </w:pPr>
            <w:r>
              <w:rPr>
                <w:rFonts w:ascii="Arial" w:cs="Arial" w:eastAsia="Arial" w:hAnsi="Arial"/>
                <w:sz w:val="16"/>
                <w:szCs w:val="16"/>
                <w:color w:val="auto"/>
              </w:rPr>
              <w:t>VAC RSUs</w:t>
            </w: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2,210</w:t>
            </w:r>
          </w:p>
        </w:tc>
        <w:tc>
          <w:tcPr>
            <w:tcW w:w="780" w:type="dxa"/>
            <w:vAlign w:val="bottom"/>
          </w:tcPr>
          <w:p>
            <w:pPr>
              <w:jc w:val="right"/>
              <w:spacing w:after="0"/>
              <w:rPr>
                <w:sz w:val="20"/>
                <w:szCs w:val="20"/>
                <w:color w:val="auto"/>
              </w:rPr>
            </w:pPr>
            <w:r>
              <w:rPr>
                <w:rFonts w:ascii="Arial" w:cs="Arial" w:eastAsia="Arial" w:hAnsi="Arial"/>
                <w:sz w:val="16"/>
                <w:szCs w:val="16"/>
                <w:color w:val="auto"/>
              </w:rPr>
              <w:t>127,495</w:t>
            </w:r>
          </w:p>
        </w:tc>
        <w:tc>
          <w:tcPr>
            <w:tcW w:w="140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3"/>
        </w:trPr>
        <w:tc>
          <w:tcPr>
            <w:tcW w:w="154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3/4/2025</w:t>
            </w:r>
          </w:p>
        </w:tc>
        <w:tc>
          <w:tcPr>
            <w:tcW w:w="1860" w:type="dxa"/>
            <w:vAlign w:val="bottom"/>
            <w:tcBorders>
              <w:bottom w:val="single" w:sz="8" w:color="003A70"/>
            </w:tcBorders>
          </w:tcPr>
          <w:p>
            <w:pPr>
              <w:jc w:val="right"/>
              <w:ind w:right="281"/>
              <w:spacing w:after="0"/>
              <w:rPr>
                <w:sz w:val="20"/>
                <w:szCs w:val="20"/>
                <w:color w:val="auto"/>
              </w:rPr>
            </w:pPr>
            <w:r>
              <w:rPr>
                <w:rFonts w:ascii="Arial" w:cs="Arial" w:eastAsia="Arial" w:hAnsi="Arial"/>
                <w:sz w:val="16"/>
                <w:szCs w:val="16"/>
                <w:color w:val="auto"/>
              </w:rPr>
              <w:t>VAC RSUs</w:t>
            </w:r>
          </w:p>
        </w:tc>
        <w:tc>
          <w:tcPr>
            <w:tcW w:w="600" w:type="dxa"/>
            <w:vAlign w:val="bottom"/>
            <w:tcBorders>
              <w:bottom w:val="single" w:sz="8" w:color="003A70"/>
            </w:tcBorders>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003A70"/>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003A70"/>
            </w:tcBorders>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003A70"/>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003A70"/>
            </w:tcBorders>
          </w:tcPr>
          <w:p>
            <w:pPr>
              <w:jc w:val="right"/>
              <w:ind w:right="61"/>
              <w:spacing w:after="0"/>
              <w:rPr>
                <w:sz w:val="20"/>
                <w:szCs w:val="20"/>
                <w:color w:val="auto"/>
              </w:rPr>
            </w:pPr>
            <w:r>
              <w:rPr>
                <w:rFonts w:ascii="Arial" w:cs="Arial" w:eastAsia="Arial" w:hAnsi="Arial"/>
                <w:sz w:val="16"/>
                <w:szCs w:val="16"/>
                <w:color w:val="auto"/>
              </w:rPr>
              <w:t>4,225</w:t>
            </w:r>
          </w:p>
        </w:tc>
        <w:tc>
          <w:tcPr>
            <w:tcW w:w="78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243,740</w:t>
            </w:r>
          </w:p>
        </w:tc>
        <w:tc>
          <w:tcPr>
            <w:tcW w:w="1400" w:type="dxa"/>
            <w:vAlign w:val="bottom"/>
            <w:tcBorders>
              <w:bottom w:val="single" w:sz="8" w:color="003A70"/>
            </w:tcBorders>
          </w:tcPr>
          <w:p>
            <w:pPr>
              <w:jc w:val="right"/>
              <w:ind w:right="24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003A70"/>
            </w:tcBorders>
            <w:gridSpan w:val="2"/>
          </w:tcPr>
          <w:p>
            <w:pPr>
              <w:jc w:val="right"/>
              <w:ind w:right="160"/>
              <w:spacing w:after="0"/>
              <w:rPr>
                <w:sz w:val="20"/>
                <w:szCs w:val="20"/>
                <w:color w:val="auto"/>
              </w:rPr>
            </w:pPr>
            <w:r>
              <w:rPr>
                <w:rFonts w:ascii="Arial" w:cs="Arial" w:eastAsia="Arial" w:hAnsi="Arial"/>
                <w:sz w:val="16"/>
                <w:szCs w:val="16"/>
                <w:color w:val="auto"/>
              </w:rPr>
              <w:t>—</w:t>
            </w:r>
          </w:p>
        </w:tc>
      </w:tr>
    </w:tbl>
    <w:p>
      <w:pPr>
        <w:spacing w:after="0" w:line="72" w:lineRule="exact"/>
        <w:rPr>
          <w:sz w:val="20"/>
          <w:szCs w:val="20"/>
          <w:color w:val="auto"/>
        </w:rPr>
      </w:pPr>
    </w:p>
    <w:p>
      <w:pPr>
        <w:ind w:left="440" w:right="380" w:hanging="324"/>
        <w:spacing w:after="0" w:line="204" w:lineRule="auto"/>
        <w:tabs>
          <w:tab w:leader="none" w:pos="44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“Performance,” “SARs” and “RSUs” refer to Performance Units, SARs and RSUs, respectively, granted under the 2020 Equity Plan with respect to equity awards granted after March 2020. Prior grants were awarded under the Marriott Vacations Worldwide Corporation Amended and Restated Stock and Cash Incentive Plan.</w:t>
      </w:r>
    </w:p>
    <w:p>
      <w:pPr>
        <w:ind w:left="440" w:hanging="324"/>
        <w:spacing w:after="0" w:line="217" w:lineRule="auto"/>
        <w:tabs>
          <w:tab w:leader="none" w:pos="4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Other than Mr. Avril’s SAR award, SARs vest and become exercisable in four equal annual increments beginning on the February 15th following the grant date.</w:t>
      </w:r>
    </w:p>
    <w:p>
      <w:pPr>
        <w:ind w:left="440"/>
        <w:spacing w:after="0"/>
        <w:rPr>
          <w:rFonts w:ascii="Arial" w:cs="Arial" w:eastAsia="Arial" w:hAnsi="Arial"/>
          <w:sz w:val="22"/>
          <w:szCs w:val="22"/>
          <w:color w:val="auto"/>
          <w:vertAlign w:val="superscript"/>
        </w:rPr>
      </w:pPr>
      <w:r>
        <w:rPr>
          <w:rFonts w:ascii="Arial" w:cs="Arial" w:eastAsia="Arial" w:hAnsi="Arial"/>
          <w:sz w:val="14"/>
          <w:szCs w:val="14"/>
          <w:color w:val="auto"/>
        </w:rPr>
        <w:t>Mr. Avril’s SAR award vests on the earlier of the first anniversary of the grant date or his termination and becomes exercisable on the first anniversary of the grant date.</w:t>
      </w:r>
    </w:p>
    <w:p>
      <w:pPr>
        <w:spacing w:after="0" w:line="68" w:lineRule="exact"/>
        <w:rPr>
          <w:sz w:val="20"/>
          <w:szCs w:val="20"/>
          <w:color w:val="auto"/>
        </w:rPr>
      </w:pPr>
    </w:p>
    <w:p>
      <w:pPr>
        <w:ind w:left="440" w:right="40" w:hanging="324"/>
        <w:spacing w:after="0" w:line="214" w:lineRule="auto"/>
        <w:tabs>
          <w:tab w:leader="none" w:pos="440" w:val="left"/>
        </w:tabs>
        <w:numPr>
          <w:ilvl w:val="0"/>
          <w:numId w:val="77"/>
        </w:numPr>
        <w:rPr>
          <w:rFonts w:ascii="Arial" w:cs="Arial" w:eastAsia="Arial" w:hAnsi="Arial"/>
          <w:sz w:val="22"/>
          <w:szCs w:val="22"/>
          <w:color w:val="auto"/>
          <w:vertAlign w:val="superscript"/>
        </w:rPr>
      </w:pPr>
      <w:r>
        <w:rPr>
          <w:rFonts w:ascii="Arial" w:cs="Arial" w:eastAsia="Arial" w:hAnsi="Arial"/>
          <w:sz w:val="14"/>
          <w:szCs w:val="14"/>
          <w:color w:val="auto"/>
        </w:rPr>
        <w:t>RSUs generally vest in four equal annual increments beginning on the February 15th following the grant date, however, RSUs granted to Mr. Marino on December 15, 2021 vest over four years in equal annual increments beginning on the December 15th following the grant date, RSUs granted to Mr. Marino on November 15, 2023 are subject to a three-year cliff vesting, and RSUs granted to Mr. Avril on November 13, 2025 vest on the earlier of the first anniversary of the grant date or his termination.</w:t>
      </w:r>
    </w:p>
    <w:p>
      <w:pPr>
        <w:spacing w:after="0" w:line="54" w:lineRule="exact"/>
        <w:rPr>
          <w:sz w:val="20"/>
          <w:szCs w:val="20"/>
          <w:color w:val="auto"/>
        </w:rPr>
      </w:pPr>
    </w:p>
    <w:p>
      <w:pPr>
        <w:ind w:left="440" w:right="220" w:hanging="324"/>
        <w:spacing w:after="0" w:line="223" w:lineRule="auto"/>
        <w:tabs>
          <w:tab w:leader="none" w:pos="440" w:val="left"/>
        </w:tabs>
        <w:numPr>
          <w:ilvl w:val="0"/>
          <w:numId w:val="78"/>
        </w:numPr>
        <w:rPr>
          <w:rFonts w:ascii="Arial" w:cs="Arial" w:eastAsia="Arial" w:hAnsi="Arial"/>
          <w:sz w:val="22"/>
          <w:szCs w:val="22"/>
          <w:color w:val="auto"/>
          <w:vertAlign w:val="superscript"/>
        </w:rPr>
      </w:pPr>
      <w:r>
        <w:rPr>
          <w:rFonts w:ascii="Arial" w:cs="Arial" w:eastAsia="Arial" w:hAnsi="Arial"/>
          <w:sz w:val="14"/>
          <w:szCs w:val="14"/>
          <w:color w:val="auto"/>
        </w:rPr>
        <w:t>With respect to Performance Units granted on February 29, 2024, the number of shares that the NEO will receive will be determined after the end of the performance period on December 31, 2026 and will be based upon the achievement of specified levels of performance during that performance period, as modified. Number of shares shown represents the number of shares of our Common Stock that can be issued after the end of the performance period on December 31, 2026, based on target level of achievement with respect to the performance targets. The number of shares of our Common Stock that can be issued ranges from 0 shares to 43,708 shares for Mr. Geller (21,854 shares for performance at target level), 18,796 shares for Mr. Marino (9,398 shares for performance at target level), 20,560 shares for Mr. Miller (10,280 shares for performance at target level), 14,686 shares for Mr. Hunter (7,343 shares for performance at target level), and 9,986 shares for</w:t>
      </w:r>
    </w:p>
    <w:p>
      <w:pPr>
        <w:spacing w:after="0" w:line="3" w:lineRule="exact"/>
        <w:rPr>
          <w:rFonts w:ascii="Arial" w:cs="Arial" w:eastAsia="Arial" w:hAnsi="Arial"/>
          <w:sz w:val="22"/>
          <w:szCs w:val="22"/>
          <w:color w:val="auto"/>
          <w:vertAlign w:val="superscript"/>
        </w:rPr>
      </w:pPr>
    </w:p>
    <w:p>
      <w:pPr>
        <w:ind w:left="440"/>
        <w:spacing w:after="0"/>
        <w:rPr>
          <w:rFonts w:ascii="Arial" w:cs="Arial" w:eastAsia="Arial" w:hAnsi="Arial"/>
          <w:sz w:val="22"/>
          <w:szCs w:val="22"/>
          <w:color w:val="auto"/>
          <w:vertAlign w:val="superscript"/>
        </w:rPr>
      </w:pPr>
      <w:r>
        <w:rPr>
          <w:rFonts w:ascii="Arial" w:cs="Arial" w:eastAsia="Arial" w:hAnsi="Arial"/>
          <w:sz w:val="14"/>
          <w:szCs w:val="14"/>
          <w:color w:val="auto"/>
        </w:rPr>
        <w:t>Ms. Gustafson (4,993 shares for performance at target level).</w:t>
      </w:r>
    </w:p>
    <w:p>
      <w:pPr>
        <w:spacing w:after="0" w:line="68" w:lineRule="exact"/>
        <w:rPr>
          <w:sz w:val="20"/>
          <w:szCs w:val="20"/>
          <w:color w:val="auto"/>
        </w:rPr>
      </w:pPr>
    </w:p>
    <w:p>
      <w:pPr>
        <w:ind w:left="440" w:right="100" w:hanging="324"/>
        <w:spacing w:after="0" w:line="224" w:lineRule="auto"/>
        <w:tabs>
          <w:tab w:leader="none" w:pos="44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Calculated by multiplying $57.69, the closing market price of our Common Stock on December 31, 2025, by the number of Performance Units granted, assuming achievement at the target level of performance. The market value of the shares of our Common Stock that can be issued on the vesting date, based on the Company’s achievement of the performance targets, ranges from $0 (if the minimum number of shares, 0 shares, were to be received) to $2,521,515 for Mr. Geller ($1,260,757 for performance at target level), $1,084,341 for Mr. Marino ($542,171 for performance at target level), $1,186,106 for Mr. Miller ($593,053 for performance at target level), $847,235 for Mr. Hunter ($423,618 for performance at target level), and $576,092 for Ms. Gustafson ($288,046 for performance at target level).</w:t>
      </w:r>
    </w:p>
    <w:p>
      <w:pPr>
        <w:spacing w:after="0" w:line="54" w:lineRule="exact"/>
        <w:rPr>
          <w:sz w:val="20"/>
          <w:szCs w:val="20"/>
          <w:color w:val="auto"/>
        </w:rPr>
      </w:pPr>
    </w:p>
    <w:p>
      <w:pPr>
        <w:ind w:left="440" w:right="40" w:hanging="324"/>
        <w:spacing w:after="0"/>
        <w:tabs>
          <w:tab w:leader="none" w:pos="440" w:val="left"/>
        </w:tabs>
        <w:numPr>
          <w:ilvl w:val="0"/>
          <w:numId w:val="80"/>
        </w:numPr>
        <w:rPr>
          <w:rFonts w:ascii="Arial" w:cs="Arial" w:eastAsia="Arial" w:hAnsi="Arial"/>
          <w:sz w:val="22"/>
          <w:szCs w:val="22"/>
          <w:color w:val="auto"/>
          <w:vertAlign w:val="superscript"/>
        </w:rPr>
      </w:pPr>
      <w:r>
        <w:rPr>
          <w:rFonts w:ascii="Arial" w:cs="Arial" w:eastAsia="Arial" w:hAnsi="Arial"/>
          <w:sz w:val="14"/>
          <w:szCs w:val="14"/>
          <w:color w:val="auto"/>
        </w:rPr>
        <w:t>With respect to Performance Units granted on March 4, 2025, the number of shares that the NEO will receive will be determined after the end of the performance period on December 31, 2027 and will be based upon the achievement of specified levels of performance during that performance period, as modified. Number of shares shown represents the number of shares of our Common Stock that can be issued after the end of the performance period on December 31, 2027, based on target level of achievement with respect to certain performance targets discussed above. The number of shares of our Common Stock that can be issued ranges from 0 shares to 32,064</w:t>
      </w:r>
    </w:p>
    <w:p>
      <w:pPr>
        <w:spacing w:after="0" w:line="219" w:lineRule="exact"/>
        <w:rPr>
          <w:sz w:val="20"/>
          <w:szCs w:val="20"/>
          <w:color w:val="auto"/>
        </w:rPr>
      </w:pPr>
    </w:p>
    <w:p>
      <w:pPr>
        <w:ind w:left="120"/>
        <w:spacing w:after="0"/>
        <w:tabs>
          <w:tab w:leader="none" w:pos="4460" w:val="left"/>
          <w:tab w:leader="none" w:pos="7820" w:val="left"/>
        </w:tabs>
        <w:rPr>
          <w:sz w:val="20"/>
          <w:szCs w:val="20"/>
          <w:color w:val="auto"/>
        </w:rPr>
      </w:pPr>
      <w:r>
        <w:rPr>
          <w:rFonts w:ascii="Arial" w:cs="Arial" w:eastAsia="Arial" w:hAnsi="Arial"/>
          <w:sz w:val="11"/>
          <w:szCs w:val="11"/>
          <w:b w:val="1"/>
          <w:bCs w:val="1"/>
          <w:color w:val="003A70"/>
        </w:rPr>
        <w:t>48</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p>
      <w:pPr>
        <w:ind w:left="440" w:right="260"/>
        <w:spacing w:after="0" w:line="263" w:lineRule="auto"/>
        <w:rPr>
          <w:sz w:val="20"/>
          <w:szCs w:val="20"/>
          <w:color w:val="auto"/>
        </w:rPr>
      </w:pPr>
      <w:r>
        <w:rPr>
          <w:rFonts w:ascii="Arial" w:cs="Arial" w:eastAsia="Arial" w:hAnsi="Arial"/>
          <w:sz w:val="14"/>
          <w:szCs w:val="14"/>
          <w:color w:val="auto"/>
        </w:rPr>
        <w:t>shares for Mr. Geller (16,032 shares for performance at target level), 33,620 shares for Mr. Marino (16,810 shares for performance at target level), 32,020 shares for Mr. Miller (16,010 shares for performance at target level), 22,414 shares for Mr. Hunter (11,207 shares for performance at target level), and 14,408 shares for Ms. Gustafson (7,204 shares for performance at target level).</w:t>
      </w:r>
    </w:p>
    <w:p>
      <w:pPr>
        <w:spacing w:after="0" w:line="38" w:lineRule="exact"/>
        <w:rPr>
          <w:sz w:val="20"/>
          <w:szCs w:val="20"/>
          <w:color w:val="auto"/>
        </w:rPr>
      </w:pPr>
    </w:p>
    <w:p>
      <w:pPr>
        <w:ind w:left="440" w:right="80" w:hanging="324"/>
        <w:spacing w:after="0"/>
        <w:tabs>
          <w:tab w:leader="none" w:pos="44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Calculated by multiplying $57.69, the closing market price of our Common Stock on December 31, 2025, by the number of Performance Units granted, assuming achievement at the target level of performance. The market value of the shares of our Common Stock that can be issued on the vesting date, based on the Company’s achievement of certain performance targets discussed above, ranges from $0 (if the minimum number of shares, 0 shares, were to be received) to $1,849,772 for Mr. Geller ($924,886 for performance at target level), $1,939,538 for Mr. Marino ($969,769 for performance at target level), $1,847,234 for Mr. Miller ($923,617 for performance at target level), $1,293,064 for Mr. Hunter ($646,532 for performance at target level), and $831,198 for Ms. Gustafson ($415,599 for performance at target level).</w:t>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Policies and Practices Related to the Grant of Certain Equity Awards</w:t>
      </w:r>
    </w:p>
    <w:p>
      <w:pPr>
        <w:spacing w:after="0" w:line="104"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The CPC has established an equity award grant policy (the “Equity Award Grant Policy”) which describes the Company’s delegated authority to grant equity awards, codifies pre-existing equity award practices, and establishes standardized schedules for granting equity awards, including RSUs, shares of restricted stock, Performance Units, SARs and options. Under the Equity Award Grant Policy, annual equity awards, including the Company’s annual SAR, RSU and Performance Unit awards, are typically granted in the first quarter of the year and will generally have a grant date of the second trading day following the filing of the Company’s Form 10-K. Any off-cycle or equity awards for promotions, new hires, rewards or recognition will generally have a grant date of the 15th day of March, May, June, August, September, November or December that first follows the day the award is approved. The CPC’s objective in adopting the Equity Award Grant Policy was to establish standard, predetermined practices to avoid any actual or perceived market timing of equity awards and to formally establish policies and practices with respect to equity award grants. The CPC may, however, modify or make exceptions to the general timing parameters in the Equity Award Grant Policy based on special circumstances, the needs of the business or other appropriate considerations. The CPC did not take material nonpublic information into account when determining the timing and terms of equity-based awards, including SARs and options, and the Company did not time the disclosure of material nonpublic information for the purpose of affecting the value of executive compensation.</w:t>
      </w:r>
    </w:p>
    <w:p>
      <w:pPr>
        <w:spacing w:after="0" w:line="76"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During 2025, the CPC awarded SARs, including those awarded to an NEO in the period starting four business days before, and ending one business day after, the filing or furnishing of a Form 10-Q, 10-K or 8-K that discloses material non-public information. Pursuant to SEC rules, the following table sets forth information relating to such awards: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003A70"/>
              </w:rPr>
              <w:t>Number of</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003A70"/>
              </w:rPr>
              <w:t>Per Share</w:t>
            </w:r>
          </w:p>
        </w:tc>
        <w:tc>
          <w:tcPr>
            <w:tcW w:w="1220" w:type="dxa"/>
            <w:vAlign w:val="bottom"/>
          </w:tcPr>
          <w:p>
            <w:pPr>
              <w:spacing w:after="0"/>
              <w:rPr>
                <w:sz w:val="14"/>
                <w:szCs w:val="14"/>
                <w:color w:val="auto"/>
              </w:rPr>
            </w:pPr>
          </w:p>
        </w:tc>
        <w:tc>
          <w:tcPr>
            <w:tcW w:w="3660" w:type="dxa"/>
            <w:vAlign w:val="bottom"/>
          </w:tcPr>
          <w:p>
            <w:pPr>
              <w:jc w:val="center"/>
              <w:ind w:left="147"/>
              <w:spacing w:after="0"/>
              <w:rPr>
                <w:sz w:val="20"/>
                <w:szCs w:val="20"/>
                <w:color w:val="auto"/>
              </w:rPr>
            </w:pPr>
            <w:r>
              <w:rPr>
                <w:rFonts w:ascii="Arial" w:cs="Arial" w:eastAsia="Arial" w:hAnsi="Arial"/>
                <w:sz w:val="14"/>
                <w:szCs w:val="14"/>
                <w:color w:val="003A70"/>
              </w:rPr>
              <w:t>Percentage Change in the Closing Market Price of the</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3660" w:type="dxa"/>
            <w:vAlign w:val="bottom"/>
          </w:tcPr>
          <w:p>
            <w:pPr>
              <w:jc w:val="center"/>
              <w:ind w:left="127"/>
              <w:spacing w:after="0" w:line="149" w:lineRule="exact"/>
              <w:rPr>
                <w:sz w:val="20"/>
                <w:szCs w:val="20"/>
                <w:color w:val="auto"/>
              </w:rPr>
            </w:pPr>
            <w:r>
              <w:rPr>
                <w:rFonts w:ascii="Arial" w:cs="Arial" w:eastAsia="Arial" w:hAnsi="Arial"/>
                <w:sz w:val="14"/>
                <w:szCs w:val="14"/>
                <w:color w:val="003A70"/>
              </w:rPr>
              <w:t>Securities Underlying the Award Between the Trading</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003A70"/>
              </w:rPr>
              <w:t>Securities</w:t>
            </w:r>
          </w:p>
        </w:tc>
        <w:tc>
          <w:tcPr>
            <w:tcW w:w="1140" w:type="dxa"/>
            <w:vAlign w:val="bottom"/>
          </w:tcPr>
          <w:p>
            <w:pPr>
              <w:jc w:val="center"/>
              <w:spacing w:after="0"/>
              <w:rPr>
                <w:sz w:val="20"/>
                <w:szCs w:val="20"/>
                <w:color w:val="auto"/>
              </w:rPr>
            </w:pPr>
            <w:r>
              <w:rPr>
                <w:rFonts w:ascii="Arial" w:cs="Arial" w:eastAsia="Arial" w:hAnsi="Arial"/>
                <w:sz w:val="14"/>
                <w:szCs w:val="14"/>
                <w:color w:val="003A70"/>
              </w:rPr>
              <w:t>Exercise</w:t>
            </w:r>
          </w:p>
        </w:tc>
        <w:tc>
          <w:tcPr>
            <w:tcW w:w="1220" w:type="dxa"/>
            <w:vAlign w:val="bottom"/>
          </w:tcPr>
          <w:p>
            <w:pPr>
              <w:jc w:val="center"/>
              <w:spacing w:after="0"/>
              <w:rPr>
                <w:sz w:val="20"/>
                <w:szCs w:val="20"/>
                <w:color w:val="auto"/>
              </w:rPr>
            </w:pPr>
            <w:r>
              <w:rPr>
                <w:rFonts w:ascii="Arial" w:cs="Arial" w:eastAsia="Arial" w:hAnsi="Arial"/>
                <w:sz w:val="14"/>
                <w:szCs w:val="14"/>
                <w:color w:val="003A70"/>
              </w:rPr>
              <w:t>Grant Date</w:t>
            </w:r>
          </w:p>
        </w:tc>
        <w:tc>
          <w:tcPr>
            <w:tcW w:w="3660" w:type="dxa"/>
            <w:vAlign w:val="bottom"/>
          </w:tcPr>
          <w:p>
            <w:pPr>
              <w:jc w:val="center"/>
              <w:ind w:left="127"/>
              <w:spacing w:after="0"/>
              <w:rPr>
                <w:sz w:val="20"/>
                <w:szCs w:val="20"/>
                <w:color w:val="auto"/>
              </w:rPr>
            </w:pPr>
            <w:r>
              <w:rPr>
                <w:rFonts w:ascii="Arial" w:cs="Arial" w:eastAsia="Arial" w:hAnsi="Arial"/>
                <w:sz w:val="14"/>
                <w:szCs w:val="14"/>
                <w:color w:val="003A70"/>
              </w:rPr>
              <w:t>Day Ending Immediately Prior to the Disclosure of</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003A70"/>
              </w:rPr>
              <w:t>Underlying</w:t>
            </w:r>
          </w:p>
        </w:tc>
        <w:tc>
          <w:tcPr>
            <w:tcW w:w="1140" w:type="dxa"/>
            <w:vAlign w:val="bottom"/>
          </w:tcPr>
          <w:p>
            <w:pPr>
              <w:jc w:val="center"/>
              <w:spacing w:after="0"/>
              <w:rPr>
                <w:sz w:val="20"/>
                <w:szCs w:val="20"/>
                <w:color w:val="auto"/>
              </w:rPr>
            </w:pPr>
            <w:r>
              <w:rPr>
                <w:rFonts w:ascii="Arial" w:cs="Arial" w:eastAsia="Arial" w:hAnsi="Arial"/>
                <w:sz w:val="14"/>
                <w:szCs w:val="14"/>
                <w:color w:val="003A70"/>
              </w:rPr>
              <w:t>Price of the</w:t>
            </w:r>
          </w:p>
        </w:tc>
        <w:tc>
          <w:tcPr>
            <w:tcW w:w="1220" w:type="dxa"/>
            <w:vAlign w:val="bottom"/>
          </w:tcPr>
          <w:p>
            <w:pPr>
              <w:jc w:val="center"/>
              <w:spacing w:after="0"/>
              <w:rPr>
                <w:sz w:val="20"/>
                <w:szCs w:val="20"/>
                <w:color w:val="auto"/>
              </w:rPr>
            </w:pPr>
            <w:r>
              <w:rPr>
                <w:rFonts w:ascii="Arial" w:cs="Arial" w:eastAsia="Arial" w:hAnsi="Arial"/>
                <w:sz w:val="14"/>
                <w:szCs w:val="14"/>
                <w:color w:val="003A70"/>
              </w:rPr>
              <w:t>Fair Value of</w:t>
            </w:r>
          </w:p>
        </w:tc>
        <w:tc>
          <w:tcPr>
            <w:tcW w:w="3660" w:type="dxa"/>
            <w:vAlign w:val="bottom"/>
          </w:tcPr>
          <w:p>
            <w:pPr>
              <w:jc w:val="center"/>
              <w:ind w:left="127"/>
              <w:spacing w:after="0"/>
              <w:rPr>
                <w:sz w:val="20"/>
                <w:szCs w:val="20"/>
                <w:color w:val="auto"/>
              </w:rPr>
            </w:pPr>
            <w:r>
              <w:rPr>
                <w:rFonts w:ascii="Arial" w:cs="Arial" w:eastAsia="Arial" w:hAnsi="Arial"/>
                <w:sz w:val="14"/>
                <w:szCs w:val="14"/>
                <w:color w:val="003A70"/>
              </w:rPr>
              <w:t>Material Nonpublic Information and the Trading Day</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003A70"/>
              </w:rPr>
              <w:t>the Award</w:t>
            </w:r>
          </w:p>
        </w:tc>
        <w:tc>
          <w:tcPr>
            <w:tcW w:w="1140" w:type="dxa"/>
            <w:vAlign w:val="bottom"/>
          </w:tcPr>
          <w:p>
            <w:pPr>
              <w:jc w:val="center"/>
              <w:spacing w:after="0"/>
              <w:rPr>
                <w:sz w:val="20"/>
                <w:szCs w:val="20"/>
                <w:color w:val="auto"/>
              </w:rPr>
            </w:pPr>
            <w:r>
              <w:rPr>
                <w:rFonts w:ascii="Arial" w:cs="Arial" w:eastAsia="Arial" w:hAnsi="Arial"/>
                <w:sz w:val="14"/>
                <w:szCs w:val="14"/>
                <w:color w:val="003A70"/>
              </w:rPr>
              <w:t>Award</w:t>
            </w:r>
          </w:p>
        </w:tc>
        <w:tc>
          <w:tcPr>
            <w:tcW w:w="1220" w:type="dxa"/>
            <w:vAlign w:val="bottom"/>
          </w:tcPr>
          <w:p>
            <w:pPr>
              <w:jc w:val="center"/>
              <w:spacing w:after="0"/>
              <w:rPr>
                <w:sz w:val="20"/>
                <w:szCs w:val="20"/>
                <w:color w:val="auto"/>
              </w:rPr>
            </w:pPr>
            <w:r>
              <w:rPr>
                <w:rFonts w:ascii="Arial" w:cs="Arial" w:eastAsia="Arial" w:hAnsi="Arial"/>
                <w:sz w:val="14"/>
                <w:szCs w:val="14"/>
                <w:color w:val="003A70"/>
              </w:rPr>
              <w:t>the Award</w:t>
            </w:r>
          </w:p>
        </w:tc>
        <w:tc>
          <w:tcPr>
            <w:tcW w:w="3660" w:type="dxa"/>
            <w:vAlign w:val="bottom"/>
          </w:tcPr>
          <w:p>
            <w:pPr>
              <w:jc w:val="center"/>
              <w:ind w:left="127"/>
              <w:spacing w:after="0"/>
              <w:rPr>
                <w:sz w:val="20"/>
                <w:szCs w:val="20"/>
                <w:color w:val="auto"/>
              </w:rPr>
            </w:pPr>
            <w:r>
              <w:rPr>
                <w:rFonts w:ascii="Arial" w:cs="Arial" w:eastAsia="Arial" w:hAnsi="Arial"/>
                <w:sz w:val="14"/>
                <w:szCs w:val="14"/>
                <w:color w:val="003A70"/>
              </w:rPr>
              <w:t>Beginning Immediately Following the Disclosure of</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Name</w:t>
            </w:r>
          </w:p>
        </w:tc>
        <w:tc>
          <w:tcPr>
            <w:tcW w:w="1880" w:type="dxa"/>
            <w:vAlign w:val="bottom"/>
            <w:tcBorders>
              <w:bottom w:val="single" w:sz="8" w:color="003A70"/>
            </w:tcBorders>
          </w:tcPr>
          <w:p>
            <w:pPr>
              <w:ind w:left="880"/>
              <w:spacing w:after="0"/>
              <w:rPr>
                <w:sz w:val="20"/>
                <w:szCs w:val="20"/>
                <w:color w:val="auto"/>
              </w:rPr>
            </w:pPr>
            <w:r>
              <w:rPr>
                <w:rFonts w:ascii="Arial" w:cs="Arial" w:eastAsia="Arial" w:hAnsi="Arial"/>
                <w:sz w:val="14"/>
                <w:szCs w:val="14"/>
                <w:color w:val="003A70"/>
              </w:rPr>
              <w:t>Grant Date</w:t>
            </w:r>
          </w:p>
        </w:tc>
        <w:tc>
          <w:tcPr>
            <w:tcW w:w="10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w:t>
            </w:r>
          </w:p>
        </w:tc>
        <w:tc>
          <w:tcPr>
            <w:tcW w:w="1140" w:type="dxa"/>
            <w:vAlign w:val="bottom"/>
            <w:tcBorders>
              <w:bottom w:val="single" w:sz="8" w:color="003A70"/>
            </w:tcBorders>
          </w:tcPr>
          <w:p>
            <w:pPr>
              <w:jc w:val="right"/>
              <w:ind w:right="407"/>
              <w:spacing w:after="0"/>
              <w:rPr>
                <w:sz w:val="20"/>
                <w:szCs w:val="20"/>
                <w:color w:val="auto"/>
              </w:rPr>
            </w:pPr>
            <w:r>
              <w:rPr>
                <w:rFonts w:ascii="Arial" w:cs="Arial" w:eastAsia="Arial" w:hAnsi="Arial"/>
                <w:sz w:val="14"/>
                <w:szCs w:val="14"/>
                <w:color w:val="003A70"/>
              </w:rPr>
              <w:t>($)</w:t>
            </w:r>
          </w:p>
        </w:tc>
        <w:tc>
          <w:tcPr>
            <w:tcW w:w="1220" w:type="dxa"/>
            <w:vAlign w:val="bottom"/>
            <w:tcBorders>
              <w:bottom w:val="single" w:sz="8" w:color="003A70"/>
            </w:tcBorders>
          </w:tcPr>
          <w:p>
            <w:pPr>
              <w:jc w:val="center"/>
              <w:ind w:right="406"/>
              <w:spacing w:after="0" w:line="185" w:lineRule="exact"/>
              <w:rPr>
                <w:sz w:val="20"/>
                <w:szCs w:val="20"/>
                <w:color w:val="auto"/>
              </w:rPr>
            </w:pPr>
            <w:r>
              <w:rPr>
                <w:rFonts w:ascii="Arial" w:cs="Arial" w:eastAsia="Arial" w:hAnsi="Arial"/>
                <w:sz w:val="14"/>
                <w:szCs w:val="14"/>
                <w:color w:val="003A70"/>
              </w:rPr>
              <w:t>($)</w:t>
            </w:r>
            <w:r>
              <w:rPr>
                <w:rFonts w:ascii="Arial" w:cs="Arial" w:eastAsia="Arial" w:hAnsi="Arial"/>
                <w:sz w:val="17"/>
                <w:szCs w:val="17"/>
                <w:color w:val="003A70"/>
                <w:vertAlign w:val="superscript"/>
              </w:rPr>
              <w:t>1</w:t>
            </w:r>
          </w:p>
        </w:tc>
        <w:tc>
          <w:tcPr>
            <w:tcW w:w="3660" w:type="dxa"/>
            <w:vAlign w:val="bottom"/>
            <w:tcBorders>
              <w:bottom w:val="single" w:sz="8" w:color="003A70"/>
            </w:tcBorders>
          </w:tcPr>
          <w:p>
            <w:pPr>
              <w:jc w:val="center"/>
              <w:ind w:left="127"/>
              <w:spacing w:after="0" w:line="185" w:lineRule="exact"/>
              <w:rPr>
                <w:sz w:val="20"/>
                <w:szCs w:val="20"/>
                <w:color w:val="auto"/>
              </w:rPr>
            </w:pPr>
            <w:r>
              <w:rPr>
                <w:rFonts w:ascii="Arial" w:cs="Arial" w:eastAsia="Arial" w:hAnsi="Arial"/>
                <w:sz w:val="14"/>
                <w:szCs w:val="14"/>
                <w:color w:val="003A70"/>
              </w:rPr>
              <w:t>Material Nonpublic Information (%)</w:t>
            </w:r>
            <w:r>
              <w:rPr>
                <w:rFonts w:ascii="Arial" w:cs="Arial" w:eastAsia="Arial" w:hAnsi="Arial"/>
                <w:sz w:val="17"/>
                <w:szCs w:val="17"/>
                <w:color w:val="003A70"/>
                <w:vertAlign w:val="superscript"/>
              </w:rPr>
              <w:t>2</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Matthew E. Avril</w:t>
            </w:r>
          </w:p>
        </w:tc>
        <w:tc>
          <w:tcPr>
            <w:tcW w:w="1880" w:type="dxa"/>
            <w:vAlign w:val="bottom"/>
            <w:tcBorders>
              <w:bottom w:val="single" w:sz="8" w:color="003A70"/>
            </w:tcBorders>
          </w:tcPr>
          <w:p>
            <w:pPr>
              <w:ind w:left="860"/>
              <w:spacing w:after="0"/>
              <w:rPr>
                <w:sz w:val="20"/>
                <w:szCs w:val="20"/>
                <w:color w:val="auto"/>
              </w:rPr>
            </w:pPr>
            <w:r>
              <w:rPr>
                <w:rFonts w:ascii="Arial" w:cs="Arial" w:eastAsia="Arial" w:hAnsi="Arial"/>
                <w:sz w:val="16"/>
                <w:szCs w:val="16"/>
                <w:color w:val="auto"/>
              </w:rPr>
              <w:t>11/13/2025</w:t>
            </w:r>
          </w:p>
        </w:tc>
        <w:tc>
          <w:tcPr>
            <w:tcW w:w="1080" w:type="dxa"/>
            <w:vAlign w:val="bottom"/>
            <w:tcBorders>
              <w:bottom w:val="single" w:sz="8" w:color="003A70"/>
            </w:tcBorders>
          </w:tcPr>
          <w:p>
            <w:pPr>
              <w:jc w:val="right"/>
              <w:ind w:right="127"/>
              <w:spacing w:after="0"/>
              <w:rPr>
                <w:sz w:val="20"/>
                <w:szCs w:val="20"/>
                <w:color w:val="auto"/>
              </w:rPr>
            </w:pPr>
            <w:r>
              <w:rPr>
                <w:rFonts w:ascii="Arial" w:cs="Arial" w:eastAsia="Arial" w:hAnsi="Arial"/>
                <w:sz w:val="16"/>
                <w:szCs w:val="16"/>
                <w:color w:val="auto"/>
              </w:rPr>
              <w:t>100,000</w:t>
            </w:r>
          </w:p>
        </w:tc>
        <w:tc>
          <w:tcPr>
            <w:tcW w:w="1140" w:type="dxa"/>
            <w:vAlign w:val="bottom"/>
            <w:tcBorders>
              <w:bottom w:val="single" w:sz="8" w:color="003A70"/>
            </w:tcBorders>
          </w:tcPr>
          <w:p>
            <w:pPr>
              <w:jc w:val="right"/>
              <w:ind w:right="127"/>
              <w:spacing w:after="0"/>
              <w:rPr>
                <w:sz w:val="20"/>
                <w:szCs w:val="20"/>
                <w:color w:val="auto"/>
              </w:rPr>
            </w:pPr>
            <w:r>
              <w:rPr>
                <w:rFonts w:ascii="Arial" w:cs="Arial" w:eastAsia="Arial" w:hAnsi="Arial"/>
                <w:sz w:val="16"/>
                <w:szCs w:val="16"/>
                <w:color w:val="auto"/>
              </w:rPr>
              <w:t>$  46.755</w:t>
            </w:r>
          </w:p>
        </w:tc>
        <w:tc>
          <w:tcPr>
            <w:tcW w:w="1220" w:type="dxa"/>
            <w:vAlign w:val="bottom"/>
            <w:tcBorders>
              <w:bottom w:val="single" w:sz="8" w:color="003A70"/>
            </w:tcBorders>
          </w:tcPr>
          <w:p>
            <w:pPr>
              <w:jc w:val="right"/>
              <w:ind w:right="126"/>
              <w:spacing w:after="0"/>
              <w:rPr>
                <w:sz w:val="20"/>
                <w:szCs w:val="20"/>
                <w:color w:val="auto"/>
              </w:rPr>
            </w:pPr>
            <w:r>
              <w:rPr>
                <w:rFonts w:ascii="Arial" w:cs="Arial" w:eastAsia="Arial" w:hAnsi="Arial"/>
                <w:sz w:val="16"/>
                <w:szCs w:val="16"/>
                <w:color w:val="auto"/>
              </w:rPr>
              <w:t>$1,250,700</w:t>
            </w:r>
          </w:p>
        </w:tc>
        <w:tc>
          <w:tcPr>
            <w:tcW w:w="3660" w:type="dxa"/>
            <w:vAlign w:val="bottom"/>
            <w:tcBorders>
              <w:bottom w:val="single" w:sz="8" w:color="003A70"/>
            </w:tcBorders>
          </w:tcPr>
          <w:p>
            <w:pPr>
              <w:jc w:val="center"/>
              <w:ind w:left="127"/>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440" w:hanging="324"/>
        <w:spacing w:after="0"/>
        <w:tabs>
          <w:tab w:leader="none" w:pos="440" w:val="left"/>
        </w:tabs>
        <w:numPr>
          <w:ilvl w:val="0"/>
          <w:numId w:val="82"/>
        </w:numPr>
        <w:rPr>
          <w:rFonts w:ascii="Arial" w:cs="Arial" w:eastAsia="Arial" w:hAnsi="Arial"/>
          <w:sz w:val="18"/>
          <w:szCs w:val="18"/>
          <w:color w:val="auto"/>
          <w:vertAlign w:val="superscript"/>
        </w:rPr>
      </w:pPr>
      <w:r>
        <w:rPr>
          <w:rFonts w:ascii="Arial" w:cs="Arial" w:eastAsia="Arial" w:hAnsi="Arial"/>
          <w:sz w:val="14"/>
          <w:szCs w:val="14"/>
          <w:color w:val="auto"/>
        </w:rPr>
        <w:t>The grant date fair value shown in this column is computed in accordance with ASC 718.</w:t>
      </w:r>
    </w:p>
    <w:p>
      <w:pPr>
        <w:spacing w:after="0" w:line="53" w:lineRule="exact"/>
        <w:rPr>
          <w:sz w:val="20"/>
          <w:szCs w:val="20"/>
          <w:color w:val="auto"/>
        </w:rPr>
      </w:pPr>
    </w:p>
    <w:p>
      <w:pPr>
        <w:ind w:left="440" w:right="40" w:hanging="324"/>
        <w:spacing w:after="0" w:line="229" w:lineRule="auto"/>
        <w:tabs>
          <w:tab w:leader="none" w:pos="440" w:val="left"/>
        </w:tabs>
        <w:numPr>
          <w:ilvl w:val="0"/>
          <w:numId w:val="83"/>
        </w:numPr>
        <w:rPr>
          <w:rFonts w:ascii="Arial" w:cs="Arial" w:eastAsia="Arial" w:hAnsi="Arial"/>
          <w:sz w:val="18"/>
          <w:szCs w:val="18"/>
          <w:color w:val="auto"/>
          <w:vertAlign w:val="superscript"/>
        </w:rPr>
      </w:pPr>
      <w:r>
        <w:rPr>
          <w:rFonts w:ascii="Arial" w:cs="Arial" w:eastAsia="Arial" w:hAnsi="Arial"/>
          <w:sz w:val="14"/>
          <w:szCs w:val="14"/>
          <w:color w:val="auto"/>
        </w:rPr>
        <w:t>For the SARs issued on November 13, 2025, the closing market price prior to issuing the current report on Form 8-K on November 12, 2025 was $46.78 and the market price at the close of the following trading day was $46.05.</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Option Exercises and Stock Vested During Fiscal Year 2025</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information about option and SAR exercises and vesting of Performance Units and RSUs during fiscal year 2025.</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3540" w:type="dxa"/>
            <w:vAlign w:val="bottom"/>
            <w:gridSpan w:val="3"/>
          </w:tcPr>
          <w:p>
            <w:pPr>
              <w:ind w:left="780"/>
              <w:spacing w:after="0"/>
              <w:rPr>
                <w:sz w:val="20"/>
                <w:szCs w:val="20"/>
                <w:color w:val="auto"/>
              </w:rPr>
            </w:pPr>
            <w:r>
              <w:rPr>
                <w:rFonts w:ascii="Arial" w:cs="Arial" w:eastAsia="Arial" w:hAnsi="Arial"/>
                <w:sz w:val="14"/>
                <w:szCs w:val="14"/>
                <w:color w:val="003A70"/>
              </w:rPr>
              <w:t>Option/SAR Awards</w:t>
            </w:r>
          </w:p>
        </w:tc>
        <w:tc>
          <w:tcPr>
            <w:tcW w:w="2840" w:type="dxa"/>
            <w:vAlign w:val="bottom"/>
            <w:gridSpan w:val="3"/>
          </w:tcPr>
          <w:p>
            <w:pPr>
              <w:ind w:left="940"/>
              <w:spacing w:after="0"/>
              <w:rPr>
                <w:sz w:val="20"/>
                <w:szCs w:val="20"/>
                <w:color w:val="auto"/>
              </w:rPr>
            </w:pPr>
            <w:r>
              <w:rPr>
                <w:rFonts w:ascii="Arial" w:cs="Arial" w:eastAsia="Arial" w:hAnsi="Arial"/>
                <w:sz w:val="14"/>
                <w:szCs w:val="14"/>
                <w:color w:val="003A70"/>
              </w:rPr>
              <w:t>Stock Awards</w:t>
            </w:r>
          </w:p>
        </w:tc>
      </w:tr>
      <w:tr>
        <w:trPr>
          <w:trHeight w:val="146"/>
        </w:trPr>
        <w:tc>
          <w:tcPr>
            <w:tcW w:w="4640" w:type="dxa"/>
            <w:vAlign w:val="bottom"/>
          </w:tcPr>
          <w:p>
            <w:pPr>
              <w:spacing w:after="0"/>
              <w:rPr>
                <w:sz w:val="12"/>
                <w:szCs w:val="12"/>
                <w:color w:val="auto"/>
              </w:rPr>
            </w:pPr>
          </w:p>
        </w:tc>
        <w:tc>
          <w:tcPr>
            <w:tcW w:w="1620" w:type="dxa"/>
            <w:vAlign w:val="bottom"/>
            <w:tcBorders>
              <w:top w:val="single" w:sz="8" w:color="003A70"/>
            </w:tcBorders>
          </w:tcPr>
          <w:p>
            <w:pPr>
              <w:jc w:val="center"/>
              <w:ind w:right="183"/>
              <w:spacing w:after="0" w:line="147" w:lineRule="exact"/>
              <w:rPr>
                <w:sz w:val="20"/>
                <w:szCs w:val="20"/>
                <w:color w:val="auto"/>
              </w:rPr>
            </w:pPr>
            <w:r>
              <w:rPr>
                <w:rFonts w:ascii="Arial" w:cs="Arial" w:eastAsia="Arial" w:hAnsi="Arial"/>
                <w:sz w:val="14"/>
                <w:szCs w:val="14"/>
                <w:color w:val="003A70"/>
              </w:rPr>
              <w:t>Number of Shares</w:t>
            </w:r>
          </w:p>
        </w:tc>
        <w:tc>
          <w:tcPr>
            <w:tcW w:w="1220" w:type="dxa"/>
            <w:vAlign w:val="bottom"/>
            <w:tcBorders>
              <w:top w:val="single" w:sz="8" w:color="003A70"/>
            </w:tcBorders>
          </w:tcPr>
          <w:p>
            <w:pPr>
              <w:jc w:val="center"/>
              <w:ind w:left="182"/>
              <w:spacing w:after="0" w:line="147" w:lineRule="exact"/>
              <w:rPr>
                <w:sz w:val="20"/>
                <w:szCs w:val="20"/>
                <w:color w:val="auto"/>
              </w:rPr>
            </w:pPr>
            <w:r>
              <w:rPr>
                <w:rFonts w:ascii="Arial" w:cs="Arial" w:eastAsia="Arial" w:hAnsi="Arial"/>
                <w:sz w:val="14"/>
                <w:szCs w:val="14"/>
                <w:color w:val="003A70"/>
              </w:rPr>
              <w:t>Value Realized</w:t>
            </w:r>
          </w:p>
        </w:tc>
        <w:tc>
          <w:tcPr>
            <w:tcW w:w="700" w:type="dxa"/>
            <w:vAlign w:val="bottom"/>
          </w:tcPr>
          <w:p>
            <w:pPr>
              <w:spacing w:after="0"/>
              <w:rPr>
                <w:sz w:val="12"/>
                <w:szCs w:val="12"/>
                <w:color w:val="auto"/>
              </w:rPr>
            </w:pPr>
          </w:p>
        </w:tc>
        <w:tc>
          <w:tcPr>
            <w:tcW w:w="1540" w:type="dxa"/>
            <w:vAlign w:val="bottom"/>
            <w:tcBorders>
              <w:top w:val="single" w:sz="8" w:color="003A70"/>
            </w:tcBorders>
          </w:tcPr>
          <w:p>
            <w:pPr>
              <w:jc w:val="center"/>
              <w:ind w:right="183"/>
              <w:spacing w:after="0" w:line="147" w:lineRule="exact"/>
              <w:rPr>
                <w:sz w:val="20"/>
                <w:szCs w:val="20"/>
                <w:color w:val="auto"/>
              </w:rPr>
            </w:pPr>
            <w:r>
              <w:rPr>
                <w:rFonts w:ascii="Arial" w:cs="Arial" w:eastAsia="Arial" w:hAnsi="Arial"/>
                <w:sz w:val="14"/>
                <w:szCs w:val="14"/>
                <w:color w:val="003A70"/>
              </w:rPr>
              <w:t>Number of Shares</w:t>
            </w:r>
          </w:p>
        </w:tc>
        <w:tc>
          <w:tcPr>
            <w:tcW w:w="1240" w:type="dxa"/>
            <w:vAlign w:val="bottom"/>
            <w:tcBorders>
              <w:top w:val="single" w:sz="8" w:color="003A70"/>
            </w:tcBorders>
          </w:tcPr>
          <w:p>
            <w:pPr>
              <w:jc w:val="center"/>
              <w:ind w:left="202"/>
              <w:spacing w:after="0" w:line="147" w:lineRule="exact"/>
              <w:rPr>
                <w:sz w:val="20"/>
                <w:szCs w:val="20"/>
                <w:color w:val="auto"/>
              </w:rPr>
            </w:pPr>
            <w:r>
              <w:rPr>
                <w:rFonts w:ascii="Arial" w:cs="Arial" w:eastAsia="Arial" w:hAnsi="Arial"/>
                <w:sz w:val="14"/>
                <w:szCs w:val="14"/>
                <w:color w:val="003A70"/>
              </w:rPr>
              <w:t>Value Realized</w:t>
            </w:r>
          </w:p>
        </w:tc>
        <w:tc>
          <w:tcPr>
            <w:tcW w:w="60" w:type="dxa"/>
            <w:vAlign w:val="bottom"/>
          </w:tcPr>
          <w:p>
            <w:pPr>
              <w:spacing w:after="0"/>
              <w:rPr>
                <w:sz w:val="12"/>
                <w:szCs w:val="12"/>
                <w:color w:val="auto"/>
              </w:rPr>
            </w:pPr>
          </w:p>
        </w:tc>
      </w:tr>
      <w:tr>
        <w:trPr>
          <w:trHeight w:val="162"/>
        </w:trPr>
        <w:tc>
          <w:tcPr>
            <w:tcW w:w="4640" w:type="dxa"/>
            <w:vAlign w:val="bottom"/>
          </w:tcPr>
          <w:p>
            <w:pPr>
              <w:spacing w:after="0"/>
              <w:rPr>
                <w:sz w:val="14"/>
                <w:szCs w:val="14"/>
                <w:color w:val="auto"/>
              </w:rPr>
            </w:pPr>
          </w:p>
        </w:tc>
        <w:tc>
          <w:tcPr>
            <w:tcW w:w="1620" w:type="dxa"/>
            <w:vAlign w:val="bottom"/>
          </w:tcPr>
          <w:p>
            <w:pPr>
              <w:jc w:val="center"/>
              <w:ind w:right="183"/>
              <w:spacing w:after="0"/>
              <w:rPr>
                <w:sz w:val="20"/>
                <w:szCs w:val="20"/>
                <w:color w:val="auto"/>
              </w:rPr>
            </w:pPr>
            <w:r>
              <w:rPr>
                <w:rFonts w:ascii="Arial" w:cs="Arial" w:eastAsia="Arial" w:hAnsi="Arial"/>
                <w:sz w:val="14"/>
                <w:szCs w:val="14"/>
                <w:color w:val="003A70"/>
              </w:rPr>
              <w:t>Acquired on Exercise</w:t>
            </w:r>
          </w:p>
        </w:tc>
        <w:tc>
          <w:tcPr>
            <w:tcW w:w="1920" w:type="dxa"/>
            <w:vAlign w:val="bottom"/>
            <w:gridSpan w:val="2"/>
          </w:tcPr>
          <w:p>
            <w:pPr>
              <w:jc w:val="center"/>
              <w:ind w:right="440"/>
              <w:spacing w:after="0"/>
              <w:rPr>
                <w:sz w:val="20"/>
                <w:szCs w:val="20"/>
                <w:color w:val="auto"/>
              </w:rPr>
            </w:pPr>
            <w:r>
              <w:rPr>
                <w:rFonts w:ascii="Arial" w:cs="Arial" w:eastAsia="Arial" w:hAnsi="Arial"/>
                <w:sz w:val="14"/>
                <w:szCs w:val="14"/>
                <w:color w:val="003A70"/>
              </w:rPr>
              <w:t>on Exercise</w:t>
            </w:r>
          </w:p>
        </w:tc>
        <w:tc>
          <w:tcPr>
            <w:tcW w:w="1540" w:type="dxa"/>
            <w:vAlign w:val="bottom"/>
          </w:tcPr>
          <w:p>
            <w:pPr>
              <w:jc w:val="center"/>
              <w:ind w:right="183"/>
              <w:spacing w:after="0"/>
              <w:rPr>
                <w:sz w:val="20"/>
                <w:szCs w:val="20"/>
                <w:color w:val="auto"/>
              </w:rPr>
            </w:pPr>
            <w:r>
              <w:rPr>
                <w:rFonts w:ascii="Arial" w:cs="Arial" w:eastAsia="Arial" w:hAnsi="Arial"/>
                <w:sz w:val="14"/>
                <w:szCs w:val="14"/>
                <w:color w:val="003A70"/>
              </w:rPr>
              <w:t>Acquired on Vesting</w:t>
            </w:r>
          </w:p>
        </w:tc>
        <w:tc>
          <w:tcPr>
            <w:tcW w:w="1300" w:type="dxa"/>
            <w:vAlign w:val="bottom"/>
            <w:gridSpan w:val="2"/>
          </w:tcPr>
          <w:p>
            <w:pPr>
              <w:jc w:val="center"/>
              <w:ind w:left="142"/>
              <w:spacing w:after="0"/>
              <w:rPr>
                <w:sz w:val="20"/>
                <w:szCs w:val="20"/>
                <w:color w:val="auto"/>
              </w:rPr>
            </w:pPr>
            <w:r>
              <w:rPr>
                <w:rFonts w:ascii="Arial" w:cs="Arial" w:eastAsia="Arial" w:hAnsi="Arial"/>
                <w:sz w:val="14"/>
                <w:szCs w:val="14"/>
                <w:color w:val="003A70"/>
              </w:rPr>
              <w:t>on Vesting</w:t>
            </w:r>
          </w:p>
        </w:tc>
      </w:tr>
      <w:tr>
        <w:trPr>
          <w:trHeight w:val="192"/>
        </w:trPr>
        <w:tc>
          <w:tcPr>
            <w:tcW w:w="4640" w:type="dxa"/>
            <w:vAlign w:val="bottom"/>
            <w:tcBorders>
              <w:bottom w:val="single" w:sz="8" w:color="003A70"/>
            </w:tcBorders>
          </w:tcPr>
          <w:p>
            <w:pPr>
              <w:spacing w:after="0"/>
              <w:rPr>
                <w:sz w:val="16"/>
                <w:szCs w:val="16"/>
                <w:color w:val="auto"/>
              </w:rPr>
            </w:pPr>
          </w:p>
        </w:tc>
        <w:tc>
          <w:tcPr>
            <w:tcW w:w="1620" w:type="dxa"/>
            <w:vAlign w:val="bottom"/>
            <w:tcBorders>
              <w:bottom w:val="single" w:sz="8" w:color="003A70"/>
            </w:tcBorders>
          </w:tcPr>
          <w:p>
            <w:pPr>
              <w:jc w:val="center"/>
              <w:ind w:right="183"/>
              <w:spacing w:after="0"/>
              <w:rPr>
                <w:sz w:val="20"/>
                <w:szCs w:val="20"/>
                <w:color w:val="auto"/>
              </w:rPr>
            </w:pPr>
            <w:r>
              <w:rPr>
                <w:rFonts w:ascii="Arial" w:cs="Arial" w:eastAsia="Arial" w:hAnsi="Arial"/>
                <w:sz w:val="14"/>
                <w:szCs w:val="14"/>
                <w:color w:val="003A70"/>
                <w:w w:val="93"/>
              </w:rPr>
              <w:t>(#)</w:t>
            </w:r>
          </w:p>
        </w:tc>
        <w:tc>
          <w:tcPr>
            <w:tcW w:w="1220" w:type="dxa"/>
            <w:vAlign w:val="bottom"/>
            <w:tcBorders>
              <w:bottom w:val="single" w:sz="8" w:color="003A70"/>
            </w:tcBorders>
          </w:tcPr>
          <w:p>
            <w:pPr>
              <w:jc w:val="center"/>
              <w:ind w:left="162"/>
              <w:spacing w:after="0" w:line="185" w:lineRule="exact"/>
              <w:rPr>
                <w:sz w:val="20"/>
                <w:szCs w:val="20"/>
                <w:color w:val="auto"/>
              </w:rPr>
            </w:pPr>
            <w:r>
              <w:rPr>
                <w:rFonts w:ascii="Arial" w:cs="Arial" w:eastAsia="Arial" w:hAnsi="Arial"/>
                <w:sz w:val="14"/>
                <w:szCs w:val="14"/>
                <w:color w:val="003A70"/>
                <w:w w:val="93"/>
              </w:rPr>
              <w:t>($)</w:t>
            </w:r>
            <w:r>
              <w:rPr>
                <w:rFonts w:ascii="Arial" w:cs="Arial" w:eastAsia="Arial" w:hAnsi="Arial"/>
                <w:sz w:val="17"/>
                <w:szCs w:val="17"/>
                <w:color w:val="003A70"/>
                <w:w w:val="93"/>
                <w:vertAlign w:val="superscript"/>
              </w:rPr>
              <w:t>1</w:t>
            </w:r>
          </w:p>
        </w:tc>
        <w:tc>
          <w:tcPr>
            <w:tcW w:w="700" w:type="dxa"/>
            <w:vAlign w:val="bottom"/>
            <w:tcBorders>
              <w:bottom w:val="single" w:sz="8" w:color="003A70"/>
            </w:tcBorders>
          </w:tcPr>
          <w:p>
            <w:pPr>
              <w:spacing w:after="0"/>
              <w:rPr>
                <w:sz w:val="16"/>
                <w:szCs w:val="16"/>
                <w:color w:val="auto"/>
              </w:rPr>
            </w:pPr>
          </w:p>
        </w:tc>
        <w:tc>
          <w:tcPr>
            <w:tcW w:w="1540" w:type="dxa"/>
            <w:vAlign w:val="bottom"/>
            <w:tcBorders>
              <w:bottom w:val="single" w:sz="8" w:color="003A70"/>
            </w:tcBorders>
          </w:tcPr>
          <w:p>
            <w:pPr>
              <w:jc w:val="center"/>
              <w:ind w:right="183"/>
              <w:spacing w:after="0" w:line="185" w:lineRule="exact"/>
              <w:rPr>
                <w:sz w:val="20"/>
                <w:szCs w:val="20"/>
                <w:color w:val="auto"/>
              </w:rPr>
            </w:pPr>
            <w:r>
              <w:rPr>
                <w:rFonts w:ascii="Arial" w:cs="Arial" w:eastAsia="Arial" w:hAnsi="Arial"/>
                <w:sz w:val="14"/>
                <w:szCs w:val="14"/>
                <w:color w:val="003A70"/>
              </w:rPr>
              <w:t>(#)</w:t>
            </w:r>
            <w:r>
              <w:rPr>
                <w:rFonts w:ascii="Arial" w:cs="Arial" w:eastAsia="Arial" w:hAnsi="Arial"/>
                <w:sz w:val="17"/>
                <w:szCs w:val="17"/>
                <w:color w:val="003A70"/>
                <w:vertAlign w:val="superscript"/>
              </w:rPr>
              <w:t>2</w:t>
            </w:r>
          </w:p>
        </w:tc>
        <w:tc>
          <w:tcPr>
            <w:tcW w:w="1240" w:type="dxa"/>
            <w:vAlign w:val="bottom"/>
            <w:tcBorders>
              <w:bottom w:val="single" w:sz="8" w:color="003A70"/>
            </w:tcBorders>
          </w:tcPr>
          <w:p>
            <w:pPr>
              <w:jc w:val="center"/>
              <w:ind w:left="202"/>
              <w:spacing w:after="0" w:line="185" w:lineRule="exact"/>
              <w:rPr>
                <w:sz w:val="20"/>
                <w:szCs w:val="20"/>
                <w:color w:val="auto"/>
              </w:rPr>
            </w:pPr>
            <w:r>
              <w:rPr>
                <w:rFonts w:ascii="Arial" w:cs="Arial" w:eastAsia="Arial" w:hAnsi="Arial"/>
                <w:sz w:val="14"/>
                <w:szCs w:val="14"/>
                <w:color w:val="003A70"/>
              </w:rPr>
              <w:t>($)</w:t>
            </w:r>
            <w:r>
              <w:rPr>
                <w:rFonts w:ascii="Arial" w:cs="Arial" w:eastAsia="Arial" w:hAnsi="Arial"/>
                <w:sz w:val="17"/>
                <w:szCs w:val="17"/>
                <w:color w:val="003A70"/>
                <w:vertAlign w:val="superscript"/>
              </w:rPr>
              <w:t>2</w:t>
            </w:r>
          </w:p>
        </w:tc>
        <w:tc>
          <w:tcPr>
            <w:tcW w:w="60" w:type="dxa"/>
            <w:vAlign w:val="bottom"/>
            <w:tcBorders>
              <w:bottom w:val="single" w:sz="8" w:color="003A70"/>
            </w:tcBorders>
          </w:tcPr>
          <w:p>
            <w:pPr>
              <w:spacing w:after="0"/>
              <w:rPr>
                <w:sz w:val="16"/>
                <w:szCs w:val="16"/>
                <w:color w:val="auto"/>
              </w:rPr>
            </w:pPr>
          </w:p>
        </w:tc>
      </w:tr>
      <w:tr>
        <w:trPr>
          <w:trHeight w:val="189"/>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 Avril</w:t>
            </w:r>
          </w:p>
        </w:tc>
        <w:tc>
          <w:tcPr>
            <w:tcW w:w="1620" w:type="dxa"/>
            <w:vAlign w:val="bottom"/>
            <w:tcBorders>
              <w:bottom w:val="single" w:sz="8" w:color="auto"/>
            </w:tcBorders>
          </w:tcPr>
          <w:p>
            <w:pPr>
              <w:jc w:val="right"/>
              <w:ind w:right="823"/>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gridSpan w:val="2"/>
          </w:tcPr>
          <w:p>
            <w:pPr>
              <w:jc w:val="right"/>
              <w:ind w:right="980"/>
              <w:spacing w:after="0"/>
              <w:rPr>
                <w:sz w:val="20"/>
                <w:szCs w:val="20"/>
                <w:color w:val="auto"/>
              </w:rPr>
            </w:pPr>
            <w:r>
              <w:rPr>
                <w:rFonts w:ascii="Arial" w:cs="Arial" w:eastAsia="Arial" w:hAnsi="Arial"/>
                <w:sz w:val="16"/>
                <w:szCs w:val="16"/>
                <w:color w:val="auto"/>
              </w:rPr>
              <w:t>$     —</w:t>
            </w:r>
          </w:p>
        </w:tc>
        <w:tc>
          <w:tcPr>
            <w:tcW w:w="1540" w:type="dxa"/>
            <w:vAlign w:val="bottom"/>
            <w:tcBorders>
              <w:bottom w:val="single" w:sz="8" w:color="auto"/>
            </w:tcBorders>
          </w:tcPr>
          <w:p>
            <w:pPr>
              <w:jc w:val="center"/>
              <w:ind w:right="183"/>
              <w:spacing w:after="0"/>
              <w:rPr>
                <w:sz w:val="20"/>
                <w:szCs w:val="20"/>
                <w:color w:val="auto"/>
              </w:rPr>
            </w:pPr>
            <w:r>
              <w:rPr>
                <w:rFonts w:ascii="Arial" w:cs="Arial" w:eastAsia="Arial" w:hAnsi="Arial"/>
                <w:sz w:val="16"/>
                <w:szCs w:val="16"/>
                <w:color w:val="auto"/>
                <w:w w:val="89"/>
              </w:rPr>
              <w:t>  2,981</w:t>
            </w: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$214,975</w:t>
            </w:r>
          </w:p>
        </w:tc>
      </w:tr>
      <w:tr>
        <w:trPr>
          <w:trHeight w:val="183"/>
        </w:trPr>
        <w:tc>
          <w:tcPr>
            <w:tcW w:w="46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 Geller</w:t>
            </w:r>
          </w:p>
        </w:tc>
        <w:tc>
          <w:tcPr>
            <w:tcW w:w="1620" w:type="dxa"/>
            <w:vAlign w:val="bottom"/>
            <w:tcBorders>
              <w:bottom w:val="single" w:sz="8" w:color="auto"/>
            </w:tcBorders>
          </w:tcPr>
          <w:p>
            <w:pPr>
              <w:jc w:val="right"/>
              <w:ind w:right="823"/>
              <w:spacing w:after="0" w:line="183" w:lineRule="exact"/>
              <w:rPr>
                <w:sz w:val="20"/>
                <w:szCs w:val="20"/>
                <w:color w:val="auto"/>
              </w:rPr>
            </w:pPr>
            <w:r>
              <w:rPr>
                <w:rFonts w:ascii="Arial" w:cs="Arial" w:eastAsia="Arial" w:hAnsi="Arial"/>
                <w:sz w:val="16"/>
                <w:szCs w:val="16"/>
                <w:color w:val="auto"/>
              </w:rPr>
              <w:t>49</w:t>
            </w:r>
          </w:p>
        </w:tc>
        <w:tc>
          <w:tcPr>
            <w:tcW w:w="1920" w:type="dxa"/>
            <w:vAlign w:val="bottom"/>
            <w:tcBorders>
              <w:bottom w:val="single" w:sz="8" w:color="auto"/>
            </w:tcBorders>
            <w:gridSpan w:val="2"/>
          </w:tcPr>
          <w:p>
            <w:pPr>
              <w:jc w:val="center"/>
              <w:ind w:right="420"/>
              <w:spacing w:after="0" w:line="183" w:lineRule="exact"/>
              <w:rPr>
                <w:sz w:val="20"/>
                <w:szCs w:val="20"/>
                <w:color w:val="auto"/>
              </w:rPr>
            </w:pPr>
            <w:r>
              <w:rPr>
                <w:rFonts w:ascii="Arial" w:cs="Arial" w:eastAsia="Arial" w:hAnsi="Arial"/>
                <w:sz w:val="16"/>
                <w:szCs w:val="16"/>
                <w:color w:val="auto"/>
                <w:w w:val="82"/>
              </w:rPr>
              <w:t>3,821 </w:t>
            </w:r>
          </w:p>
        </w:tc>
        <w:tc>
          <w:tcPr>
            <w:tcW w:w="1540" w:type="dxa"/>
            <w:vAlign w:val="bottom"/>
            <w:tcBorders>
              <w:bottom w:val="single" w:sz="8" w:color="auto"/>
            </w:tcBorders>
          </w:tcPr>
          <w:p>
            <w:pPr>
              <w:jc w:val="center"/>
              <w:ind w:right="183"/>
              <w:spacing w:after="0" w:line="183" w:lineRule="exact"/>
              <w:rPr>
                <w:sz w:val="20"/>
                <w:szCs w:val="20"/>
                <w:color w:val="auto"/>
              </w:rPr>
            </w:pPr>
            <w:r>
              <w:rPr>
                <w:rFonts w:ascii="Arial" w:cs="Arial" w:eastAsia="Arial" w:hAnsi="Arial"/>
                <w:sz w:val="16"/>
                <w:szCs w:val="16"/>
                <w:color w:val="auto"/>
                <w:w w:val="98"/>
              </w:rPr>
              <w:t>10,680</w:t>
            </w:r>
          </w:p>
        </w:tc>
        <w:tc>
          <w:tcPr>
            <w:tcW w:w="130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911,052</w:t>
            </w:r>
          </w:p>
        </w:tc>
      </w:tr>
      <w:tr>
        <w:trPr>
          <w:trHeight w:val="183"/>
        </w:trPr>
        <w:tc>
          <w:tcPr>
            <w:tcW w:w="46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 Marino</w:t>
            </w:r>
          </w:p>
        </w:tc>
        <w:tc>
          <w:tcPr>
            <w:tcW w:w="1620" w:type="dxa"/>
            <w:vAlign w:val="bottom"/>
            <w:tcBorders>
              <w:bottom w:val="single" w:sz="8" w:color="auto"/>
            </w:tcBorders>
          </w:tcPr>
          <w:p>
            <w:pPr>
              <w:jc w:val="right"/>
              <w:ind w:right="783"/>
              <w:spacing w:after="0" w:line="183" w:lineRule="exact"/>
              <w:rPr>
                <w:sz w:val="20"/>
                <w:szCs w:val="20"/>
                <w:color w:val="auto"/>
              </w:rPr>
            </w:pPr>
            <w:r>
              <w:rPr>
                <w:rFonts w:ascii="Arial" w:cs="Arial" w:eastAsia="Arial" w:hAnsi="Arial"/>
                <w:sz w:val="16"/>
                <w:szCs w:val="16"/>
                <w:color w:val="auto"/>
              </w:rPr>
              <w:t>— </w:t>
            </w:r>
          </w:p>
        </w:tc>
        <w:tc>
          <w:tcPr>
            <w:tcW w:w="1920" w:type="dxa"/>
            <w:vAlign w:val="bottom"/>
            <w:tcBorders>
              <w:bottom w:val="single" w:sz="8" w:color="auto"/>
            </w:tcBorders>
            <w:gridSpan w:val="2"/>
          </w:tcPr>
          <w:p>
            <w:pPr>
              <w:jc w:val="right"/>
              <w:ind w:right="980"/>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center"/>
              <w:ind w:right="183"/>
              <w:spacing w:after="0" w:line="183" w:lineRule="exact"/>
              <w:rPr>
                <w:sz w:val="20"/>
                <w:szCs w:val="20"/>
                <w:color w:val="auto"/>
              </w:rPr>
            </w:pPr>
            <w:r>
              <w:rPr>
                <w:rFonts w:ascii="Arial" w:cs="Arial" w:eastAsia="Arial" w:hAnsi="Arial"/>
                <w:sz w:val="16"/>
                <w:szCs w:val="16"/>
                <w:color w:val="auto"/>
                <w:w w:val="89"/>
              </w:rPr>
              <w:t>  2,352</w:t>
            </w:r>
          </w:p>
        </w:tc>
        <w:tc>
          <w:tcPr>
            <w:tcW w:w="130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197,186</w:t>
            </w:r>
          </w:p>
        </w:tc>
      </w:tr>
      <w:tr>
        <w:trPr>
          <w:trHeight w:val="183"/>
        </w:trPr>
        <w:tc>
          <w:tcPr>
            <w:tcW w:w="46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 Miller</w:t>
            </w:r>
          </w:p>
        </w:tc>
        <w:tc>
          <w:tcPr>
            <w:tcW w:w="1620" w:type="dxa"/>
            <w:vAlign w:val="bottom"/>
            <w:tcBorders>
              <w:bottom w:val="single" w:sz="8" w:color="auto"/>
            </w:tcBorders>
          </w:tcPr>
          <w:p>
            <w:pPr>
              <w:jc w:val="right"/>
              <w:ind w:right="823"/>
              <w:spacing w:after="0" w:line="183" w:lineRule="exact"/>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gridSpan w:val="2"/>
          </w:tcPr>
          <w:p>
            <w:pPr>
              <w:jc w:val="right"/>
              <w:ind w:right="980"/>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center"/>
              <w:ind w:right="183"/>
              <w:spacing w:after="0" w:line="183" w:lineRule="exact"/>
              <w:rPr>
                <w:sz w:val="20"/>
                <w:szCs w:val="20"/>
                <w:color w:val="auto"/>
              </w:rPr>
            </w:pPr>
            <w:r>
              <w:rPr>
                <w:rFonts w:ascii="Arial" w:cs="Arial" w:eastAsia="Arial" w:hAnsi="Arial"/>
                <w:sz w:val="16"/>
                <w:szCs w:val="16"/>
                <w:color w:val="auto"/>
                <w:w w:val="89"/>
              </w:rPr>
              <w:t>  4,269</w:t>
            </w:r>
          </w:p>
        </w:tc>
        <w:tc>
          <w:tcPr>
            <w:tcW w:w="130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359,979</w:t>
            </w:r>
          </w:p>
        </w:tc>
      </w:tr>
      <w:tr>
        <w:trPr>
          <w:trHeight w:val="183"/>
        </w:trPr>
        <w:tc>
          <w:tcPr>
            <w:tcW w:w="46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 Hunter</w:t>
            </w:r>
          </w:p>
        </w:tc>
        <w:tc>
          <w:tcPr>
            <w:tcW w:w="1620" w:type="dxa"/>
            <w:vAlign w:val="bottom"/>
            <w:tcBorders>
              <w:bottom w:val="single" w:sz="8" w:color="auto"/>
            </w:tcBorders>
          </w:tcPr>
          <w:p>
            <w:pPr>
              <w:jc w:val="right"/>
              <w:ind w:right="823"/>
              <w:spacing w:after="0" w:line="183" w:lineRule="exact"/>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gridSpan w:val="2"/>
          </w:tcPr>
          <w:p>
            <w:pPr>
              <w:jc w:val="right"/>
              <w:ind w:right="980"/>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center"/>
              <w:ind w:right="183"/>
              <w:spacing w:after="0" w:line="183" w:lineRule="exact"/>
              <w:rPr>
                <w:sz w:val="20"/>
                <w:szCs w:val="20"/>
                <w:color w:val="auto"/>
              </w:rPr>
            </w:pPr>
            <w:r>
              <w:rPr>
                <w:rFonts w:ascii="Arial" w:cs="Arial" w:eastAsia="Arial" w:hAnsi="Arial"/>
                <w:sz w:val="16"/>
                <w:szCs w:val="16"/>
                <w:color w:val="auto"/>
                <w:w w:val="89"/>
              </w:rPr>
              <w:t>  3,101</w:t>
            </w:r>
          </w:p>
        </w:tc>
        <w:tc>
          <w:tcPr>
            <w:tcW w:w="1300" w:type="dxa"/>
            <w:vAlign w:val="bottom"/>
            <w:tcBorders>
              <w:bottom w:val="single" w:sz="8" w:color="auto"/>
            </w:tcBorders>
            <w:gridSpan w:val="2"/>
          </w:tcPr>
          <w:p>
            <w:pPr>
              <w:jc w:val="right"/>
              <w:ind w:right="60"/>
              <w:spacing w:after="0" w:line="183" w:lineRule="exact"/>
              <w:rPr>
                <w:sz w:val="20"/>
                <w:szCs w:val="20"/>
                <w:color w:val="auto"/>
              </w:rPr>
            </w:pPr>
            <w:r>
              <w:rPr>
                <w:rFonts w:ascii="Arial" w:cs="Arial" w:eastAsia="Arial" w:hAnsi="Arial"/>
                <w:sz w:val="16"/>
                <w:szCs w:val="16"/>
                <w:color w:val="auto"/>
              </w:rPr>
              <w:t>261,197</w:t>
            </w:r>
          </w:p>
        </w:tc>
      </w:tr>
      <w:tr>
        <w:trPr>
          <w:trHeight w:val="183"/>
        </w:trPr>
        <w:tc>
          <w:tcPr>
            <w:tcW w:w="464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color w:val="auto"/>
              </w:rPr>
              <w:t>L. Gustafson</w:t>
            </w:r>
          </w:p>
        </w:tc>
        <w:tc>
          <w:tcPr>
            <w:tcW w:w="1620" w:type="dxa"/>
            <w:vAlign w:val="bottom"/>
            <w:tcBorders>
              <w:bottom w:val="single" w:sz="8" w:color="003A70"/>
            </w:tcBorders>
          </w:tcPr>
          <w:p>
            <w:pPr>
              <w:jc w:val="right"/>
              <w:ind w:right="823"/>
              <w:spacing w:after="0" w:line="183" w:lineRule="exact"/>
              <w:rPr>
                <w:sz w:val="20"/>
                <w:szCs w:val="20"/>
                <w:color w:val="auto"/>
              </w:rPr>
            </w:pPr>
            <w:r>
              <w:rPr>
                <w:rFonts w:ascii="Arial" w:cs="Arial" w:eastAsia="Arial" w:hAnsi="Arial"/>
                <w:sz w:val="16"/>
                <w:szCs w:val="16"/>
                <w:color w:val="auto"/>
              </w:rPr>
              <w:t>—</w:t>
            </w:r>
          </w:p>
        </w:tc>
        <w:tc>
          <w:tcPr>
            <w:tcW w:w="1920" w:type="dxa"/>
            <w:vAlign w:val="bottom"/>
            <w:tcBorders>
              <w:bottom w:val="single" w:sz="8" w:color="003A70"/>
            </w:tcBorders>
            <w:gridSpan w:val="2"/>
          </w:tcPr>
          <w:p>
            <w:pPr>
              <w:jc w:val="right"/>
              <w:ind w:right="980"/>
              <w:spacing w:after="0" w:line="183" w:lineRule="exact"/>
              <w:rPr>
                <w:sz w:val="20"/>
                <w:szCs w:val="20"/>
                <w:color w:val="auto"/>
              </w:rPr>
            </w:pPr>
            <w:r>
              <w:rPr>
                <w:rFonts w:ascii="Arial" w:cs="Arial" w:eastAsia="Arial" w:hAnsi="Arial"/>
                <w:sz w:val="16"/>
                <w:szCs w:val="16"/>
                <w:color w:val="auto"/>
              </w:rPr>
              <w:t>—</w:t>
            </w:r>
          </w:p>
        </w:tc>
        <w:tc>
          <w:tcPr>
            <w:tcW w:w="1540" w:type="dxa"/>
            <w:vAlign w:val="bottom"/>
            <w:tcBorders>
              <w:bottom w:val="single" w:sz="8" w:color="003A70"/>
            </w:tcBorders>
          </w:tcPr>
          <w:p>
            <w:pPr>
              <w:jc w:val="center"/>
              <w:ind w:right="183"/>
              <w:spacing w:after="0" w:line="183" w:lineRule="exact"/>
              <w:rPr>
                <w:sz w:val="20"/>
                <w:szCs w:val="20"/>
                <w:color w:val="auto"/>
              </w:rPr>
            </w:pPr>
            <w:r>
              <w:rPr>
                <w:rFonts w:ascii="Arial" w:cs="Arial" w:eastAsia="Arial" w:hAnsi="Arial"/>
                <w:sz w:val="16"/>
                <w:szCs w:val="16"/>
                <w:color w:val="auto"/>
                <w:w w:val="89"/>
              </w:rPr>
              <w:t>  1,593</w:t>
            </w:r>
          </w:p>
        </w:tc>
        <w:tc>
          <w:tcPr>
            <w:tcW w:w="1300" w:type="dxa"/>
            <w:vAlign w:val="bottom"/>
            <w:tcBorders>
              <w:bottom w:val="single" w:sz="8" w:color="003A70"/>
            </w:tcBorders>
            <w:gridSpan w:val="2"/>
          </w:tcPr>
          <w:p>
            <w:pPr>
              <w:jc w:val="right"/>
              <w:ind w:right="60"/>
              <w:spacing w:after="0" w:line="183" w:lineRule="exact"/>
              <w:rPr>
                <w:sz w:val="20"/>
                <w:szCs w:val="20"/>
                <w:color w:val="auto"/>
              </w:rPr>
            </w:pPr>
            <w:r>
              <w:rPr>
                <w:rFonts w:ascii="Arial" w:cs="Arial" w:eastAsia="Arial" w:hAnsi="Arial"/>
                <w:sz w:val="16"/>
                <w:szCs w:val="16"/>
                <w:color w:val="auto"/>
              </w:rPr>
              <w:t>134,822</w:t>
            </w:r>
          </w:p>
        </w:tc>
      </w:tr>
    </w:tbl>
    <w:p>
      <w:pPr>
        <w:spacing w:after="0" w:line="55" w:lineRule="exact"/>
        <w:rPr>
          <w:sz w:val="20"/>
          <w:szCs w:val="20"/>
          <w:color w:val="auto"/>
        </w:rPr>
      </w:pPr>
    </w:p>
    <w:p>
      <w:pPr>
        <w:ind w:left="440" w:hanging="324"/>
        <w:spacing w:after="0"/>
        <w:tabs>
          <w:tab w:leader="none" w:pos="440" w:val="left"/>
        </w:tabs>
        <w:numPr>
          <w:ilvl w:val="0"/>
          <w:numId w:val="84"/>
        </w:numPr>
        <w:rPr>
          <w:rFonts w:ascii="Arial" w:cs="Arial" w:eastAsia="Arial" w:hAnsi="Arial"/>
          <w:sz w:val="18"/>
          <w:szCs w:val="18"/>
          <w:color w:val="auto"/>
          <w:vertAlign w:val="superscript"/>
        </w:rPr>
      </w:pPr>
      <w:r>
        <w:rPr>
          <w:rFonts w:ascii="Arial" w:cs="Arial" w:eastAsia="Arial" w:hAnsi="Arial"/>
          <w:sz w:val="14"/>
          <w:szCs w:val="14"/>
          <w:color w:val="auto"/>
        </w:rPr>
        <w:t>The value realized upon exercise is based on the current trading price at the time of exercise.</w:t>
      </w:r>
    </w:p>
    <w:p>
      <w:pPr>
        <w:spacing w:after="0" w:line="53" w:lineRule="exact"/>
        <w:rPr>
          <w:sz w:val="20"/>
          <w:szCs w:val="20"/>
          <w:color w:val="auto"/>
        </w:rPr>
      </w:pPr>
    </w:p>
    <w:p>
      <w:pPr>
        <w:ind w:left="440" w:right="120" w:hanging="324"/>
        <w:spacing w:after="0" w:line="229" w:lineRule="auto"/>
        <w:tabs>
          <w:tab w:leader="none" w:pos="440"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For the Performance Units, the value realized upon vesting is based on the closing price of our Common Stock on the vesting date. For RSUs, the value realized upon vesting is based on the average of the high and low stock price on the vesting date.</w:t>
      </w:r>
    </w:p>
    <w:p>
      <w:pPr>
        <w:spacing w:after="0" w:line="117" w:lineRule="exact"/>
        <w:rPr>
          <w:sz w:val="20"/>
          <w:szCs w:val="20"/>
          <w:color w:val="auto"/>
        </w:rPr>
      </w:pPr>
    </w:p>
    <w:p>
      <w:pPr>
        <w:ind w:left="120"/>
        <w:spacing w:after="0"/>
        <w:tabs>
          <w:tab w:leader="none" w:pos="446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Nonqualified Deferred Compensation for Fiscal Year 2025</w:t>
      </w:r>
    </w:p>
    <w:p>
      <w:pPr>
        <w:spacing w:after="0" w:line="104"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The following table discloses contributions, earnings, distributions and balances under the MVW Deferred Compensation Plan and the Marriott Deferred Compensation Plan for the 2025 fiscal year. Our executives ceased to be eligible to make further contributions under the Marriott Deferred Compensation Plan as of the Spin-Off. We agreed to reimburse Marriott International for any payments made to our employees under the Marriott Deferred Compensation Plan. Unless otherwise indicated, amounts relate to contributions, earnings, distributions and balances under the MVW Deferred Compensation Plan.</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003A70"/>
              </w:rPr>
              <w:t>Executive</w:t>
            </w:r>
          </w:p>
        </w:tc>
        <w:tc>
          <w:tcPr>
            <w:tcW w:w="1100" w:type="dxa"/>
            <w:vAlign w:val="bottom"/>
          </w:tcPr>
          <w:p>
            <w:pPr>
              <w:jc w:val="center"/>
              <w:spacing w:after="0"/>
              <w:rPr>
                <w:sz w:val="20"/>
                <w:szCs w:val="20"/>
                <w:color w:val="auto"/>
              </w:rPr>
            </w:pPr>
            <w:r>
              <w:rPr>
                <w:rFonts w:ascii="Arial" w:cs="Arial" w:eastAsia="Arial" w:hAnsi="Arial"/>
                <w:sz w:val="14"/>
                <w:szCs w:val="14"/>
                <w:color w:val="003A70"/>
              </w:rPr>
              <w:t>Company</w:t>
            </w:r>
          </w:p>
        </w:tc>
        <w:tc>
          <w:tcPr>
            <w:tcW w:w="940" w:type="dxa"/>
            <w:vAlign w:val="bottom"/>
          </w:tcPr>
          <w:p>
            <w:pPr>
              <w:jc w:val="center"/>
              <w:spacing w:after="0"/>
              <w:rPr>
                <w:sz w:val="20"/>
                <w:szCs w:val="20"/>
                <w:color w:val="auto"/>
              </w:rPr>
            </w:pPr>
            <w:r>
              <w:rPr>
                <w:rFonts w:ascii="Arial" w:cs="Arial" w:eastAsia="Arial" w:hAnsi="Arial"/>
                <w:sz w:val="14"/>
                <w:szCs w:val="14"/>
                <w:color w:val="003A70"/>
              </w:rPr>
              <w:t>Aggregate</w:t>
            </w:r>
          </w:p>
        </w:tc>
        <w:tc>
          <w:tcPr>
            <w:tcW w:w="1040" w:type="dxa"/>
            <w:vAlign w:val="bottom"/>
          </w:tcPr>
          <w:p>
            <w:pPr>
              <w:jc w:val="center"/>
              <w:spacing w:after="0"/>
              <w:rPr>
                <w:sz w:val="20"/>
                <w:szCs w:val="20"/>
                <w:color w:val="auto"/>
              </w:rPr>
            </w:pPr>
            <w:r>
              <w:rPr>
                <w:rFonts w:ascii="Arial" w:cs="Arial" w:eastAsia="Arial" w:hAnsi="Arial"/>
                <w:sz w:val="14"/>
                <w:szCs w:val="14"/>
                <w:color w:val="003A70"/>
              </w:rPr>
              <w:t>Aggregate</w:t>
            </w:r>
          </w:p>
        </w:tc>
        <w:tc>
          <w:tcPr>
            <w:tcW w:w="960" w:type="dxa"/>
            <w:vAlign w:val="bottom"/>
          </w:tcPr>
          <w:p>
            <w:pPr>
              <w:ind w:left="140"/>
              <w:spacing w:after="0"/>
              <w:rPr>
                <w:sz w:val="20"/>
                <w:szCs w:val="20"/>
                <w:color w:val="auto"/>
              </w:rPr>
            </w:pPr>
            <w:r>
              <w:rPr>
                <w:rFonts w:ascii="Arial" w:cs="Arial" w:eastAsia="Arial" w:hAnsi="Arial"/>
                <w:sz w:val="14"/>
                <w:szCs w:val="14"/>
                <w:color w:val="003A70"/>
              </w:rPr>
              <w:t>Aggregate</w:t>
            </w:r>
          </w:p>
        </w:tc>
      </w:tr>
      <w:tr>
        <w:trPr>
          <w:trHeight w:val="162"/>
        </w:trPr>
        <w:tc>
          <w:tcPr>
            <w:tcW w:w="3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003A70"/>
              </w:rPr>
              <w:t>Contributions</w:t>
            </w:r>
          </w:p>
        </w:tc>
        <w:tc>
          <w:tcPr>
            <w:tcW w:w="1100" w:type="dxa"/>
            <w:vAlign w:val="bottom"/>
          </w:tcPr>
          <w:p>
            <w:pPr>
              <w:jc w:val="center"/>
              <w:spacing w:after="0"/>
              <w:rPr>
                <w:sz w:val="20"/>
                <w:szCs w:val="20"/>
                <w:color w:val="auto"/>
              </w:rPr>
            </w:pPr>
            <w:r>
              <w:rPr>
                <w:rFonts w:ascii="Arial" w:cs="Arial" w:eastAsia="Arial" w:hAnsi="Arial"/>
                <w:sz w:val="14"/>
                <w:szCs w:val="14"/>
                <w:color w:val="003A70"/>
              </w:rPr>
              <w:t>Contributions</w:t>
            </w:r>
          </w:p>
        </w:tc>
        <w:tc>
          <w:tcPr>
            <w:tcW w:w="940" w:type="dxa"/>
            <w:vAlign w:val="bottom"/>
          </w:tcPr>
          <w:p>
            <w:pPr>
              <w:jc w:val="center"/>
              <w:spacing w:after="0"/>
              <w:rPr>
                <w:sz w:val="20"/>
                <w:szCs w:val="20"/>
                <w:color w:val="auto"/>
              </w:rPr>
            </w:pPr>
            <w:r>
              <w:rPr>
                <w:rFonts w:ascii="Arial" w:cs="Arial" w:eastAsia="Arial" w:hAnsi="Arial"/>
                <w:sz w:val="14"/>
                <w:szCs w:val="14"/>
                <w:color w:val="003A70"/>
              </w:rPr>
              <w:t>Earnings</w:t>
            </w:r>
          </w:p>
        </w:tc>
        <w:tc>
          <w:tcPr>
            <w:tcW w:w="1040" w:type="dxa"/>
            <w:vAlign w:val="bottom"/>
          </w:tcPr>
          <w:p>
            <w:pPr>
              <w:jc w:val="center"/>
              <w:spacing w:after="0"/>
              <w:rPr>
                <w:sz w:val="20"/>
                <w:szCs w:val="20"/>
                <w:color w:val="auto"/>
              </w:rPr>
            </w:pPr>
            <w:r>
              <w:rPr>
                <w:rFonts w:ascii="Arial" w:cs="Arial" w:eastAsia="Arial" w:hAnsi="Arial"/>
                <w:sz w:val="14"/>
                <w:szCs w:val="14"/>
                <w:color w:val="003A70"/>
              </w:rPr>
              <w:t>Withdrawals/</w:t>
            </w:r>
          </w:p>
        </w:tc>
        <w:tc>
          <w:tcPr>
            <w:tcW w:w="960" w:type="dxa"/>
            <w:vAlign w:val="bottom"/>
          </w:tcPr>
          <w:p>
            <w:pPr>
              <w:ind w:left="120"/>
              <w:spacing w:after="0"/>
              <w:rPr>
                <w:sz w:val="20"/>
                <w:szCs w:val="20"/>
                <w:color w:val="auto"/>
              </w:rPr>
            </w:pPr>
            <w:r>
              <w:rPr>
                <w:rFonts w:ascii="Arial" w:cs="Arial" w:eastAsia="Arial" w:hAnsi="Arial"/>
                <w:sz w:val="14"/>
                <w:szCs w:val="14"/>
                <w:color w:val="003A70"/>
              </w:rPr>
              <w:t>Balance at</w:t>
            </w:r>
          </w:p>
        </w:tc>
      </w:tr>
      <w:tr>
        <w:trPr>
          <w:trHeight w:val="192"/>
        </w:trPr>
        <w:tc>
          <w:tcPr>
            <w:tcW w:w="312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Name</w:t>
            </w:r>
          </w:p>
        </w:tc>
        <w:tc>
          <w:tcPr>
            <w:tcW w:w="2800" w:type="dxa"/>
            <w:vAlign w:val="bottom"/>
            <w:tcBorders>
              <w:bottom w:val="single" w:sz="8" w:color="003A70"/>
            </w:tcBorders>
          </w:tcPr>
          <w:p>
            <w:pPr>
              <w:jc w:val="center"/>
              <w:ind w:left="2020"/>
              <w:spacing w:after="0" w:line="185" w:lineRule="exact"/>
              <w:rPr>
                <w:sz w:val="20"/>
                <w:szCs w:val="20"/>
                <w:color w:val="auto"/>
              </w:rPr>
            </w:pPr>
            <w:r>
              <w:rPr>
                <w:rFonts w:ascii="Arial" w:cs="Arial" w:eastAsia="Arial" w:hAnsi="Arial"/>
                <w:sz w:val="14"/>
                <w:szCs w:val="14"/>
                <w:color w:val="003A70"/>
                <w:w w:val="94"/>
              </w:rPr>
              <w:t>Plan</w:t>
            </w:r>
            <w:r>
              <w:rPr>
                <w:rFonts w:ascii="Arial" w:cs="Arial" w:eastAsia="Arial" w:hAnsi="Arial"/>
                <w:sz w:val="21"/>
                <w:szCs w:val="21"/>
                <w:color w:val="003A70"/>
                <w:w w:val="94"/>
                <w:vertAlign w:val="superscript"/>
              </w:rPr>
              <w:t>1</w:t>
            </w:r>
          </w:p>
        </w:tc>
        <w:tc>
          <w:tcPr>
            <w:tcW w:w="1060" w:type="dxa"/>
            <w:vAlign w:val="bottom"/>
            <w:tcBorders>
              <w:bottom w:val="single" w:sz="8" w:color="003A70"/>
            </w:tcBorders>
          </w:tcPr>
          <w:p>
            <w:pPr>
              <w:jc w:val="center"/>
              <w:spacing w:after="0" w:line="185" w:lineRule="exact"/>
              <w:rPr>
                <w:sz w:val="20"/>
                <w:szCs w:val="20"/>
                <w:color w:val="auto"/>
              </w:rPr>
            </w:pPr>
            <w:r>
              <w:rPr>
                <w:rFonts w:ascii="Arial" w:cs="Arial" w:eastAsia="Arial" w:hAnsi="Arial"/>
                <w:sz w:val="14"/>
                <w:szCs w:val="14"/>
                <w:color w:val="003A70"/>
                <w:w w:val="98"/>
              </w:rPr>
              <w:t>in Last FY</w:t>
            </w:r>
            <w:r>
              <w:rPr>
                <w:rFonts w:ascii="Arial" w:cs="Arial" w:eastAsia="Arial" w:hAnsi="Arial"/>
                <w:sz w:val="21"/>
                <w:szCs w:val="21"/>
                <w:color w:val="003A70"/>
                <w:w w:val="98"/>
                <w:vertAlign w:val="superscript"/>
              </w:rPr>
              <w:t>2</w:t>
            </w:r>
          </w:p>
        </w:tc>
        <w:tc>
          <w:tcPr>
            <w:tcW w:w="1100" w:type="dxa"/>
            <w:vAlign w:val="bottom"/>
            <w:tcBorders>
              <w:bottom w:val="single" w:sz="8" w:color="003A70"/>
            </w:tcBorders>
          </w:tcPr>
          <w:p>
            <w:pPr>
              <w:jc w:val="center"/>
              <w:spacing w:after="0" w:line="185" w:lineRule="exact"/>
              <w:rPr>
                <w:sz w:val="20"/>
                <w:szCs w:val="20"/>
                <w:color w:val="auto"/>
              </w:rPr>
            </w:pPr>
            <w:r>
              <w:rPr>
                <w:rFonts w:ascii="Arial" w:cs="Arial" w:eastAsia="Arial" w:hAnsi="Arial"/>
                <w:sz w:val="14"/>
                <w:szCs w:val="14"/>
                <w:color w:val="003A70"/>
              </w:rPr>
              <w:t>in Last FY</w:t>
            </w:r>
            <w:r>
              <w:rPr>
                <w:rFonts w:ascii="Arial" w:cs="Arial" w:eastAsia="Arial" w:hAnsi="Arial"/>
                <w:sz w:val="21"/>
                <w:szCs w:val="21"/>
                <w:color w:val="003A70"/>
                <w:vertAlign w:val="superscript"/>
              </w:rPr>
              <w:t>3</w:t>
            </w:r>
          </w:p>
        </w:tc>
        <w:tc>
          <w:tcPr>
            <w:tcW w:w="9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in Last FY</w:t>
            </w:r>
          </w:p>
        </w:tc>
        <w:tc>
          <w:tcPr>
            <w:tcW w:w="10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Distributions</w:t>
            </w:r>
          </w:p>
        </w:tc>
        <w:tc>
          <w:tcPr>
            <w:tcW w:w="960" w:type="dxa"/>
            <w:vAlign w:val="bottom"/>
            <w:tcBorders>
              <w:bottom w:val="single" w:sz="8" w:color="003A70"/>
            </w:tcBorders>
          </w:tcPr>
          <w:p>
            <w:pPr>
              <w:ind w:left="160"/>
              <w:spacing w:after="0" w:line="185" w:lineRule="exact"/>
              <w:rPr>
                <w:sz w:val="20"/>
                <w:szCs w:val="20"/>
                <w:color w:val="auto"/>
              </w:rPr>
            </w:pPr>
            <w:r>
              <w:rPr>
                <w:rFonts w:ascii="Arial" w:cs="Arial" w:eastAsia="Arial" w:hAnsi="Arial"/>
                <w:sz w:val="14"/>
                <w:szCs w:val="14"/>
                <w:color w:val="003A70"/>
              </w:rPr>
              <w:t>Last FYE</w:t>
            </w:r>
            <w:r>
              <w:rPr>
                <w:rFonts w:ascii="Arial" w:cs="Arial" w:eastAsia="Arial" w:hAnsi="Arial"/>
                <w:sz w:val="21"/>
                <w:szCs w:val="21"/>
                <w:color w:val="003A70"/>
                <w:vertAlign w:val="superscript"/>
              </w:rPr>
              <w:t>4</w:t>
            </w:r>
          </w:p>
        </w:tc>
      </w:tr>
      <w:tr>
        <w:trPr>
          <w:trHeight w:val="175"/>
        </w:trPr>
        <w:tc>
          <w:tcPr>
            <w:tcW w:w="3120" w:type="dxa"/>
            <w:vAlign w:val="bottom"/>
          </w:tcPr>
          <w:p>
            <w:pPr>
              <w:spacing w:after="0" w:line="175" w:lineRule="exact"/>
              <w:rPr>
                <w:sz w:val="20"/>
                <w:szCs w:val="20"/>
                <w:color w:val="auto"/>
              </w:rPr>
            </w:pPr>
            <w:r>
              <w:rPr>
                <w:rFonts w:ascii="Arial" w:cs="Arial" w:eastAsia="Arial" w:hAnsi="Arial"/>
                <w:sz w:val="16"/>
                <w:szCs w:val="16"/>
                <w:color w:val="auto"/>
              </w:rPr>
              <w:t>M. Avril</w:t>
            </w:r>
          </w:p>
        </w:tc>
        <w:tc>
          <w:tcPr>
            <w:tcW w:w="2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jc w:val="center"/>
              <w:spacing w:after="0" w:line="175" w:lineRule="exact"/>
              <w:rPr>
                <w:sz w:val="20"/>
                <w:szCs w:val="20"/>
                <w:color w:val="auto"/>
              </w:rPr>
            </w:pPr>
            <w:r>
              <w:rPr>
                <w:rFonts w:ascii="Arial" w:cs="Arial" w:eastAsia="Arial" w:hAnsi="Arial"/>
                <w:sz w:val="16"/>
                <w:szCs w:val="16"/>
                <w:color w:val="auto"/>
              </w:rPr>
              <w:t xml:space="preserve">$         </w:t>
            </w:r>
          </w:p>
        </w:tc>
        <w:tc>
          <w:tcPr>
            <w:tcW w:w="1040" w:type="dxa"/>
            <w:vAlign w:val="bottom"/>
          </w:tcPr>
          <w:p>
            <w:pPr>
              <w:spacing w:after="0"/>
              <w:rPr>
                <w:sz w:val="15"/>
                <w:szCs w:val="15"/>
                <w:color w:val="auto"/>
              </w:rPr>
            </w:pPr>
          </w:p>
        </w:tc>
        <w:tc>
          <w:tcPr>
            <w:tcW w:w="960" w:type="dxa"/>
            <w:vAlign w:val="bottom"/>
          </w:tcPr>
          <w:p>
            <w:pPr>
              <w:jc w:val="right"/>
              <w:ind w:right="75"/>
              <w:spacing w:after="0" w:line="175" w:lineRule="exact"/>
              <w:rPr>
                <w:sz w:val="20"/>
                <w:szCs w:val="20"/>
                <w:color w:val="auto"/>
              </w:rPr>
            </w:pPr>
            <w:r>
              <w:rPr>
                <w:rFonts w:ascii="Arial" w:cs="Arial" w:eastAsia="Arial" w:hAnsi="Arial"/>
                <w:sz w:val="16"/>
                <w:szCs w:val="16"/>
                <w:color w:val="auto"/>
              </w:rPr>
              <w:t xml:space="preserve">$            </w:t>
            </w:r>
          </w:p>
        </w:tc>
      </w:tr>
      <w:tr>
        <w:trPr>
          <w:trHeight w:val="189"/>
        </w:trPr>
        <w:tc>
          <w:tcPr>
            <w:tcW w:w="3120" w:type="dxa"/>
            <w:vAlign w:val="bottom"/>
          </w:tcPr>
          <w:p>
            <w:pPr>
              <w:spacing w:after="0"/>
              <w:rPr>
                <w:sz w:val="16"/>
                <w:szCs w:val="16"/>
                <w:color w:val="auto"/>
              </w:rPr>
            </w:pPr>
          </w:p>
        </w:tc>
        <w:tc>
          <w:tcPr>
            <w:tcW w:w="2800" w:type="dxa"/>
            <w:vAlign w:val="bottom"/>
          </w:tcPr>
          <w:p>
            <w:pPr>
              <w:jc w:val="center"/>
              <w:ind w:left="2020"/>
              <w:spacing w:after="0"/>
              <w:rPr>
                <w:sz w:val="20"/>
                <w:szCs w:val="20"/>
                <w:color w:val="auto"/>
              </w:rPr>
            </w:pPr>
            <w:r>
              <w:rPr>
                <w:rFonts w:ascii="Arial" w:cs="Arial" w:eastAsia="Arial" w:hAnsi="Arial"/>
                <w:sz w:val="16"/>
                <w:szCs w:val="16"/>
                <w:color w:val="auto"/>
              </w:rPr>
              <w:t>DCP</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         —</w:t>
            </w: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       —</w:t>
            </w:r>
          </w:p>
        </w:tc>
        <w:tc>
          <w:tcPr>
            <w:tcW w:w="940" w:type="dxa"/>
            <w:vAlign w:val="bottom"/>
          </w:tcPr>
          <w:p>
            <w:pPr>
              <w:jc w:val="right"/>
              <w:ind w:right="73"/>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5</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6</w:t>
            </w:r>
          </w:p>
        </w:tc>
      </w:tr>
      <w:tr>
        <w:trPr>
          <w:trHeight w:val="203"/>
        </w:trPr>
        <w:tc>
          <w:tcPr>
            <w:tcW w:w="31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center"/>
              <w:ind w:left="2020"/>
              <w:spacing w:after="0"/>
              <w:rPr>
                <w:sz w:val="20"/>
                <w:szCs w:val="20"/>
                <w:color w:val="auto"/>
              </w:rPr>
            </w:pPr>
            <w:r>
              <w:rPr>
                <w:rFonts w:ascii="Arial" w:cs="Arial" w:eastAsia="Arial" w:hAnsi="Arial"/>
                <w:sz w:val="16"/>
                <w:szCs w:val="16"/>
                <w:color w:val="auto"/>
                <w:w w:val="97"/>
              </w:rPr>
              <w:t>MDCP</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5</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7</w:t>
            </w:r>
          </w:p>
        </w:tc>
      </w:tr>
      <w:tr>
        <w:trPr>
          <w:trHeight w:val="168"/>
        </w:trPr>
        <w:tc>
          <w:tcPr>
            <w:tcW w:w="3120" w:type="dxa"/>
            <w:vAlign w:val="bottom"/>
          </w:tcPr>
          <w:p>
            <w:pPr>
              <w:spacing w:after="0" w:line="168" w:lineRule="exact"/>
              <w:rPr>
                <w:sz w:val="20"/>
                <w:szCs w:val="20"/>
                <w:color w:val="auto"/>
              </w:rPr>
            </w:pPr>
            <w:r>
              <w:rPr>
                <w:rFonts w:ascii="Arial" w:cs="Arial" w:eastAsia="Arial" w:hAnsi="Arial"/>
                <w:sz w:val="16"/>
                <w:szCs w:val="16"/>
                <w:color w:val="auto"/>
              </w:rPr>
              <w:t>J. Geller</w:t>
            </w:r>
          </w:p>
        </w:tc>
        <w:tc>
          <w:tcPr>
            <w:tcW w:w="2800" w:type="dxa"/>
            <w:vAlign w:val="bottom"/>
          </w:tcPr>
          <w:p>
            <w:pPr>
              <w:jc w:val="center"/>
              <w:ind w:left="2020"/>
              <w:spacing w:after="0" w:line="168" w:lineRule="exact"/>
              <w:rPr>
                <w:sz w:val="20"/>
                <w:szCs w:val="20"/>
                <w:color w:val="auto"/>
              </w:rPr>
            </w:pPr>
            <w:r>
              <w:rPr>
                <w:rFonts w:ascii="Arial" w:cs="Arial" w:eastAsia="Arial" w:hAnsi="Arial"/>
                <w:sz w:val="16"/>
                <w:szCs w:val="16"/>
                <w:color w:val="auto"/>
              </w:rPr>
              <w:t>DCP</w:t>
            </w:r>
          </w:p>
        </w:tc>
        <w:tc>
          <w:tcPr>
            <w:tcW w:w="1060" w:type="dxa"/>
            <w:vAlign w:val="bottom"/>
          </w:tcPr>
          <w:p>
            <w:pPr>
              <w:jc w:val="right"/>
              <w:ind w:right="81"/>
              <w:spacing w:after="0" w:line="168" w:lineRule="exact"/>
              <w:rPr>
                <w:sz w:val="20"/>
                <w:szCs w:val="20"/>
                <w:color w:val="auto"/>
              </w:rPr>
            </w:pPr>
            <w:r>
              <w:rPr>
                <w:rFonts w:ascii="Arial" w:cs="Arial" w:eastAsia="Arial" w:hAnsi="Arial"/>
                <w:sz w:val="16"/>
                <w:szCs w:val="16"/>
                <w:color w:val="auto"/>
              </w:rPr>
              <w:t>444,565</w:t>
            </w:r>
          </w:p>
        </w:tc>
        <w:tc>
          <w:tcPr>
            <w:tcW w:w="1100" w:type="dxa"/>
            <w:vAlign w:val="bottom"/>
          </w:tcPr>
          <w:p>
            <w:pPr>
              <w:jc w:val="right"/>
              <w:ind w:right="141"/>
              <w:spacing w:after="0" w:line="168" w:lineRule="exact"/>
              <w:rPr>
                <w:sz w:val="20"/>
                <w:szCs w:val="20"/>
                <w:color w:val="auto"/>
              </w:rPr>
            </w:pPr>
            <w:r>
              <w:rPr>
                <w:rFonts w:ascii="Arial" w:cs="Arial" w:eastAsia="Arial" w:hAnsi="Arial"/>
                <w:sz w:val="16"/>
                <w:szCs w:val="16"/>
                <w:color w:val="auto"/>
              </w:rPr>
              <w:t>29,035</w:t>
            </w:r>
          </w:p>
        </w:tc>
        <w:tc>
          <w:tcPr>
            <w:tcW w:w="940" w:type="dxa"/>
            <w:vAlign w:val="bottom"/>
          </w:tcPr>
          <w:p>
            <w:pPr>
              <w:jc w:val="right"/>
              <w:ind w:right="73"/>
              <w:spacing w:after="0" w:line="168" w:lineRule="exact"/>
              <w:rPr>
                <w:sz w:val="20"/>
                <w:szCs w:val="20"/>
                <w:color w:val="auto"/>
              </w:rPr>
            </w:pPr>
            <w:r>
              <w:rPr>
                <w:rFonts w:ascii="Arial" w:cs="Arial" w:eastAsia="Arial" w:hAnsi="Arial"/>
                <w:sz w:val="13"/>
                <w:szCs w:val="13"/>
                <w:color w:val="auto"/>
              </w:rPr>
              <w:t>89,921</w:t>
            </w:r>
            <w:r>
              <w:rPr>
                <w:rFonts w:ascii="Arial" w:cs="Arial" w:eastAsia="Arial" w:hAnsi="Arial"/>
                <w:sz w:val="19"/>
                <w:szCs w:val="19"/>
                <w:color w:val="auto"/>
                <w:vertAlign w:val="superscript"/>
              </w:rPr>
              <w:t> 5</w:t>
            </w:r>
          </w:p>
        </w:tc>
        <w:tc>
          <w:tcPr>
            <w:tcW w:w="10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95,391</w:t>
            </w:r>
          </w:p>
        </w:tc>
        <w:tc>
          <w:tcPr>
            <w:tcW w:w="960" w:type="dxa"/>
            <w:vAlign w:val="bottom"/>
          </w:tcPr>
          <w:p>
            <w:pPr>
              <w:jc w:val="right"/>
              <w:spacing w:after="0" w:line="168" w:lineRule="exact"/>
              <w:rPr>
                <w:sz w:val="20"/>
                <w:szCs w:val="20"/>
                <w:color w:val="auto"/>
              </w:rPr>
            </w:pPr>
            <w:r>
              <w:rPr>
                <w:rFonts w:ascii="Arial" w:cs="Arial" w:eastAsia="Arial" w:hAnsi="Arial"/>
                <w:sz w:val="13"/>
                <w:szCs w:val="13"/>
                <w:color w:val="auto"/>
              </w:rPr>
              <w:t>1,317,825</w:t>
            </w:r>
            <w:r>
              <w:rPr>
                <w:rFonts w:ascii="Arial" w:cs="Arial" w:eastAsia="Arial" w:hAnsi="Arial"/>
                <w:sz w:val="19"/>
                <w:szCs w:val="19"/>
                <w:color w:val="auto"/>
                <w:vertAlign w:val="superscript"/>
              </w:rPr>
              <w:t> 6</w:t>
            </w:r>
          </w:p>
        </w:tc>
      </w:tr>
      <w:tr>
        <w:trPr>
          <w:trHeight w:val="203"/>
        </w:trPr>
        <w:tc>
          <w:tcPr>
            <w:tcW w:w="31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center"/>
              <w:ind w:left="2020"/>
              <w:spacing w:after="0"/>
              <w:rPr>
                <w:sz w:val="20"/>
                <w:szCs w:val="20"/>
                <w:color w:val="auto"/>
              </w:rPr>
            </w:pPr>
            <w:r>
              <w:rPr>
                <w:rFonts w:ascii="Arial" w:cs="Arial" w:eastAsia="Arial" w:hAnsi="Arial"/>
                <w:sz w:val="16"/>
                <w:szCs w:val="16"/>
                <w:color w:val="auto"/>
                <w:w w:val="97"/>
              </w:rPr>
              <w:t>MDCP</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16"/>
                <w:szCs w:val="16"/>
                <w:color w:val="auto"/>
              </w:rPr>
              <w:t>11,506</w:t>
            </w:r>
            <w:r>
              <w:rPr>
                <w:rFonts w:ascii="Arial" w:cs="Arial" w:eastAsia="Arial" w:hAnsi="Arial"/>
                <w:sz w:val="23"/>
                <w:szCs w:val="23"/>
                <w:color w:val="auto"/>
                <w:vertAlign w:val="superscript"/>
              </w:rPr>
              <w:t> 5</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326,134</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7</w:t>
            </w:r>
          </w:p>
        </w:tc>
      </w:tr>
      <w:tr>
        <w:trPr>
          <w:trHeight w:val="168"/>
        </w:trPr>
        <w:tc>
          <w:tcPr>
            <w:tcW w:w="3120" w:type="dxa"/>
            <w:vAlign w:val="bottom"/>
          </w:tcPr>
          <w:p>
            <w:pPr>
              <w:spacing w:after="0" w:line="168" w:lineRule="exact"/>
              <w:rPr>
                <w:sz w:val="20"/>
                <w:szCs w:val="20"/>
                <w:color w:val="auto"/>
              </w:rPr>
            </w:pPr>
            <w:r>
              <w:rPr>
                <w:rFonts w:ascii="Arial" w:cs="Arial" w:eastAsia="Arial" w:hAnsi="Arial"/>
                <w:sz w:val="16"/>
                <w:szCs w:val="16"/>
                <w:color w:val="auto"/>
              </w:rPr>
              <w:t>J. Marino</w:t>
            </w:r>
          </w:p>
        </w:tc>
        <w:tc>
          <w:tcPr>
            <w:tcW w:w="2800" w:type="dxa"/>
            <w:vAlign w:val="bottom"/>
          </w:tcPr>
          <w:p>
            <w:pPr>
              <w:jc w:val="center"/>
              <w:ind w:left="2020"/>
              <w:spacing w:after="0" w:line="168" w:lineRule="exact"/>
              <w:rPr>
                <w:sz w:val="20"/>
                <w:szCs w:val="20"/>
                <w:color w:val="auto"/>
              </w:rPr>
            </w:pPr>
            <w:r>
              <w:rPr>
                <w:rFonts w:ascii="Arial" w:cs="Arial" w:eastAsia="Arial" w:hAnsi="Arial"/>
                <w:sz w:val="16"/>
                <w:szCs w:val="16"/>
                <w:color w:val="auto"/>
              </w:rPr>
              <w:t>DCP</w:t>
            </w:r>
          </w:p>
        </w:tc>
        <w:tc>
          <w:tcPr>
            <w:tcW w:w="1060" w:type="dxa"/>
            <w:vAlign w:val="bottom"/>
          </w:tcPr>
          <w:p>
            <w:pPr>
              <w:jc w:val="right"/>
              <w:ind w:right="81"/>
              <w:spacing w:after="0" w:line="168" w:lineRule="exact"/>
              <w:rPr>
                <w:sz w:val="20"/>
                <w:szCs w:val="20"/>
                <w:color w:val="auto"/>
              </w:rPr>
            </w:pPr>
            <w:r>
              <w:rPr>
                <w:rFonts w:ascii="Arial" w:cs="Arial" w:eastAsia="Arial" w:hAnsi="Arial"/>
                <w:sz w:val="16"/>
                <w:szCs w:val="16"/>
                <w:color w:val="auto"/>
              </w:rPr>
              <w:t>43,000</w:t>
            </w:r>
          </w:p>
        </w:tc>
        <w:tc>
          <w:tcPr>
            <w:tcW w:w="1100" w:type="dxa"/>
            <w:vAlign w:val="bottom"/>
          </w:tcPr>
          <w:p>
            <w:pPr>
              <w:jc w:val="right"/>
              <w:ind w:right="141"/>
              <w:spacing w:after="0" w:line="168" w:lineRule="exact"/>
              <w:rPr>
                <w:sz w:val="20"/>
                <w:szCs w:val="20"/>
                <w:color w:val="auto"/>
              </w:rPr>
            </w:pPr>
            <w:r>
              <w:rPr>
                <w:rFonts w:ascii="Arial" w:cs="Arial" w:eastAsia="Arial" w:hAnsi="Arial"/>
                <w:sz w:val="16"/>
                <w:szCs w:val="16"/>
                <w:color w:val="auto"/>
              </w:rPr>
              <w:t>8,072</w:t>
            </w:r>
          </w:p>
        </w:tc>
        <w:tc>
          <w:tcPr>
            <w:tcW w:w="940" w:type="dxa"/>
            <w:vAlign w:val="bottom"/>
          </w:tcPr>
          <w:p>
            <w:pPr>
              <w:jc w:val="right"/>
              <w:ind w:right="73"/>
              <w:spacing w:after="0" w:line="168" w:lineRule="exact"/>
              <w:rPr>
                <w:sz w:val="20"/>
                <w:szCs w:val="20"/>
                <w:color w:val="auto"/>
              </w:rPr>
            </w:pPr>
            <w:r>
              <w:rPr>
                <w:rFonts w:ascii="Arial" w:cs="Arial" w:eastAsia="Arial" w:hAnsi="Arial"/>
                <w:sz w:val="13"/>
                <w:szCs w:val="13"/>
                <w:color w:val="auto"/>
              </w:rPr>
              <w:t>113,738</w:t>
            </w:r>
            <w:r>
              <w:rPr>
                <w:rFonts w:ascii="Arial" w:cs="Arial" w:eastAsia="Arial" w:hAnsi="Arial"/>
                <w:sz w:val="19"/>
                <w:szCs w:val="19"/>
                <w:color w:val="auto"/>
                <w:vertAlign w:val="superscript"/>
              </w:rPr>
              <w:t> 5</w:t>
            </w:r>
          </w:p>
        </w:tc>
        <w:tc>
          <w:tcPr>
            <w:tcW w:w="10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8" w:lineRule="exact"/>
              <w:rPr>
                <w:sz w:val="20"/>
                <w:szCs w:val="20"/>
                <w:color w:val="auto"/>
              </w:rPr>
            </w:pPr>
            <w:r>
              <w:rPr>
                <w:rFonts w:ascii="Arial" w:cs="Arial" w:eastAsia="Arial" w:hAnsi="Arial"/>
                <w:sz w:val="13"/>
                <w:szCs w:val="13"/>
                <w:color w:val="auto"/>
              </w:rPr>
              <w:t>859,582</w:t>
            </w:r>
            <w:r>
              <w:rPr>
                <w:rFonts w:ascii="Arial" w:cs="Arial" w:eastAsia="Arial" w:hAnsi="Arial"/>
                <w:sz w:val="19"/>
                <w:szCs w:val="19"/>
                <w:color w:val="auto"/>
                <w:vertAlign w:val="superscript"/>
              </w:rPr>
              <w:t> 6</w:t>
            </w:r>
          </w:p>
        </w:tc>
      </w:tr>
      <w:tr>
        <w:trPr>
          <w:trHeight w:val="203"/>
        </w:trPr>
        <w:tc>
          <w:tcPr>
            <w:tcW w:w="31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center"/>
              <w:ind w:left="2020"/>
              <w:spacing w:after="0"/>
              <w:rPr>
                <w:sz w:val="20"/>
                <w:szCs w:val="20"/>
                <w:color w:val="auto"/>
              </w:rPr>
            </w:pPr>
            <w:r>
              <w:rPr>
                <w:rFonts w:ascii="Arial" w:cs="Arial" w:eastAsia="Arial" w:hAnsi="Arial"/>
                <w:sz w:val="16"/>
                <w:szCs w:val="16"/>
                <w:color w:val="auto"/>
                <w:w w:val="97"/>
              </w:rPr>
              <w:t>MDCP</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5</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7</w:t>
            </w:r>
          </w:p>
        </w:tc>
      </w:tr>
      <w:tr>
        <w:trPr>
          <w:trHeight w:val="168"/>
        </w:trPr>
        <w:tc>
          <w:tcPr>
            <w:tcW w:w="3120" w:type="dxa"/>
            <w:vAlign w:val="bottom"/>
          </w:tcPr>
          <w:p>
            <w:pPr>
              <w:spacing w:after="0" w:line="168" w:lineRule="exact"/>
              <w:rPr>
                <w:sz w:val="20"/>
                <w:szCs w:val="20"/>
                <w:color w:val="auto"/>
              </w:rPr>
            </w:pPr>
            <w:r>
              <w:rPr>
                <w:rFonts w:ascii="Arial" w:cs="Arial" w:eastAsia="Arial" w:hAnsi="Arial"/>
                <w:sz w:val="16"/>
                <w:szCs w:val="16"/>
                <w:color w:val="auto"/>
              </w:rPr>
              <w:t>B. Miller</w:t>
            </w:r>
          </w:p>
        </w:tc>
        <w:tc>
          <w:tcPr>
            <w:tcW w:w="2800" w:type="dxa"/>
            <w:vAlign w:val="bottom"/>
          </w:tcPr>
          <w:p>
            <w:pPr>
              <w:jc w:val="center"/>
              <w:ind w:left="2020"/>
              <w:spacing w:after="0" w:line="168" w:lineRule="exact"/>
              <w:rPr>
                <w:sz w:val="20"/>
                <w:szCs w:val="20"/>
                <w:color w:val="auto"/>
              </w:rPr>
            </w:pPr>
            <w:r>
              <w:rPr>
                <w:rFonts w:ascii="Arial" w:cs="Arial" w:eastAsia="Arial" w:hAnsi="Arial"/>
                <w:sz w:val="16"/>
                <w:szCs w:val="16"/>
                <w:color w:val="auto"/>
              </w:rPr>
              <w:t>DCP</w:t>
            </w:r>
          </w:p>
        </w:tc>
        <w:tc>
          <w:tcPr>
            <w:tcW w:w="1060" w:type="dxa"/>
            <w:vAlign w:val="bottom"/>
          </w:tcPr>
          <w:p>
            <w:pPr>
              <w:jc w:val="right"/>
              <w:ind w:right="81"/>
              <w:spacing w:after="0" w:line="168" w:lineRule="exact"/>
              <w:rPr>
                <w:sz w:val="20"/>
                <w:szCs w:val="20"/>
                <w:color w:val="auto"/>
              </w:rPr>
            </w:pPr>
            <w:r>
              <w:rPr>
                <w:rFonts w:ascii="Arial" w:cs="Arial" w:eastAsia="Arial" w:hAnsi="Arial"/>
                <w:sz w:val="16"/>
                <w:szCs w:val="16"/>
                <w:color w:val="auto"/>
              </w:rPr>
              <w:t>65,361</w:t>
            </w:r>
          </w:p>
        </w:tc>
        <w:tc>
          <w:tcPr>
            <w:tcW w:w="1100" w:type="dxa"/>
            <w:vAlign w:val="bottom"/>
          </w:tcPr>
          <w:p>
            <w:pPr>
              <w:jc w:val="right"/>
              <w:ind w:right="141"/>
              <w:spacing w:after="0" w:line="168" w:lineRule="exact"/>
              <w:rPr>
                <w:sz w:val="20"/>
                <w:szCs w:val="20"/>
                <w:color w:val="auto"/>
              </w:rPr>
            </w:pPr>
            <w:r>
              <w:rPr>
                <w:rFonts w:ascii="Arial" w:cs="Arial" w:eastAsia="Arial" w:hAnsi="Arial"/>
                <w:sz w:val="16"/>
                <w:szCs w:val="16"/>
                <w:color w:val="auto"/>
              </w:rPr>
              <w:t>12,086</w:t>
            </w:r>
          </w:p>
        </w:tc>
        <w:tc>
          <w:tcPr>
            <w:tcW w:w="940" w:type="dxa"/>
            <w:vAlign w:val="bottom"/>
          </w:tcPr>
          <w:p>
            <w:pPr>
              <w:jc w:val="right"/>
              <w:ind w:right="73"/>
              <w:spacing w:after="0" w:line="168" w:lineRule="exact"/>
              <w:rPr>
                <w:sz w:val="20"/>
                <w:szCs w:val="20"/>
                <w:color w:val="auto"/>
              </w:rPr>
            </w:pPr>
            <w:r>
              <w:rPr>
                <w:rFonts w:ascii="Arial" w:cs="Arial" w:eastAsia="Arial" w:hAnsi="Arial"/>
                <w:sz w:val="13"/>
                <w:szCs w:val="13"/>
                <w:color w:val="auto"/>
              </w:rPr>
              <w:t>52,169</w:t>
            </w:r>
            <w:r>
              <w:rPr>
                <w:rFonts w:ascii="Arial" w:cs="Arial" w:eastAsia="Arial" w:hAnsi="Arial"/>
                <w:sz w:val="19"/>
                <w:szCs w:val="19"/>
                <w:color w:val="auto"/>
                <w:vertAlign w:val="superscript"/>
              </w:rPr>
              <w:t> 5</w:t>
            </w:r>
          </w:p>
        </w:tc>
        <w:tc>
          <w:tcPr>
            <w:tcW w:w="10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8" w:lineRule="exact"/>
              <w:rPr>
                <w:sz w:val="20"/>
                <w:szCs w:val="20"/>
                <w:color w:val="auto"/>
              </w:rPr>
            </w:pPr>
            <w:r>
              <w:rPr>
                <w:rFonts w:ascii="Arial" w:cs="Arial" w:eastAsia="Arial" w:hAnsi="Arial"/>
                <w:sz w:val="13"/>
                <w:szCs w:val="13"/>
                <w:color w:val="auto"/>
              </w:rPr>
              <w:t>1,573,305</w:t>
            </w:r>
            <w:r>
              <w:rPr>
                <w:rFonts w:ascii="Arial" w:cs="Arial" w:eastAsia="Arial" w:hAnsi="Arial"/>
                <w:sz w:val="19"/>
                <w:szCs w:val="19"/>
                <w:color w:val="auto"/>
                <w:vertAlign w:val="superscript"/>
              </w:rPr>
              <w:t> 6</w:t>
            </w:r>
          </w:p>
        </w:tc>
      </w:tr>
      <w:tr>
        <w:trPr>
          <w:trHeight w:val="203"/>
        </w:trPr>
        <w:tc>
          <w:tcPr>
            <w:tcW w:w="31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center"/>
              <w:ind w:left="2020"/>
              <w:spacing w:after="0"/>
              <w:rPr>
                <w:sz w:val="20"/>
                <w:szCs w:val="20"/>
                <w:color w:val="auto"/>
              </w:rPr>
            </w:pPr>
            <w:r>
              <w:rPr>
                <w:rFonts w:ascii="Arial" w:cs="Arial" w:eastAsia="Arial" w:hAnsi="Arial"/>
                <w:sz w:val="16"/>
                <w:szCs w:val="16"/>
                <w:color w:val="auto"/>
                <w:w w:val="97"/>
              </w:rPr>
              <w:t>MDCP</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16"/>
                <w:szCs w:val="16"/>
                <w:color w:val="auto"/>
              </w:rPr>
              <w:t>40,145</w:t>
            </w:r>
            <w:r>
              <w:rPr>
                <w:rFonts w:ascii="Arial" w:cs="Arial" w:eastAsia="Arial" w:hAnsi="Arial"/>
                <w:sz w:val="23"/>
                <w:szCs w:val="23"/>
                <w:color w:val="auto"/>
                <w:vertAlign w:val="superscript"/>
              </w:rPr>
              <w:t> 5</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6"/>
                <w:szCs w:val="16"/>
                <w:color w:val="auto"/>
              </w:rPr>
              <w:t>1,046,073</w:t>
            </w:r>
            <w:r>
              <w:rPr>
                <w:rFonts w:ascii="Arial" w:cs="Arial" w:eastAsia="Arial" w:hAnsi="Arial"/>
                <w:sz w:val="23"/>
                <w:szCs w:val="23"/>
                <w:color w:val="auto"/>
                <w:vertAlign w:val="superscript"/>
              </w:rPr>
              <w:t> 7</w:t>
            </w:r>
          </w:p>
        </w:tc>
      </w:tr>
      <w:tr>
        <w:trPr>
          <w:trHeight w:val="168"/>
        </w:trPr>
        <w:tc>
          <w:tcPr>
            <w:tcW w:w="3120" w:type="dxa"/>
            <w:vAlign w:val="bottom"/>
          </w:tcPr>
          <w:p>
            <w:pPr>
              <w:spacing w:after="0" w:line="168" w:lineRule="exact"/>
              <w:rPr>
                <w:sz w:val="20"/>
                <w:szCs w:val="20"/>
                <w:color w:val="auto"/>
              </w:rPr>
            </w:pPr>
            <w:r>
              <w:rPr>
                <w:rFonts w:ascii="Arial" w:cs="Arial" w:eastAsia="Arial" w:hAnsi="Arial"/>
                <w:sz w:val="16"/>
                <w:szCs w:val="16"/>
                <w:color w:val="auto"/>
              </w:rPr>
              <w:t>J. Hunter</w:t>
            </w:r>
          </w:p>
        </w:tc>
        <w:tc>
          <w:tcPr>
            <w:tcW w:w="2800" w:type="dxa"/>
            <w:vAlign w:val="bottom"/>
          </w:tcPr>
          <w:p>
            <w:pPr>
              <w:jc w:val="center"/>
              <w:ind w:left="2020"/>
              <w:spacing w:after="0" w:line="168" w:lineRule="exact"/>
              <w:rPr>
                <w:sz w:val="20"/>
                <w:szCs w:val="20"/>
                <w:color w:val="auto"/>
              </w:rPr>
            </w:pPr>
            <w:r>
              <w:rPr>
                <w:rFonts w:ascii="Arial" w:cs="Arial" w:eastAsia="Arial" w:hAnsi="Arial"/>
                <w:sz w:val="16"/>
                <w:szCs w:val="16"/>
                <w:color w:val="auto"/>
              </w:rPr>
              <w:t>DCP</w:t>
            </w:r>
          </w:p>
        </w:tc>
        <w:tc>
          <w:tcPr>
            <w:tcW w:w="1060" w:type="dxa"/>
            <w:vAlign w:val="bottom"/>
          </w:tcPr>
          <w:p>
            <w:pPr>
              <w:jc w:val="right"/>
              <w:ind w:right="81"/>
              <w:spacing w:after="0" w:line="168" w:lineRule="exact"/>
              <w:rPr>
                <w:sz w:val="20"/>
                <w:szCs w:val="20"/>
                <w:color w:val="auto"/>
              </w:rPr>
            </w:pPr>
            <w:r>
              <w:rPr>
                <w:rFonts w:ascii="Arial" w:cs="Arial" w:eastAsia="Arial" w:hAnsi="Arial"/>
                <w:sz w:val="16"/>
                <w:szCs w:val="16"/>
                <w:color w:val="auto"/>
              </w:rPr>
              <w:t>25,542</w:t>
            </w:r>
          </w:p>
        </w:tc>
        <w:tc>
          <w:tcPr>
            <w:tcW w:w="1100" w:type="dxa"/>
            <w:vAlign w:val="bottom"/>
          </w:tcPr>
          <w:p>
            <w:pPr>
              <w:jc w:val="right"/>
              <w:ind w:right="141"/>
              <w:spacing w:after="0" w:line="168" w:lineRule="exact"/>
              <w:rPr>
                <w:sz w:val="20"/>
                <w:szCs w:val="20"/>
                <w:color w:val="auto"/>
              </w:rPr>
            </w:pPr>
            <w:r>
              <w:rPr>
                <w:rFonts w:ascii="Arial" w:cs="Arial" w:eastAsia="Arial" w:hAnsi="Arial"/>
                <w:sz w:val="16"/>
                <w:szCs w:val="16"/>
                <w:color w:val="auto"/>
              </w:rPr>
              <w:t>7,184</w:t>
            </w:r>
          </w:p>
        </w:tc>
        <w:tc>
          <w:tcPr>
            <w:tcW w:w="940" w:type="dxa"/>
            <w:vAlign w:val="bottom"/>
          </w:tcPr>
          <w:p>
            <w:pPr>
              <w:jc w:val="right"/>
              <w:ind w:right="73"/>
              <w:spacing w:after="0" w:line="168" w:lineRule="exact"/>
              <w:rPr>
                <w:sz w:val="20"/>
                <w:szCs w:val="20"/>
                <w:color w:val="auto"/>
              </w:rPr>
            </w:pPr>
            <w:r>
              <w:rPr>
                <w:rFonts w:ascii="Arial" w:cs="Arial" w:eastAsia="Arial" w:hAnsi="Arial"/>
                <w:sz w:val="13"/>
                <w:szCs w:val="13"/>
                <w:color w:val="auto"/>
              </w:rPr>
              <w:t>80,284</w:t>
            </w:r>
            <w:r>
              <w:rPr>
                <w:rFonts w:ascii="Arial" w:cs="Arial" w:eastAsia="Arial" w:hAnsi="Arial"/>
                <w:sz w:val="19"/>
                <w:szCs w:val="19"/>
                <w:color w:val="auto"/>
                <w:vertAlign w:val="superscript"/>
              </w:rPr>
              <w:t> 5</w:t>
            </w:r>
          </w:p>
        </w:tc>
        <w:tc>
          <w:tcPr>
            <w:tcW w:w="10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8" w:lineRule="exact"/>
              <w:rPr>
                <w:sz w:val="20"/>
                <w:szCs w:val="20"/>
                <w:color w:val="auto"/>
              </w:rPr>
            </w:pPr>
            <w:r>
              <w:rPr>
                <w:rFonts w:ascii="Arial" w:cs="Arial" w:eastAsia="Arial" w:hAnsi="Arial"/>
                <w:sz w:val="13"/>
                <w:szCs w:val="13"/>
                <w:color w:val="auto"/>
              </w:rPr>
              <w:t>781,047</w:t>
            </w:r>
            <w:r>
              <w:rPr>
                <w:rFonts w:ascii="Arial" w:cs="Arial" w:eastAsia="Arial" w:hAnsi="Arial"/>
                <w:sz w:val="19"/>
                <w:szCs w:val="19"/>
                <w:color w:val="auto"/>
                <w:vertAlign w:val="superscript"/>
              </w:rPr>
              <w:t> 6</w:t>
            </w:r>
          </w:p>
        </w:tc>
      </w:tr>
      <w:tr>
        <w:trPr>
          <w:trHeight w:val="203"/>
        </w:trPr>
        <w:tc>
          <w:tcPr>
            <w:tcW w:w="31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center"/>
              <w:ind w:left="2020"/>
              <w:spacing w:after="0"/>
              <w:rPr>
                <w:sz w:val="20"/>
                <w:szCs w:val="20"/>
                <w:color w:val="auto"/>
              </w:rPr>
            </w:pPr>
            <w:r>
              <w:rPr>
                <w:rFonts w:ascii="Arial" w:cs="Arial" w:eastAsia="Arial" w:hAnsi="Arial"/>
                <w:sz w:val="16"/>
                <w:szCs w:val="16"/>
                <w:color w:val="auto"/>
                <w:w w:val="97"/>
              </w:rPr>
              <w:t>MDCP</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73"/>
              <w:spacing w:after="0" w:line="203" w:lineRule="exact"/>
              <w:rPr>
                <w:sz w:val="20"/>
                <w:szCs w:val="20"/>
                <w:color w:val="auto"/>
              </w:rPr>
            </w:pPr>
            <w:r>
              <w:rPr>
                <w:rFonts w:ascii="Arial" w:cs="Arial" w:eastAsia="Arial" w:hAnsi="Arial"/>
                <w:sz w:val="16"/>
                <w:szCs w:val="16"/>
                <w:color w:val="auto"/>
              </w:rPr>
              <w:t>5,634</w:t>
            </w:r>
            <w:r>
              <w:rPr>
                <w:rFonts w:ascii="Arial" w:cs="Arial" w:eastAsia="Arial" w:hAnsi="Arial"/>
                <w:sz w:val="23"/>
                <w:szCs w:val="23"/>
                <w:color w:val="auto"/>
                <w:vertAlign w:val="superscript"/>
              </w:rPr>
              <w:t> 5</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6"/>
                <w:szCs w:val="16"/>
                <w:color w:val="auto"/>
              </w:rPr>
              <w:t>146,796</w:t>
            </w:r>
            <w:r>
              <w:rPr>
                <w:rFonts w:ascii="Arial" w:cs="Arial" w:eastAsia="Arial" w:hAnsi="Arial"/>
                <w:sz w:val="23"/>
                <w:szCs w:val="23"/>
                <w:color w:val="auto"/>
                <w:vertAlign w:val="superscript"/>
              </w:rPr>
              <w:t> 7</w:t>
            </w:r>
          </w:p>
        </w:tc>
      </w:tr>
      <w:tr>
        <w:trPr>
          <w:trHeight w:val="183"/>
        </w:trPr>
        <w:tc>
          <w:tcPr>
            <w:tcW w:w="312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color w:val="auto"/>
              </w:rPr>
              <w:t>L. Gustafson</w:t>
            </w:r>
          </w:p>
        </w:tc>
        <w:tc>
          <w:tcPr>
            <w:tcW w:w="2800" w:type="dxa"/>
            <w:vAlign w:val="bottom"/>
            <w:tcBorders>
              <w:bottom w:val="single" w:sz="8" w:color="003A70"/>
            </w:tcBorders>
          </w:tcPr>
          <w:p>
            <w:pPr>
              <w:jc w:val="center"/>
              <w:ind w:left="2020"/>
              <w:spacing w:after="0" w:line="183" w:lineRule="exact"/>
              <w:rPr>
                <w:sz w:val="20"/>
                <w:szCs w:val="20"/>
                <w:color w:val="auto"/>
              </w:rPr>
            </w:pPr>
            <w:r>
              <w:rPr>
                <w:rFonts w:ascii="Arial" w:cs="Arial" w:eastAsia="Arial" w:hAnsi="Arial"/>
                <w:sz w:val="16"/>
                <w:szCs w:val="16"/>
                <w:color w:val="auto"/>
              </w:rPr>
              <w:t>DCP</w:t>
            </w:r>
          </w:p>
        </w:tc>
        <w:tc>
          <w:tcPr>
            <w:tcW w:w="1060" w:type="dxa"/>
            <w:vAlign w:val="bottom"/>
            <w:tcBorders>
              <w:bottom w:val="single" w:sz="8" w:color="003A70"/>
            </w:tcBorders>
          </w:tcPr>
          <w:p>
            <w:pPr>
              <w:jc w:val="right"/>
              <w:ind w:right="81"/>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003A70"/>
            </w:tcBorders>
          </w:tcPr>
          <w:p>
            <w:pPr>
              <w:jc w:val="right"/>
              <w:ind w:right="141"/>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003A70"/>
            </w:tcBorders>
          </w:tcPr>
          <w:p>
            <w:pPr>
              <w:jc w:val="right"/>
              <w:ind w:right="73"/>
              <w:spacing w:after="0" w:line="183"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5</w:t>
            </w:r>
          </w:p>
        </w:tc>
        <w:tc>
          <w:tcPr>
            <w:tcW w:w="1040" w:type="dxa"/>
            <w:vAlign w:val="bottom"/>
            <w:tcBorders>
              <w:bottom w:val="single" w:sz="8" w:color="003A70"/>
            </w:tcBorders>
          </w:tcPr>
          <w:p>
            <w:pPr>
              <w:jc w:val="right"/>
              <w:ind w:right="81"/>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003A70"/>
            </w:tcBorders>
          </w:tcPr>
          <w:p>
            <w:pPr>
              <w:jc w:val="right"/>
              <w:spacing w:after="0" w:line="183"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0"/>
                <w:szCs w:val="10"/>
                <w:color w:val="auto"/>
              </w:rPr>
              <w:t> 6</w:t>
            </w:r>
          </w:p>
        </w:tc>
      </w:tr>
    </w:tbl>
    <w:p>
      <w:pPr>
        <w:spacing w:after="0" w:line="9" w:lineRule="exact"/>
        <w:rPr>
          <w:sz w:val="20"/>
          <w:szCs w:val="20"/>
          <w:color w:val="auto"/>
        </w:rPr>
      </w:pPr>
    </w:p>
    <w:p>
      <w:pPr>
        <w:ind w:left="440" w:hanging="324"/>
        <w:spacing w:after="0"/>
        <w:tabs>
          <w:tab w:leader="none" w:pos="440" w:val="left"/>
        </w:tabs>
        <w:numPr>
          <w:ilvl w:val="0"/>
          <w:numId w:val="86"/>
        </w:numPr>
        <w:rPr>
          <w:rFonts w:ascii="Arial" w:cs="Arial" w:eastAsia="Arial" w:hAnsi="Arial"/>
          <w:sz w:val="22"/>
          <w:szCs w:val="22"/>
          <w:color w:val="auto"/>
          <w:vertAlign w:val="superscript"/>
        </w:rPr>
      </w:pPr>
      <w:r>
        <w:rPr>
          <w:rFonts w:ascii="Arial" w:cs="Arial" w:eastAsia="Arial" w:hAnsi="Arial"/>
          <w:sz w:val="14"/>
          <w:szCs w:val="14"/>
          <w:color w:val="auto"/>
        </w:rPr>
        <w:t>“DCP” and “MDCP” refer to the MVW Deferred Compensation Plan and the Marriott Deferred Compensation Plan, respectively.</w:t>
      </w:r>
    </w:p>
    <w:p>
      <w:pPr>
        <w:spacing w:after="0" w:line="59" w:lineRule="exact"/>
        <w:rPr>
          <w:sz w:val="20"/>
          <w:szCs w:val="20"/>
          <w:color w:val="auto"/>
        </w:rPr>
      </w:pPr>
    </w:p>
    <w:p>
      <w:pPr>
        <w:jc w:val="both"/>
        <w:ind w:left="440" w:right="200" w:hanging="324"/>
        <w:spacing w:after="0" w:line="212" w:lineRule="auto"/>
        <w:tabs>
          <w:tab w:leader="none" w:pos="440" w:val="left"/>
        </w:tabs>
        <w:numPr>
          <w:ilvl w:val="0"/>
          <w:numId w:val="87"/>
        </w:numPr>
        <w:rPr>
          <w:rFonts w:ascii="Arial" w:cs="Arial" w:eastAsia="Arial" w:hAnsi="Arial"/>
          <w:sz w:val="22"/>
          <w:szCs w:val="22"/>
          <w:color w:val="auto"/>
          <w:vertAlign w:val="superscript"/>
        </w:rPr>
      </w:pPr>
      <w:r>
        <w:rPr>
          <w:rFonts w:ascii="Arial" w:cs="Arial" w:eastAsia="Arial" w:hAnsi="Arial"/>
          <w:sz w:val="14"/>
          <w:szCs w:val="14"/>
          <w:color w:val="auto"/>
        </w:rPr>
        <w:t>The amounts in this column consist of elective deferrals by the NEOs of salary for the 2025 fiscal year and non-equity incentive plan compensation for the 2024 fiscal year paid in 2025 under the MVW Deferred Compensation Plan. All of these amounts that are attributable to 2025 salary are reported in the Summary Compensation Table, and all of the amounts that are attributable to 2024 non-equity incentive plan compensation were included in the 2024 Summary Compensation Table.</w:t>
      </w:r>
    </w:p>
    <w:p>
      <w:pPr>
        <w:spacing w:after="0" w:line="53" w:lineRule="exact"/>
        <w:rPr>
          <w:sz w:val="20"/>
          <w:szCs w:val="20"/>
          <w:color w:val="auto"/>
        </w:rPr>
      </w:pPr>
    </w:p>
    <w:p>
      <w:pPr>
        <w:ind w:left="440" w:right="600" w:hanging="324"/>
        <w:spacing w:after="0" w:line="204" w:lineRule="auto"/>
        <w:tabs>
          <w:tab w:leader="none" w:pos="440" w:val="left"/>
        </w:tabs>
        <w:numPr>
          <w:ilvl w:val="0"/>
          <w:numId w:val="88"/>
        </w:numPr>
        <w:rPr>
          <w:rFonts w:ascii="Arial" w:cs="Arial" w:eastAsia="Arial" w:hAnsi="Arial"/>
          <w:sz w:val="22"/>
          <w:szCs w:val="22"/>
          <w:color w:val="auto"/>
          <w:vertAlign w:val="superscript"/>
        </w:rPr>
      </w:pPr>
      <w:r>
        <w:rPr>
          <w:rFonts w:ascii="Arial" w:cs="Arial" w:eastAsia="Arial" w:hAnsi="Arial"/>
          <w:sz w:val="14"/>
          <w:szCs w:val="14"/>
          <w:color w:val="auto"/>
        </w:rPr>
        <w:t>The amounts in this column consist of Company contributions that were accrued during 2025 and credited to the participants’ accounts in 2026 under the MVW Deferred Compensation Plan. All of these amounts are included in the Summary Compensation Table in the “All Other Compensation” column for 2025.</w:t>
      </w:r>
    </w:p>
    <w:p>
      <w:pPr>
        <w:spacing w:after="0" w:line="53" w:lineRule="exact"/>
        <w:rPr>
          <w:sz w:val="20"/>
          <w:szCs w:val="20"/>
          <w:color w:val="auto"/>
        </w:rPr>
      </w:pPr>
    </w:p>
    <w:p>
      <w:pPr>
        <w:jc w:val="both"/>
        <w:ind w:left="440" w:right="60" w:hanging="324"/>
        <w:spacing w:after="0" w:line="214" w:lineRule="auto"/>
        <w:tabs>
          <w:tab w:leader="none" w:pos="440" w:val="left"/>
        </w:tabs>
        <w:numPr>
          <w:ilvl w:val="0"/>
          <w:numId w:val="89"/>
        </w:numPr>
        <w:rPr>
          <w:rFonts w:ascii="Arial" w:cs="Arial" w:eastAsia="Arial" w:hAnsi="Arial"/>
          <w:sz w:val="22"/>
          <w:szCs w:val="22"/>
          <w:color w:val="auto"/>
          <w:vertAlign w:val="superscript"/>
        </w:rPr>
      </w:pPr>
      <w:r>
        <w:rPr>
          <w:rFonts w:ascii="Arial" w:cs="Arial" w:eastAsia="Arial" w:hAnsi="Arial"/>
          <w:sz w:val="14"/>
          <w:szCs w:val="14"/>
          <w:color w:val="auto"/>
        </w:rPr>
        <w:t>This column includes amounts in each NEO’s total MVW Deferred Compensation Plan account balance as of the last day of the 2025 fiscal year, and does not take into account the amounts in the “Company Contributions in Last Fiscal Year” column in the table above that were accrued during fiscal 2025 but credited to the participants’ accounts in 2026.</w:t>
      </w:r>
    </w:p>
    <w:p>
      <w:pPr>
        <w:spacing w:after="0" w:line="54" w:lineRule="exact"/>
        <w:rPr>
          <w:sz w:val="20"/>
          <w:szCs w:val="20"/>
          <w:color w:val="auto"/>
        </w:rPr>
      </w:pPr>
    </w:p>
    <w:p>
      <w:pPr>
        <w:ind w:left="440" w:right="80" w:hanging="324"/>
        <w:spacing w:after="0" w:line="220" w:lineRule="auto"/>
        <w:tabs>
          <w:tab w:leader="none" w:pos="440" w:val="left"/>
        </w:tabs>
        <w:numPr>
          <w:ilvl w:val="0"/>
          <w:numId w:val="90"/>
        </w:numPr>
        <w:rPr>
          <w:rFonts w:ascii="Arial" w:cs="Arial" w:eastAsia="Arial" w:hAnsi="Arial"/>
          <w:sz w:val="22"/>
          <w:szCs w:val="22"/>
          <w:color w:val="auto"/>
          <w:vertAlign w:val="superscript"/>
        </w:rPr>
      </w:pPr>
      <w:r>
        <w:rPr>
          <w:rFonts w:ascii="Arial" w:cs="Arial" w:eastAsia="Arial" w:hAnsi="Arial"/>
          <w:sz w:val="14"/>
          <w:szCs w:val="14"/>
          <w:color w:val="auto"/>
        </w:rPr>
        <w:t>These amounts consist of the aggregate notional earnings during 2025 of each NEO’s account in the MVW Deferred Compensation Plan or the Marriott Deferred Compensation Plan. Such earnings are reported in the Summary Compensation Table only to the extent that they were credited at a fixed rate of interest in excess of 120% of the applicable federal long-term rate. The fixed rate of return in the MVW Deferred Compensation Plan and the Marriott Deferred Compensation Plan was less than 120% of the applicable federal long-term rate; thus, there was no excess return in 2025.</w:t>
      </w:r>
    </w:p>
    <w:p>
      <w:pPr>
        <w:spacing w:after="0" w:line="54" w:lineRule="exact"/>
        <w:rPr>
          <w:sz w:val="20"/>
          <w:szCs w:val="20"/>
          <w:color w:val="auto"/>
        </w:rPr>
      </w:pPr>
    </w:p>
    <w:p>
      <w:pPr>
        <w:ind w:left="440" w:right="20" w:hanging="324"/>
        <w:spacing w:after="0" w:line="204" w:lineRule="auto"/>
        <w:tabs>
          <w:tab w:leader="none" w:pos="440" w:val="left"/>
        </w:tabs>
        <w:numPr>
          <w:ilvl w:val="0"/>
          <w:numId w:val="91"/>
        </w:numPr>
        <w:rPr>
          <w:rFonts w:ascii="Arial" w:cs="Arial" w:eastAsia="Arial" w:hAnsi="Arial"/>
          <w:sz w:val="22"/>
          <w:szCs w:val="22"/>
          <w:color w:val="auto"/>
          <w:vertAlign w:val="superscript"/>
        </w:rPr>
      </w:pPr>
      <w:r>
        <w:rPr>
          <w:rFonts w:ascii="Arial" w:cs="Arial" w:eastAsia="Arial" w:hAnsi="Arial"/>
          <w:sz w:val="14"/>
          <w:szCs w:val="14"/>
          <w:color w:val="auto"/>
        </w:rPr>
        <w:t>Of these amounts, the following were previously reported in the Summary Compensation Table of previously filed proxy statements: Mr. Avril, $0; Mr. Geller, $1,426,778; Mr. Marino, $93,659; Mr. Miller, $1,262,451; Mr. Hunter, $234,542; and Ms. Gustafson, $0.</w:t>
      </w:r>
    </w:p>
    <w:p>
      <w:pPr>
        <w:spacing w:after="0" w:line="53" w:lineRule="exact"/>
        <w:rPr>
          <w:sz w:val="20"/>
          <w:szCs w:val="20"/>
          <w:color w:val="auto"/>
        </w:rPr>
      </w:pPr>
    </w:p>
    <w:p>
      <w:pPr>
        <w:ind w:left="440" w:right="320" w:hanging="324"/>
        <w:spacing w:after="0" w:line="195" w:lineRule="auto"/>
        <w:tabs>
          <w:tab w:leader="none" w:pos="440" w:val="left"/>
        </w:tabs>
        <w:numPr>
          <w:ilvl w:val="0"/>
          <w:numId w:val="92"/>
        </w:numPr>
        <w:rPr>
          <w:rFonts w:ascii="Arial" w:cs="Arial" w:eastAsia="Arial" w:hAnsi="Arial"/>
          <w:sz w:val="22"/>
          <w:szCs w:val="22"/>
          <w:color w:val="auto"/>
          <w:vertAlign w:val="superscript"/>
        </w:rPr>
      </w:pPr>
      <w:r>
        <w:rPr>
          <w:rFonts w:ascii="Arial" w:cs="Arial" w:eastAsia="Arial" w:hAnsi="Arial"/>
          <w:sz w:val="14"/>
          <w:szCs w:val="14"/>
          <w:color w:val="auto"/>
        </w:rPr>
        <w:t>Of these amounts, the following were previously reported in the Summary Compensation Table of previously filed proxy statements or in a Summary Compensation Table included in a Form 10 or Annual Report on Form 10-K: Mr. Avril, $0; Mr. Geller, $100,258; Mr. Marino, $0; Mr. Miller, $233,184; Mr. Hunter, $6,817; and</w:t>
      </w:r>
    </w:p>
    <w:p>
      <w:pPr>
        <w:spacing w:after="0" w:line="1" w:lineRule="exact"/>
        <w:rPr>
          <w:rFonts w:ascii="Arial" w:cs="Arial" w:eastAsia="Arial" w:hAnsi="Arial"/>
          <w:sz w:val="22"/>
          <w:szCs w:val="22"/>
          <w:color w:val="auto"/>
          <w:vertAlign w:val="superscript"/>
        </w:rPr>
      </w:pPr>
    </w:p>
    <w:p>
      <w:pPr>
        <w:ind w:left="440"/>
        <w:spacing w:after="0"/>
        <w:rPr>
          <w:rFonts w:ascii="Arial" w:cs="Arial" w:eastAsia="Arial" w:hAnsi="Arial"/>
          <w:sz w:val="22"/>
          <w:szCs w:val="22"/>
          <w:color w:val="auto"/>
          <w:vertAlign w:val="superscript"/>
        </w:rPr>
      </w:pPr>
      <w:r>
        <w:rPr>
          <w:rFonts w:ascii="Arial" w:cs="Arial" w:eastAsia="Arial" w:hAnsi="Arial"/>
          <w:sz w:val="14"/>
          <w:szCs w:val="14"/>
          <w:color w:val="auto"/>
        </w:rPr>
        <w:t>Ms. Gustafson, $0.</w:t>
      </w:r>
    </w:p>
    <w:p>
      <w:pPr>
        <w:spacing w:after="0" w:line="90"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For 2025, we credited amounts subject to the fixed rate of return in participant plan accounts with a rate of return of 3.5%. For 2025, Marriott International credited participant plan accounts with a rate of return of 3.75%, determined largely based on Marriott International’s estimated long-term cost of borrowing. To the extent that either of these fixed rates exceeds 120% of the applicable federal long-term rate, the excess is reported in the Change in Pension Value and Nonqualified Deferred Compensation Earnings column of the Summary Compensation Table. The terms of the MVW Deferred Compensation Plan are described above under “Deferred Compensation Plan.” Under the Marriott Deferred Compensation Plan, the NEOs could defer the receipt of up to 80% of their salary, bonus, non-equity incentive plan compensation and/or commissions, which amounts were immediately vested. In addition, the NEOs were eligible to receive a discretionary match or other discretionary contributions, which were vested when made (other than discretionary contributions made for any year prior to 2009, which vested 25 percent per year for each year that the executive remained employed by Marriott International or us), all of which have vested. Because our executives ceased to be eligible to make further contributions under the Marriott Deferred Compensation Plan as of the Spin-Off, no match or discretionary company contribution was received by any of the NEOs for 2025.</w:t>
      </w:r>
    </w:p>
    <w:p>
      <w:pPr>
        <w:spacing w:after="0" w:line="81"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auto"/>
        </w:rPr>
        <w:t>Our NEOs can receive a distribution of the vested portion of their Marriott Deferred Compensation Plan accounts upon termination of employment (including retirement or disability) or, in the case of deferrals by the executive (and related earnings), upon a specified future date while still employed (an “in-service distribution”), as elected by the executive. Each plan year’s deferrals have a separate distribution election. Distributions payable upon termination of employment are payable as: (i) a lump sum cash payment; (ii) a series of annual cash installments payable over a designated term not to exceed twenty years; or (iii) five annual cash payments beginning on the sixth January following termination of employment, in each case as elected by the executive. In the case of amounts of $10,000 or less, or when no election regarding the form of distribution was made, the distribution is made in a lump sum. The Spin-Off did not by itself trigger a distribution upon termination of employment under the Marriott Deferred Compensation Plan, and continued employment with the Company is treated as employment for purposes of the Marriott Deferred Compensation Plan.</w:t>
      </w:r>
    </w:p>
    <w:p>
      <w:pPr>
        <w:spacing w:after="0" w:line="116" w:lineRule="exact"/>
        <w:rPr>
          <w:sz w:val="20"/>
          <w:szCs w:val="20"/>
          <w:color w:val="auto"/>
        </w:rPr>
      </w:pPr>
    </w:p>
    <w:p>
      <w:pPr>
        <w:ind w:left="120"/>
        <w:spacing w:after="0"/>
        <w:tabs>
          <w:tab w:leader="none" w:pos="4460" w:val="left"/>
          <w:tab w:leader="none" w:pos="7820" w:val="left"/>
        </w:tabs>
        <w:rPr>
          <w:sz w:val="20"/>
          <w:szCs w:val="20"/>
          <w:color w:val="auto"/>
        </w:rPr>
      </w:pPr>
      <w:r>
        <w:rPr>
          <w:rFonts w:ascii="Arial" w:cs="Arial" w:eastAsia="Arial" w:hAnsi="Arial"/>
          <w:sz w:val="11"/>
          <w:szCs w:val="11"/>
          <w:b w:val="1"/>
          <w:bCs w:val="1"/>
          <w:color w:val="003A70"/>
        </w:rPr>
        <w:t>50</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104"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The following information relates to benefits that would have been paid or payable had a change in control occurred and/or an NEO’s employment with the Company terminated as of December 31, 2025, the last business day of our fiscal year. The table below reflects the intrinsic value of unvested stock awards, unvested MVW Deferred Compensation Plan accounts and incentive payments under the Bonus Plan that each NEO would have received upon retirement, disability, death, resignation, involuntary termination of employment, or a change in control as of December 31, 2025 (based on our closing stock price of $57.69 as of that date).</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003A70"/>
              </w:rPr>
              <w:t>Termination</w:t>
            </w:r>
          </w:p>
        </w:tc>
      </w:tr>
      <w:tr>
        <w:trPr>
          <w:trHeight w:val="162"/>
        </w:trPr>
        <w:tc>
          <w:tcPr>
            <w:tcW w:w="20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80"/>
              <w:spacing w:after="0"/>
              <w:rPr>
                <w:sz w:val="20"/>
                <w:szCs w:val="20"/>
                <w:color w:val="auto"/>
              </w:rPr>
            </w:pPr>
            <w:r>
              <w:rPr>
                <w:rFonts w:ascii="Arial" w:cs="Arial" w:eastAsia="Arial" w:hAnsi="Arial"/>
                <w:sz w:val="14"/>
                <w:szCs w:val="14"/>
                <w:color w:val="003A70"/>
              </w:rPr>
              <w:t>Following</w:t>
            </w:r>
          </w:p>
        </w:tc>
      </w:tr>
      <w:tr>
        <w:trPr>
          <w:trHeight w:val="158"/>
        </w:trPr>
        <w:tc>
          <w:tcPr>
            <w:tcW w:w="20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jc w:val="right"/>
              <w:ind w:right="60"/>
              <w:spacing w:after="0" w:line="158" w:lineRule="exact"/>
              <w:rPr>
                <w:sz w:val="20"/>
                <w:szCs w:val="20"/>
                <w:color w:val="auto"/>
              </w:rPr>
            </w:pPr>
            <w:r>
              <w:rPr>
                <w:rFonts w:ascii="Arial" w:cs="Arial" w:eastAsia="Arial" w:hAnsi="Arial"/>
                <w:sz w:val="14"/>
                <w:szCs w:val="14"/>
                <w:color w:val="003A70"/>
              </w:rPr>
              <w:t>Involuntary</w:t>
            </w:r>
          </w:p>
        </w:tc>
        <w:tc>
          <w:tcPr>
            <w:tcW w:w="960" w:type="dxa"/>
            <w:vAlign w:val="bottom"/>
            <w:gridSpan w:val="2"/>
          </w:tcPr>
          <w:p>
            <w:pPr>
              <w:jc w:val="center"/>
              <w:spacing w:after="0" w:line="158" w:lineRule="exact"/>
              <w:rPr>
                <w:sz w:val="20"/>
                <w:szCs w:val="20"/>
                <w:color w:val="auto"/>
              </w:rPr>
            </w:pPr>
            <w:r>
              <w:rPr>
                <w:rFonts w:ascii="Arial" w:cs="Arial" w:eastAsia="Arial" w:hAnsi="Arial"/>
                <w:sz w:val="14"/>
                <w:szCs w:val="14"/>
                <w:color w:val="003A70"/>
              </w:rPr>
              <w:t>Change In</w:t>
            </w:r>
          </w:p>
        </w:tc>
      </w:tr>
      <w:tr>
        <w:trPr>
          <w:trHeight w:val="182"/>
        </w:trPr>
        <w:tc>
          <w:tcPr>
            <w:tcW w:w="204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Name</w:t>
            </w:r>
          </w:p>
        </w:tc>
        <w:tc>
          <w:tcPr>
            <w:tcW w:w="3680" w:type="dxa"/>
            <w:vAlign w:val="bottom"/>
            <w:tcBorders>
              <w:bottom w:val="single" w:sz="8" w:color="003A70"/>
            </w:tcBorders>
          </w:tcPr>
          <w:p>
            <w:pPr>
              <w:ind w:left="1120"/>
              <w:spacing w:after="0"/>
              <w:rPr>
                <w:sz w:val="20"/>
                <w:szCs w:val="20"/>
                <w:color w:val="auto"/>
              </w:rPr>
            </w:pPr>
            <w:r>
              <w:rPr>
                <w:rFonts w:ascii="Arial" w:cs="Arial" w:eastAsia="Arial" w:hAnsi="Arial"/>
                <w:sz w:val="14"/>
                <w:szCs w:val="14"/>
                <w:color w:val="003A70"/>
              </w:rPr>
              <w:t>Plan</w:t>
            </w:r>
          </w:p>
        </w:tc>
        <w:tc>
          <w:tcPr>
            <w:tcW w:w="1320" w:type="dxa"/>
            <w:vAlign w:val="bottom"/>
            <w:tcBorders>
              <w:bottom w:val="single" w:sz="8" w:color="003A70"/>
            </w:tcBorders>
            <w:gridSpan w:val="2"/>
          </w:tcPr>
          <w:p>
            <w:pPr>
              <w:jc w:val="right"/>
              <w:ind w:right="19"/>
              <w:spacing w:after="0" w:line="175" w:lineRule="exact"/>
              <w:rPr>
                <w:sz w:val="20"/>
                <w:szCs w:val="20"/>
                <w:color w:val="auto"/>
              </w:rPr>
            </w:pPr>
            <w:r>
              <w:rPr>
                <w:rFonts w:ascii="Arial" w:cs="Arial" w:eastAsia="Arial" w:hAnsi="Arial"/>
                <w:sz w:val="14"/>
                <w:szCs w:val="14"/>
                <w:color w:val="003A70"/>
              </w:rPr>
              <w:t>Retirement</w:t>
            </w:r>
            <w:r>
              <w:rPr>
                <w:rFonts w:ascii="Arial" w:cs="Arial" w:eastAsia="Arial" w:hAnsi="Arial"/>
                <w:sz w:val="20"/>
                <w:szCs w:val="20"/>
                <w:color w:val="003A70"/>
                <w:vertAlign w:val="superscript"/>
              </w:rPr>
              <w:t>1</w:t>
            </w:r>
          </w:p>
        </w:tc>
        <w:tc>
          <w:tcPr>
            <w:tcW w:w="180" w:type="dxa"/>
            <w:vAlign w:val="bottom"/>
            <w:tcBorders>
              <w:bottom w:val="single" w:sz="8" w:color="003A70"/>
            </w:tcBorders>
          </w:tcPr>
          <w:p>
            <w:pPr>
              <w:spacing w:after="0"/>
              <w:rPr>
                <w:sz w:val="15"/>
                <w:szCs w:val="15"/>
                <w:color w:val="auto"/>
              </w:rPr>
            </w:pPr>
          </w:p>
        </w:tc>
        <w:tc>
          <w:tcPr>
            <w:tcW w:w="800" w:type="dxa"/>
            <w:vAlign w:val="bottom"/>
            <w:tcBorders>
              <w:bottom w:val="single" w:sz="8" w:color="003A70"/>
            </w:tcBorders>
          </w:tcPr>
          <w:p>
            <w:pPr>
              <w:jc w:val="right"/>
              <w:ind w:right="119"/>
              <w:spacing w:after="0"/>
              <w:rPr>
                <w:sz w:val="20"/>
                <w:szCs w:val="20"/>
                <w:color w:val="auto"/>
              </w:rPr>
            </w:pPr>
            <w:r>
              <w:rPr>
                <w:rFonts w:ascii="Arial" w:cs="Arial" w:eastAsia="Arial" w:hAnsi="Arial"/>
                <w:sz w:val="14"/>
                <w:szCs w:val="14"/>
                <w:color w:val="003A70"/>
              </w:rPr>
              <w:t>Disability</w:t>
            </w:r>
          </w:p>
        </w:tc>
        <w:tc>
          <w:tcPr>
            <w:tcW w:w="180" w:type="dxa"/>
            <w:vAlign w:val="bottom"/>
            <w:tcBorders>
              <w:bottom w:val="single" w:sz="8" w:color="003A70"/>
            </w:tcBorders>
          </w:tcPr>
          <w:p>
            <w:pPr>
              <w:spacing w:after="0"/>
              <w:rPr>
                <w:sz w:val="15"/>
                <w:szCs w:val="15"/>
                <w:color w:val="auto"/>
              </w:rPr>
            </w:pPr>
          </w:p>
        </w:tc>
        <w:tc>
          <w:tcPr>
            <w:tcW w:w="840" w:type="dxa"/>
            <w:vAlign w:val="bottom"/>
            <w:tcBorders>
              <w:bottom w:val="single" w:sz="8" w:color="003A70"/>
            </w:tcBorders>
          </w:tcPr>
          <w:p>
            <w:pPr>
              <w:jc w:val="right"/>
              <w:ind w:right="239"/>
              <w:spacing w:after="0"/>
              <w:rPr>
                <w:sz w:val="20"/>
                <w:szCs w:val="20"/>
                <w:color w:val="auto"/>
              </w:rPr>
            </w:pPr>
            <w:r>
              <w:rPr>
                <w:rFonts w:ascii="Arial" w:cs="Arial" w:eastAsia="Arial" w:hAnsi="Arial"/>
                <w:sz w:val="14"/>
                <w:szCs w:val="14"/>
                <w:color w:val="003A70"/>
              </w:rPr>
              <w:t>Death</w:t>
            </w:r>
          </w:p>
        </w:tc>
        <w:tc>
          <w:tcPr>
            <w:tcW w:w="1020" w:type="dxa"/>
            <w:vAlign w:val="bottom"/>
            <w:tcBorders>
              <w:bottom w:val="single" w:sz="8" w:color="003A70"/>
            </w:tcBorders>
          </w:tcPr>
          <w:p>
            <w:pPr>
              <w:jc w:val="right"/>
              <w:ind w:right="20"/>
              <w:spacing w:after="0" w:line="175" w:lineRule="exact"/>
              <w:rPr>
                <w:sz w:val="20"/>
                <w:szCs w:val="20"/>
                <w:color w:val="auto"/>
              </w:rPr>
            </w:pPr>
            <w:r>
              <w:rPr>
                <w:rFonts w:ascii="Arial" w:cs="Arial" w:eastAsia="Arial" w:hAnsi="Arial"/>
                <w:sz w:val="14"/>
                <w:szCs w:val="14"/>
                <w:color w:val="003A70"/>
              </w:rPr>
              <w:t>Termination</w:t>
            </w:r>
            <w:r>
              <w:rPr>
                <w:rFonts w:ascii="Arial" w:cs="Arial" w:eastAsia="Arial" w:hAnsi="Arial"/>
                <w:sz w:val="20"/>
                <w:szCs w:val="20"/>
                <w:color w:val="003A70"/>
                <w:vertAlign w:val="superscript"/>
              </w:rPr>
              <w:t>2</w:t>
            </w:r>
          </w:p>
        </w:tc>
        <w:tc>
          <w:tcPr>
            <w:tcW w:w="180" w:type="dxa"/>
            <w:vAlign w:val="bottom"/>
            <w:tcBorders>
              <w:bottom w:val="single" w:sz="8" w:color="003A70"/>
            </w:tcBorders>
          </w:tcPr>
          <w:p>
            <w:pPr>
              <w:spacing w:after="0"/>
              <w:rPr>
                <w:sz w:val="15"/>
                <w:szCs w:val="15"/>
                <w:color w:val="auto"/>
              </w:rPr>
            </w:pPr>
          </w:p>
        </w:tc>
        <w:tc>
          <w:tcPr>
            <w:tcW w:w="780" w:type="dxa"/>
            <w:vAlign w:val="bottom"/>
            <w:tcBorders>
              <w:bottom w:val="single" w:sz="8" w:color="003A70"/>
            </w:tcBorders>
          </w:tcPr>
          <w:p>
            <w:pPr>
              <w:jc w:val="center"/>
              <w:ind w:right="100"/>
              <w:spacing w:after="0" w:line="175" w:lineRule="exact"/>
              <w:rPr>
                <w:sz w:val="20"/>
                <w:szCs w:val="20"/>
                <w:color w:val="auto"/>
              </w:rPr>
            </w:pPr>
            <w:r>
              <w:rPr>
                <w:rFonts w:ascii="Arial" w:cs="Arial" w:eastAsia="Arial" w:hAnsi="Arial"/>
                <w:sz w:val="14"/>
                <w:szCs w:val="14"/>
                <w:color w:val="003A70"/>
                <w:w w:val="98"/>
              </w:rPr>
              <w:t>Control</w:t>
            </w:r>
            <w:r>
              <w:rPr>
                <w:rFonts w:ascii="Arial" w:cs="Arial" w:eastAsia="Arial" w:hAnsi="Arial"/>
                <w:sz w:val="20"/>
                <w:szCs w:val="20"/>
                <w:color w:val="003A70"/>
                <w:w w:val="98"/>
                <w:vertAlign w:val="superscript"/>
              </w:rPr>
              <w:t>3</w:t>
            </w:r>
          </w:p>
        </w:tc>
      </w:tr>
      <w:tr>
        <w:trPr>
          <w:trHeight w:val="175"/>
        </w:trPr>
        <w:tc>
          <w:tcPr>
            <w:tcW w:w="2040" w:type="dxa"/>
            <w:vAlign w:val="bottom"/>
          </w:tcPr>
          <w:p>
            <w:pPr>
              <w:spacing w:after="0" w:line="175" w:lineRule="exact"/>
              <w:rPr>
                <w:sz w:val="20"/>
                <w:szCs w:val="20"/>
                <w:color w:val="auto"/>
              </w:rPr>
            </w:pPr>
            <w:r>
              <w:rPr>
                <w:rFonts w:ascii="Arial" w:cs="Arial" w:eastAsia="Arial" w:hAnsi="Arial"/>
                <w:sz w:val="16"/>
                <w:szCs w:val="16"/>
                <w:color w:val="auto"/>
              </w:rPr>
              <w:t>M. Avril</w:t>
            </w:r>
          </w:p>
        </w:tc>
        <w:tc>
          <w:tcPr>
            <w:tcW w:w="3680" w:type="dxa"/>
            <w:vAlign w:val="bottom"/>
          </w:tcPr>
          <w:p>
            <w:pPr>
              <w:ind w:left="1120"/>
              <w:spacing w:after="0" w:line="175" w:lineRule="exact"/>
              <w:rPr>
                <w:sz w:val="20"/>
                <w:szCs w:val="20"/>
                <w:color w:val="auto"/>
              </w:rPr>
            </w:pPr>
            <w:r>
              <w:rPr>
                <w:rFonts w:ascii="Arial" w:cs="Arial" w:eastAsia="Arial" w:hAnsi="Arial"/>
                <w:sz w:val="16"/>
                <w:szCs w:val="16"/>
                <w:color w:val="auto"/>
              </w:rPr>
              <w:t>Cash Severance</w:t>
            </w:r>
          </w:p>
        </w:tc>
        <w:tc>
          <w:tcPr>
            <w:tcW w:w="5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            —</w:t>
            </w:r>
          </w:p>
        </w:tc>
        <w:tc>
          <w:tcPr>
            <w:tcW w:w="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line="189"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line="189"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line="189"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3,978,000</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3,978,000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3,978,000</w:t>
            </w:r>
          </w:p>
        </w:tc>
      </w:tr>
      <w:tr>
        <w:trPr>
          <w:trHeight w:val="203"/>
        </w:trPr>
        <w:tc>
          <w:tcPr>
            <w:tcW w:w="20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ind w:left="1120"/>
              <w:spacing w:after="0" w:line="203" w:lineRule="exact"/>
              <w:rPr>
                <w:sz w:val="20"/>
                <w:szCs w:val="20"/>
                <w:color w:val="auto"/>
              </w:rPr>
            </w:pPr>
            <w:r>
              <w:rPr>
                <w:rFonts w:ascii="Arial" w:cs="Arial" w:eastAsia="Arial" w:hAnsi="Arial"/>
                <w:sz w:val="16"/>
                <w:szCs w:val="16"/>
                <w:color w:val="auto"/>
              </w:rPr>
              <w:t>Deferred Compensation Plan</w:t>
            </w:r>
            <w:r>
              <w:rPr>
                <w:rFonts w:ascii="Arial" w:cs="Arial" w:eastAsia="Arial" w:hAnsi="Arial"/>
                <w:sz w:val="23"/>
                <w:szCs w:val="23"/>
                <w:color w:val="auto"/>
                <w:vertAlign w:val="superscript"/>
              </w:rPr>
              <w:t>7</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0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ind w:left="1120"/>
              <w:spacing w:after="0" w:line="183" w:lineRule="exact"/>
              <w:rPr>
                <w:sz w:val="20"/>
                <w:szCs w:val="20"/>
                <w:color w:val="auto"/>
              </w:rPr>
            </w:pPr>
            <w:r>
              <w:rPr>
                <w:rFonts w:ascii="Arial" w:cs="Arial" w:eastAsia="Arial" w:hAnsi="Arial"/>
                <w:sz w:val="16"/>
                <w:szCs w:val="16"/>
                <w:b w:val="1"/>
                <w:bCs w:val="1"/>
                <w:color w:val="auto"/>
              </w:rPr>
              <w:t>Total</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8"/>
              </w:rPr>
              <w:t>3,978,000</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3,978,000</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            —</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8"/>
              </w:rPr>
              <w:t>3,978,000</w:t>
            </w:r>
          </w:p>
        </w:tc>
      </w:tr>
      <w:tr>
        <w:trPr>
          <w:trHeight w:val="168"/>
        </w:trPr>
        <w:tc>
          <w:tcPr>
            <w:tcW w:w="2040" w:type="dxa"/>
            <w:vAlign w:val="bottom"/>
          </w:tcPr>
          <w:p>
            <w:pPr>
              <w:spacing w:after="0" w:line="168" w:lineRule="exact"/>
              <w:rPr>
                <w:sz w:val="20"/>
                <w:szCs w:val="20"/>
                <w:color w:val="auto"/>
              </w:rPr>
            </w:pPr>
            <w:r>
              <w:rPr>
                <w:rFonts w:ascii="Arial" w:cs="Arial" w:eastAsia="Arial" w:hAnsi="Arial"/>
                <w:sz w:val="16"/>
                <w:szCs w:val="16"/>
                <w:color w:val="auto"/>
              </w:rPr>
              <w:t>J. Geller</w:t>
            </w:r>
          </w:p>
        </w:tc>
        <w:tc>
          <w:tcPr>
            <w:tcW w:w="3680" w:type="dxa"/>
            <w:vAlign w:val="bottom"/>
          </w:tcPr>
          <w:p>
            <w:pPr>
              <w:ind w:left="1120"/>
              <w:spacing w:after="0" w:line="168" w:lineRule="exact"/>
              <w:rPr>
                <w:sz w:val="20"/>
                <w:szCs w:val="20"/>
                <w:color w:val="auto"/>
              </w:rPr>
            </w:pPr>
            <w:r>
              <w:rPr>
                <w:rFonts w:ascii="Arial" w:cs="Arial" w:eastAsia="Arial" w:hAnsi="Arial"/>
                <w:sz w:val="16"/>
                <w:szCs w:val="16"/>
                <w:color w:val="auto"/>
              </w:rPr>
              <w:t>Cash Severance</w:t>
            </w:r>
          </w:p>
        </w:tc>
        <w:tc>
          <w:tcPr>
            <w:tcW w:w="5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line="168"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$6,455,694</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rPr>
                <w:sz w:val="20"/>
                <w:szCs w:val="20"/>
                <w:color w:val="auto"/>
              </w:rPr>
            </w:pPr>
            <w:r>
              <w:rPr>
                <w:rFonts w:ascii="Arial" w:cs="Arial" w:eastAsia="Arial" w:hAnsi="Arial"/>
                <w:sz w:val="16"/>
                <w:szCs w:val="16"/>
                <w:color w:val="auto"/>
              </w:rPr>
              <w:t>Annual Bonus</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rPr>
                <w:sz w:val="20"/>
                <w:szCs w:val="20"/>
                <w:color w:val="auto"/>
              </w:rPr>
            </w:pPr>
            <w:r>
              <w:rPr>
                <w:rFonts w:ascii="Arial" w:cs="Arial" w:eastAsia="Arial" w:hAnsi="Arial"/>
                <w:sz w:val="16"/>
                <w:szCs w:val="16"/>
                <w:color w:val="auto"/>
              </w:rPr>
              <w:t>Other Benefits</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rPr>
                <w:sz w:val="20"/>
                <w:szCs w:val="20"/>
                <w:color w:val="auto"/>
              </w:rPr>
            </w:pPr>
            <w:r>
              <w:rPr>
                <w:rFonts w:ascii="Arial" w:cs="Arial" w:eastAsia="Arial" w:hAnsi="Arial"/>
                <w:sz w:val="16"/>
                <w:szCs w:val="16"/>
                <w:color w:val="auto"/>
              </w:rPr>
              <w:t>MVW Equity Awards</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3,448,097</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Deferred Compensation Plan</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0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ind w:left="1120"/>
              <w:spacing w:after="0" w:line="183" w:lineRule="exact"/>
              <w:rPr>
                <w:sz w:val="20"/>
                <w:szCs w:val="20"/>
                <w:color w:val="auto"/>
              </w:rPr>
            </w:pPr>
            <w:r>
              <w:rPr>
                <w:rFonts w:ascii="Arial" w:cs="Arial" w:eastAsia="Arial" w:hAnsi="Arial"/>
                <w:sz w:val="16"/>
                <w:szCs w:val="16"/>
                <w:b w:val="1"/>
                <w:bCs w:val="1"/>
                <w:color w:val="auto"/>
              </w:rPr>
              <w:t>Total</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$9,903,791</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r>
      <w:tr>
        <w:trPr>
          <w:trHeight w:val="168"/>
        </w:trPr>
        <w:tc>
          <w:tcPr>
            <w:tcW w:w="2040" w:type="dxa"/>
            <w:vAlign w:val="bottom"/>
          </w:tcPr>
          <w:p>
            <w:pPr>
              <w:spacing w:after="0" w:line="168" w:lineRule="exact"/>
              <w:rPr>
                <w:sz w:val="20"/>
                <w:szCs w:val="20"/>
                <w:color w:val="auto"/>
              </w:rPr>
            </w:pPr>
            <w:r>
              <w:rPr>
                <w:rFonts w:ascii="Arial" w:cs="Arial" w:eastAsia="Arial" w:hAnsi="Arial"/>
                <w:sz w:val="16"/>
                <w:szCs w:val="16"/>
                <w:color w:val="auto"/>
              </w:rPr>
              <w:t>J. Marino</w:t>
            </w:r>
          </w:p>
        </w:tc>
        <w:tc>
          <w:tcPr>
            <w:tcW w:w="3680" w:type="dxa"/>
            <w:vAlign w:val="bottom"/>
          </w:tcPr>
          <w:p>
            <w:pPr>
              <w:ind w:left="1120"/>
              <w:spacing w:after="0" w:line="168" w:lineRule="exact"/>
              <w:rPr>
                <w:sz w:val="20"/>
                <w:szCs w:val="20"/>
                <w:color w:val="auto"/>
              </w:rPr>
            </w:pPr>
            <w:r>
              <w:rPr>
                <w:rFonts w:ascii="Arial" w:cs="Arial" w:eastAsia="Arial" w:hAnsi="Arial"/>
                <w:sz w:val="16"/>
                <w:szCs w:val="16"/>
                <w:color w:val="auto"/>
              </w:rPr>
              <w:t>Cash Severance</w:t>
            </w:r>
          </w:p>
        </w:tc>
        <w:tc>
          <w:tcPr>
            <w:tcW w:w="5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line="168"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            —</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8" w:lineRule="exact"/>
              <w:rPr>
                <w:sz w:val="20"/>
                <w:szCs w:val="20"/>
                <w:color w:val="auto"/>
              </w:rPr>
            </w:pPr>
            <w:r>
              <w:rPr>
                <w:rFonts w:ascii="Arial" w:cs="Arial" w:eastAsia="Arial" w:hAnsi="Arial"/>
                <w:sz w:val="16"/>
                <w:szCs w:val="16"/>
                <w:color w:val="auto"/>
                <w:w w:val="98"/>
              </w:rPr>
              <w:t>2,415,000</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line="189"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425,500</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425,500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632,500</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line="189"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51,165</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line="189"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1,032,529</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1,675,729</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2,552,725</w:t>
            </w:r>
          </w:p>
        </w:tc>
      </w:tr>
      <w:tr>
        <w:trPr>
          <w:trHeight w:val="203"/>
        </w:trPr>
        <w:tc>
          <w:tcPr>
            <w:tcW w:w="20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ind w:left="1120"/>
              <w:spacing w:after="0" w:line="203" w:lineRule="exact"/>
              <w:rPr>
                <w:sz w:val="20"/>
                <w:szCs w:val="20"/>
                <w:color w:val="auto"/>
              </w:rPr>
            </w:pPr>
            <w:r>
              <w:rPr>
                <w:rFonts w:ascii="Arial" w:cs="Arial" w:eastAsia="Arial" w:hAnsi="Arial"/>
                <w:sz w:val="16"/>
                <w:szCs w:val="16"/>
                <w:color w:val="auto"/>
              </w:rPr>
              <w:t>Deferred Compensation Plan</w:t>
            </w:r>
            <w:r>
              <w:rPr>
                <w:rFonts w:ascii="Arial" w:cs="Arial" w:eastAsia="Arial" w:hAnsi="Arial"/>
                <w:sz w:val="23"/>
                <w:szCs w:val="23"/>
                <w:color w:val="auto"/>
                <w:vertAlign w:val="superscript"/>
              </w:rPr>
              <w:t>7</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26,631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26,631</w:t>
            </w:r>
          </w:p>
        </w:tc>
      </w:tr>
      <w:tr>
        <w:trPr>
          <w:trHeight w:val="183"/>
        </w:trPr>
        <w:tc>
          <w:tcPr>
            <w:tcW w:w="20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ind w:left="1120"/>
              <w:spacing w:after="0" w:line="183" w:lineRule="exact"/>
              <w:rPr>
                <w:sz w:val="20"/>
                <w:szCs w:val="20"/>
                <w:color w:val="auto"/>
              </w:rPr>
            </w:pPr>
            <w:r>
              <w:rPr>
                <w:rFonts w:ascii="Arial" w:cs="Arial" w:eastAsia="Arial" w:hAnsi="Arial"/>
                <w:sz w:val="16"/>
                <w:szCs w:val="16"/>
                <w:b w:val="1"/>
                <w:bCs w:val="1"/>
                <w:color w:val="auto"/>
              </w:rPr>
              <w:t>Total</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8"/>
              </w:rPr>
              <w:t>1,458,029</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2,127,860</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            —</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8"/>
              </w:rPr>
              <w:t>5,678,021</w:t>
            </w:r>
          </w:p>
        </w:tc>
      </w:tr>
      <w:tr>
        <w:trPr>
          <w:trHeight w:val="168"/>
        </w:trPr>
        <w:tc>
          <w:tcPr>
            <w:tcW w:w="2040" w:type="dxa"/>
            <w:vAlign w:val="bottom"/>
          </w:tcPr>
          <w:p>
            <w:pPr>
              <w:spacing w:after="0" w:line="168" w:lineRule="exact"/>
              <w:rPr>
                <w:sz w:val="20"/>
                <w:szCs w:val="20"/>
                <w:color w:val="auto"/>
              </w:rPr>
            </w:pPr>
            <w:r>
              <w:rPr>
                <w:rFonts w:ascii="Arial" w:cs="Arial" w:eastAsia="Arial" w:hAnsi="Arial"/>
                <w:sz w:val="16"/>
                <w:szCs w:val="16"/>
                <w:color w:val="auto"/>
              </w:rPr>
              <w:t>B. Miller</w:t>
            </w:r>
          </w:p>
        </w:tc>
        <w:tc>
          <w:tcPr>
            <w:tcW w:w="3680" w:type="dxa"/>
            <w:vAlign w:val="bottom"/>
          </w:tcPr>
          <w:p>
            <w:pPr>
              <w:ind w:left="1120"/>
              <w:spacing w:after="0" w:line="168" w:lineRule="exact"/>
              <w:rPr>
                <w:sz w:val="20"/>
                <w:szCs w:val="20"/>
                <w:color w:val="auto"/>
              </w:rPr>
            </w:pPr>
            <w:r>
              <w:rPr>
                <w:rFonts w:ascii="Arial" w:cs="Arial" w:eastAsia="Arial" w:hAnsi="Arial"/>
                <w:sz w:val="16"/>
                <w:szCs w:val="16"/>
                <w:color w:val="auto"/>
              </w:rPr>
              <w:t>Cash Severance</w:t>
            </w:r>
          </w:p>
        </w:tc>
        <w:tc>
          <w:tcPr>
            <w:tcW w:w="5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line="168"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            —</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8" w:lineRule="exact"/>
              <w:rPr>
                <w:sz w:val="20"/>
                <w:szCs w:val="20"/>
                <w:color w:val="auto"/>
              </w:rPr>
            </w:pPr>
            <w:r>
              <w:rPr>
                <w:rFonts w:ascii="Arial" w:cs="Arial" w:eastAsia="Arial" w:hAnsi="Arial"/>
                <w:sz w:val="16"/>
                <w:szCs w:val="16"/>
                <w:color w:val="auto"/>
                <w:w w:val="98"/>
              </w:rPr>
              <w:t>3,534,342</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line="189"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622,717</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622,717</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622,717</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925,661</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line="189"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48,415</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line="189"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1,498,345</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1,498,345</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1,569,934</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2,432,210</w:t>
            </w:r>
          </w:p>
        </w:tc>
      </w:tr>
      <w:tr>
        <w:trPr>
          <w:trHeight w:val="203"/>
        </w:trPr>
        <w:tc>
          <w:tcPr>
            <w:tcW w:w="20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ind w:left="1120"/>
              <w:spacing w:after="0" w:line="203" w:lineRule="exact"/>
              <w:rPr>
                <w:sz w:val="20"/>
                <w:szCs w:val="20"/>
                <w:color w:val="auto"/>
              </w:rPr>
            </w:pPr>
            <w:r>
              <w:rPr>
                <w:rFonts w:ascii="Arial" w:cs="Arial" w:eastAsia="Arial" w:hAnsi="Arial"/>
                <w:sz w:val="16"/>
                <w:szCs w:val="16"/>
                <w:color w:val="auto"/>
              </w:rPr>
              <w:t>Deferred Compensation Plan</w:t>
            </w:r>
            <w:r>
              <w:rPr>
                <w:rFonts w:ascii="Arial" w:cs="Arial" w:eastAsia="Arial" w:hAnsi="Arial"/>
                <w:sz w:val="23"/>
                <w:szCs w:val="23"/>
                <w:color w:val="auto"/>
                <w:vertAlign w:val="superscript"/>
              </w:rPr>
              <w:t>7</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44,258</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44,258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44,258</w:t>
            </w:r>
          </w:p>
        </w:tc>
      </w:tr>
      <w:tr>
        <w:trPr>
          <w:trHeight w:val="183"/>
        </w:trPr>
        <w:tc>
          <w:tcPr>
            <w:tcW w:w="20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ind w:left="1120"/>
              <w:spacing w:after="0" w:line="183" w:lineRule="exact"/>
              <w:rPr>
                <w:sz w:val="20"/>
                <w:szCs w:val="20"/>
                <w:color w:val="auto"/>
              </w:rPr>
            </w:pPr>
            <w:r>
              <w:rPr>
                <w:rFonts w:ascii="Arial" w:cs="Arial" w:eastAsia="Arial" w:hAnsi="Arial"/>
                <w:sz w:val="16"/>
                <w:szCs w:val="16"/>
                <w:b w:val="1"/>
                <w:bCs w:val="1"/>
                <w:color w:val="auto"/>
              </w:rPr>
              <w:t>Total</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8"/>
              </w:rPr>
              <w:t>2,165,320</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8"/>
              </w:rPr>
              <w:t>2,121,062</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2,236,909</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            —</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8"/>
              </w:rPr>
              <w:t>6,984,886</w:t>
            </w:r>
          </w:p>
        </w:tc>
      </w:tr>
      <w:tr>
        <w:trPr>
          <w:trHeight w:val="168"/>
        </w:trPr>
        <w:tc>
          <w:tcPr>
            <w:tcW w:w="2040" w:type="dxa"/>
            <w:vAlign w:val="bottom"/>
          </w:tcPr>
          <w:p>
            <w:pPr>
              <w:spacing w:after="0" w:line="168" w:lineRule="exact"/>
              <w:rPr>
                <w:sz w:val="20"/>
                <w:szCs w:val="20"/>
                <w:color w:val="auto"/>
              </w:rPr>
            </w:pPr>
            <w:r>
              <w:rPr>
                <w:rFonts w:ascii="Arial" w:cs="Arial" w:eastAsia="Arial" w:hAnsi="Arial"/>
                <w:sz w:val="16"/>
                <w:szCs w:val="16"/>
                <w:color w:val="auto"/>
              </w:rPr>
              <w:t>J. Hunter</w:t>
            </w:r>
          </w:p>
        </w:tc>
        <w:tc>
          <w:tcPr>
            <w:tcW w:w="3680" w:type="dxa"/>
            <w:vAlign w:val="bottom"/>
          </w:tcPr>
          <w:p>
            <w:pPr>
              <w:ind w:left="1120"/>
              <w:spacing w:after="0" w:line="168" w:lineRule="exact"/>
              <w:rPr>
                <w:sz w:val="20"/>
                <w:szCs w:val="20"/>
                <w:color w:val="auto"/>
              </w:rPr>
            </w:pPr>
            <w:r>
              <w:rPr>
                <w:rFonts w:ascii="Arial" w:cs="Arial" w:eastAsia="Arial" w:hAnsi="Arial"/>
                <w:sz w:val="16"/>
                <w:szCs w:val="16"/>
                <w:color w:val="auto"/>
              </w:rPr>
              <w:t>Cash Severance</w:t>
            </w:r>
          </w:p>
        </w:tc>
        <w:tc>
          <w:tcPr>
            <w:tcW w:w="5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line="168"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            —</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8" w:lineRule="exact"/>
              <w:rPr>
                <w:sz w:val="20"/>
                <w:szCs w:val="20"/>
                <w:color w:val="auto"/>
              </w:rPr>
            </w:pPr>
            <w:r>
              <w:rPr>
                <w:rFonts w:ascii="Arial" w:cs="Arial" w:eastAsia="Arial" w:hAnsi="Arial"/>
                <w:sz w:val="16"/>
                <w:szCs w:val="16"/>
                <w:color w:val="auto"/>
                <w:w w:val="98"/>
              </w:rPr>
              <w:t>2,000,672</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line="189"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336,476</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336,476</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336,476</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500,168</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line="189"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48,625</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line="189"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1,056,293</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1,056,293</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1,106,408</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1,712,990</w:t>
            </w:r>
          </w:p>
        </w:tc>
      </w:tr>
      <w:tr>
        <w:trPr>
          <w:trHeight w:val="203"/>
        </w:trPr>
        <w:tc>
          <w:tcPr>
            <w:tcW w:w="20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ind w:left="1120"/>
              <w:spacing w:after="0" w:line="203" w:lineRule="exact"/>
              <w:rPr>
                <w:sz w:val="20"/>
                <w:szCs w:val="20"/>
                <w:color w:val="auto"/>
              </w:rPr>
            </w:pPr>
            <w:r>
              <w:rPr>
                <w:rFonts w:ascii="Arial" w:cs="Arial" w:eastAsia="Arial" w:hAnsi="Arial"/>
                <w:sz w:val="16"/>
                <w:szCs w:val="16"/>
                <w:color w:val="auto"/>
              </w:rPr>
              <w:t>Deferred Compensation Plan</w:t>
            </w:r>
            <w:r>
              <w:rPr>
                <w:rFonts w:ascii="Arial" w:cs="Arial" w:eastAsia="Arial" w:hAnsi="Arial"/>
                <w:sz w:val="23"/>
                <w:szCs w:val="23"/>
                <w:color w:val="auto"/>
                <w:vertAlign w:val="superscript"/>
              </w:rPr>
              <w:t>7</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36,533</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36,533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36,533</w:t>
            </w:r>
          </w:p>
        </w:tc>
      </w:tr>
      <w:tr>
        <w:trPr>
          <w:trHeight w:val="183"/>
        </w:trPr>
        <w:tc>
          <w:tcPr>
            <w:tcW w:w="20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ind w:left="1120"/>
              <w:spacing w:after="0" w:line="183" w:lineRule="exact"/>
              <w:rPr>
                <w:sz w:val="20"/>
                <w:szCs w:val="20"/>
                <w:color w:val="auto"/>
              </w:rPr>
            </w:pPr>
            <w:r>
              <w:rPr>
                <w:rFonts w:ascii="Arial" w:cs="Arial" w:eastAsia="Arial" w:hAnsi="Arial"/>
                <w:sz w:val="16"/>
                <w:szCs w:val="16"/>
                <w:b w:val="1"/>
                <w:bCs w:val="1"/>
                <w:color w:val="auto"/>
              </w:rPr>
              <w:t>Total</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8"/>
              </w:rPr>
              <w:t>1,429,302</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8"/>
              </w:rPr>
              <w:t>1,392,769</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1,479,417</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            —</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8"/>
              </w:rPr>
              <w:t>4,298,988</w:t>
            </w:r>
          </w:p>
        </w:tc>
      </w:tr>
      <w:tr>
        <w:trPr>
          <w:trHeight w:val="168"/>
        </w:trPr>
        <w:tc>
          <w:tcPr>
            <w:tcW w:w="2040" w:type="dxa"/>
            <w:vAlign w:val="bottom"/>
          </w:tcPr>
          <w:p>
            <w:pPr>
              <w:spacing w:after="0" w:line="168" w:lineRule="exact"/>
              <w:rPr>
                <w:sz w:val="20"/>
                <w:szCs w:val="20"/>
                <w:color w:val="auto"/>
              </w:rPr>
            </w:pPr>
            <w:r>
              <w:rPr>
                <w:rFonts w:ascii="Arial" w:cs="Arial" w:eastAsia="Arial" w:hAnsi="Arial"/>
                <w:sz w:val="16"/>
                <w:szCs w:val="16"/>
                <w:color w:val="auto"/>
              </w:rPr>
              <w:t>L. Gustafson</w:t>
            </w:r>
          </w:p>
        </w:tc>
        <w:tc>
          <w:tcPr>
            <w:tcW w:w="3680" w:type="dxa"/>
            <w:vAlign w:val="bottom"/>
          </w:tcPr>
          <w:p>
            <w:pPr>
              <w:ind w:left="1120"/>
              <w:spacing w:after="0" w:line="168" w:lineRule="exact"/>
              <w:rPr>
                <w:sz w:val="20"/>
                <w:szCs w:val="20"/>
                <w:color w:val="auto"/>
              </w:rPr>
            </w:pPr>
            <w:r>
              <w:rPr>
                <w:rFonts w:ascii="Arial" w:cs="Arial" w:eastAsia="Arial" w:hAnsi="Arial"/>
                <w:sz w:val="16"/>
                <w:szCs w:val="16"/>
                <w:color w:val="auto"/>
              </w:rPr>
              <w:t>Cash Severance</w:t>
            </w:r>
          </w:p>
        </w:tc>
        <w:tc>
          <w:tcPr>
            <w:tcW w:w="5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line="168"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            —</w:t>
            </w:r>
          </w:p>
        </w:tc>
        <w:tc>
          <w:tcPr>
            <w:tcW w:w="1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8" w:lineRule="exact"/>
              <w:rPr>
                <w:sz w:val="20"/>
                <w:szCs w:val="20"/>
                <w:color w:val="auto"/>
              </w:rPr>
            </w:pPr>
            <w:r>
              <w:rPr>
                <w:rFonts w:ascii="Arial" w:cs="Arial" w:eastAsia="Arial" w:hAnsi="Arial"/>
                <w:sz w:val="16"/>
                <w:szCs w:val="16"/>
                <w:color w:val="auto"/>
                <w:w w:val="98"/>
              </w:rPr>
              <w:t>1,900,000</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line="189"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319,545</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319,545</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475,000</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line="189"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50,322</w:t>
            </w:r>
          </w:p>
        </w:tc>
      </w:tr>
      <w:tr>
        <w:trPr>
          <w:trHeight w:val="189"/>
        </w:trPr>
        <w:tc>
          <w:tcPr>
            <w:tcW w:w="2040" w:type="dxa"/>
            <w:vAlign w:val="bottom"/>
          </w:tcPr>
          <w:p>
            <w:pPr>
              <w:spacing w:after="0"/>
              <w:rPr>
                <w:sz w:val="16"/>
                <w:szCs w:val="16"/>
                <w:color w:val="auto"/>
              </w:rPr>
            </w:pPr>
          </w:p>
        </w:tc>
        <w:tc>
          <w:tcPr>
            <w:tcW w:w="3680" w:type="dxa"/>
            <w:vAlign w:val="bottom"/>
          </w:tcPr>
          <w:p>
            <w:pPr>
              <w:ind w:left="1120"/>
              <w:spacing w:after="0" w:line="189"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448,947</w:t>
            </w:r>
          </w:p>
        </w:tc>
        <w:tc>
          <w:tcPr>
            <w:tcW w:w="18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719,569</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1,115,032</w:t>
            </w:r>
          </w:p>
        </w:tc>
      </w:tr>
      <w:tr>
        <w:trPr>
          <w:trHeight w:val="203"/>
        </w:trPr>
        <w:tc>
          <w:tcPr>
            <w:tcW w:w="20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ind w:left="1120"/>
              <w:spacing w:after="0" w:line="203" w:lineRule="exact"/>
              <w:rPr>
                <w:sz w:val="20"/>
                <w:szCs w:val="20"/>
                <w:color w:val="auto"/>
              </w:rPr>
            </w:pPr>
            <w:r>
              <w:rPr>
                <w:rFonts w:ascii="Arial" w:cs="Arial" w:eastAsia="Arial" w:hAnsi="Arial"/>
                <w:sz w:val="16"/>
                <w:szCs w:val="16"/>
                <w:color w:val="auto"/>
              </w:rPr>
              <w:t>Deferred Compensation Plan</w:t>
            </w:r>
            <w:r>
              <w:rPr>
                <w:rFonts w:ascii="Arial" w:cs="Arial" w:eastAsia="Arial" w:hAnsi="Arial"/>
                <w:sz w:val="23"/>
                <w:szCs w:val="23"/>
                <w:color w:val="auto"/>
                <w:vertAlign w:val="superscript"/>
              </w:rPr>
              <w:t>7</w:t>
            </w: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040" w:type="dxa"/>
            <w:vAlign w:val="bottom"/>
            <w:tcBorders>
              <w:bottom w:val="single" w:sz="8" w:color="003A70"/>
            </w:tcBorders>
          </w:tcPr>
          <w:p>
            <w:pPr>
              <w:spacing w:after="0"/>
              <w:rPr>
                <w:sz w:val="15"/>
                <w:szCs w:val="15"/>
                <w:color w:val="auto"/>
              </w:rPr>
            </w:pPr>
          </w:p>
        </w:tc>
        <w:tc>
          <w:tcPr>
            <w:tcW w:w="3680" w:type="dxa"/>
            <w:vAlign w:val="bottom"/>
            <w:tcBorders>
              <w:bottom w:val="single" w:sz="8" w:color="003A70"/>
            </w:tcBorders>
          </w:tcPr>
          <w:p>
            <w:pPr>
              <w:ind w:left="1120"/>
              <w:spacing w:after="0" w:line="183" w:lineRule="exact"/>
              <w:rPr>
                <w:sz w:val="20"/>
                <w:szCs w:val="20"/>
                <w:color w:val="auto"/>
              </w:rPr>
            </w:pPr>
            <w:r>
              <w:rPr>
                <w:rFonts w:ascii="Arial" w:cs="Arial" w:eastAsia="Arial" w:hAnsi="Arial"/>
                <w:sz w:val="16"/>
                <w:szCs w:val="16"/>
                <w:b w:val="1"/>
                <w:bCs w:val="1"/>
                <w:color w:val="auto"/>
              </w:rPr>
              <w:t>Total</w:t>
            </w:r>
          </w:p>
        </w:tc>
        <w:tc>
          <w:tcPr>
            <w:tcW w:w="520" w:type="dxa"/>
            <w:vAlign w:val="bottom"/>
            <w:tcBorders>
              <w:bottom w:val="single" w:sz="8" w:color="003A70"/>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003A70"/>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003A70"/>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003A70"/>
            </w:tcBorders>
          </w:tcPr>
          <w:p>
            <w:pPr>
              <w:jc w:val="right"/>
              <w:spacing w:after="0" w:line="183" w:lineRule="exact"/>
              <w:rPr>
                <w:sz w:val="20"/>
                <w:szCs w:val="20"/>
                <w:color w:val="auto"/>
              </w:rPr>
            </w:pPr>
            <w:r>
              <w:rPr>
                <w:rFonts w:ascii="Arial" w:cs="Arial" w:eastAsia="Arial" w:hAnsi="Arial"/>
                <w:sz w:val="16"/>
                <w:szCs w:val="16"/>
                <w:b w:val="1"/>
                <w:bCs w:val="1"/>
                <w:color w:val="auto"/>
              </w:rPr>
              <w:t>768,492</w:t>
            </w:r>
          </w:p>
        </w:tc>
        <w:tc>
          <w:tcPr>
            <w:tcW w:w="180" w:type="dxa"/>
            <w:vAlign w:val="bottom"/>
            <w:tcBorders>
              <w:bottom w:val="single" w:sz="8" w:color="003A70"/>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003A70"/>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1,039,114</w:t>
            </w:r>
          </w:p>
        </w:tc>
        <w:tc>
          <w:tcPr>
            <w:tcW w:w="1020" w:type="dxa"/>
            <w:vAlign w:val="bottom"/>
            <w:tcBorders>
              <w:bottom w:val="single" w:sz="8" w:color="003A70"/>
            </w:tcBorders>
          </w:tcPr>
          <w:p>
            <w:pPr>
              <w:jc w:val="right"/>
              <w:spacing w:after="0" w:line="183" w:lineRule="exact"/>
              <w:rPr>
                <w:sz w:val="20"/>
                <w:szCs w:val="20"/>
                <w:color w:val="auto"/>
              </w:rPr>
            </w:pPr>
            <w:r>
              <w:rPr>
                <w:rFonts w:ascii="Arial" w:cs="Arial" w:eastAsia="Arial" w:hAnsi="Arial"/>
                <w:sz w:val="16"/>
                <w:szCs w:val="16"/>
                <w:b w:val="1"/>
                <w:bCs w:val="1"/>
                <w:color w:val="auto"/>
              </w:rPr>
              <w:t>$            —</w:t>
            </w:r>
          </w:p>
        </w:tc>
        <w:tc>
          <w:tcPr>
            <w:tcW w:w="180" w:type="dxa"/>
            <w:vAlign w:val="bottom"/>
            <w:tcBorders>
              <w:bottom w:val="single" w:sz="8" w:color="003A70"/>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003A70"/>
            </w:tcBorders>
          </w:tcPr>
          <w:p>
            <w:pPr>
              <w:jc w:val="right"/>
              <w:spacing w:after="0" w:line="183" w:lineRule="exact"/>
              <w:rPr>
                <w:sz w:val="20"/>
                <w:szCs w:val="20"/>
                <w:color w:val="auto"/>
              </w:rPr>
            </w:pPr>
            <w:r>
              <w:rPr>
                <w:rFonts w:ascii="Arial" w:cs="Arial" w:eastAsia="Arial" w:hAnsi="Arial"/>
                <w:sz w:val="16"/>
                <w:szCs w:val="16"/>
                <w:b w:val="1"/>
                <w:bCs w:val="1"/>
                <w:color w:val="auto"/>
                <w:w w:val="98"/>
              </w:rPr>
              <w:t>3,540,354</w:t>
            </w:r>
          </w:p>
        </w:tc>
      </w:tr>
    </w:tbl>
    <w:p>
      <w:pPr>
        <w:spacing w:after="0" w:line="72" w:lineRule="exact"/>
        <w:rPr>
          <w:sz w:val="20"/>
          <w:szCs w:val="20"/>
          <w:color w:val="auto"/>
        </w:rPr>
      </w:pPr>
    </w:p>
    <w:p>
      <w:pPr>
        <w:ind w:left="440" w:right="260" w:hanging="324"/>
        <w:spacing w:after="0" w:line="214" w:lineRule="auto"/>
        <w:tabs>
          <w:tab w:leader="none" w:pos="440" w:val="left"/>
        </w:tabs>
        <w:numPr>
          <w:ilvl w:val="0"/>
          <w:numId w:val="93"/>
        </w:numPr>
        <w:rPr>
          <w:rFonts w:ascii="Arial" w:cs="Arial" w:eastAsia="Arial" w:hAnsi="Arial"/>
          <w:sz w:val="22"/>
          <w:szCs w:val="22"/>
          <w:color w:val="auto"/>
          <w:vertAlign w:val="superscript"/>
        </w:rPr>
      </w:pPr>
      <w:r>
        <w:rPr>
          <w:rFonts w:ascii="Arial" w:cs="Arial" w:eastAsia="Arial" w:hAnsi="Arial"/>
          <w:sz w:val="14"/>
          <w:szCs w:val="14"/>
          <w:color w:val="auto"/>
        </w:rPr>
        <w:t>Mr. Miller and Mr. Hunter are eligible for “approved retiree” status under the MVW Deferred Compensation Plan and the 2020 Equity Plan. Amounts in this column reflect the benefits each would receive if he or she ceased being employed by the Company for any reason on December 31, 2025 and satisfied the requirements of such plans for qualification as an approved retiree.</w:t>
      </w:r>
    </w:p>
    <w:p>
      <w:pPr>
        <w:spacing w:after="0" w:line="54" w:lineRule="exact"/>
        <w:rPr>
          <w:sz w:val="20"/>
          <w:szCs w:val="20"/>
          <w:color w:val="auto"/>
        </w:rPr>
      </w:pPr>
    </w:p>
    <w:p>
      <w:pPr>
        <w:ind w:left="440" w:right="40" w:hanging="324"/>
        <w:spacing w:after="0" w:line="226" w:lineRule="auto"/>
        <w:tabs>
          <w:tab w:leader="none" w:pos="440" w:val="left"/>
        </w:tabs>
        <w:numPr>
          <w:ilvl w:val="0"/>
          <w:numId w:val="94"/>
        </w:numPr>
        <w:rPr>
          <w:rFonts w:ascii="Arial" w:cs="Arial" w:eastAsia="Arial" w:hAnsi="Arial"/>
          <w:sz w:val="22"/>
          <w:szCs w:val="22"/>
          <w:color w:val="auto"/>
          <w:vertAlign w:val="superscript"/>
        </w:rPr>
      </w:pPr>
      <w:r>
        <w:rPr>
          <w:rFonts w:ascii="Arial" w:cs="Arial" w:eastAsia="Arial" w:hAnsi="Arial"/>
          <w:sz w:val="14"/>
          <w:szCs w:val="14"/>
          <w:color w:val="auto"/>
        </w:rPr>
        <w:t>Upon termination with cause, no benefits would be payable. In addition, there are no contractual rights providing for payment upon a termination without cause other than in connection with a change in control. Any such payments would be based upon negotiation at the time of such termination. At the time of Mr. Geller’s termination, he entered into a separation agreement, and the amounts herein reflect payments made to Mr. Geller pursuant to the terms thereof, including (a) $5,083,486, representing two times his 2025 base salary plus target bonus and (b) $1,286,301, representing his 2025 bonus award at target prorated through November 10, 2025. MVW Equity Awards reflect the treatment of outstanding restricted stock units, performance shares and stock appreciation rights previously issued to Mr. Geller based upon the fair market value on November 10, 2025.</w:t>
      </w:r>
    </w:p>
    <w:p>
      <w:pPr>
        <w:spacing w:after="0" w:line="57" w:lineRule="exact"/>
        <w:rPr>
          <w:sz w:val="20"/>
          <w:szCs w:val="20"/>
          <w:color w:val="auto"/>
        </w:rPr>
      </w:pPr>
    </w:p>
    <w:p>
      <w:pPr>
        <w:ind w:left="440" w:right="20" w:hanging="324"/>
        <w:spacing w:after="0"/>
        <w:tabs>
          <w:tab w:leader="none" w:pos="440" w:val="left"/>
        </w:tabs>
        <w:numPr>
          <w:ilvl w:val="0"/>
          <w:numId w:val="95"/>
        </w:numPr>
        <w:rPr>
          <w:rFonts w:ascii="Arial" w:cs="Arial" w:eastAsia="Arial" w:hAnsi="Arial"/>
          <w:sz w:val="22"/>
          <w:szCs w:val="22"/>
          <w:color w:val="auto"/>
          <w:vertAlign w:val="superscript"/>
        </w:rPr>
      </w:pPr>
      <w:r>
        <w:rPr>
          <w:rFonts w:ascii="Arial" w:cs="Arial" w:eastAsia="Arial" w:hAnsi="Arial"/>
          <w:sz w:val="14"/>
          <w:szCs w:val="14"/>
          <w:color w:val="auto"/>
        </w:rPr>
        <w:t>As described above under “Change in Control Arrangements,” an NEO who participates in the Change in Control Plan and who executes a waiver and release of claims in favor of the Company will receive the following severance benefits if his or her employment is terminated involuntarily by the Company or any of its affiliates, other than due to Cause, Total Disability, or death, or is terminated by the NEO for Good Reason, in each case, within two years following a Change in Control of the Company: (1) a cash</w:t>
      </w:r>
    </w:p>
    <w:p>
      <w:pPr>
        <w:spacing w:after="0" w:line="218" w:lineRule="exact"/>
        <w:rPr>
          <w:sz w:val="20"/>
          <w:szCs w:val="20"/>
          <w:color w:val="auto"/>
        </w:rPr>
      </w:pPr>
    </w:p>
    <w:p>
      <w:pPr>
        <w:ind w:left="120"/>
        <w:spacing w:after="0"/>
        <w:tabs>
          <w:tab w:leader="none" w:pos="446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p>
      <w:pPr>
        <w:ind w:left="440" w:right="20"/>
        <w:spacing w:after="0" w:line="245" w:lineRule="auto"/>
        <w:rPr>
          <w:sz w:val="20"/>
          <w:szCs w:val="20"/>
          <w:color w:val="auto"/>
        </w:rPr>
      </w:pPr>
      <w:r>
        <w:rPr>
          <w:rFonts w:ascii="Arial" w:cs="Arial" w:eastAsia="Arial" w:hAnsi="Arial"/>
          <w:sz w:val="14"/>
          <w:szCs w:val="14"/>
          <w:color w:val="auto"/>
        </w:rPr>
        <w:t>severance payment, payable in a lump sum, equal to two times (or three times, in the case of the CEO of the Company; or zero times, in the case of the interim CEO of the Company) the sum of his or her Base Salary and Target Bonus; (2) twenty-four months (or thirty-six months, in the case of the CEO of the Company) of Company-subsidized medical, dental and life-insurance coverage for such NEO and his or her spouse and dependents, at the same benefit level as provided to the executive immediately prior to the Change in Control, or the cash equivalent of the present value of such coverage (“Benefit Coverage”); (3) any unpaid salary or bonus as of the Termination date for any previously-completed fiscal year (“Earned Amounts”); (4) a pro-rata bonus for the fiscal year in which the NEO’s employment is terminated assuming achievement at the target level of performance; (5) vesting of all restricted stock, RSUs or other share-based awards in a form substantially similar to restricted stock or RSUs as of the Termination date; (6) vesting of all unvested or unexercisable options, SARs or other share-based awards in a form substantially similar to options or SARs, which will be exercisable until the earlier of the end of their original term or 12 months (or in the case of certain approved retirees, five years) following the Termination date; and (7) the vesting and immediate payment of all other cash performance units or other share-based awards subject to performance-based vesting criteria based on a presumed achievement of target levels of performance. No amounts are shown for Earned Amounts as we have assumed there would be no such amounts unpaid on the last day of the fiscal year. Certain terms in this footnote are defined above under “Change in Control Arrangements.”</w:t>
      </w:r>
    </w:p>
    <w:p>
      <w:pPr>
        <w:spacing w:after="0" w:line="55" w:lineRule="exact"/>
        <w:rPr>
          <w:sz w:val="20"/>
          <w:szCs w:val="20"/>
          <w:color w:val="auto"/>
        </w:rPr>
      </w:pPr>
    </w:p>
    <w:p>
      <w:pPr>
        <w:ind w:left="440" w:right="320" w:hanging="324"/>
        <w:spacing w:after="0" w:line="214" w:lineRule="auto"/>
        <w:tabs>
          <w:tab w:leader="none" w:pos="440" w:val="left"/>
        </w:tabs>
        <w:numPr>
          <w:ilvl w:val="0"/>
          <w:numId w:val="96"/>
        </w:numPr>
        <w:rPr>
          <w:rFonts w:ascii="Arial" w:cs="Arial" w:eastAsia="Arial" w:hAnsi="Arial"/>
          <w:sz w:val="22"/>
          <w:szCs w:val="22"/>
          <w:color w:val="auto"/>
          <w:vertAlign w:val="superscript"/>
        </w:rPr>
      </w:pPr>
      <w:r>
        <w:rPr>
          <w:rFonts w:ascii="Arial" w:cs="Arial" w:eastAsia="Arial" w:hAnsi="Arial"/>
          <w:sz w:val="14"/>
          <w:szCs w:val="14"/>
          <w:color w:val="auto"/>
        </w:rPr>
        <w:t>Upon retirement after either reaching age 55 and completing ten years of service, disability or death, the NEO would be entitled to a pro-rata bonus based on target achievement under the 2025 Bonus Plan. The amount shown with respect to annual bonus for each NEO is the actual payout amount for 2025. See Note 3 for a description of annual bonus amounts payable following a Change in Control.</w:t>
      </w:r>
    </w:p>
    <w:p>
      <w:pPr>
        <w:ind w:left="440" w:hanging="324"/>
        <w:spacing w:after="0" w:line="232" w:lineRule="auto"/>
        <w:tabs>
          <w:tab w:leader="none" w:pos="440" w:val="left"/>
        </w:tabs>
        <w:numPr>
          <w:ilvl w:val="0"/>
          <w:numId w:val="97"/>
        </w:numPr>
        <w:rPr>
          <w:rFonts w:ascii="Arial" w:cs="Arial" w:eastAsia="Arial" w:hAnsi="Arial"/>
          <w:sz w:val="22"/>
          <w:szCs w:val="22"/>
          <w:color w:val="auto"/>
          <w:vertAlign w:val="superscript"/>
        </w:rPr>
      </w:pPr>
      <w:r>
        <w:rPr>
          <w:rFonts w:ascii="Arial" w:cs="Arial" w:eastAsia="Arial" w:hAnsi="Arial"/>
          <w:sz w:val="14"/>
          <w:szCs w:val="14"/>
          <w:color w:val="auto"/>
        </w:rPr>
        <w:t>Consists of the Benefit Coverage payable under the Change in Control Plan.</w:t>
      </w:r>
    </w:p>
    <w:p>
      <w:pPr>
        <w:spacing w:after="0" w:line="59" w:lineRule="exact"/>
        <w:rPr>
          <w:sz w:val="20"/>
          <w:szCs w:val="20"/>
          <w:color w:val="auto"/>
        </w:rPr>
      </w:pPr>
    </w:p>
    <w:p>
      <w:pPr>
        <w:ind w:left="440" w:right="20" w:hanging="324"/>
        <w:spacing w:after="0" w:line="233" w:lineRule="auto"/>
        <w:tabs>
          <w:tab w:leader="none" w:pos="440" w:val="left"/>
        </w:tabs>
        <w:numPr>
          <w:ilvl w:val="0"/>
          <w:numId w:val="98"/>
        </w:numPr>
        <w:rPr>
          <w:rFonts w:ascii="Arial" w:cs="Arial" w:eastAsia="Arial" w:hAnsi="Arial"/>
          <w:sz w:val="22"/>
          <w:szCs w:val="22"/>
          <w:color w:val="auto"/>
          <w:vertAlign w:val="superscript"/>
        </w:rPr>
      </w:pPr>
      <w:r>
        <w:rPr>
          <w:rFonts w:ascii="Arial" w:cs="Arial" w:eastAsia="Arial" w:hAnsi="Arial"/>
          <w:sz w:val="14"/>
          <w:szCs w:val="14"/>
          <w:color w:val="auto"/>
        </w:rPr>
        <w:t>Upon retirement or permanent disability (as defined in the pertinent plan), an NEO may continue to vest in and receive distributions under outstanding stock awards for the remainder of their vesting period and may exercise options and SARs for up to five years in accordance with the awards’ original terms; provided however that upon permanent disability, the Performance Units will immediately vest assuming achievement at the target level of performance. Annual stock awards provide that if the executive retires within one year after the grant date, the executive forfeits a portion of the stock award proportional to the number of days remaining within that one-year period. For these purposes, retirement means a termination of employment with retirement approval of the CPC by an executive who had attained age 55 with 10 years of service. In all cases, however, the CPC or its designee has the authority to revoke approved retiree status if an executive’s employment terminated for serious misconduct or was subsequently found to have engaged in competition or engaged in criminal conduct or other behavior that was actually or potentially harmful to the Company. An NEO who dies as an employee or approved retiree would immediately vest in his or her options, SARs and other stock awards. As of December 31, 2025, Mr. Miller, and Mr. Hunter met the age and service conditions for retirement eligibility. The value of Performance Units vesting upon retirement is calculated based on the probable outcome of the performance conditions as of December 31, 2025; the value of Performance Units vesting upon disability or death is calculated assuming achievement at the target level of performance. See Note 3 for a description of treatment of outstanding equity awards following a Change in Control. Mr. Avril’s awards are governed by his award agreements.</w:t>
      </w:r>
    </w:p>
    <w:p>
      <w:pPr>
        <w:spacing w:after="0" w:line="54" w:lineRule="exact"/>
        <w:rPr>
          <w:sz w:val="20"/>
          <w:szCs w:val="20"/>
          <w:color w:val="auto"/>
        </w:rPr>
      </w:pPr>
    </w:p>
    <w:p>
      <w:pPr>
        <w:ind w:left="440" w:right="40" w:hanging="324"/>
        <w:spacing w:after="0" w:line="224" w:lineRule="auto"/>
        <w:tabs>
          <w:tab w:leader="none" w:pos="440" w:val="left"/>
        </w:tabs>
        <w:numPr>
          <w:ilvl w:val="0"/>
          <w:numId w:val="99"/>
        </w:numPr>
        <w:rPr>
          <w:rFonts w:ascii="Arial" w:cs="Arial" w:eastAsia="Arial" w:hAnsi="Arial"/>
          <w:sz w:val="22"/>
          <w:szCs w:val="22"/>
          <w:color w:val="auto"/>
          <w:vertAlign w:val="superscript"/>
        </w:rPr>
      </w:pPr>
      <w:r>
        <w:rPr>
          <w:rFonts w:ascii="Arial" w:cs="Arial" w:eastAsia="Arial" w:hAnsi="Arial"/>
          <w:sz w:val="14"/>
          <w:szCs w:val="14"/>
          <w:color w:val="auto"/>
        </w:rPr>
        <w:t>Consists of the value of unvested employer credits under the MVW Deferred Compensation Plan. The Company may credit participants’ accounts with employer credits that will vest at a rate of 25% per year on the first four anniversaries of the date the discretionary employer credit was allocated to the participant’s account (unless otherwise determined), provided that the participant remains in continued service with the Company. Upon a change in control of the Company or a participant’s death or retirement after reaching age 55 and completing ten years of service, all employer credits will immediately vest in full. Although the Marriott Deferred Compensation Plan also provided for employer credits, no NEO has unvested employer credits under the Marriott Deferred Compensation Plan.</w:t>
      </w:r>
    </w:p>
    <w:p>
      <w:pPr>
        <w:spacing w:after="0" w:line="76"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auto"/>
        </w:rPr>
        <w:t>The benefits reported in the table and narrative above are in addition to benefits available prior to the occurrence of any termination of employment, including benefits available under then-exercisable SARs and options and vested MVW Deferred Compensation Plan balances, and benefits available generally to salaried employees such as benefits under the 401(k) Plan, group medical and dental plans, life and accidental death insurance plans, disability programs and health and dependent care spending accounts. Amounts actually received if any of the NEOs cease to be employed will vary based on factors such as the timing during the year of any such event, the price of the Company’s stock, the NEO’s age, and any changes to our benefit arrangements and policies. We may determine to provide additional or different benefits in connection with any executive’s termination.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CEO PAY RATIO</w:t>
      </w:r>
    </w:p>
    <w:p>
      <w:pPr>
        <w:spacing w:after="0" w:line="112" w:lineRule="exact"/>
        <w:rPr>
          <w:sz w:val="20"/>
          <w:szCs w:val="20"/>
          <w:color w:val="auto"/>
        </w:rPr>
      </w:pPr>
    </w:p>
    <w:p>
      <w:pPr>
        <w:jc w:val="both"/>
        <w:ind w:left="120" w:right="580"/>
        <w:spacing w:after="0" w:line="266" w:lineRule="auto"/>
        <w:rPr>
          <w:sz w:val="20"/>
          <w:szCs w:val="20"/>
          <w:color w:val="auto"/>
        </w:rPr>
      </w:pPr>
      <w:r>
        <w:rPr>
          <w:rFonts w:ascii="Arial" w:cs="Arial" w:eastAsia="Arial" w:hAnsi="Arial"/>
          <w:sz w:val="16"/>
          <w:szCs w:val="16"/>
          <w:color w:val="auto"/>
        </w:rPr>
        <w:t>Under rules adopted pursuant to the Dodd-Frank Act of 2010, we are required to calculate and disclose the total compensation paid to our median employee, as well as the ratio of the total compensation paid to the median employee as compared to the total compensation paid to our Principal Executive Officer (“PEO”) who is our CEO.</w:t>
      </w:r>
    </w:p>
    <w:p>
      <w:pPr>
        <w:spacing w:after="0" w:line="63"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Under the relevant rules, we are required to identify the median employee by use of a consistently applied compensation measure. We chose to utilize compensation rules that were consistent with the Summary Compensation Table. We did not perform adjustments to the compensation paid to part-time employees to calculate what they would have been paid on a full-time basis.</w:t>
      </w:r>
    </w:p>
    <w:p>
      <w:pPr>
        <w:spacing w:after="0" w:line="63"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6"/>
          <w:szCs w:val="16"/>
          <w:color w:val="auto"/>
        </w:rPr>
        <w:t>As of December 31, 2025, the date for the determination of the median employee, we had approximately 21,100 employees in 25 countries for purposes of this determination, however, the vast majority of these employees were in North America. In identifying the median employee, we excluded workers in 16 countries totaling 991 associates (approximately 4.7% of our workforce) as permitted by the de minimis exemption rules, given the small portion of the total employee population in these countries.</w:t>
      </w:r>
    </w:p>
    <w:p>
      <w:pPr>
        <w:spacing w:after="0" w:line="111" w:lineRule="exact"/>
        <w:rPr>
          <w:sz w:val="20"/>
          <w:szCs w:val="20"/>
          <w:color w:val="auto"/>
        </w:rPr>
      </w:pPr>
    </w:p>
    <w:p>
      <w:pPr>
        <w:ind w:left="120"/>
        <w:spacing w:after="0"/>
        <w:tabs>
          <w:tab w:leader="none" w:pos="4460" w:val="left"/>
          <w:tab w:leader="none" w:pos="7820" w:val="left"/>
        </w:tabs>
        <w:rPr>
          <w:sz w:val="20"/>
          <w:szCs w:val="20"/>
          <w:color w:val="auto"/>
        </w:rPr>
      </w:pPr>
      <w:r>
        <w:rPr>
          <w:rFonts w:ascii="Arial" w:cs="Arial" w:eastAsia="Arial" w:hAnsi="Arial"/>
          <w:sz w:val="11"/>
          <w:szCs w:val="11"/>
          <w:b w:val="1"/>
          <w:bCs w:val="1"/>
          <w:color w:val="003A70"/>
        </w:rPr>
        <w:t>52</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excluded the following number of workers from the following countries in the identification of the median employee.</w:t>
      </w:r>
    </w:p>
    <w:p>
      <w:pPr>
        <w:spacing w:after="0" w:line="253"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2700" w:type="dxa"/>
            <w:vAlign w:val="bottom"/>
          </w:tcPr>
          <w:p>
            <w:pPr>
              <w:ind w:left="1580"/>
              <w:spacing w:after="0"/>
              <w:rPr>
                <w:sz w:val="20"/>
                <w:szCs w:val="20"/>
                <w:color w:val="auto"/>
              </w:rPr>
            </w:pPr>
            <w:r>
              <w:rPr>
                <w:rFonts w:ascii="Arial" w:cs="Arial" w:eastAsia="Arial" w:hAnsi="Arial"/>
                <w:sz w:val="14"/>
                <w:szCs w:val="14"/>
                <w:color w:val="003A70"/>
              </w:rPr>
              <w:t>Number of</w:t>
            </w:r>
          </w:p>
        </w:tc>
        <w:tc>
          <w:tcPr>
            <w:tcW w:w="2360" w:type="dxa"/>
            <w:vAlign w:val="bottom"/>
          </w:tcPr>
          <w:p>
            <w:pPr>
              <w:spacing w:after="0"/>
              <w:rPr>
                <w:sz w:val="14"/>
                <w:szCs w:val="14"/>
                <w:color w:val="auto"/>
              </w:rPr>
            </w:pPr>
          </w:p>
        </w:tc>
        <w:tc>
          <w:tcPr>
            <w:tcW w:w="1840" w:type="dxa"/>
            <w:vAlign w:val="bottom"/>
          </w:tcPr>
          <w:p>
            <w:pPr>
              <w:ind w:left="1140"/>
              <w:spacing w:after="0"/>
              <w:rPr>
                <w:sz w:val="20"/>
                <w:szCs w:val="20"/>
                <w:color w:val="auto"/>
              </w:rPr>
            </w:pPr>
            <w:r>
              <w:rPr>
                <w:rFonts w:ascii="Arial" w:cs="Arial" w:eastAsia="Arial" w:hAnsi="Arial"/>
                <w:sz w:val="14"/>
                <w:szCs w:val="14"/>
                <w:color w:val="003A70"/>
              </w:rPr>
              <w:t>Number of</w:t>
            </w:r>
          </w:p>
        </w:tc>
      </w:tr>
      <w:tr>
        <w:trPr>
          <w:trHeight w:val="192"/>
        </w:trPr>
        <w:tc>
          <w:tcPr>
            <w:tcW w:w="236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Country</w:t>
            </w:r>
          </w:p>
        </w:tc>
        <w:tc>
          <w:tcPr>
            <w:tcW w:w="2700" w:type="dxa"/>
            <w:vAlign w:val="bottom"/>
            <w:tcBorders>
              <w:bottom w:val="single" w:sz="8" w:color="003A70"/>
            </w:tcBorders>
          </w:tcPr>
          <w:p>
            <w:pPr>
              <w:ind w:left="1580"/>
              <w:spacing w:after="0"/>
              <w:rPr>
                <w:sz w:val="20"/>
                <w:szCs w:val="20"/>
                <w:color w:val="auto"/>
              </w:rPr>
            </w:pPr>
            <w:r>
              <w:rPr>
                <w:rFonts w:ascii="Arial" w:cs="Arial" w:eastAsia="Arial" w:hAnsi="Arial"/>
                <w:sz w:val="14"/>
                <w:szCs w:val="14"/>
                <w:color w:val="003A70"/>
              </w:rPr>
              <w:t>Associates</w:t>
            </w:r>
          </w:p>
        </w:tc>
        <w:tc>
          <w:tcPr>
            <w:tcW w:w="2360" w:type="dxa"/>
            <w:vAlign w:val="bottom"/>
            <w:tcBorders>
              <w:bottom w:val="single" w:sz="8" w:color="003A70"/>
            </w:tcBorders>
          </w:tcPr>
          <w:p>
            <w:pPr>
              <w:ind w:left="420"/>
              <w:spacing w:after="0"/>
              <w:rPr>
                <w:sz w:val="20"/>
                <w:szCs w:val="20"/>
                <w:color w:val="auto"/>
              </w:rPr>
            </w:pPr>
            <w:r>
              <w:rPr>
                <w:rFonts w:ascii="Arial" w:cs="Arial" w:eastAsia="Arial" w:hAnsi="Arial"/>
                <w:sz w:val="14"/>
                <w:szCs w:val="14"/>
                <w:color w:val="003A70"/>
              </w:rPr>
              <w:t>Country</w:t>
            </w:r>
          </w:p>
        </w:tc>
        <w:tc>
          <w:tcPr>
            <w:tcW w:w="1840" w:type="dxa"/>
            <w:vAlign w:val="bottom"/>
            <w:tcBorders>
              <w:bottom w:val="single" w:sz="8" w:color="003A70"/>
            </w:tcBorders>
          </w:tcPr>
          <w:p>
            <w:pPr>
              <w:ind w:left="1120"/>
              <w:spacing w:after="0"/>
              <w:rPr>
                <w:sz w:val="20"/>
                <w:szCs w:val="20"/>
                <w:color w:val="auto"/>
              </w:rPr>
            </w:pPr>
            <w:r>
              <w:rPr>
                <w:rFonts w:ascii="Arial" w:cs="Arial" w:eastAsia="Arial" w:hAnsi="Arial"/>
                <w:sz w:val="14"/>
                <w:szCs w:val="14"/>
                <w:color w:val="003A70"/>
              </w:rPr>
              <w:t>Associates</w:t>
            </w:r>
          </w:p>
        </w:tc>
      </w:tr>
      <w:tr>
        <w:trPr>
          <w:trHeight w:val="175"/>
        </w:trPr>
        <w:tc>
          <w:tcPr>
            <w:tcW w:w="2360" w:type="dxa"/>
            <w:vAlign w:val="bottom"/>
          </w:tcPr>
          <w:p>
            <w:pPr>
              <w:spacing w:after="0" w:line="175" w:lineRule="exact"/>
              <w:rPr>
                <w:sz w:val="20"/>
                <w:szCs w:val="20"/>
                <w:color w:val="auto"/>
              </w:rPr>
            </w:pPr>
            <w:r>
              <w:rPr>
                <w:rFonts w:ascii="Arial" w:cs="Arial" w:eastAsia="Arial" w:hAnsi="Arial"/>
                <w:sz w:val="16"/>
                <w:szCs w:val="16"/>
                <w:color w:val="auto"/>
              </w:rPr>
              <w:t>Argentina</w:t>
            </w:r>
          </w:p>
        </w:tc>
        <w:tc>
          <w:tcPr>
            <w:tcW w:w="2700" w:type="dxa"/>
            <w:vAlign w:val="bottom"/>
          </w:tcPr>
          <w:p>
            <w:pPr>
              <w:jc w:val="center"/>
              <w:ind w:left="1041"/>
              <w:spacing w:after="0" w:line="175" w:lineRule="exact"/>
              <w:rPr>
                <w:sz w:val="20"/>
                <w:szCs w:val="20"/>
                <w:color w:val="auto"/>
              </w:rPr>
            </w:pPr>
            <w:r>
              <w:rPr>
                <w:rFonts w:ascii="Arial" w:cs="Arial" w:eastAsia="Arial" w:hAnsi="Arial"/>
                <w:sz w:val="16"/>
                <w:szCs w:val="16"/>
                <w:color w:val="auto"/>
              </w:rPr>
              <w:t>10</w:t>
            </w:r>
          </w:p>
        </w:tc>
        <w:tc>
          <w:tcPr>
            <w:tcW w:w="2360" w:type="dxa"/>
            <w:vAlign w:val="bottom"/>
          </w:tcPr>
          <w:p>
            <w:pPr>
              <w:ind w:left="420"/>
              <w:spacing w:after="0" w:line="175" w:lineRule="exact"/>
              <w:rPr>
                <w:sz w:val="20"/>
                <w:szCs w:val="20"/>
                <w:color w:val="auto"/>
              </w:rPr>
            </w:pPr>
            <w:r>
              <w:rPr>
                <w:rFonts w:ascii="Arial" w:cs="Arial" w:eastAsia="Arial" w:hAnsi="Arial"/>
                <w:sz w:val="16"/>
                <w:szCs w:val="16"/>
                <w:color w:val="auto"/>
              </w:rPr>
              <w:t>Finland</w:t>
            </w:r>
          </w:p>
        </w:tc>
        <w:tc>
          <w:tcPr>
            <w:tcW w:w="1840" w:type="dxa"/>
            <w:vAlign w:val="bottom"/>
          </w:tcPr>
          <w:p>
            <w:pPr>
              <w:jc w:val="center"/>
              <w:ind w:left="1041"/>
              <w:spacing w:after="0" w:line="175" w:lineRule="exact"/>
              <w:rPr>
                <w:sz w:val="20"/>
                <w:szCs w:val="20"/>
                <w:color w:val="auto"/>
              </w:rPr>
            </w:pPr>
            <w:r>
              <w:rPr>
                <w:rFonts w:ascii="Arial" w:cs="Arial" w:eastAsia="Arial" w:hAnsi="Arial"/>
                <w:sz w:val="16"/>
                <w:szCs w:val="16"/>
                <w:color w:val="auto"/>
                <w:w w:val="89"/>
              </w:rPr>
              <w:t>7</w:t>
            </w: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Australia</w:t>
            </w:r>
          </w:p>
        </w:tc>
        <w:tc>
          <w:tcPr>
            <w:tcW w:w="2700" w:type="dxa"/>
            <w:vAlign w:val="bottom"/>
          </w:tcPr>
          <w:p>
            <w:pPr>
              <w:jc w:val="center"/>
              <w:ind w:left="1041"/>
              <w:spacing w:after="0"/>
              <w:rPr>
                <w:sz w:val="20"/>
                <w:szCs w:val="20"/>
                <w:color w:val="auto"/>
              </w:rPr>
            </w:pPr>
            <w:r>
              <w:rPr>
                <w:rFonts w:ascii="Arial" w:cs="Arial" w:eastAsia="Arial" w:hAnsi="Arial"/>
                <w:sz w:val="16"/>
                <w:szCs w:val="16"/>
                <w:color w:val="auto"/>
              </w:rPr>
              <w:t>25</w:t>
            </w:r>
          </w:p>
        </w:tc>
        <w:tc>
          <w:tcPr>
            <w:tcW w:w="2360" w:type="dxa"/>
            <w:vAlign w:val="bottom"/>
          </w:tcPr>
          <w:p>
            <w:pPr>
              <w:ind w:left="420"/>
              <w:spacing w:after="0"/>
              <w:rPr>
                <w:sz w:val="20"/>
                <w:szCs w:val="20"/>
                <w:color w:val="auto"/>
              </w:rPr>
            </w:pPr>
            <w:r>
              <w:rPr>
                <w:rFonts w:ascii="Arial" w:cs="Arial" w:eastAsia="Arial" w:hAnsi="Arial"/>
                <w:sz w:val="16"/>
                <w:szCs w:val="16"/>
                <w:color w:val="auto"/>
              </w:rPr>
              <w:t>Germany</w:t>
            </w:r>
          </w:p>
        </w:tc>
        <w:tc>
          <w:tcPr>
            <w:tcW w:w="1840" w:type="dxa"/>
            <w:vAlign w:val="bottom"/>
          </w:tcPr>
          <w:p>
            <w:pPr>
              <w:jc w:val="center"/>
              <w:ind w:left="1021"/>
              <w:spacing w:after="0"/>
              <w:rPr>
                <w:sz w:val="20"/>
                <w:szCs w:val="20"/>
                <w:color w:val="auto"/>
              </w:rPr>
            </w:pPr>
            <w:r>
              <w:rPr>
                <w:rFonts w:ascii="Arial" w:cs="Arial" w:eastAsia="Arial" w:hAnsi="Arial"/>
                <w:sz w:val="16"/>
                <w:szCs w:val="16"/>
                <w:color w:val="auto"/>
              </w:rPr>
              <w:t>12</w:t>
            </w: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Bahamas</w:t>
            </w:r>
          </w:p>
        </w:tc>
        <w:tc>
          <w:tcPr>
            <w:tcW w:w="2700" w:type="dxa"/>
            <w:vAlign w:val="bottom"/>
          </w:tcPr>
          <w:p>
            <w:pPr>
              <w:jc w:val="center"/>
              <w:ind w:left="1041"/>
              <w:spacing w:after="0"/>
              <w:rPr>
                <w:sz w:val="20"/>
                <w:szCs w:val="20"/>
                <w:color w:val="auto"/>
              </w:rPr>
            </w:pPr>
            <w:r>
              <w:rPr>
                <w:rFonts w:ascii="Arial" w:cs="Arial" w:eastAsia="Arial" w:hAnsi="Arial"/>
                <w:sz w:val="16"/>
                <w:szCs w:val="16"/>
                <w:color w:val="auto"/>
              </w:rPr>
              <w:t>23</w:t>
            </w:r>
          </w:p>
        </w:tc>
        <w:tc>
          <w:tcPr>
            <w:tcW w:w="2360" w:type="dxa"/>
            <w:vAlign w:val="bottom"/>
          </w:tcPr>
          <w:p>
            <w:pPr>
              <w:ind w:left="420"/>
              <w:spacing w:after="0"/>
              <w:rPr>
                <w:sz w:val="20"/>
                <w:szCs w:val="20"/>
                <w:color w:val="auto"/>
              </w:rPr>
            </w:pPr>
            <w:r>
              <w:rPr>
                <w:rFonts w:ascii="Arial" w:cs="Arial" w:eastAsia="Arial" w:hAnsi="Arial"/>
                <w:sz w:val="16"/>
                <w:szCs w:val="16"/>
                <w:color w:val="auto"/>
              </w:rPr>
              <w:t>Hong Kong</w:t>
            </w:r>
          </w:p>
        </w:tc>
        <w:tc>
          <w:tcPr>
            <w:tcW w:w="1840" w:type="dxa"/>
            <w:vAlign w:val="bottom"/>
          </w:tcPr>
          <w:p>
            <w:pPr>
              <w:jc w:val="center"/>
              <w:ind w:left="1041"/>
              <w:spacing w:after="0"/>
              <w:rPr>
                <w:sz w:val="20"/>
                <w:szCs w:val="20"/>
                <w:color w:val="auto"/>
              </w:rPr>
            </w:pPr>
            <w:r>
              <w:rPr>
                <w:rFonts w:ascii="Arial" w:cs="Arial" w:eastAsia="Arial" w:hAnsi="Arial"/>
                <w:sz w:val="16"/>
                <w:szCs w:val="16"/>
                <w:color w:val="auto"/>
                <w:w w:val="89"/>
              </w:rPr>
              <w:t>5</w:t>
            </w: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Brazil</w:t>
            </w:r>
          </w:p>
        </w:tc>
        <w:tc>
          <w:tcPr>
            <w:tcW w:w="2700" w:type="dxa"/>
            <w:vAlign w:val="bottom"/>
          </w:tcPr>
          <w:p>
            <w:pPr>
              <w:jc w:val="center"/>
              <w:ind w:left="1061"/>
              <w:spacing w:after="0"/>
              <w:rPr>
                <w:sz w:val="20"/>
                <w:szCs w:val="20"/>
                <w:color w:val="auto"/>
              </w:rPr>
            </w:pPr>
            <w:r>
              <w:rPr>
                <w:rFonts w:ascii="Arial" w:cs="Arial" w:eastAsia="Arial" w:hAnsi="Arial"/>
                <w:sz w:val="16"/>
                <w:szCs w:val="16"/>
                <w:color w:val="auto"/>
                <w:w w:val="89"/>
              </w:rPr>
              <w:t>3</w:t>
            </w:r>
          </w:p>
        </w:tc>
        <w:tc>
          <w:tcPr>
            <w:tcW w:w="2360" w:type="dxa"/>
            <w:vAlign w:val="bottom"/>
          </w:tcPr>
          <w:p>
            <w:pPr>
              <w:ind w:left="420"/>
              <w:spacing w:after="0"/>
              <w:rPr>
                <w:sz w:val="20"/>
                <w:szCs w:val="20"/>
                <w:color w:val="auto"/>
              </w:rPr>
            </w:pPr>
            <w:r>
              <w:rPr>
                <w:rFonts w:ascii="Arial" w:cs="Arial" w:eastAsia="Arial" w:hAnsi="Arial"/>
                <w:sz w:val="16"/>
                <w:szCs w:val="16"/>
                <w:color w:val="auto"/>
              </w:rPr>
              <w:t>Indonesia</w:t>
            </w:r>
          </w:p>
        </w:tc>
        <w:tc>
          <w:tcPr>
            <w:tcW w:w="1840" w:type="dxa"/>
            <w:vAlign w:val="bottom"/>
          </w:tcPr>
          <w:p>
            <w:pPr>
              <w:jc w:val="center"/>
              <w:ind w:left="1041"/>
              <w:spacing w:after="0"/>
              <w:rPr>
                <w:sz w:val="20"/>
                <w:szCs w:val="20"/>
                <w:color w:val="auto"/>
              </w:rPr>
            </w:pPr>
            <w:r>
              <w:rPr>
                <w:rFonts w:ascii="Arial" w:cs="Arial" w:eastAsia="Arial" w:hAnsi="Arial"/>
                <w:sz w:val="16"/>
                <w:szCs w:val="16"/>
                <w:color w:val="auto"/>
              </w:rPr>
              <w:t>281</w:t>
            </w: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China</w:t>
            </w:r>
          </w:p>
        </w:tc>
        <w:tc>
          <w:tcPr>
            <w:tcW w:w="2700" w:type="dxa"/>
            <w:vAlign w:val="bottom"/>
          </w:tcPr>
          <w:p>
            <w:pPr>
              <w:jc w:val="center"/>
              <w:ind w:left="1041"/>
              <w:spacing w:after="0"/>
              <w:rPr>
                <w:sz w:val="20"/>
                <w:szCs w:val="20"/>
                <w:color w:val="auto"/>
              </w:rPr>
            </w:pPr>
            <w:r>
              <w:rPr>
                <w:rFonts w:ascii="Arial" w:cs="Arial" w:eastAsia="Arial" w:hAnsi="Arial"/>
                <w:sz w:val="16"/>
                <w:szCs w:val="16"/>
                <w:color w:val="auto"/>
              </w:rPr>
              <w:t>86</w:t>
            </w:r>
          </w:p>
        </w:tc>
        <w:tc>
          <w:tcPr>
            <w:tcW w:w="2360" w:type="dxa"/>
            <w:vAlign w:val="bottom"/>
          </w:tcPr>
          <w:p>
            <w:pPr>
              <w:ind w:left="420"/>
              <w:spacing w:after="0"/>
              <w:rPr>
                <w:sz w:val="20"/>
                <w:szCs w:val="20"/>
                <w:color w:val="auto"/>
              </w:rPr>
            </w:pPr>
            <w:r>
              <w:rPr>
                <w:rFonts w:ascii="Arial" w:cs="Arial" w:eastAsia="Arial" w:hAnsi="Arial"/>
                <w:sz w:val="16"/>
                <w:szCs w:val="16"/>
                <w:color w:val="auto"/>
              </w:rPr>
              <w:t>Italy</w:t>
            </w:r>
          </w:p>
        </w:tc>
        <w:tc>
          <w:tcPr>
            <w:tcW w:w="1840" w:type="dxa"/>
            <w:vAlign w:val="bottom"/>
          </w:tcPr>
          <w:p>
            <w:pPr>
              <w:jc w:val="center"/>
              <w:ind w:left="1041"/>
              <w:spacing w:after="0"/>
              <w:rPr>
                <w:sz w:val="20"/>
                <w:szCs w:val="20"/>
                <w:color w:val="auto"/>
              </w:rPr>
            </w:pPr>
            <w:r>
              <w:rPr>
                <w:rFonts w:ascii="Arial" w:cs="Arial" w:eastAsia="Arial" w:hAnsi="Arial"/>
                <w:sz w:val="16"/>
                <w:szCs w:val="16"/>
                <w:color w:val="auto"/>
                <w:w w:val="89"/>
              </w:rPr>
              <w:t>2</w:t>
            </w: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Colombia</w:t>
            </w:r>
          </w:p>
        </w:tc>
        <w:tc>
          <w:tcPr>
            <w:tcW w:w="2700" w:type="dxa"/>
            <w:vAlign w:val="bottom"/>
          </w:tcPr>
          <w:p>
            <w:pPr>
              <w:jc w:val="center"/>
              <w:ind w:left="1041"/>
              <w:spacing w:after="0"/>
              <w:rPr>
                <w:sz w:val="20"/>
                <w:szCs w:val="20"/>
                <w:color w:val="auto"/>
              </w:rPr>
            </w:pPr>
            <w:r>
              <w:rPr>
                <w:rFonts w:ascii="Arial" w:cs="Arial" w:eastAsia="Arial" w:hAnsi="Arial"/>
                <w:sz w:val="16"/>
                <w:szCs w:val="16"/>
                <w:color w:val="auto"/>
              </w:rPr>
              <w:t>19</w:t>
            </w:r>
          </w:p>
        </w:tc>
        <w:tc>
          <w:tcPr>
            <w:tcW w:w="2360" w:type="dxa"/>
            <w:vAlign w:val="bottom"/>
          </w:tcPr>
          <w:p>
            <w:pPr>
              <w:ind w:left="420"/>
              <w:spacing w:after="0"/>
              <w:rPr>
                <w:sz w:val="20"/>
                <w:szCs w:val="20"/>
                <w:color w:val="auto"/>
              </w:rPr>
            </w:pPr>
            <w:r>
              <w:rPr>
                <w:rFonts w:ascii="Arial" w:cs="Arial" w:eastAsia="Arial" w:hAnsi="Arial"/>
                <w:sz w:val="16"/>
                <w:szCs w:val="16"/>
                <w:color w:val="auto"/>
              </w:rPr>
              <w:t>St. Kitts</w:t>
            </w:r>
          </w:p>
        </w:tc>
        <w:tc>
          <w:tcPr>
            <w:tcW w:w="1840" w:type="dxa"/>
            <w:vAlign w:val="bottom"/>
          </w:tcPr>
          <w:p>
            <w:pPr>
              <w:jc w:val="center"/>
              <w:ind w:left="1021"/>
              <w:spacing w:after="0"/>
              <w:rPr>
                <w:sz w:val="20"/>
                <w:szCs w:val="20"/>
                <w:color w:val="auto"/>
              </w:rPr>
            </w:pPr>
            <w:r>
              <w:rPr>
                <w:rFonts w:ascii="Arial" w:cs="Arial" w:eastAsia="Arial" w:hAnsi="Arial"/>
                <w:sz w:val="16"/>
                <w:szCs w:val="16"/>
                <w:color w:val="auto"/>
              </w:rPr>
              <w:t>58</w:t>
            </w: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Costa Rica</w:t>
            </w:r>
          </w:p>
        </w:tc>
        <w:tc>
          <w:tcPr>
            <w:tcW w:w="2700" w:type="dxa"/>
            <w:vAlign w:val="bottom"/>
          </w:tcPr>
          <w:p>
            <w:pPr>
              <w:jc w:val="center"/>
              <w:ind w:left="1041"/>
              <w:spacing w:after="0"/>
              <w:rPr>
                <w:sz w:val="20"/>
                <w:szCs w:val="20"/>
                <w:color w:val="auto"/>
              </w:rPr>
            </w:pPr>
            <w:r>
              <w:rPr>
                <w:rFonts w:ascii="Arial" w:cs="Arial" w:eastAsia="Arial" w:hAnsi="Arial"/>
                <w:sz w:val="16"/>
                <w:szCs w:val="16"/>
                <w:color w:val="auto"/>
              </w:rPr>
              <w:t>25</w:t>
            </w:r>
          </w:p>
        </w:tc>
        <w:tc>
          <w:tcPr>
            <w:tcW w:w="2360" w:type="dxa"/>
            <w:vAlign w:val="bottom"/>
          </w:tcPr>
          <w:p>
            <w:pPr>
              <w:ind w:left="420"/>
              <w:spacing w:after="0"/>
              <w:rPr>
                <w:sz w:val="20"/>
                <w:szCs w:val="20"/>
                <w:color w:val="auto"/>
              </w:rPr>
            </w:pPr>
            <w:r>
              <w:rPr>
                <w:rFonts w:ascii="Arial" w:cs="Arial" w:eastAsia="Arial" w:hAnsi="Arial"/>
                <w:sz w:val="16"/>
                <w:szCs w:val="16"/>
                <w:color w:val="auto"/>
              </w:rPr>
              <w:t>Thailand</w:t>
            </w:r>
          </w:p>
        </w:tc>
        <w:tc>
          <w:tcPr>
            <w:tcW w:w="1840" w:type="dxa"/>
            <w:vAlign w:val="bottom"/>
          </w:tcPr>
          <w:p>
            <w:pPr>
              <w:jc w:val="center"/>
              <w:ind w:left="1041"/>
              <w:spacing w:after="0"/>
              <w:rPr>
                <w:sz w:val="20"/>
                <w:szCs w:val="20"/>
                <w:color w:val="auto"/>
              </w:rPr>
            </w:pPr>
            <w:r>
              <w:rPr>
                <w:rFonts w:ascii="Arial" w:cs="Arial" w:eastAsia="Arial" w:hAnsi="Arial"/>
                <w:sz w:val="16"/>
                <w:szCs w:val="16"/>
                <w:color w:val="auto"/>
              </w:rPr>
              <w:t>380</w:t>
            </w:r>
          </w:p>
        </w:tc>
      </w:tr>
      <w:tr>
        <w:trPr>
          <w:trHeight w:val="203"/>
        </w:trPr>
        <w:tc>
          <w:tcPr>
            <w:tcW w:w="236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Egypt</w:t>
            </w:r>
          </w:p>
        </w:tc>
        <w:tc>
          <w:tcPr>
            <w:tcW w:w="2700" w:type="dxa"/>
            <w:vAlign w:val="bottom"/>
            <w:tcBorders>
              <w:bottom w:val="single" w:sz="8" w:color="003A70"/>
            </w:tcBorders>
          </w:tcPr>
          <w:p>
            <w:pPr>
              <w:jc w:val="center"/>
              <w:ind w:left="1061"/>
              <w:spacing w:after="0"/>
              <w:rPr>
                <w:sz w:val="20"/>
                <w:szCs w:val="20"/>
                <w:color w:val="auto"/>
              </w:rPr>
            </w:pPr>
            <w:r>
              <w:rPr>
                <w:rFonts w:ascii="Arial" w:cs="Arial" w:eastAsia="Arial" w:hAnsi="Arial"/>
                <w:sz w:val="16"/>
                <w:szCs w:val="16"/>
                <w:color w:val="auto"/>
                <w:w w:val="89"/>
              </w:rPr>
              <w:t>7</w:t>
            </w:r>
          </w:p>
        </w:tc>
        <w:tc>
          <w:tcPr>
            <w:tcW w:w="2360" w:type="dxa"/>
            <w:vAlign w:val="bottom"/>
            <w:tcBorders>
              <w:bottom w:val="single" w:sz="8" w:color="003A70"/>
            </w:tcBorders>
          </w:tcPr>
          <w:p>
            <w:pPr>
              <w:ind w:left="420"/>
              <w:spacing w:after="0"/>
              <w:rPr>
                <w:sz w:val="20"/>
                <w:szCs w:val="20"/>
                <w:color w:val="auto"/>
              </w:rPr>
            </w:pPr>
            <w:r>
              <w:rPr>
                <w:rFonts w:ascii="Arial" w:cs="Arial" w:eastAsia="Arial" w:hAnsi="Arial"/>
                <w:sz w:val="16"/>
                <w:szCs w:val="16"/>
                <w:color w:val="auto"/>
              </w:rPr>
              <w:t>UAE</w:t>
            </w:r>
          </w:p>
        </w:tc>
        <w:tc>
          <w:tcPr>
            <w:tcW w:w="1840" w:type="dxa"/>
            <w:vAlign w:val="bottom"/>
            <w:tcBorders>
              <w:bottom w:val="single" w:sz="8" w:color="003A70"/>
            </w:tcBorders>
          </w:tcPr>
          <w:p>
            <w:pPr>
              <w:jc w:val="center"/>
              <w:ind w:left="1021"/>
              <w:spacing w:after="0"/>
              <w:rPr>
                <w:sz w:val="20"/>
                <w:szCs w:val="20"/>
                <w:color w:val="auto"/>
              </w:rPr>
            </w:pPr>
            <w:r>
              <w:rPr>
                <w:rFonts w:ascii="Arial" w:cs="Arial" w:eastAsia="Arial" w:hAnsi="Arial"/>
                <w:sz w:val="16"/>
                <w:szCs w:val="16"/>
                <w:color w:val="auto"/>
              </w:rPr>
              <w:t>48</w:t>
            </w:r>
          </w:p>
        </w:tc>
      </w:tr>
    </w:tbl>
    <w:p>
      <w:pPr>
        <w:spacing w:after="0" w:line="94"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After applying our methodology and excluding the employees listed above, we identified the median employee. Our median employee compensation as calculated using Summary Compensation Table requirements was $49,290.</w:t>
      </w:r>
    </w:p>
    <w:p>
      <w:pPr>
        <w:spacing w:after="0" w:line="48"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During 2025, two individuals served as the Company’s CEO. Mr. Geller served as CEO from January 1, 2025 through November 10, 2025, and Mr. Avril served as CEO from November 10, 2025 through December 31, 2025. For purposes of this pay ratio disclosure, the Company annualized the compensation of Mr. Avril, the individual serving as CEO at fiscal year-end, as permitted by SEC guidance. Accordingly, the annual total compensation of Mr. Avril was calculated by annualizing his base salary for the full year. Compensation elements that are not annualizable, including equity awards and all other compensation, were not annualized. This resulted in annualized 2025 compensation of $4,879,032 for Mr. Avril. Therefore, our CEO to median employee pay ratio is 99:1.</w:t>
      </w:r>
    </w:p>
    <w:p>
      <w:pPr>
        <w:spacing w:after="0" w:line="74" w:lineRule="exact"/>
        <w:rPr>
          <w:sz w:val="20"/>
          <w:szCs w:val="20"/>
          <w:color w:val="auto"/>
        </w:rPr>
      </w:pPr>
    </w:p>
    <w:p>
      <w:pPr>
        <w:ind w:left="120" w:right="340"/>
        <w:spacing w:after="0" w:line="259" w:lineRule="auto"/>
        <w:rPr>
          <w:sz w:val="20"/>
          <w:szCs w:val="20"/>
          <w:color w:val="auto"/>
        </w:rPr>
      </w:pPr>
      <w:r>
        <w:rPr>
          <w:rFonts w:ascii="Arial" w:cs="Arial" w:eastAsia="Arial" w:hAnsi="Arial"/>
          <w:sz w:val="16"/>
          <w:szCs w:val="16"/>
          <w:color w:val="auto"/>
        </w:rPr>
        <w:t>Note that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This information is being provided for compliance purposes. Neither the CPC nor management of the Company used the pay ratio measure in making compensation decisions.</w:t>
      </w:r>
    </w:p>
    <w:p>
      <w:pPr>
        <w:spacing w:after="0" w:line="111" w:lineRule="exact"/>
        <w:rPr>
          <w:sz w:val="20"/>
          <w:szCs w:val="20"/>
          <w:color w:val="auto"/>
        </w:rPr>
      </w:pPr>
    </w:p>
    <w:p>
      <w:pPr>
        <w:ind w:left="120"/>
        <w:spacing w:after="0"/>
        <w:tabs>
          <w:tab w:leader="none" w:pos="446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PAY VS. PERFORMANCE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rules adopted pursuant to the Dodd-Frank Act of 2010, we are required to disclose pay versus performance for our PEO and the other NEOs.</w:t>
      </w:r>
    </w:p>
    <w:p>
      <w:pPr>
        <w:spacing w:after="0" w:line="113"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color w:val="auto"/>
        </w:rPr>
        <w:t>Under the relevant rules, we are required to provide (i) the compensation actually paid to these individuals compared to the Summary Compensation Table, (ii) the total stockholder return (“TSR”) for the Company and chosen peer group, calculated against an initial investment value of $100, (iii) our net income and (iv) another selected Company measure. The table below represents each of these requirements, beginning with fiscal year 2021.</w:t>
      </w:r>
    </w:p>
    <w:p>
      <w:pPr>
        <w:spacing w:after="0" w:line="63" w:lineRule="exact"/>
        <w:rPr>
          <w:sz w:val="20"/>
          <w:szCs w:val="20"/>
          <w:color w:val="auto"/>
        </w:rPr>
      </w:pPr>
    </w:p>
    <w:p>
      <w:pPr>
        <w:ind w:left="120" w:right="340"/>
        <w:spacing w:after="0" w:line="286" w:lineRule="auto"/>
        <w:rPr>
          <w:sz w:val="20"/>
          <w:szCs w:val="20"/>
          <w:color w:val="auto"/>
        </w:rPr>
      </w:pPr>
      <w:r>
        <w:rPr>
          <w:rFonts w:ascii="Arial" w:cs="Arial" w:eastAsia="Arial" w:hAnsi="Arial"/>
          <w:sz w:val="16"/>
          <w:szCs w:val="16"/>
          <w:color w:val="auto"/>
        </w:rPr>
        <w:t>The Company utilized the S&amp;P Composite 1500 Hotels, Resorts &amp; Cruise TSR Index, for the peer group. This index has been utilized historically in our Annual Reports on Form 10-K in connection with the required performance graph and most closely aligns with our line of business.</w:t>
      </w:r>
    </w:p>
    <w:p>
      <w:pPr>
        <w:spacing w:after="0" w:line="48" w:lineRule="exact"/>
        <w:rPr>
          <w:sz w:val="20"/>
          <w:szCs w:val="20"/>
          <w:color w:val="auto"/>
        </w:rPr>
      </w:pPr>
    </w:p>
    <w:p>
      <w:pPr>
        <w:ind w:left="120" w:right="700"/>
        <w:spacing w:after="0" w:line="266" w:lineRule="auto"/>
        <w:rPr>
          <w:sz w:val="20"/>
          <w:szCs w:val="20"/>
          <w:color w:val="auto"/>
        </w:rPr>
      </w:pPr>
      <w:r>
        <w:rPr>
          <w:rFonts w:ascii="Arial" w:cs="Arial" w:eastAsia="Arial" w:hAnsi="Arial"/>
          <w:sz w:val="16"/>
          <w:szCs w:val="16"/>
          <w:color w:val="auto"/>
        </w:rPr>
        <w:t>Adjusted EBITDA, as previously defined, was chosen as the Company-selected financial measure as it is an important indicator of the Company’s operating performance. It is also a measure of our ability to service debt, fund capital expenditures, expand the business, and return cash to the stockholders.</w:t>
      </w:r>
    </w:p>
    <w:p>
      <w:pPr>
        <w:spacing w:after="0" w:line="63"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As it relates to compensation decisions, Adjusted EBITDA allows for period-over-period comparisons of our ongoing core operations before the impact of excluded items. The CPC establishes goals that are designed to maintain high standards that are achievable but not certain to be met.</w:t>
      </w:r>
    </w:p>
    <w:p>
      <w:pPr>
        <w:spacing w:after="0" w:line="48" w:lineRule="exact"/>
        <w:rPr>
          <w:sz w:val="20"/>
          <w:szCs w:val="20"/>
          <w:color w:val="auto"/>
        </w:rPr>
      </w:pPr>
    </w:p>
    <w:p>
      <w:pPr>
        <w:ind w:left="120" w:right="400"/>
        <w:spacing w:after="0" w:line="272" w:lineRule="auto"/>
        <w:rPr>
          <w:sz w:val="20"/>
          <w:szCs w:val="20"/>
          <w:color w:val="auto"/>
        </w:rPr>
      </w:pPr>
      <w:r>
        <w:rPr>
          <w:rFonts w:ascii="Arial" w:cs="Arial" w:eastAsia="Arial" w:hAnsi="Arial"/>
          <w:sz w:val="16"/>
          <w:szCs w:val="16"/>
          <w:color w:val="auto"/>
        </w:rPr>
        <w:t>The CPC reviews a number of performance metrics when assessing the Company’s performance. However, for compensation decisions, the following metrics are the most important:</w:t>
      </w:r>
    </w:p>
    <w:p>
      <w:pPr>
        <w:spacing w:after="0" w:line="1" w:lineRule="exact"/>
        <w:rPr>
          <w:sz w:val="20"/>
          <w:szCs w:val="20"/>
          <w:color w:val="auto"/>
        </w:rPr>
      </w:pPr>
    </w:p>
    <w:p>
      <w:pPr>
        <w:ind w:left="660" w:hanging="220"/>
        <w:spacing w:after="0"/>
        <w:tabs>
          <w:tab w:leader="none" w:pos="660" w:val="left"/>
        </w:tabs>
        <w:numPr>
          <w:ilvl w:val="0"/>
          <w:numId w:val="100"/>
        </w:numPr>
        <w:rPr>
          <w:rFonts w:ascii="Arial" w:cs="Arial" w:eastAsia="Arial" w:hAnsi="Arial"/>
          <w:sz w:val="16"/>
          <w:szCs w:val="16"/>
          <w:color w:val="003A70"/>
        </w:rPr>
      </w:pPr>
      <w:r>
        <w:rPr>
          <w:rFonts w:ascii="Arial" w:cs="Arial" w:eastAsia="Arial" w:hAnsi="Arial"/>
          <w:sz w:val="16"/>
          <w:szCs w:val="16"/>
          <w:color w:val="auto"/>
        </w:rPr>
        <w:t>Adjusted EBITDA, with its relative importance noted above, used in the short-term incentive program</w:t>
      </w:r>
    </w:p>
    <w:p>
      <w:pPr>
        <w:spacing w:after="0" w:line="45" w:lineRule="exact"/>
        <w:rPr>
          <w:rFonts w:ascii="Arial" w:cs="Arial" w:eastAsia="Arial" w:hAnsi="Arial"/>
          <w:sz w:val="16"/>
          <w:szCs w:val="16"/>
          <w:color w:val="003A70"/>
        </w:rPr>
      </w:pPr>
    </w:p>
    <w:p>
      <w:pPr>
        <w:ind w:left="660" w:right="320" w:hanging="220"/>
        <w:spacing w:after="0" w:line="272" w:lineRule="auto"/>
        <w:tabs>
          <w:tab w:leader="none" w:pos="660" w:val="left"/>
        </w:tabs>
        <w:numPr>
          <w:ilvl w:val="0"/>
          <w:numId w:val="100"/>
        </w:numPr>
        <w:rPr>
          <w:rFonts w:ascii="Arial" w:cs="Arial" w:eastAsia="Arial" w:hAnsi="Arial"/>
          <w:sz w:val="16"/>
          <w:szCs w:val="16"/>
          <w:color w:val="003A70"/>
        </w:rPr>
      </w:pPr>
      <w:r>
        <w:rPr>
          <w:rFonts w:ascii="Arial" w:cs="Arial" w:eastAsia="Arial" w:hAnsi="Arial"/>
          <w:sz w:val="16"/>
          <w:szCs w:val="16"/>
          <w:color w:val="auto"/>
        </w:rPr>
        <w:t>Total Revenue, a top line financial measure that captures the business and brand contributions to overall Company financials, used in the short-term incentive program</w:t>
      </w:r>
    </w:p>
    <w:p>
      <w:pPr>
        <w:spacing w:after="0" w:line="1" w:lineRule="exact"/>
        <w:rPr>
          <w:rFonts w:ascii="Arial" w:cs="Arial" w:eastAsia="Arial" w:hAnsi="Arial"/>
          <w:sz w:val="16"/>
          <w:szCs w:val="16"/>
          <w:color w:val="003A70"/>
        </w:rPr>
      </w:pPr>
    </w:p>
    <w:p>
      <w:pPr>
        <w:ind w:left="660" w:right="700" w:hanging="220"/>
        <w:spacing w:after="0" w:line="272" w:lineRule="auto"/>
        <w:tabs>
          <w:tab w:leader="none" w:pos="660" w:val="left"/>
        </w:tabs>
        <w:numPr>
          <w:ilvl w:val="0"/>
          <w:numId w:val="100"/>
        </w:numPr>
        <w:rPr>
          <w:rFonts w:ascii="Arial" w:cs="Arial" w:eastAsia="Arial" w:hAnsi="Arial"/>
          <w:sz w:val="16"/>
          <w:szCs w:val="16"/>
          <w:color w:val="003A70"/>
        </w:rPr>
      </w:pPr>
      <w:r>
        <w:rPr>
          <w:rFonts w:ascii="Arial" w:cs="Arial" w:eastAsia="Arial" w:hAnsi="Arial"/>
          <w:sz w:val="16"/>
          <w:szCs w:val="16"/>
          <w:color w:val="auto"/>
        </w:rPr>
        <w:t>Adjusted Return on Invested Capital, a strong driver of free cash flow and important comparator to other companies, used in the long-term incentive program</w:t>
      </w:r>
    </w:p>
    <w:p>
      <w:pPr>
        <w:spacing w:after="0" w:line="1" w:lineRule="exact"/>
        <w:rPr>
          <w:rFonts w:ascii="Arial" w:cs="Arial" w:eastAsia="Arial" w:hAnsi="Arial"/>
          <w:sz w:val="16"/>
          <w:szCs w:val="16"/>
          <w:color w:val="003A70"/>
        </w:rPr>
      </w:pPr>
    </w:p>
    <w:p>
      <w:pPr>
        <w:ind w:left="660" w:right="780" w:hanging="220"/>
        <w:spacing w:after="0" w:line="286" w:lineRule="auto"/>
        <w:tabs>
          <w:tab w:leader="none" w:pos="660" w:val="left"/>
        </w:tabs>
        <w:numPr>
          <w:ilvl w:val="0"/>
          <w:numId w:val="100"/>
        </w:numPr>
        <w:rPr>
          <w:rFonts w:ascii="Arial" w:cs="Arial" w:eastAsia="Arial" w:hAnsi="Arial"/>
          <w:sz w:val="16"/>
          <w:szCs w:val="16"/>
          <w:color w:val="003A70"/>
        </w:rPr>
      </w:pPr>
      <w:r>
        <w:rPr>
          <w:rFonts w:ascii="Arial" w:cs="Arial" w:eastAsia="Arial" w:hAnsi="Arial"/>
          <w:sz w:val="16"/>
          <w:szCs w:val="16"/>
          <w:color w:val="auto"/>
        </w:rPr>
        <w:t>Adjusted earnings per share, aligns the Company’s long-term incentive program with stockholder expectations while promoting sustained performance of the Company over both the shorter- and longer-term, used in the long-term incentive program</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2140" w:type="dxa"/>
            <w:vAlign w:val="bottom"/>
            <w:gridSpan w:val="2"/>
          </w:tcPr>
          <w:p>
            <w:pPr>
              <w:jc w:val="right"/>
              <w:ind w:right="202"/>
              <w:spacing w:after="0"/>
              <w:rPr>
                <w:sz w:val="20"/>
                <w:szCs w:val="20"/>
                <w:color w:val="auto"/>
              </w:rPr>
            </w:pPr>
            <w:r>
              <w:rPr>
                <w:rFonts w:ascii="Arial" w:cs="Arial" w:eastAsia="Arial" w:hAnsi="Arial"/>
                <w:sz w:val="14"/>
                <w:szCs w:val="14"/>
                <w:color w:val="003A70"/>
              </w:rPr>
              <w:t>Summary Compensation</w:t>
            </w:r>
          </w:p>
        </w:tc>
        <w:tc>
          <w:tcPr>
            <w:tcW w:w="2140" w:type="dxa"/>
            <w:vAlign w:val="bottom"/>
            <w:gridSpan w:val="2"/>
          </w:tcPr>
          <w:p>
            <w:pPr>
              <w:jc w:val="right"/>
              <w:ind w:right="262"/>
              <w:spacing w:after="0"/>
              <w:rPr>
                <w:sz w:val="20"/>
                <w:szCs w:val="20"/>
                <w:color w:val="auto"/>
              </w:rPr>
            </w:pPr>
            <w:r>
              <w:rPr>
                <w:rFonts w:ascii="Arial" w:cs="Arial" w:eastAsia="Arial" w:hAnsi="Arial"/>
                <w:sz w:val="14"/>
                <w:szCs w:val="14"/>
                <w:color w:val="003A70"/>
              </w:rPr>
              <w:t>Compensation Actually</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80" w:type="dxa"/>
            <w:vAlign w:val="bottom"/>
            <w:gridSpan w:val="3"/>
          </w:tcPr>
          <w:p>
            <w:pPr>
              <w:ind w:left="60"/>
              <w:spacing w:after="0"/>
              <w:rPr>
                <w:sz w:val="20"/>
                <w:szCs w:val="20"/>
                <w:color w:val="auto"/>
              </w:rPr>
            </w:pPr>
            <w:r>
              <w:rPr>
                <w:rFonts w:ascii="Arial" w:cs="Arial" w:eastAsia="Arial" w:hAnsi="Arial"/>
                <w:sz w:val="14"/>
                <w:szCs w:val="14"/>
                <w:color w:val="003A70"/>
              </w:rPr>
              <w:t>Value of Initial Fixed $100</w:t>
            </w: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25"/>
        </w:trPr>
        <w:tc>
          <w:tcPr>
            <w:tcW w:w="380" w:type="dxa"/>
            <w:vAlign w:val="bottom"/>
          </w:tcPr>
          <w:p>
            <w:pPr>
              <w:spacing w:after="0"/>
              <w:rPr>
                <w:sz w:val="19"/>
                <w:szCs w:val="19"/>
                <w:color w:val="auto"/>
              </w:rPr>
            </w:pPr>
          </w:p>
        </w:tc>
        <w:tc>
          <w:tcPr>
            <w:tcW w:w="2140" w:type="dxa"/>
            <w:vAlign w:val="bottom"/>
            <w:tcBorders>
              <w:bottom w:val="single" w:sz="8" w:color="003A70"/>
            </w:tcBorders>
            <w:gridSpan w:val="2"/>
          </w:tcPr>
          <w:p>
            <w:pPr>
              <w:jc w:val="right"/>
              <w:ind w:right="662"/>
              <w:spacing w:after="0"/>
              <w:rPr>
                <w:sz w:val="20"/>
                <w:szCs w:val="20"/>
                <w:color w:val="auto"/>
              </w:rPr>
            </w:pPr>
            <w:r>
              <w:rPr>
                <w:rFonts w:ascii="Arial" w:cs="Arial" w:eastAsia="Arial" w:hAnsi="Arial"/>
                <w:sz w:val="14"/>
                <w:szCs w:val="14"/>
                <w:color w:val="003A70"/>
              </w:rPr>
              <w:t>Table Total</w:t>
            </w:r>
          </w:p>
        </w:tc>
        <w:tc>
          <w:tcPr>
            <w:tcW w:w="2140" w:type="dxa"/>
            <w:vAlign w:val="bottom"/>
            <w:tcBorders>
              <w:bottom w:val="single" w:sz="8" w:color="003A70"/>
            </w:tcBorders>
            <w:gridSpan w:val="2"/>
          </w:tcPr>
          <w:p>
            <w:pPr>
              <w:jc w:val="right"/>
              <w:ind w:right="702"/>
              <w:spacing w:after="0" w:line="225" w:lineRule="exact"/>
              <w:rPr>
                <w:sz w:val="20"/>
                <w:szCs w:val="20"/>
                <w:color w:val="auto"/>
              </w:rPr>
            </w:pPr>
            <w:r>
              <w:rPr>
                <w:rFonts w:ascii="Arial" w:cs="Arial" w:eastAsia="Arial" w:hAnsi="Arial"/>
                <w:sz w:val="26"/>
                <w:szCs w:val="26"/>
                <w:color w:val="003A70"/>
                <w:vertAlign w:val="subscript"/>
              </w:rPr>
              <w:t>Paid</w:t>
            </w:r>
            <w:r>
              <w:rPr>
                <w:rFonts w:ascii="Arial" w:cs="Arial" w:eastAsia="Arial" w:hAnsi="Arial"/>
                <w:sz w:val="9"/>
                <w:szCs w:val="9"/>
                <w:color w:val="003A70"/>
              </w:rPr>
              <w:t>1,2,3,4</w:t>
            </w: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Borders>
              <w:bottom w:val="single" w:sz="8" w:color="003A70"/>
            </w:tcBorders>
          </w:tcPr>
          <w:p>
            <w:pPr>
              <w:spacing w:after="0"/>
              <w:rPr>
                <w:sz w:val="19"/>
                <w:szCs w:val="19"/>
                <w:color w:val="auto"/>
              </w:rPr>
            </w:pPr>
          </w:p>
        </w:tc>
        <w:tc>
          <w:tcPr>
            <w:tcW w:w="1620" w:type="dxa"/>
            <w:vAlign w:val="bottom"/>
            <w:tcBorders>
              <w:bottom w:val="single" w:sz="8" w:color="003A70"/>
            </w:tcBorders>
            <w:gridSpan w:val="2"/>
          </w:tcPr>
          <w:p>
            <w:pPr>
              <w:jc w:val="right"/>
              <w:ind w:right="124"/>
              <w:spacing w:after="0"/>
              <w:rPr>
                <w:sz w:val="20"/>
                <w:szCs w:val="20"/>
                <w:color w:val="auto"/>
              </w:rPr>
            </w:pPr>
            <w:r>
              <w:rPr>
                <w:rFonts w:ascii="Arial" w:cs="Arial" w:eastAsia="Arial" w:hAnsi="Arial"/>
                <w:sz w:val="14"/>
                <w:szCs w:val="14"/>
                <w:color w:val="003A70"/>
              </w:rPr>
              <w:t>Investment Based on:</w:t>
            </w: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60"/>
        </w:trPr>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Arial" w:cs="Arial" w:eastAsia="Arial" w:hAnsi="Arial"/>
                <w:sz w:val="14"/>
                <w:szCs w:val="14"/>
                <w:color w:val="003A70"/>
              </w:rPr>
              <w:t>S&amp;P</w:t>
            </w:r>
          </w:p>
        </w:tc>
        <w:tc>
          <w:tcPr>
            <w:tcW w:w="13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2"/>
        </w:trPr>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003A70"/>
                <w:w w:val="99"/>
              </w:rPr>
              <w:t>Average</w:t>
            </w:r>
          </w:p>
        </w:tc>
        <w:tc>
          <w:tcPr>
            <w:tcW w:w="1040" w:type="dxa"/>
            <w:vAlign w:val="bottom"/>
          </w:tcPr>
          <w:p>
            <w:pPr>
              <w:jc w:val="center"/>
              <w:spacing w:after="0"/>
              <w:rPr>
                <w:sz w:val="20"/>
                <w:szCs w:val="20"/>
                <w:color w:val="auto"/>
              </w:rPr>
            </w:pPr>
            <w:r>
              <w:rPr>
                <w:rFonts w:ascii="Arial" w:cs="Arial" w:eastAsia="Arial" w:hAnsi="Arial"/>
                <w:sz w:val="14"/>
                <w:szCs w:val="14"/>
                <w:color w:val="003A70"/>
              </w:rPr>
              <w:t>Average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003A70"/>
              </w:rPr>
              <w:t>Composite</w:t>
            </w: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003A70"/>
              </w:rPr>
              <w:t>Summary</w:t>
            </w:r>
          </w:p>
        </w:tc>
        <w:tc>
          <w:tcPr>
            <w:tcW w:w="1040" w:type="dxa"/>
            <w:vAlign w:val="bottom"/>
          </w:tcPr>
          <w:p>
            <w:pPr>
              <w:jc w:val="center"/>
              <w:spacing w:after="0"/>
              <w:rPr>
                <w:sz w:val="20"/>
                <w:szCs w:val="20"/>
                <w:color w:val="auto"/>
              </w:rPr>
            </w:pPr>
            <w:r>
              <w:rPr>
                <w:rFonts w:ascii="Arial" w:cs="Arial" w:eastAsia="Arial" w:hAnsi="Arial"/>
                <w:sz w:val="14"/>
                <w:szCs w:val="14"/>
                <w:color w:val="003A70"/>
              </w:rPr>
              <w:t>Compensation</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003A70"/>
              </w:rPr>
              <w:t>1500 Hotels,</w:t>
            </w:r>
          </w:p>
        </w:tc>
        <w:tc>
          <w:tcPr>
            <w:tcW w:w="13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003A70"/>
              </w:rPr>
              <w:t>Adjusted</w:t>
            </w:r>
          </w:p>
        </w:tc>
      </w:tr>
      <w:tr>
        <w:trPr>
          <w:trHeight w:val="162"/>
        </w:trPr>
        <w:tc>
          <w:tcPr>
            <w:tcW w:w="3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003A70"/>
              </w:rPr>
              <w:t>for Former</w:t>
            </w:r>
          </w:p>
        </w:tc>
        <w:tc>
          <w:tcPr>
            <w:tcW w:w="1020" w:type="dxa"/>
            <w:vAlign w:val="bottom"/>
          </w:tcPr>
          <w:p>
            <w:pPr>
              <w:jc w:val="center"/>
              <w:spacing w:after="0"/>
              <w:rPr>
                <w:sz w:val="20"/>
                <w:szCs w:val="20"/>
                <w:color w:val="auto"/>
              </w:rPr>
            </w:pPr>
            <w:r>
              <w:rPr>
                <w:rFonts w:ascii="Arial" w:cs="Arial" w:eastAsia="Arial" w:hAnsi="Arial"/>
                <w:sz w:val="14"/>
                <w:szCs w:val="14"/>
                <w:color w:val="003A70"/>
              </w:rPr>
              <w:t>for Current</w:t>
            </w:r>
          </w:p>
        </w:tc>
        <w:tc>
          <w:tcPr>
            <w:tcW w:w="1140" w:type="dxa"/>
            <w:vAlign w:val="bottom"/>
          </w:tcPr>
          <w:p>
            <w:pPr>
              <w:jc w:val="center"/>
              <w:spacing w:after="0"/>
              <w:rPr>
                <w:sz w:val="20"/>
                <w:szCs w:val="20"/>
                <w:color w:val="auto"/>
              </w:rPr>
            </w:pPr>
            <w:r>
              <w:rPr>
                <w:rFonts w:ascii="Arial" w:cs="Arial" w:eastAsia="Arial" w:hAnsi="Arial"/>
                <w:sz w:val="14"/>
                <w:szCs w:val="14"/>
                <w:color w:val="003A70"/>
              </w:rPr>
              <w:t>to Former</w:t>
            </w:r>
          </w:p>
        </w:tc>
        <w:tc>
          <w:tcPr>
            <w:tcW w:w="1000" w:type="dxa"/>
            <w:vAlign w:val="bottom"/>
          </w:tcPr>
          <w:p>
            <w:pPr>
              <w:jc w:val="center"/>
              <w:spacing w:after="0"/>
              <w:rPr>
                <w:sz w:val="20"/>
                <w:szCs w:val="20"/>
                <w:color w:val="auto"/>
              </w:rPr>
            </w:pPr>
            <w:r>
              <w:rPr>
                <w:rFonts w:ascii="Arial" w:cs="Arial" w:eastAsia="Arial" w:hAnsi="Arial"/>
                <w:sz w:val="14"/>
                <w:szCs w:val="14"/>
                <w:color w:val="003A70"/>
              </w:rPr>
              <w:t>to Current</w:t>
            </w:r>
          </w:p>
        </w:tc>
        <w:tc>
          <w:tcPr>
            <w:tcW w:w="1160" w:type="dxa"/>
            <w:vAlign w:val="bottom"/>
          </w:tcPr>
          <w:p>
            <w:pPr>
              <w:jc w:val="center"/>
              <w:spacing w:after="0"/>
              <w:rPr>
                <w:sz w:val="20"/>
                <w:szCs w:val="20"/>
                <w:color w:val="auto"/>
              </w:rPr>
            </w:pPr>
            <w:r>
              <w:rPr>
                <w:rFonts w:ascii="Arial" w:cs="Arial" w:eastAsia="Arial" w:hAnsi="Arial"/>
                <w:sz w:val="14"/>
                <w:szCs w:val="14"/>
                <w:color w:val="003A70"/>
              </w:rPr>
              <w:t>Compensation</w:t>
            </w:r>
          </w:p>
        </w:tc>
        <w:tc>
          <w:tcPr>
            <w:tcW w:w="1040" w:type="dxa"/>
            <w:vAlign w:val="bottom"/>
          </w:tcPr>
          <w:p>
            <w:pPr>
              <w:jc w:val="center"/>
              <w:spacing w:after="0"/>
              <w:rPr>
                <w:sz w:val="20"/>
                <w:szCs w:val="20"/>
                <w:color w:val="auto"/>
              </w:rPr>
            </w:pPr>
            <w:r>
              <w:rPr>
                <w:rFonts w:ascii="Arial" w:cs="Arial" w:eastAsia="Arial" w:hAnsi="Arial"/>
                <w:sz w:val="14"/>
                <w:szCs w:val="14"/>
                <w:color w:val="003A70"/>
              </w:rPr>
              <w:t>Actually Paid</w:t>
            </w:r>
          </w:p>
        </w:tc>
        <w:tc>
          <w:tcPr>
            <w:tcW w:w="880" w:type="dxa"/>
            <w:vAlign w:val="bottom"/>
            <w:gridSpan w:val="2"/>
          </w:tcPr>
          <w:p>
            <w:pPr>
              <w:ind w:left="80"/>
              <w:spacing w:after="0"/>
              <w:rPr>
                <w:sz w:val="20"/>
                <w:szCs w:val="20"/>
                <w:color w:val="auto"/>
              </w:rPr>
            </w:pPr>
            <w:r>
              <w:rPr>
                <w:rFonts w:ascii="Arial" w:cs="Arial" w:eastAsia="Arial" w:hAnsi="Arial"/>
                <w:sz w:val="14"/>
                <w:szCs w:val="14"/>
                <w:color w:val="003A70"/>
              </w:rPr>
              <w:t>MVW Total</w:t>
            </w:r>
          </w:p>
        </w:tc>
        <w:tc>
          <w:tcPr>
            <w:tcW w:w="900" w:type="dxa"/>
            <w:vAlign w:val="bottom"/>
          </w:tcPr>
          <w:p>
            <w:pPr>
              <w:jc w:val="center"/>
              <w:spacing w:after="0"/>
              <w:rPr>
                <w:sz w:val="20"/>
                <w:szCs w:val="20"/>
                <w:color w:val="auto"/>
              </w:rPr>
            </w:pPr>
            <w:r>
              <w:rPr>
                <w:rFonts w:ascii="Arial" w:cs="Arial" w:eastAsia="Arial" w:hAnsi="Arial"/>
                <w:sz w:val="14"/>
                <w:szCs w:val="14"/>
                <w:color w:val="003A70"/>
              </w:rPr>
              <w:t>Resorts &amp;</w:t>
            </w:r>
          </w:p>
        </w:tc>
        <w:tc>
          <w:tcPr>
            <w:tcW w:w="13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003A70"/>
              </w:rPr>
              <w:t>EBITDA</w:t>
            </w:r>
          </w:p>
        </w:tc>
      </w:tr>
      <w:tr>
        <w:trPr>
          <w:trHeight w:val="162"/>
        </w:trPr>
        <w:tc>
          <w:tcPr>
            <w:tcW w:w="380" w:type="dxa"/>
            <w:vAlign w:val="bottom"/>
          </w:tcPr>
          <w:p>
            <w:pPr>
              <w:spacing w:after="0"/>
              <w:rPr>
                <w:sz w:val="20"/>
                <w:szCs w:val="20"/>
                <w:color w:val="auto"/>
              </w:rPr>
            </w:pPr>
            <w:r>
              <w:rPr>
                <w:rFonts w:ascii="Arial" w:cs="Arial" w:eastAsia="Arial" w:hAnsi="Arial"/>
                <w:sz w:val="14"/>
                <w:szCs w:val="14"/>
                <w:color w:val="003A70"/>
                <w:w w:val="98"/>
              </w:rPr>
              <w:t>Fiscal</w:t>
            </w:r>
          </w:p>
        </w:tc>
        <w:tc>
          <w:tcPr>
            <w:tcW w:w="1120" w:type="dxa"/>
            <w:vAlign w:val="bottom"/>
          </w:tcPr>
          <w:p>
            <w:pPr>
              <w:jc w:val="center"/>
              <w:spacing w:after="0"/>
              <w:rPr>
                <w:sz w:val="20"/>
                <w:szCs w:val="20"/>
                <w:color w:val="auto"/>
              </w:rPr>
            </w:pPr>
            <w:r>
              <w:rPr>
                <w:rFonts w:ascii="Arial" w:cs="Arial" w:eastAsia="Arial" w:hAnsi="Arial"/>
                <w:sz w:val="14"/>
                <w:szCs w:val="14"/>
                <w:color w:val="003A70"/>
              </w:rPr>
              <w:t>PEO</w:t>
            </w:r>
          </w:p>
        </w:tc>
        <w:tc>
          <w:tcPr>
            <w:tcW w:w="1020" w:type="dxa"/>
            <w:vAlign w:val="bottom"/>
          </w:tcPr>
          <w:p>
            <w:pPr>
              <w:jc w:val="center"/>
              <w:spacing w:after="0"/>
              <w:rPr>
                <w:sz w:val="20"/>
                <w:szCs w:val="20"/>
                <w:color w:val="auto"/>
              </w:rPr>
            </w:pPr>
            <w:r>
              <w:rPr>
                <w:rFonts w:ascii="Arial" w:cs="Arial" w:eastAsia="Arial" w:hAnsi="Arial"/>
                <w:sz w:val="14"/>
                <w:szCs w:val="14"/>
                <w:color w:val="003A70"/>
              </w:rPr>
              <w:t>PEO</w:t>
            </w:r>
          </w:p>
        </w:tc>
        <w:tc>
          <w:tcPr>
            <w:tcW w:w="1140" w:type="dxa"/>
            <w:vAlign w:val="bottom"/>
          </w:tcPr>
          <w:p>
            <w:pPr>
              <w:jc w:val="center"/>
              <w:spacing w:after="0"/>
              <w:rPr>
                <w:sz w:val="20"/>
                <w:szCs w:val="20"/>
                <w:color w:val="auto"/>
              </w:rPr>
            </w:pPr>
            <w:r>
              <w:rPr>
                <w:rFonts w:ascii="Arial" w:cs="Arial" w:eastAsia="Arial" w:hAnsi="Arial"/>
                <w:sz w:val="14"/>
                <w:szCs w:val="14"/>
                <w:color w:val="003A70"/>
              </w:rPr>
              <w:t>PEO</w:t>
            </w:r>
          </w:p>
        </w:tc>
        <w:tc>
          <w:tcPr>
            <w:tcW w:w="1000" w:type="dxa"/>
            <w:vAlign w:val="bottom"/>
          </w:tcPr>
          <w:p>
            <w:pPr>
              <w:jc w:val="center"/>
              <w:spacing w:after="0"/>
              <w:rPr>
                <w:sz w:val="20"/>
                <w:szCs w:val="20"/>
                <w:color w:val="auto"/>
              </w:rPr>
            </w:pPr>
            <w:r>
              <w:rPr>
                <w:rFonts w:ascii="Arial" w:cs="Arial" w:eastAsia="Arial" w:hAnsi="Arial"/>
                <w:sz w:val="14"/>
                <w:szCs w:val="14"/>
                <w:color w:val="003A70"/>
              </w:rPr>
              <w:t>PEO</w:t>
            </w:r>
          </w:p>
        </w:tc>
        <w:tc>
          <w:tcPr>
            <w:tcW w:w="1160" w:type="dxa"/>
            <w:vAlign w:val="bottom"/>
          </w:tcPr>
          <w:p>
            <w:pPr>
              <w:jc w:val="center"/>
              <w:spacing w:after="0"/>
              <w:rPr>
                <w:sz w:val="20"/>
                <w:szCs w:val="20"/>
                <w:color w:val="auto"/>
              </w:rPr>
            </w:pPr>
            <w:r>
              <w:rPr>
                <w:rFonts w:ascii="Arial" w:cs="Arial" w:eastAsia="Arial" w:hAnsi="Arial"/>
                <w:sz w:val="14"/>
                <w:szCs w:val="14"/>
                <w:color w:val="003A70"/>
                <w:w w:val="97"/>
              </w:rPr>
              <w:t>Table Total for</w:t>
            </w:r>
          </w:p>
        </w:tc>
        <w:tc>
          <w:tcPr>
            <w:tcW w:w="1040" w:type="dxa"/>
            <w:vAlign w:val="bottom"/>
          </w:tcPr>
          <w:p>
            <w:pPr>
              <w:jc w:val="center"/>
              <w:spacing w:after="0"/>
              <w:rPr>
                <w:sz w:val="20"/>
                <w:szCs w:val="20"/>
                <w:color w:val="auto"/>
              </w:rPr>
            </w:pPr>
            <w:r>
              <w:rPr>
                <w:rFonts w:ascii="Arial" w:cs="Arial" w:eastAsia="Arial" w:hAnsi="Arial"/>
                <w:sz w:val="14"/>
                <w:szCs w:val="14"/>
                <w:color w:val="003A70"/>
              </w:rPr>
              <w:t>to Non-PEO</w:t>
            </w:r>
          </w:p>
        </w:tc>
        <w:tc>
          <w:tcPr>
            <w:tcW w:w="880" w:type="dxa"/>
            <w:vAlign w:val="bottom"/>
            <w:gridSpan w:val="2"/>
          </w:tcPr>
          <w:p>
            <w:pPr>
              <w:ind w:left="60"/>
              <w:spacing w:after="0"/>
              <w:rPr>
                <w:sz w:val="20"/>
                <w:szCs w:val="20"/>
                <w:color w:val="auto"/>
              </w:rPr>
            </w:pPr>
            <w:r>
              <w:rPr>
                <w:rFonts w:ascii="Arial" w:cs="Arial" w:eastAsia="Arial" w:hAnsi="Arial"/>
                <w:sz w:val="14"/>
                <w:szCs w:val="14"/>
                <w:color w:val="003A70"/>
              </w:rPr>
              <w:t>Stockholder</w:t>
            </w:r>
          </w:p>
        </w:tc>
        <w:tc>
          <w:tcPr>
            <w:tcW w:w="900" w:type="dxa"/>
            <w:vAlign w:val="bottom"/>
          </w:tcPr>
          <w:p>
            <w:pPr>
              <w:jc w:val="center"/>
              <w:spacing w:after="0"/>
              <w:rPr>
                <w:sz w:val="20"/>
                <w:szCs w:val="20"/>
                <w:color w:val="auto"/>
              </w:rPr>
            </w:pPr>
            <w:r>
              <w:rPr>
                <w:rFonts w:ascii="Arial" w:cs="Arial" w:eastAsia="Arial" w:hAnsi="Arial"/>
                <w:sz w:val="14"/>
                <w:szCs w:val="14"/>
                <w:color w:val="003A70"/>
              </w:rPr>
              <w:t>Cruise TSR</w:t>
            </w:r>
          </w:p>
        </w:tc>
        <w:tc>
          <w:tcPr>
            <w:tcW w:w="1300" w:type="dxa"/>
            <w:vAlign w:val="bottom"/>
          </w:tcPr>
          <w:p>
            <w:pPr>
              <w:jc w:val="right"/>
              <w:ind w:right="222"/>
              <w:spacing w:after="0"/>
              <w:rPr>
                <w:sz w:val="20"/>
                <w:szCs w:val="20"/>
                <w:color w:val="auto"/>
              </w:rPr>
            </w:pPr>
            <w:r>
              <w:rPr>
                <w:rFonts w:ascii="Arial" w:cs="Arial" w:eastAsia="Arial" w:hAnsi="Arial"/>
                <w:sz w:val="14"/>
                <w:szCs w:val="14"/>
                <w:color w:val="003A70"/>
              </w:rPr>
              <w:t>Net Income</w:t>
            </w:r>
          </w:p>
        </w:tc>
        <w:tc>
          <w:tcPr>
            <w:tcW w:w="1180" w:type="dxa"/>
            <w:vAlign w:val="bottom"/>
          </w:tcPr>
          <w:p>
            <w:pPr>
              <w:jc w:val="center"/>
              <w:spacing w:after="0"/>
              <w:rPr>
                <w:sz w:val="20"/>
                <w:szCs w:val="20"/>
                <w:color w:val="auto"/>
              </w:rPr>
            </w:pPr>
            <w:r>
              <w:rPr>
                <w:rFonts w:ascii="Arial" w:cs="Arial" w:eastAsia="Arial" w:hAnsi="Arial"/>
                <w:sz w:val="14"/>
                <w:szCs w:val="14"/>
                <w:color w:val="003A70"/>
              </w:rPr>
              <w:t>(Company</w:t>
            </w:r>
          </w:p>
        </w:tc>
      </w:tr>
      <w:tr>
        <w:trPr>
          <w:trHeight w:val="232"/>
        </w:trPr>
        <w:tc>
          <w:tcPr>
            <w:tcW w:w="38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Year</w:t>
            </w:r>
          </w:p>
        </w:tc>
        <w:tc>
          <w:tcPr>
            <w:tcW w:w="11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w w:val="97"/>
              </w:rPr>
              <w:t>(Geller/Weisz)</w:t>
            </w:r>
            <w:r>
              <w:rPr>
                <w:rFonts w:ascii="Arial" w:cs="Arial" w:eastAsia="Arial" w:hAnsi="Arial"/>
                <w:sz w:val="17"/>
                <w:szCs w:val="17"/>
                <w:color w:val="003A70"/>
                <w:w w:val="97"/>
                <w:vertAlign w:val="superscript"/>
              </w:rPr>
              <w:t>(3)</w:t>
            </w:r>
          </w:p>
        </w:tc>
        <w:tc>
          <w:tcPr>
            <w:tcW w:w="10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w w:val="95"/>
              </w:rPr>
              <w:t>(Avril)</w:t>
            </w:r>
            <w:r>
              <w:rPr>
                <w:rFonts w:ascii="Arial" w:cs="Arial" w:eastAsia="Arial" w:hAnsi="Arial"/>
                <w:sz w:val="17"/>
                <w:szCs w:val="17"/>
                <w:color w:val="003A70"/>
                <w:w w:val="95"/>
                <w:vertAlign w:val="superscript"/>
              </w:rPr>
              <w:t>(3)</w:t>
            </w:r>
          </w:p>
        </w:tc>
        <w:tc>
          <w:tcPr>
            <w:tcW w:w="11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w w:val="99"/>
              </w:rPr>
              <w:t>(Geller/Weisz)</w:t>
            </w:r>
            <w:r>
              <w:rPr>
                <w:rFonts w:ascii="Arial" w:cs="Arial" w:eastAsia="Arial" w:hAnsi="Arial"/>
                <w:sz w:val="17"/>
                <w:szCs w:val="17"/>
                <w:color w:val="003A70"/>
                <w:w w:val="99"/>
                <w:vertAlign w:val="superscript"/>
              </w:rPr>
              <w:t>(3)</w:t>
            </w:r>
          </w:p>
        </w:tc>
        <w:tc>
          <w:tcPr>
            <w:tcW w:w="10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w w:val="95"/>
              </w:rPr>
              <w:t>(Avril)</w:t>
            </w:r>
            <w:r>
              <w:rPr>
                <w:rFonts w:ascii="Arial" w:cs="Arial" w:eastAsia="Arial" w:hAnsi="Arial"/>
                <w:sz w:val="17"/>
                <w:szCs w:val="17"/>
                <w:color w:val="003A70"/>
                <w:w w:val="95"/>
                <w:vertAlign w:val="superscript"/>
              </w:rPr>
              <w:t>(3)</w:t>
            </w:r>
          </w:p>
        </w:tc>
        <w:tc>
          <w:tcPr>
            <w:tcW w:w="11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Non-PEO NEOs</w:t>
            </w:r>
          </w:p>
        </w:tc>
        <w:tc>
          <w:tcPr>
            <w:tcW w:w="1040" w:type="dxa"/>
            <w:vAlign w:val="bottom"/>
            <w:tcBorders>
              <w:bottom w:val="single" w:sz="8" w:color="003A70"/>
            </w:tcBorders>
          </w:tcPr>
          <w:p>
            <w:pPr>
              <w:jc w:val="center"/>
              <w:spacing w:after="0" w:line="225" w:lineRule="exact"/>
              <w:rPr>
                <w:sz w:val="20"/>
                <w:szCs w:val="20"/>
                <w:color w:val="auto"/>
              </w:rPr>
            </w:pPr>
            <w:r>
              <w:rPr>
                <w:rFonts w:ascii="Arial" w:cs="Arial" w:eastAsia="Arial" w:hAnsi="Arial"/>
                <w:sz w:val="26"/>
                <w:szCs w:val="26"/>
                <w:color w:val="003A70"/>
                <w:w w:val="89"/>
                <w:vertAlign w:val="subscript"/>
              </w:rPr>
              <w:t>NEOs</w:t>
            </w:r>
            <w:r>
              <w:rPr>
                <w:rFonts w:ascii="Arial" w:cs="Arial" w:eastAsia="Arial" w:hAnsi="Arial"/>
                <w:sz w:val="9"/>
                <w:szCs w:val="9"/>
                <w:color w:val="003A70"/>
                <w:w w:val="89"/>
              </w:rPr>
              <w:t>1,2,5,6</w:t>
            </w:r>
          </w:p>
        </w:tc>
        <w:tc>
          <w:tcPr>
            <w:tcW w:w="160" w:type="dxa"/>
            <w:vAlign w:val="bottom"/>
            <w:tcBorders>
              <w:bottom w:val="single" w:sz="8" w:color="003A70"/>
            </w:tcBorders>
          </w:tcPr>
          <w:p>
            <w:pPr>
              <w:spacing w:after="0"/>
              <w:rPr>
                <w:sz w:val="20"/>
                <w:szCs w:val="20"/>
                <w:color w:val="auto"/>
              </w:rPr>
            </w:pPr>
          </w:p>
        </w:tc>
        <w:tc>
          <w:tcPr>
            <w:tcW w:w="720" w:type="dxa"/>
            <w:vAlign w:val="bottom"/>
            <w:tcBorders>
              <w:bottom w:val="single" w:sz="8" w:color="003A70"/>
            </w:tcBorders>
          </w:tcPr>
          <w:p>
            <w:pPr>
              <w:jc w:val="right"/>
              <w:ind w:right="162"/>
              <w:spacing w:after="0"/>
              <w:rPr>
                <w:sz w:val="20"/>
                <w:szCs w:val="20"/>
                <w:color w:val="auto"/>
              </w:rPr>
            </w:pPr>
            <w:r>
              <w:rPr>
                <w:rFonts w:ascii="Arial" w:cs="Arial" w:eastAsia="Arial" w:hAnsi="Arial"/>
                <w:sz w:val="14"/>
                <w:szCs w:val="14"/>
                <w:color w:val="003A70"/>
              </w:rPr>
              <w:t>Return</w:t>
            </w:r>
          </w:p>
        </w:tc>
        <w:tc>
          <w:tcPr>
            <w:tcW w:w="9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w w:val="99"/>
              </w:rPr>
              <w:t>Index</w:t>
            </w:r>
          </w:p>
        </w:tc>
        <w:tc>
          <w:tcPr>
            <w:tcW w:w="1300" w:type="dxa"/>
            <w:vAlign w:val="bottom"/>
            <w:tcBorders>
              <w:bottom w:val="single" w:sz="8" w:color="003A70"/>
            </w:tcBorders>
          </w:tcPr>
          <w:p>
            <w:pPr>
              <w:jc w:val="right"/>
              <w:ind w:right="402"/>
              <w:spacing w:after="0"/>
              <w:rPr>
                <w:sz w:val="20"/>
                <w:szCs w:val="20"/>
                <w:color w:val="auto"/>
              </w:rPr>
            </w:pPr>
            <w:r>
              <w:rPr>
                <w:rFonts w:ascii="Arial" w:cs="Arial" w:eastAsia="Arial" w:hAnsi="Arial"/>
                <w:sz w:val="14"/>
                <w:szCs w:val="14"/>
                <w:color w:val="003A70"/>
              </w:rPr>
              <w:t>(Loss)</w:t>
            </w:r>
          </w:p>
        </w:tc>
        <w:tc>
          <w:tcPr>
            <w:tcW w:w="11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w w:val="98"/>
              </w:rPr>
              <w:t>Measure)</w:t>
            </w:r>
            <w:r>
              <w:rPr>
                <w:rFonts w:ascii="Arial" w:cs="Arial" w:eastAsia="Arial" w:hAnsi="Arial"/>
                <w:sz w:val="17"/>
                <w:szCs w:val="17"/>
                <w:color w:val="003A70"/>
                <w:w w:val="98"/>
                <w:vertAlign w:val="superscript"/>
              </w:rPr>
              <w:t>7,8</w:t>
            </w:r>
          </w:p>
        </w:tc>
      </w:tr>
      <w:tr>
        <w:trPr>
          <w:trHeight w:val="175"/>
        </w:trPr>
        <w:tc>
          <w:tcPr>
            <w:tcW w:w="380" w:type="dxa"/>
            <w:vAlign w:val="bottom"/>
          </w:tcPr>
          <w:p>
            <w:pPr>
              <w:spacing w:after="0" w:line="175" w:lineRule="exact"/>
              <w:rPr>
                <w:sz w:val="20"/>
                <w:szCs w:val="20"/>
                <w:color w:val="auto"/>
              </w:rPr>
            </w:pPr>
            <w:r>
              <w:rPr>
                <w:rFonts w:ascii="Arial" w:cs="Arial" w:eastAsia="Arial" w:hAnsi="Arial"/>
                <w:sz w:val="16"/>
                <w:szCs w:val="16"/>
                <w:color w:val="auto"/>
              </w:rPr>
              <w:t>2025</w:t>
            </w: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  14,344,132</w:t>
            </w:r>
          </w:p>
        </w:tc>
        <w:tc>
          <w:tcPr>
            <w:tcW w:w="1020" w:type="dxa"/>
            <w:vAlign w:val="bottom"/>
          </w:tcPr>
          <w:p>
            <w:pPr>
              <w:jc w:val="right"/>
              <w:spacing w:after="0" w:line="175" w:lineRule="exact"/>
              <w:rPr>
                <w:sz w:val="20"/>
                <w:szCs w:val="20"/>
                <w:color w:val="auto"/>
              </w:rPr>
            </w:pPr>
            <w:r>
              <w:rPr>
                <w:rFonts w:ascii="Arial" w:cs="Arial" w:eastAsia="Arial" w:hAnsi="Arial"/>
                <w:sz w:val="16"/>
                <w:szCs w:val="16"/>
                <w:color w:val="auto"/>
              </w:rPr>
              <w:t>$  3,994,416</w:t>
            </w: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   6,976,141</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  5,321,657</w:t>
            </w: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    2,653,006</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  1,323,161</w:t>
            </w:r>
          </w:p>
        </w:tc>
        <w:tc>
          <w:tcPr>
            <w:tcW w:w="160" w:type="dxa"/>
            <w:vAlign w:val="bottom"/>
          </w:tcPr>
          <w:p>
            <w:pPr>
              <w:ind w:left="40"/>
              <w:spacing w:after="0" w:line="175"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75" w:lineRule="exact"/>
              <w:rPr>
                <w:sz w:val="20"/>
                <w:szCs w:val="20"/>
                <w:color w:val="auto"/>
              </w:rPr>
            </w:pPr>
            <w:r>
              <w:rPr>
                <w:rFonts w:ascii="Arial" w:cs="Arial" w:eastAsia="Arial" w:hAnsi="Arial"/>
                <w:sz w:val="16"/>
                <w:szCs w:val="16"/>
                <w:color w:val="auto"/>
              </w:rPr>
              <w:t>51.38</w:t>
            </w:r>
          </w:p>
        </w:tc>
        <w:tc>
          <w:tcPr>
            <w:tcW w:w="900" w:type="dxa"/>
            <w:vAlign w:val="bottom"/>
          </w:tcPr>
          <w:p>
            <w:pPr>
              <w:jc w:val="right"/>
              <w:spacing w:after="0" w:line="175" w:lineRule="exact"/>
              <w:rPr>
                <w:sz w:val="20"/>
                <w:szCs w:val="20"/>
                <w:color w:val="auto"/>
              </w:rPr>
            </w:pPr>
            <w:r>
              <w:rPr>
                <w:rFonts w:ascii="Arial" w:cs="Arial" w:eastAsia="Arial" w:hAnsi="Arial"/>
                <w:sz w:val="16"/>
                <w:szCs w:val="16"/>
                <w:color w:val="auto"/>
              </w:rPr>
              <w:t>$    217.54</w:t>
            </w:r>
          </w:p>
        </w:tc>
        <w:tc>
          <w:tcPr>
            <w:tcW w:w="1300" w:type="dxa"/>
            <w:vAlign w:val="bottom"/>
          </w:tcPr>
          <w:p>
            <w:pPr>
              <w:jc w:val="right"/>
              <w:spacing w:after="0" w:line="175" w:lineRule="exact"/>
              <w:rPr>
                <w:sz w:val="20"/>
                <w:szCs w:val="20"/>
                <w:color w:val="auto"/>
              </w:rPr>
            </w:pPr>
            <w:r>
              <w:rPr>
                <w:rFonts w:ascii="Arial" w:cs="Arial" w:eastAsia="Arial" w:hAnsi="Arial"/>
                <w:sz w:val="16"/>
                <w:szCs w:val="16"/>
                <w:color w:val="auto"/>
              </w:rPr>
              <w:t>$ (307,775,183)</w:t>
            </w:r>
          </w:p>
        </w:tc>
        <w:tc>
          <w:tcPr>
            <w:tcW w:w="1180" w:type="dxa"/>
            <w:vAlign w:val="bottom"/>
          </w:tcPr>
          <w:p>
            <w:pPr>
              <w:jc w:val="right"/>
              <w:spacing w:after="0" w:line="175" w:lineRule="exact"/>
              <w:rPr>
                <w:sz w:val="20"/>
                <w:szCs w:val="20"/>
                <w:color w:val="auto"/>
              </w:rPr>
            </w:pPr>
            <w:r>
              <w:rPr>
                <w:rFonts w:ascii="Arial" w:cs="Arial" w:eastAsia="Arial" w:hAnsi="Arial"/>
                <w:sz w:val="16"/>
                <w:szCs w:val="16"/>
                <w:color w:val="auto"/>
              </w:rPr>
              <w:t>$ 750,811,104</w:t>
            </w:r>
          </w:p>
        </w:tc>
      </w:tr>
      <w:tr>
        <w:trPr>
          <w:trHeight w:val="189"/>
        </w:trPr>
        <w:tc>
          <w:tcPr>
            <w:tcW w:w="380" w:type="dxa"/>
            <w:vAlign w:val="bottom"/>
          </w:tcPr>
          <w:p>
            <w:pPr>
              <w:spacing w:after="0"/>
              <w:rPr>
                <w:sz w:val="20"/>
                <w:szCs w:val="20"/>
                <w:color w:val="auto"/>
              </w:rPr>
            </w:pPr>
            <w:r>
              <w:rPr>
                <w:rFonts w:ascii="Arial" w:cs="Arial" w:eastAsia="Arial" w:hAnsi="Arial"/>
                <w:sz w:val="16"/>
                <w:szCs w:val="16"/>
                <w:color w:val="auto"/>
              </w:rPr>
              <w:t>2024</w:t>
            </w:r>
          </w:p>
        </w:tc>
        <w:tc>
          <w:tcPr>
            <w:tcW w:w="1120" w:type="dxa"/>
            <w:vAlign w:val="bottom"/>
          </w:tcPr>
          <w:p>
            <w:pPr>
              <w:jc w:val="right"/>
              <w:spacing w:after="0"/>
              <w:rPr>
                <w:sz w:val="20"/>
                <w:szCs w:val="20"/>
                <w:color w:val="auto"/>
              </w:rPr>
            </w:pPr>
            <w:r>
              <w:rPr>
                <w:rFonts w:ascii="Arial" w:cs="Arial" w:eastAsia="Arial" w:hAnsi="Arial"/>
                <w:sz w:val="16"/>
                <w:szCs w:val="16"/>
                <w:color w:val="auto"/>
              </w:rPr>
              <w:t>7,437,761</w:t>
            </w:r>
          </w:p>
        </w:tc>
        <w:tc>
          <w:tcPr>
            <w:tcW w:w="1020" w:type="dxa"/>
            <w:vAlign w:val="bottom"/>
          </w:tcPr>
          <w:p>
            <w:pPr>
              <w:jc w:val="right"/>
              <w:spacing w:after="0"/>
              <w:rPr>
                <w:sz w:val="20"/>
                <w:szCs w:val="20"/>
                <w:color w:val="auto"/>
              </w:rPr>
            </w:pPr>
            <w:r>
              <w:rPr>
                <w:rFonts w:ascii="Arial" w:cs="Arial" w:eastAsia="Arial" w:hAnsi="Arial"/>
                <w:sz w:val="16"/>
                <w:szCs w:val="16"/>
                <w:color w:val="auto"/>
              </w:rPr>
              <w:t>N/A</w:t>
            </w:r>
          </w:p>
        </w:tc>
        <w:tc>
          <w:tcPr>
            <w:tcW w:w="1140" w:type="dxa"/>
            <w:vAlign w:val="bottom"/>
          </w:tcPr>
          <w:p>
            <w:pPr>
              <w:jc w:val="right"/>
              <w:spacing w:after="0"/>
              <w:rPr>
                <w:sz w:val="20"/>
                <w:szCs w:val="20"/>
                <w:color w:val="auto"/>
              </w:rPr>
            </w:pPr>
            <w:r>
              <w:rPr>
                <w:rFonts w:ascii="Arial" w:cs="Arial" w:eastAsia="Arial" w:hAnsi="Arial"/>
                <w:sz w:val="16"/>
                <w:szCs w:val="16"/>
                <w:color w:val="auto"/>
              </w:rPr>
              <w:t>5,767,942</w:t>
            </w:r>
          </w:p>
        </w:tc>
        <w:tc>
          <w:tcPr>
            <w:tcW w:w="1000" w:type="dxa"/>
            <w:vAlign w:val="bottom"/>
          </w:tcPr>
          <w:p>
            <w:pPr>
              <w:jc w:val="right"/>
              <w:spacing w:after="0"/>
              <w:rPr>
                <w:sz w:val="20"/>
                <w:szCs w:val="20"/>
                <w:color w:val="auto"/>
              </w:rPr>
            </w:pPr>
            <w:r>
              <w:rPr>
                <w:rFonts w:ascii="Arial" w:cs="Arial" w:eastAsia="Arial" w:hAnsi="Arial"/>
                <w:sz w:val="16"/>
                <w:szCs w:val="16"/>
                <w:color w:val="auto"/>
              </w:rPr>
              <w:t>N/A</w:t>
            </w:r>
          </w:p>
        </w:tc>
        <w:tc>
          <w:tcPr>
            <w:tcW w:w="1160" w:type="dxa"/>
            <w:vAlign w:val="bottom"/>
          </w:tcPr>
          <w:p>
            <w:pPr>
              <w:jc w:val="right"/>
              <w:spacing w:after="0"/>
              <w:rPr>
                <w:sz w:val="20"/>
                <w:szCs w:val="20"/>
                <w:color w:val="auto"/>
              </w:rPr>
            </w:pPr>
            <w:r>
              <w:rPr>
                <w:rFonts w:ascii="Arial" w:cs="Arial" w:eastAsia="Arial" w:hAnsi="Arial"/>
                <w:sz w:val="16"/>
                <w:szCs w:val="16"/>
                <w:color w:val="auto"/>
              </w:rPr>
              <w:t>2,086,757</w:t>
            </w:r>
          </w:p>
        </w:tc>
        <w:tc>
          <w:tcPr>
            <w:tcW w:w="1040" w:type="dxa"/>
            <w:vAlign w:val="bottom"/>
          </w:tcPr>
          <w:p>
            <w:pPr>
              <w:jc w:val="right"/>
              <w:spacing w:after="0"/>
              <w:rPr>
                <w:sz w:val="20"/>
                <w:szCs w:val="20"/>
                <w:color w:val="auto"/>
              </w:rPr>
            </w:pPr>
            <w:r>
              <w:rPr>
                <w:rFonts w:ascii="Arial" w:cs="Arial" w:eastAsia="Arial" w:hAnsi="Arial"/>
                <w:sz w:val="16"/>
                <w:szCs w:val="16"/>
                <w:color w:val="auto"/>
              </w:rPr>
              <w:t>1,596,477</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72.47</w:t>
            </w:r>
          </w:p>
        </w:tc>
        <w:tc>
          <w:tcPr>
            <w:tcW w:w="900" w:type="dxa"/>
            <w:vAlign w:val="bottom"/>
          </w:tcPr>
          <w:p>
            <w:pPr>
              <w:jc w:val="right"/>
              <w:spacing w:after="0"/>
              <w:rPr>
                <w:sz w:val="20"/>
                <w:szCs w:val="20"/>
                <w:color w:val="auto"/>
              </w:rPr>
            </w:pPr>
            <w:r>
              <w:rPr>
                <w:rFonts w:ascii="Arial" w:cs="Arial" w:eastAsia="Arial" w:hAnsi="Arial"/>
                <w:sz w:val="16"/>
                <w:szCs w:val="16"/>
                <w:color w:val="auto"/>
              </w:rPr>
              <w:t>193.78</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   217,058,511</w:t>
            </w:r>
          </w:p>
        </w:tc>
        <w:tc>
          <w:tcPr>
            <w:tcW w:w="1180" w:type="dxa"/>
            <w:vAlign w:val="bottom"/>
          </w:tcPr>
          <w:p>
            <w:pPr>
              <w:jc w:val="right"/>
              <w:spacing w:after="0"/>
              <w:rPr>
                <w:sz w:val="20"/>
                <w:szCs w:val="20"/>
                <w:color w:val="auto"/>
              </w:rPr>
            </w:pPr>
            <w:r>
              <w:rPr>
                <w:rFonts w:ascii="Arial" w:cs="Arial" w:eastAsia="Arial" w:hAnsi="Arial"/>
                <w:sz w:val="16"/>
                <w:szCs w:val="16"/>
                <w:color w:val="auto"/>
              </w:rPr>
              <w:t>  736,269,523</w:t>
            </w:r>
          </w:p>
        </w:tc>
      </w:tr>
      <w:tr>
        <w:trPr>
          <w:trHeight w:val="189"/>
        </w:trPr>
        <w:tc>
          <w:tcPr>
            <w:tcW w:w="380" w:type="dxa"/>
            <w:vAlign w:val="bottom"/>
          </w:tcPr>
          <w:p>
            <w:pPr>
              <w:spacing w:after="0"/>
              <w:rPr>
                <w:sz w:val="20"/>
                <w:szCs w:val="20"/>
                <w:color w:val="auto"/>
              </w:rPr>
            </w:pPr>
            <w:r>
              <w:rPr>
                <w:rFonts w:ascii="Arial" w:cs="Arial" w:eastAsia="Arial" w:hAnsi="Arial"/>
                <w:sz w:val="16"/>
                <w:szCs w:val="16"/>
                <w:color w:val="auto"/>
              </w:rPr>
              <w:t>2023</w:t>
            </w:r>
          </w:p>
        </w:tc>
        <w:tc>
          <w:tcPr>
            <w:tcW w:w="1120" w:type="dxa"/>
            <w:vAlign w:val="bottom"/>
          </w:tcPr>
          <w:p>
            <w:pPr>
              <w:jc w:val="right"/>
              <w:spacing w:after="0"/>
              <w:rPr>
                <w:sz w:val="20"/>
                <w:szCs w:val="20"/>
                <w:color w:val="auto"/>
              </w:rPr>
            </w:pPr>
            <w:r>
              <w:rPr>
                <w:rFonts w:ascii="Arial" w:cs="Arial" w:eastAsia="Arial" w:hAnsi="Arial"/>
                <w:sz w:val="16"/>
                <w:szCs w:val="16"/>
                <w:color w:val="auto"/>
              </w:rPr>
              <w:t>5,360,952</w:t>
            </w:r>
          </w:p>
        </w:tc>
        <w:tc>
          <w:tcPr>
            <w:tcW w:w="1020" w:type="dxa"/>
            <w:vAlign w:val="bottom"/>
          </w:tcPr>
          <w:p>
            <w:pPr>
              <w:jc w:val="right"/>
              <w:spacing w:after="0"/>
              <w:rPr>
                <w:sz w:val="20"/>
                <w:szCs w:val="20"/>
                <w:color w:val="auto"/>
              </w:rPr>
            </w:pPr>
            <w:r>
              <w:rPr>
                <w:rFonts w:ascii="Arial" w:cs="Arial" w:eastAsia="Arial" w:hAnsi="Arial"/>
                <w:sz w:val="16"/>
                <w:szCs w:val="16"/>
                <w:color w:val="auto"/>
              </w:rPr>
              <w:t>N/A</w:t>
            </w:r>
          </w:p>
        </w:tc>
        <w:tc>
          <w:tcPr>
            <w:tcW w:w="1140" w:type="dxa"/>
            <w:vAlign w:val="bottom"/>
          </w:tcPr>
          <w:p>
            <w:pPr>
              <w:jc w:val="right"/>
              <w:spacing w:after="0"/>
              <w:rPr>
                <w:sz w:val="20"/>
                <w:szCs w:val="20"/>
                <w:color w:val="auto"/>
              </w:rPr>
            </w:pPr>
            <w:r>
              <w:rPr>
                <w:rFonts w:ascii="Arial" w:cs="Arial" w:eastAsia="Arial" w:hAnsi="Arial"/>
                <w:sz w:val="16"/>
                <w:szCs w:val="16"/>
                <w:color w:val="auto"/>
              </w:rPr>
              <w:t>1,100,008</w:t>
            </w:r>
          </w:p>
        </w:tc>
        <w:tc>
          <w:tcPr>
            <w:tcW w:w="1000" w:type="dxa"/>
            <w:vAlign w:val="bottom"/>
          </w:tcPr>
          <w:p>
            <w:pPr>
              <w:jc w:val="right"/>
              <w:spacing w:after="0"/>
              <w:rPr>
                <w:sz w:val="20"/>
                <w:szCs w:val="20"/>
                <w:color w:val="auto"/>
              </w:rPr>
            </w:pPr>
            <w:r>
              <w:rPr>
                <w:rFonts w:ascii="Arial" w:cs="Arial" w:eastAsia="Arial" w:hAnsi="Arial"/>
                <w:sz w:val="16"/>
                <w:szCs w:val="16"/>
                <w:color w:val="auto"/>
              </w:rPr>
              <w:t>N/A</w:t>
            </w:r>
          </w:p>
        </w:tc>
        <w:tc>
          <w:tcPr>
            <w:tcW w:w="1160" w:type="dxa"/>
            <w:vAlign w:val="bottom"/>
          </w:tcPr>
          <w:p>
            <w:pPr>
              <w:jc w:val="right"/>
              <w:spacing w:after="0"/>
              <w:rPr>
                <w:sz w:val="20"/>
                <w:szCs w:val="20"/>
                <w:color w:val="auto"/>
              </w:rPr>
            </w:pPr>
            <w:r>
              <w:rPr>
                <w:rFonts w:ascii="Arial" w:cs="Arial" w:eastAsia="Arial" w:hAnsi="Arial"/>
                <w:sz w:val="16"/>
                <w:szCs w:val="16"/>
                <w:color w:val="auto"/>
              </w:rPr>
              <w:t>1,915,795</w:t>
            </w:r>
          </w:p>
        </w:tc>
        <w:tc>
          <w:tcPr>
            <w:tcW w:w="1040" w:type="dxa"/>
            <w:vAlign w:val="bottom"/>
          </w:tcPr>
          <w:p>
            <w:pPr>
              <w:jc w:val="right"/>
              <w:spacing w:after="0"/>
              <w:rPr>
                <w:sz w:val="20"/>
                <w:szCs w:val="20"/>
                <w:color w:val="auto"/>
              </w:rPr>
            </w:pPr>
            <w:r>
              <w:rPr>
                <w:rFonts w:ascii="Arial" w:cs="Arial" w:eastAsia="Arial" w:hAnsi="Arial"/>
                <w:sz w:val="16"/>
                <w:szCs w:val="16"/>
                <w:color w:val="auto"/>
              </w:rPr>
              <w:t>581,977</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65.86</w:t>
            </w:r>
          </w:p>
        </w:tc>
        <w:tc>
          <w:tcPr>
            <w:tcW w:w="900" w:type="dxa"/>
            <w:vAlign w:val="bottom"/>
          </w:tcPr>
          <w:p>
            <w:pPr>
              <w:jc w:val="right"/>
              <w:spacing w:after="0"/>
              <w:rPr>
                <w:sz w:val="20"/>
                <w:szCs w:val="20"/>
                <w:color w:val="auto"/>
              </w:rPr>
            </w:pPr>
            <w:r>
              <w:rPr>
                <w:rFonts w:ascii="Arial" w:cs="Arial" w:eastAsia="Arial" w:hAnsi="Arial"/>
                <w:sz w:val="16"/>
                <w:szCs w:val="16"/>
                <w:color w:val="auto"/>
              </w:rPr>
              <w:t>147.63</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253,228,118</w:t>
            </w:r>
          </w:p>
        </w:tc>
        <w:tc>
          <w:tcPr>
            <w:tcW w:w="1180" w:type="dxa"/>
            <w:vAlign w:val="bottom"/>
          </w:tcPr>
          <w:p>
            <w:pPr>
              <w:jc w:val="right"/>
              <w:spacing w:after="0"/>
              <w:rPr>
                <w:sz w:val="20"/>
                <w:szCs w:val="20"/>
                <w:color w:val="auto"/>
              </w:rPr>
            </w:pPr>
            <w:r>
              <w:rPr>
                <w:rFonts w:ascii="Arial" w:cs="Arial" w:eastAsia="Arial" w:hAnsi="Arial"/>
                <w:sz w:val="16"/>
                <w:szCs w:val="16"/>
                <w:color w:val="auto"/>
              </w:rPr>
              <w:t>760,717,149</w:t>
            </w:r>
          </w:p>
        </w:tc>
      </w:tr>
      <w:tr>
        <w:trPr>
          <w:trHeight w:val="189"/>
        </w:trPr>
        <w:tc>
          <w:tcPr>
            <w:tcW w:w="380" w:type="dxa"/>
            <w:vAlign w:val="bottom"/>
          </w:tcPr>
          <w:p>
            <w:pPr>
              <w:spacing w:after="0"/>
              <w:rPr>
                <w:sz w:val="20"/>
                <w:szCs w:val="20"/>
                <w:color w:val="auto"/>
              </w:rPr>
            </w:pPr>
            <w:r>
              <w:rPr>
                <w:rFonts w:ascii="Arial" w:cs="Arial" w:eastAsia="Arial" w:hAnsi="Arial"/>
                <w:sz w:val="16"/>
                <w:szCs w:val="16"/>
                <w:color w:val="auto"/>
              </w:rPr>
              <w:t>2022</w:t>
            </w:r>
          </w:p>
        </w:tc>
        <w:tc>
          <w:tcPr>
            <w:tcW w:w="1120" w:type="dxa"/>
            <w:vAlign w:val="bottom"/>
          </w:tcPr>
          <w:p>
            <w:pPr>
              <w:jc w:val="right"/>
              <w:spacing w:after="0"/>
              <w:rPr>
                <w:sz w:val="20"/>
                <w:szCs w:val="20"/>
                <w:color w:val="auto"/>
              </w:rPr>
            </w:pPr>
            <w:r>
              <w:rPr>
                <w:rFonts w:ascii="Arial" w:cs="Arial" w:eastAsia="Arial" w:hAnsi="Arial"/>
                <w:sz w:val="16"/>
                <w:szCs w:val="16"/>
                <w:color w:val="auto"/>
              </w:rPr>
              <w:t>9,832,891</w:t>
            </w:r>
          </w:p>
        </w:tc>
        <w:tc>
          <w:tcPr>
            <w:tcW w:w="1020" w:type="dxa"/>
            <w:vAlign w:val="bottom"/>
          </w:tcPr>
          <w:p>
            <w:pPr>
              <w:jc w:val="right"/>
              <w:spacing w:after="0"/>
              <w:rPr>
                <w:sz w:val="20"/>
                <w:szCs w:val="20"/>
                <w:color w:val="auto"/>
              </w:rPr>
            </w:pPr>
            <w:r>
              <w:rPr>
                <w:rFonts w:ascii="Arial" w:cs="Arial" w:eastAsia="Arial" w:hAnsi="Arial"/>
                <w:sz w:val="16"/>
                <w:szCs w:val="16"/>
                <w:color w:val="auto"/>
              </w:rPr>
              <w:t>N/A</w:t>
            </w:r>
          </w:p>
        </w:tc>
        <w:tc>
          <w:tcPr>
            <w:tcW w:w="1140" w:type="dxa"/>
            <w:vAlign w:val="bottom"/>
          </w:tcPr>
          <w:p>
            <w:pPr>
              <w:jc w:val="right"/>
              <w:spacing w:after="0"/>
              <w:rPr>
                <w:sz w:val="20"/>
                <w:szCs w:val="20"/>
                <w:color w:val="auto"/>
              </w:rPr>
            </w:pPr>
            <w:r>
              <w:rPr>
                <w:rFonts w:ascii="Arial" w:cs="Arial" w:eastAsia="Arial" w:hAnsi="Arial"/>
                <w:sz w:val="16"/>
                <w:szCs w:val="16"/>
                <w:color w:val="auto"/>
              </w:rPr>
              <w:t>6,159,868</w:t>
            </w:r>
          </w:p>
        </w:tc>
        <w:tc>
          <w:tcPr>
            <w:tcW w:w="1000" w:type="dxa"/>
            <w:vAlign w:val="bottom"/>
          </w:tcPr>
          <w:p>
            <w:pPr>
              <w:jc w:val="right"/>
              <w:spacing w:after="0"/>
              <w:rPr>
                <w:sz w:val="20"/>
                <w:szCs w:val="20"/>
                <w:color w:val="auto"/>
              </w:rPr>
            </w:pPr>
            <w:r>
              <w:rPr>
                <w:rFonts w:ascii="Arial" w:cs="Arial" w:eastAsia="Arial" w:hAnsi="Arial"/>
                <w:sz w:val="16"/>
                <w:szCs w:val="16"/>
                <w:color w:val="auto"/>
              </w:rPr>
              <w:t>N/A</w:t>
            </w:r>
          </w:p>
        </w:tc>
        <w:tc>
          <w:tcPr>
            <w:tcW w:w="1160" w:type="dxa"/>
            <w:vAlign w:val="bottom"/>
          </w:tcPr>
          <w:p>
            <w:pPr>
              <w:jc w:val="right"/>
              <w:spacing w:after="0"/>
              <w:rPr>
                <w:sz w:val="20"/>
                <w:szCs w:val="20"/>
                <w:color w:val="auto"/>
              </w:rPr>
            </w:pPr>
            <w:r>
              <w:rPr>
                <w:rFonts w:ascii="Arial" w:cs="Arial" w:eastAsia="Arial" w:hAnsi="Arial"/>
                <w:sz w:val="16"/>
                <w:szCs w:val="16"/>
                <w:color w:val="auto"/>
              </w:rPr>
              <w:t>3,016,545</w:t>
            </w:r>
          </w:p>
        </w:tc>
        <w:tc>
          <w:tcPr>
            <w:tcW w:w="1040" w:type="dxa"/>
            <w:vAlign w:val="bottom"/>
          </w:tcPr>
          <w:p>
            <w:pPr>
              <w:jc w:val="right"/>
              <w:spacing w:after="0"/>
              <w:rPr>
                <w:sz w:val="20"/>
                <w:szCs w:val="20"/>
                <w:color w:val="auto"/>
              </w:rPr>
            </w:pPr>
            <w:r>
              <w:rPr>
                <w:rFonts w:ascii="Arial" w:cs="Arial" w:eastAsia="Arial" w:hAnsi="Arial"/>
                <w:sz w:val="16"/>
                <w:szCs w:val="16"/>
                <w:color w:val="auto"/>
              </w:rPr>
              <w:t>2,256,841</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  100.75</w:t>
            </w:r>
          </w:p>
        </w:tc>
        <w:tc>
          <w:tcPr>
            <w:tcW w:w="900" w:type="dxa"/>
            <w:vAlign w:val="bottom"/>
          </w:tcPr>
          <w:p>
            <w:pPr>
              <w:jc w:val="right"/>
              <w:spacing w:after="0"/>
              <w:rPr>
                <w:sz w:val="20"/>
                <w:szCs w:val="20"/>
                <w:color w:val="auto"/>
              </w:rPr>
            </w:pPr>
            <w:r>
              <w:rPr>
                <w:rFonts w:ascii="Arial" w:cs="Arial" w:eastAsia="Arial" w:hAnsi="Arial"/>
                <w:sz w:val="16"/>
                <w:szCs w:val="16"/>
                <w:color w:val="auto"/>
              </w:rPr>
              <w:t>92.28</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390,774,814</w:t>
            </w:r>
          </w:p>
        </w:tc>
        <w:tc>
          <w:tcPr>
            <w:tcW w:w="1180" w:type="dxa"/>
            <w:vAlign w:val="bottom"/>
          </w:tcPr>
          <w:p>
            <w:pPr>
              <w:jc w:val="right"/>
              <w:spacing w:after="0"/>
              <w:rPr>
                <w:sz w:val="20"/>
                <w:szCs w:val="20"/>
                <w:color w:val="auto"/>
              </w:rPr>
            </w:pPr>
            <w:r>
              <w:rPr>
                <w:rFonts w:ascii="Arial" w:cs="Arial" w:eastAsia="Arial" w:hAnsi="Arial"/>
                <w:sz w:val="16"/>
                <w:szCs w:val="16"/>
                <w:color w:val="auto"/>
              </w:rPr>
              <w:t>966,274,378</w:t>
            </w:r>
          </w:p>
        </w:tc>
      </w:tr>
      <w:tr>
        <w:trPr>
          <w:trHeight w:val="203"/>
        </w:trPr>
        <w:tc>
          <w:tcPr>
            <w:tcW w:w="38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  13,223,937</w:t>
            </w:r>
          </w:p>
        </w:tc>
        <w:tc>
          <w:tcPr>
            <w:tcW w:w="102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N/A</w:t>
            </w:r>
          </w:p>
        </w:tc>
        <w:tc>
          <w:tcPr>
            <w:tcW w:w="114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  17,472,019</w:t>
            </w:r>
          </w:p>
        </w:tc>
        <w:tc>
          <w:tcPr>
            <w:tcW w:w="100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N/A</w:t>
            </w:r>
          </w:p>
        </w:tc>
        <w:tc>
          <w:tcPr>
            <w:tcW w:w="11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3,405,201</w:t>
            </w:r>
          </w:p>
        </w:tc>
        <w:tc>
          <w:tcPr>
            <w:tcW w:w="104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  4,215,723</w:t>
            </w:r>
          </w:p>
        </w:tc>
        <w:tc>
          <w:tcPr>
            <w:tcW w:w="160" w:type="dxa"/>
            <w:vAlign w:val="bottom"/>
            <w:tcBorders>
              <w:bottom w:val="single" w:sz="8" w:color="003A70"/>
            </w:tcBorders>
          </w:tcPr>
          <w:p>
            <w:pPr>
              <w:spacing w:after="0"/>
              <w:rPr>
                <w:sz w:val="17"/>
                <w:szCs w:val="17"/>
                <w:color w:val="auto"/>
              </w:rPr>
            </w:pPr>
          </w:p>
        </w:tc>
        <w:tc>
          <w:tcPr>
            <w:tcW w:w="72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123.93</w:t>
            </w:r>
          </w:p>
        </w:tc>
        <w:tc>
          <w:tcPr>
            <w:tcW w:w="90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121.64</w:t>
            </w:r>
          </w:p>
        </w:tc>
        <w:tc>
          <w:tcPr>
            <w:tcW w:w="1300" w:type="dxa"/>
            <w:vAlign w:val="bottom"/>
            <w:tcBorders>
              <w:bottom w:val="single" w:sz="8" w:color="003A70"/>
            </w:tcBorders>
          </w:tcPr>
          <w:p>
            <w:pPr>
              <w:jc w:val="right"/>
              <w:ind w:right="42"/>
              <w:spacing w:after="0"/>
              <w:rPr>
                <w:sz w:val="20"/>
                <w:szCs w:val="20"/>
                <w:color w:val="auto"/>
              </w:rPr>
            </w:pPr>
            <w:r>
              <w:rPr>
                <w:rFonts w:ascii="Arial" w:cs="Arial" w:eastAsia="Arial" w:hAnsi="Arial"/>
                <w:sz w:val="16"/>
                <w:szCs w:val="16"/>
                <w:color w:val="auto"/>
              </w:rPr>
              <w:t>52,634,216</w:t>
            </w:r>
          </w:p>
        </w:tc>
        <w:tc>
          <w:tcPr>
            <w:tcW w:w="118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656,728,515</w:t>
            </w:r>
          </w:p>
        </w:tc>
      </w:tr>
    </w:tbl>
    <w:p>
      <w:pPr>
        <w:spacing w:after="0" w:line="112" w:lineRule="exact"/>
        <w:rPr>
          <w:sz w:val="20"/>
          <w:szCs w:val="20"/>
          <w:color w:val="auto"/>
        </w:rPr>
      </w:pPr>
    </w:p>
    <w:p>
      <w:pPr>
        <w:ind w:left="440" w:right="140" w:hanging="324"/>
        <w:spacing w:after="0" w:line="237" w:lineRule="auto"/>
        <w:tabs>
          <w:tab w:leader="none" w:pos="440" w:val="left"/>
        </w:tabs>
        <w:numPr>
          <w:ilvl w:val="0"/>
          <w:numId w:val="101"/>
        </w:numPr>
        <w:rPr>
          <w:rFonts w:ascii="Arial" w:cs="Arial" w:eastAsia="Arial" w:hAnsi="Arial"/>
          <w:sz w:val="18"/>
          <w:szCs w:val="18"/>
          <w:color w:val="auto"/>
          <w:vertAlign w:val="superscript"/>
        </w:rPr>
      </w:pPr>
      <w:r>
        <w:rPr>
          <w:rFonts w:ascii="Arial" w:cs="Arial" w:eastAsia="Arial" w:hAnsi="Arial"/>
          <w:sz w:val="14"/>
          <w:szCs w:val="14"/>
          <w:color w:val="auto"/>
        </w:rPr>
        <w:t>Compensation actually paid is calculated starting with the total compensation as reported in the Summary Compensation Table (“SCT”), and then the SCT value of restricted stock and units (including performance-based awards) plus SAR awards are deducted. The amount equal to the fair value at the end of the prior fiscal year or awards granted in any prior fiscal year that fail to meet the applicable vesting conditions during the covered fiscal year are then deducted. Added to the calculation are: fair value, as of year-end, of awards granted in the first year that are outstanding and unvested; the change in fair value from the prior to current years for awards granted in prior fiscal years that are outstanding and unvested; and the change in fair value as of the vesting date (from the end of the prior fiscal year) for awards granted in any prior fiscal year for which all applicable vesting conditions were satisfied by the end of the covered fiscal year. The fair value of awards that are subject to performance conditions are based on the most probable outcome at the end of the covered fiscal year.</w:t>
      </w:r>
    </w:p>
    <w:p>
      <w:pPr>
        <w:spacing w:after="0" w:line="80" w:lineRule="exact"/>
        <w:rPr>
          <w:sz w:val="20"/>
          <w:szCs w:val="20"/>
          <w:color w:val="auto"/>
        </w:rPr>
      </w:pPr>
    </w:p>
    <w:p>
      <w:pPr>
        <w:ind w:left="440" w:hanging="324"/>
        <w:spacing w:after="0"/>
        <w:tabs>
          <w:tab w:leader="none" w:pos="440" w:val="left"/>
        </w:tabs>
        <w:numPr>
          <w:ilvl w:val="0"/>
          <w:numId w:val="102"/>
        </w:numPr>
        <w:rPr>
          <w:rFonts w:ascii="Arial" w:cs="Arial" w:eastAsia="Arial" w:hAnsi="Arial"/>
          <w:sz w:val="18"/>
          <w:szCs w:val="18"/>
          <w:color w:val="auto"/>
          <w:vertAlign w:val="superscript"/>
        </w:rPr>
      </w:pPr>
      <w:r>
        <w:rPr>
          <w:rFonts w:ascii="Arial" w:cs="Arial" w:eastAsia="Arial" w:hAnsi="Arial"/>
          <w:sz w:val="14"/>
          <w:szCs w:val="14"/>
          <w:color w:val="auto"/>
        </w:rPr>
        <w:t>SAR calculations measuring the year-end fair value of the outstanding awards were performed by an independent equity valuation firm.</w:t>
      </w:r>
    </w:p>
    <w:p>
      <w:pPr>
        <w:spacing w:after="0" w:line="93" w:lineRule="exact"/>
        <w:rPr>
          <w:sz w:val="20"/>
          <w:szCs w:val="20"/>
          <w:color w:val="auto"/>
        </w:rPr>
      </w:pPr>
    </w:p>
    <w:p>
      <w:pPr>
        <w:ind w:left="440" w:right="100" w:hanging="324"/>
        <w:spacing w:after="0" w:line="229" w:lineRule="auto"/>
        <w:tabs>
          <w:tab w:leader="none" w:pos="440" w:val="left"/>
        </w:tabs>
        <w:numPr>
          <w:ilvl w:val="0"/>
          <w:numId w:val="103"/>
        </w:numPr>
        <w:rPr>
          <w:rFonts w:ascii="Arial" w:cs="Arial" w:eastAsia="Arial" w:hAnsi="Arial"/>
          <w:sz w:val="18"/>
          <w:szCs w:val="18"/>
          <w:color w:val="auto"/>
          <w:vertAlign w:val="superscript"/>
        </w:rPr>
      </w:pPr>
      <w:r>
        <w:rPr>
          <w:rFonts w:ascii="Arial" w:cs="Arial" w:eastAsia="Arial" w:hAnsi="Arial"/>
          <w:sz w:val="14"/>
          <w:szCs w:val="14"/>
          <w:color w:val="auto"/>
        </w:rPr>
        <w:t>Mr. Geller served as the Company’s PEO during 2023 through November 9, 2025 (the “Former PEO”). Mr. Avril served as the Company’s PEO from November 10, 2025 to December 31, 2025 (the “Current PEO”). Mr. Stephen P. Weisz served as the Company’s PEO for 2021 and 2022.</w:t>
      </w:r>
    </w:p>
    <w:p>
      <w:pPr>
        <w:spacing w:after="0" w:line="78" w:lineRule="exact"/>
        <w:rPr>
          <w:sz w:val="20"/>
          <w:szCs w:val="20"/>
          <w:color w:val="auto"/>
        </w:rPr>
      </w:pPr>
    </w:p>
    <w:p>
      <w:pPr>
        <w:ind w:left="440" w:hanging="324"/>
        <w:spacing w:after="0"/>
        <w:tabs>
          <w:tab w:leader="none" w:pos="440" w:val="left"/>
        </w:tabs>
        <w:numPr>
          <w:ilvl w:val="0"/>
          <w:numId w:val="104"/>
        </w:numPr>
        <w:rPr>
          <w:rFonts w:ascii="Arial" w:cs="Arial" w:eastAsia="Arial" w:hAnsi="Arial"/>
          <w:sz w:val="18"/>
          <w:szCs w:val="18"/>
          <w:color w:val="auto"/>
          <w:vertAlign w:val="superscript"/>
        </w:rPr>
      </w:pPr>
      <w:r>
        <w:rPr>
          <w:rFonts w:ascii="Arial" w:cs="Arial" w:eastAsia="Arial" w:hAnsi="Arial"/>
          <w:sz w:val="14"/>
          <w:szCs w:val="14"/>
          <w:color w:val="auto"/>
        </w:rPr>
        <w:t>The bridge between PEO reported SCT compensation to the Compensation Actually Paid is outlined below:</w:t>
      </w:r>
    </w:p>
    <w:p>
      <w:pPr>
        <w:sectPr>
          <w:pgSz w:w="11900" w:h="16838" w:orient="portrait"/>
          <w:cols w:equalWidth="0" w:num="1">
            <w:col w:w="11240"/>
          </w:cols>
          <w:pgMar w:left="320" w:top="482" w:right="339" w:bottom="1440" w:gutter="0" w:footer="0" w:header="0"/>
        </w:sectPr>
      </w:pPr>
    </w:p>
    <w:p>
      <w:pPr>
        <w:spacing w:after="0" w:line="215" w:lineRule="exact"/>
        <w:rPr>
          <w:sz w:val="20"/>
          <w:szCs w:val="20"/>
          <w:color w:val="auto"/>
        </w:rPr>
      </w:pPr>
    </w:p>
    <w:p>
      <w:pPr>
        <w:ind w:left="2520"/>
        <w:spacing w:after="0"/>
        <w:rPr>
          <w:sz w:val="20"/>
          <w:szCs w:val="20"/>
          <w:color w:val="auto"/>
        </w:rPr>
      </w:pPr>
      <w:r>
        <w:rPr>
          <w:rFonts w:ascii="Arial" w:cs="Arial" w:eastAsia="Arial" w:hAnsi="Arial"/>
          <w:sz w:val="13"/>
          <w:szCs w:val="13"/>
          <w:color w:val="003A70"/>
        </w:rPr>
        <w:t>Fiscal</w:t>
      </w:r>
    </w:p>
    <w:p>
      <w:pPr>
        <w:spacing w:after="0" w:line="27" w:lineRule="exact"/>
        <w:rPr>
          <w:sz w:val="20"/>
          <w:szCs w:val="20"/>
          <w:color w:val="auto"/>
        </w:rPr>
      </w:pPr>
    </w:p>
    <w:p>
      <w:pPr>
        <w:ind w:left="2560"/>
        <w:spacing w:after="0"/>
        <w:rPr>
          <w:sz w:val="20"/>
          <w:szCs w:val="20"/>
          <w:color w:val="auto"/>
        </w:rPr>
      </w:pPr>
      <w:r>
        <w:rPr>
          <w:rFonts w:ascii="Arial" w:cs="Arial" w:eastAsia="Arial" w:hAnsi="Arial"/>
          <w:sz w:val="14"/>
          <w:szCs w:val="14"/>
          <w:color w:val="003A70"/>
        </w:rPr>
        <w:t>Year</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spacing w:after="0" w:line="277" w:lineRule="auto"/>
        <w:rPr>
          <w:sz w:val="20"/>
          <w:szCs w:val="20"/>
          <w:color w:val="auto"/>
        </w:rPr>
      </w:pPr>
      <w:r>
        <w:rPr>
          <w:rFonts w:ascii="Arial" w:cs="Arial" w:eastAsia="Arial" w:hAnsi="Arial"/>
          <w:sz w:val="14"/>
          <w:szCs w:val="14"/>
          <w:color w:val="003A70"/>
        </w:rPr>
        <w:t>Reported Summary Compensation Table Total for PEO</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003A70"/>
        </w:rPr>
        <w:t>Reported Value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003A70"/>
        </w:rPr>
        <w:t>Equity Awards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4"/>
          <w:szCs w:val="14"/>
          <w:color w:val="003A70"/>
        </w:rPr>
        <w:t>Equity Award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3A70"/>
        </w:rPr>
        <w:t>Adjustments</w:t>
      </w:r>
      <w:r>
        <w:rPr>
          <w:rFonts w:ascii="Arial" w:cs="Arial" w:eastAsia="Arial" w:hAnsi="Arial"/>
          <w:sz w:val="8"/>
          <w:szCs w:val="8"/>
          <w:color w:val="003A70"/>
        </w:rPr>
        <w:t>(a)</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ind w:right="580"/>
        <w:spacing w:after="0"/>
        <w:rPr>
          <w:sz w:val="20"/>
          <w:szCs w:val="20"/>
          <w:color w:val="auto"/>
        </w:rPr>
      </w:pPr>
      <w:r>
        <w:rPr>
          <w:rFonts w:ascii="Arial" w:cs="Arial" w:eastAsia="Arial" w:hAnsi="Arial"/>
          <w:sz w:val="14"/>
          <w:szCs w:val="14"/>
          <w:color w:val="003A70"/>
        </w:rPr>
        <w:t>Compensation Actually Paid</w:t>
      </w:r>
    </w:p>
    <w:p>
      <w:pPr>
        <w:spacing w:after="0" w:line="15" w:lineRule="exact"/>
        <w:rPr>
          <w:sz w:val="20"/>
          <w:szCs w:val="20"/>
          <w:color w:val="auto"/>
        </w:rPr>
      </w:pPr>
    </w:p>
    <w:p>
      <w:pPr>
        <w:jc w:val="center"/>
        <w:ind w:right="580"/>
        <w:spacing w:after="0"/>
        <w:rPr>
          <w:sz w:val="20"/>
          <w:szCs w:val="20"/>
          <w:color w:val="auto"/>
        </w:rPr>
      </w:pPr>
      <w:r>
        <w:rPr>
          <w:rFonts w:ascii="Arial" w:cs="Arial" w:eastAsia="Arial" w:hAnsi="Arial"/>
          <w:sz w:val="14"/>
          <w:szCs w:val="14"/>
          <w:color w:val="003A70"/>
        </w:rPr>
        <w:t>to PEO</w:t>
      </w:r>
    </w:p>
    <w:p>
      <w:pPr>
        <w:spacing w:after="0" w:line="35" w:lineRule="exact"/>
        <w:rPr>
          <w:sz w:val="20"/>
          <w:szCs w:val="20"/>
          <w:color w:val="auto"/>
        </w:rPr>
      </w:pPr>
    </w:p>
    <w:p>
      <w:pPr>
        <w:sectPr>
          <w:pgSz w:w="11900" w:h="16838" w:orient="portrait"/>
          <w:cols w:equalWidth="0" w:num="5">
            <w:col w:w="2880" w:space="280"/>
            <w:col w:w="2220" w:space="260"/>
            <w:col w:w="1140" w:space="340"/>
            <w:col w:w="1020" w:space="720"/>
            <w:col w:w="2380"/>
          </w:cols>
          <w:pgMar w:left="320" w:top="482" w:right="339" w:bottom="1440" w:gutter="0" w:footer="0" w:header="0"/>
          <w:type w:val="continuous"/>
        </w:sectPr>
      </w:pPr>
    </w:p>
    <w:tbl>
      <w:tblPr>
        <w:tblLayout w:type="fixed"/>
        <w:tblInd w:w="12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1780" w:type="dxa"/>
            <w:vAlign w:val="bottom"/>
            <w:tcBorders>
              <w:top w:val="single" w:sz="8" w:color="003A70"/>
            </w:tcBorders>
          </w:tcPr>
          <w:p>
            <w:pPr>
              <w:spacing w:after="0" w:line="171" w:lineRule="exact"/>
              <w:rPr>
                <w:sz w:val="20"/>
                <w:szCs w:val="20"/>
                <w:color w:val="auto"/>
              </w:rPr>
            </w:pPr>
            <w:r>
              <w:rPr>
                <w:rFonts w:ascii="Arial" w:cs="Arial" w:eastAsia="Arial" w:hAnsi="Arial"/>
                <w:sz w:val="16"/>
                <w:szCs w:val="16"/>
                <w:color w:val="auto"/>
              </w:rPr>
              <w:t>Former PEO (Geller)</w:t>
            </w:r>
          </w:p>
        </w:tc>
        <w:tc>
          <w:tcPr>
            <w:tcW w:w="1180" w:type="dxa"/>
            <w:vAlign w:val="bottom"/>
            <w:tcBorders>
              <w:top w:val="single" w:sz="8" w:color="003A70"/>
            </w:tcBorders>
          </w:tcPr>
          <w:p>
            <w:pPr>
              <w:jc w:val="right"/>
              <w:ind w:right="419"/>
              <w:spacing w:after="0" w:line="171" w:lineRule="exact"/>
              <w:rPr>
                <w:sz w:val="20"/>
                <w:szCs w:val="20"/>
                <w:color w:val="auto"/>
              </w:rPr>
            </w:pPr>
            <w:r>
              <w:rPr>
                <w:rFonts w:ascii="Arial" w:cs="Arial" w:eastAsia="Arial" w:hAnsi="Arial"/>
                <w:sz w:val="16"/>
                <w:szCs w:val="16"/>
                <w:color w:val="auto"/>
              </w:rPr>
              <w:t>2025</w:t>
            </w:r>
          </w:p>
        </w:tc>
        <w:tc>
          <w:tcPr>
            <w:tcW w:w="700" w:type="dxa"/>
            <w:vAlign w:val="bottom"/>
            <w:tcBorders>
              <w:top w:val="single" w:sz="8" w:color="003A70"/>
            </w:tcBorders>
          </w:tcPr>
          <w:p>
            <w:pPr>
              <w:ind w:left="480"/>
              <w:spacing w:after="0" w:line="171" w:lineRule="exact"/>
              <w:rPr>
                <w:sz w:val="20"/>
                <w:szCs w:val="20"/>
                <w:color w:val="auto"/>
              </w:rPr>
            </w:pPr>
            <w:r>
              <w:rPr>
                <w:rFonts w:ascii="Arial" w:cs="Arial" w:eastAsia="Arial" w:hAnsi="Arial"/>
                <w:sz w:val="16"/>
                <w:szCs w:val="16"/>
                <w:color w:val="auto"/>
              </w:rPr>
              <w:t xml:space="preserve">$ </w:t>
            </w:r>
          </w:p>
        </w:tc>
        <w:tc>
          <w:tcPr>
            <w:tcW w:w="1280" w:type="dxa"/>
            <w:vAlign w:val="bottom"/>
            <w:tcBorders>
              <w:top w:val="single" w:sz="8" w:color="003A70"/>
            </w:tcBorders>
          </w:tcPr>
          <w:p>
            <w:pPr>
              <w:jc w:val="right"/>
              <w:ind w:right="168"/>
              <w:spacing w:after="0" w:line="171" w:lineRule="exact"/>
              <w:rPr>
                <w:sz w:val="20"/>
                <w:szCs w:val="20"/>
                <w:color w:val="auto"/>
              </w:rPr>
            </w:pPr>
            <w:r>
              <w:rPr>
                <w:rFonts w:ascii="Arial" w:cs="Arial" w:eastAsia="Arial" w:hAnsi="Arial"/>
                <w:sz w:val="16"/>
                <w:szCs w:val="16"/>
                <w:color w:val="auto"/>
                <w:w w:val="97"/>
              </w:rPr>
              <w:t>   14,344,132</w:t>
            </w:r>
          </w:p>
        </w:tc>
        <w:tc>
          <w:tcPr>
            <w:tcW w:w="440" w:type="dxa"/>
            <w:vAlign w:val="bottom"/>
            <w:tcBorders>
              <w:top w:val="single" w:sz="8" w:color="003A70"/>
            </w:tcBorders>
          </w:tcPr>
          <w:p>
            <w:pPr>
              <w:ind w:left="240"/>
              <w:spacing w:after="0" w:line="171" w:lineRule="exact"/>
              <w:rPr>
                <w:sz w:val="20"/>
                <w:szCs w:val="20"/>
                <w:color w:val="auto"/>
              </w:rPr>
            </w:pPr>
            <w:r>
              <w:rPr>
                <w:rFonts w:ascii="Arial" w:cs="Arial" w:eastAsia="Arial" w:hAnsi="Arial"/>
                <w:sz w:val="16"/>
                <w:szCs w:val="16"/>
                <w:color w:val="auto"/>
              </w:rPr>
              <w:t xml:space="preserve">$ </w:t>
            </w:r>
          </w:p>
        </w:tc>
        <w:tc>
          <w:tcPr>
            <w:tcW w:w="1120" w:type="dxa"/>
            <w:vAlign w:val="bottom"/>
            <w:tcBorders>
              <w:top w:val="single" w:sz="8" w:color="003A70"/>
            </w:tcBorders>
          </w:tcPr>
          <w:p>
            <w:pPr>
              <w:jc w:val="right"/>
              <w:ind w:right="59"/>
              <w:spacing w:after="0" w:line="171" w:lineRule="exact"/>
              <w:rPr>
                <w:sz w:val="20"/>
                <w:szCs w:val="20"/>
                <w:color w:val="auto"/>
              </w:rPr>
            </w:pPr>
            <w:r>
              <w:rPr>
                <w:rFonts w:ascii="Arial" w:cs="Arial" w:eastAsia="Arial" w:hAnsi="Arial"/>
                <w:sz w:val="16"/>
                <w:szCs w:val="16"/>
                <w:color w:val="auto"/>
              </w:rPr>
              <w:t>   (6,999,976)</w:t>
            </w:r>
          </w:p>
        </w:tc>
        <w:tc>
          <w:tcPr>
            <w:tcW w:w="320" w:type="dxa"/>
            <w:vAlign w:val="bottom"/>
            <w:tcBorders>
              <w:top w:val="single" w:sz="8" w:color="003A70"/>
            </w:tcBorders>
          </w:tcPr>
          <w:p>
            <w:pPr>
              <w:ind w:left="120"/>
              <w:spacing w:after="0" w:line="171" w:lineRule="exact"/>
              <w:rPr>
                <w:sz w:val="20"/>
                <w:szCs w:val="20"/>
                <w:color w:val="auto"/>
              </w:rPr>
            </w:pPr>
            <w:r>
              <w:rPr>
                <w:rFonts w:ascii="Arial" w:cs="Arial" w:eastAsia="Arial" w:hAnsi="Arial"/>
                <w:sz w:val="16"/>
                <w:szCs w:val="16"/>
                <w:color w:val="auto"/>
              </w:rPr>
              <w:t>$</w:t>
            </w:r>
          </w:p>
        </w:tc>
        <w:tc>
          <w:tcPr>
            <w:tcW w:w="1420" w:type="dxa"/>
            <w:vAlign w:val="bottom"/>
            <w:tcBorders>
              <w:top w:val="single" w:sz="8" w:color="003A70"/>
            </w:tcBorders>
          </w:tcPr>
          <w:p>
            <w:pPr>
              <w:jc w:val="right"/>
              <w:ind w:right="508"/>
              <w:spacing w:after="0" w:line="171" w:lineRule="exact"/>
              <w:rPr>
                <w:sz w:val="20"/>
                <w:szCs w:val="20"/>
                <w:color w:val="auto"/>
              </w:rPr>
            </w:pPr>
            <w:r>
              <w:rPr>
                <w:rFonts w:ascii="Arial" w:cs="Arial" w:eastAsia="Arial" w:hAnsi="Arial"/>
                <w:sz w:val="16"/>
                <w:szCs w:val="16"/>
                <w:color w:val="auto"/>
              </w:rPr>
              <w:t>(368,015)</w:t>
            </w:r>
          </w:p>
        </w:tc>
        <w:tc>
          <w:tcPr>
            <w:tcW w:w="780" w:type="dxa"/>
            <w:vAlign w:val="bottom"/>
            <w:tcBorders>
              <w:top w:val="single" w:sz="8" w:color="003A70"/>
            </w:tcBorders>
          </w:tcPr>
          <w:p>
            <w:pPr>
              <w:ind w:left="560"/>
              <w:spacing w:after="0" w:line="171" w:lineRule="exact"/>
              <w:rPr>
                <w:sz w:val="20"/>
                <w:szCs w:val="20"/>
                <w:color w:val="auto"/>
              </w:rPr>
            </w:pPr>
            <w:r>
              <w:rPr>
                <w:rFonts w:ascii="Arial" w:cs="Arial" w:eastAsia="Arial" w:hAnsi="Arial"/>
                <w:sz w:val="16"/>
                <w:szCs w:val="16"/>
                <w:color w:val="auto"/>
              </w:rPr>
              <w:t>$</w:t>
            </w:r>
          </w:p>
        </w:tc>
        <w:tc>
          <w:tcPr>
            <w:tcW w:w="1660" w:type="dxa"/>
            <w:vAlign w:val="bottom"/>
            <w:tcBorders>
              <w:top w:val="single" w:sz="8" w:color="003A70"/>
            </w:tcBorders>
          </w:tcPr>
          <w:p>
            <w:pPr>
              <w:jc w:val="right"/>
              <w:ind w:right="799"/>
              <w:spacing w:after="0" w:line="171" w:lineRule="exact"/>
              <w:rPr>
                <w:sz w:val="20"/>
                <w:szCs w:val="20"/>
                <w:color w:val="auto"/>
              </w:rPr>
            </w:pPr>
            <w:r>
              <w:rPr>
                <w:rFonts w:ascii="Arial" w:cs="Arial" w:eastAsia="Arial" w:hAnsi="Arial"/>
                <w:sz w:val="16"/>
                <w:szCs w:val="16"/>
                <w:color w:val="auto"/>
              </w:rPr>
              <w:t>6,976,141</w:t>
            </w:r>
          </w:p>
        </w:tc>
      </w:tr>
      <w:tr>
        <w:trPr>
          <w:trHeight w:val="203"/>
        </w:trPr>
        <w:tc>
          <w:tcPr>
            <w:tcW w:w="340" w:type="dxa"/>
            <w:vAlign w:val="bottom"/>
          </w:tcPr>
          <w:p>
            <w:pPr>
              <w:spacing w:after="0"/>
              <w:rPr>
                <w:sz w:val="17"/>
                <w:szCs w:val="17"/>
                <w:color w:val="auto"/>
              </w:rPr>
            </w:pPr>
          </w:p>
        </w:tc>
        <w:tc>
          <w:tcPr>
            <w:tcW w:w="178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Current PEO (Avril)</w:t>
            </w:r>
          </w:p>
        </w:tc>
        <w:tc>
          <w:tcPr>
            <w:tcW w:w="1180" w:type="dxa"/>
            <w:vAlign w:val="bottom"/>
            <w:tcBorders>
              <w:bottom w:val="single" w:sz="8" w:color="003A70"/>
            </w:tcBorders>
          </w:tcPr>
          <w:p>
            <w:pPr>
              <w:jc w:val="right"/>
              <w:ind w:right="419"/>
              <w:spacing w:after="0"/>
              <w:rPr>
                <w:sz w:val="20"/>
                <w:szCs w:val="20"/>
                <w:color w:val="auto"/>
              </w:rPr>
            </w:pPr>
            <w:r>
              <w:rPr>
                <w:rFonts w:ascii="Arial" w:cs="Arial" w:eastAsia="Arial" w:hAnsi="Arial"/>
                <w:sz w:val="16"/>
                <w:szCs w:val="16"/>
                <w:color w:val="auto"/>
              </w:rPr>
              <w:t>2025</w:t>
            </w:r>
          </w:p>
        </w:tc>
        <w:tc>
          <w:tcPr>
            <w:tcW w:w="700" w:type="dxa"/>
            <w:vAlign w:val="bottom"/>
            <w:tcBorders>
              <w:bottom w:val="single" w:sz="8" w:color="003A70"/>
            </w:tcBorders>
          </w:tcPr>
          <w:p>
            <w:pPr>
              <w:ind w:left="4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003A70"/>
            </w:tcBorders>
          </w:tcPr>
          <w:p>
            <w:pPr>
              <w:jc w:val="right"/>
              <w:ind w:right="168"/>
              <w:spacing w:after="0"/>
              <w:rPr>
                <w:sz w:val="20"/>
                <w:szCs w:val="20"/>
                <w:color w:val="auto"/>
              </w:rPr>
            </w:pPr>
            <w:r>
              <w:rPr>
                <w:rFonts w:ascii="Arial" w:cs="Arial" w:eastAsia="Arial" w:hAnsi="Arial"/>
                <w:sz w:val="16"/>
                <w:szCs w:val="16"/>
                <w:color w:val="auto"/>
              </w:rPr>
              <w:t>3,994,416</w:t>
            </w:r>
          </w:p>
        </w:tc>
        <w:tc>
          <w:tcPr>
            <w:tcW w:w="440" w:type="dxa"/>
            <w:vAlign w:val="bottom"/>
            <w:tcBorders>
              <w:bottom w:val="single" w:sz="8" w:color="003A70"/>
            </w:tcBorders>
          </w:tcPr>
          <w:p>
            <w:pPr>
              <w:ind w:left="2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003A70"/>
            </w:tcBorders>
          </w:tcPr>
          <w:p>
            <w:pPr>
              <w:jc w:val="right"/>
              <w:ind w:right="59"/>
              <w:spacing w:after="0"/>
              <w:rPr>
                <w:sz w:val="20"/>
                <w:szCs w:val="20"/>
                <w:color w:val="auto"/>
              </w:rPr>
            </w:pPr>
            <w:r>
              <w:rPr>
                <w:rFonts w:ascii="Arial" w:cs="Arial" w:eastAsia="Arial" w:hAnsi="Arial"/>
                <w:sz w:val="16"/>
                <w:szCs w:val="16"/>
                <w:color w:val="auto"/>
              </w:rPr>
              <w:t>(3,803,425)</w:t>
            </w:r>
          </w:p>
        </w:tc>
        <w:tc>
          <w:tcPr>
            <w:tcW w:w="320" w:type="dxa"/>
            <w:vAlign w:val="bottom"/>
            <w:tcBorders>
              <w:bottom w:val="single" w:sz="8" w:color="003A70"/>
            </w:tcBorders>
          </w:tcPr>
          <w:p>
            <w:pPr>
              <w:ind w:left="120"/>
              <w:spacing w:after="0"/>
              <w:rPr>
                <w:sz w:val="20"/>
                <w:szCs w:val="20"/>
                <w:color w:val="auto"/>
              </w:rPr>
            </w:pPr>
            <w:r>
              <w:rPr>
                <w:rFonts w:ascii="Arial" w:cs="Arial" w:eastAsia="Arial" w:hAnsi="Arial"/>
                <w:sz w:val="16"/>
                <w:szCs w:val="16"/>
                <w:color w:val="auto"/>
              </w:rPr>
              <w:t xml:space="preserve">$ </w:t>
            </w:r>
          </w:p>
        </w:tc>
        <w:tc>
          <w:tcPr>
            <w:tcW w:w="1420" w:type="dxa"/>
            <w:vAlign w:val="bottom"/>
            <w:tcBorders>
              <w:bottom w:val="single" w:sz="8" w:color="003A70"/>
            </w:tcBorders>
          </w:tcPr>
          <w:p>
            <w:pPr>
              <w:jc w:val="right"/>
              <w:ind w:right="568"/>
              <w:spacing w:after="0"/>
              <w:rPr>
                <w:sz w:val="20"/>
                <w:szCs w:val="20"/>
                <w:color w:val="auto"/>
              </w:rPr>
            </w:pPr>
            <w:r>
              <w:rPr>
                <w:rFonts w:ascii="Arial" w:cs="Arial" w:eastAsia="Arial" w:hAnsi="Arial"/>
                <w:sz w:val="16"/>
                <w:szCs w:val="16"/>
                <w:color w:val="auto"/>
              </w:rPr>
              <w:t>5,130,666</w:t>
            </w:r>
          </w:p>
        </w:tc>
        <w:tc>
          <w:tcPr>
            <w:tcW w:w="780" w:type="dxa"/>
            <w:vAlign w:val="bottom"/>
            <w:tcBorders>
              <w:bottom w:val="single" w:sz="8" w:color="003A70"/>
            </w:tcBorders>
          </w:tcPr>
          <w:p>
            <w:pPr>
              <w:ind w:left="560"/>
              <w:spacing w:after="0"/>
              <w:rPr>
                <w:sz w:val="20"/>
                <w:szCs w:val="20"/>
                <w:color w:val="auto"/>
              </w:rPr>
            </w:pPr>
            <w:r>
              <w:rPr>
                <w:rFonts w:ascii="Arial" w:cs="Arial" w:eastAsia="Arial" w:hAnsi="Arial"/>
                <w:sz w:val="16"/>
                <w:szCs w:val="16"/>
                <w:color w:val="auto"/>
              </w:rPr>
              <w:t xml:space="preserve">$ </w:t>
            </w:r>
          </w:p>
        </w:tc>
        <w:tc>
          <w:tcPr>
            <w:tcW w:w="1660" w:type="dxa"/>
            <w:vAlign w:val="bottom"/>
            <w:tcBorders>
              <w:bottom w:val="single" w:sz="8" w:color="003A70"/>
            </w:tcBorders>
          </w:tcPr>
          <w:p>
            <w:pPr>
              <w:jc w:val="right"/>
              <w:ind w:right="799"/>
              <w:spacing w:after="0"/>
              <w:rPr>
                <w:sz w:val="20"/>
                <w:szCs w:val="20"/>
                <w:color w:val="auto"/>
              </w:rPr>
            </w:pPr>
            <w:r>
              <w:rPr>
                <w:rFonts w:ascii="Arial" w:cs="Arial" w:eastAsia="Arial" w:hAnsi="Arial"/>
                <w:sz w:val="16"/>
                <w:szCs w:val="16"/>
                <w:color w:val="auto"/>
              </w:rPr>
              <w:t>5,321,657</w:t>
            </w:r>
          </w:p>
        </w:tc>
      </w:tr>
      <w:tr>
        <w:trPr>
          <w:trHeight w:val="264"/>
        </w:trPr>
        <w:tc>
          <w:tcPr>
            <w:tcW w:w="340" w:type="dxa"/>
            <w:vAlign w:val="bottom"/>
            <w:tcBorders>
              <w:bottom w:val="single" w:sz="8" w:color="003A70"/>
            </w:tcBorders>
          </w:tcPr>
          <w:p>
            <w:pPr>
              <w:jc w:val="right"/>
              <w:ind w:right="166"/>
              <w:spacing w:after="0"/>
              <w:rPr>
                <w:sz w:val="20"/>
                <w:szCs w:val="20"/>
                <w:color w:val="auto"/>
              </w:rPr>
            </w:pPr>
            <w:r>
              <w:rPr>
                <w:rFonts w:ascii="Arial" w:cs="Arial" w:eastAsia="Arial" w:hAnsi="Arial"/>
                <w:sz w:val="11"/>
                <w:szCs w:val="11"/>
                <w:b w:val="1"/>
                <w:bCs w:val="1"/>
                <w:color w:val="003A70"/>
                <w:w w:val="81"/>
              </w:rPr>
              <w:t>54</w:t>
            </w:r>
          </w:p>
        </w:tc>
        <w:tc>
          <w:tcPr>
            <w:tcW w:w="1780" w:type="dxa"/>
            <w:vAlign w:val="bottom"/>
            <w:tcBorders>
              <w:bottom w:val="single" w:sz="8" w:color="003A70"/>
            </w:tcBorders>
          </w:tcPr>
          <w:p>
            <w:pPr>
              <w:spacing w:after="0"/>
              <w:rPr>
                <w:sz w:val="22"/>
                <w:szCs w:val="22"/>
                <w:color w:val="auto"/>
              </w:rPr>
            </w:pPr>
          </w:p>
        </w:tc>
        <w:tc>
          <w:tcPr>
            <w:tcW w:w="1180" w:type="dxa"/>
            <w:vAlign w:val="bottom"/>
            <w:tcBorders>
              <w:bottom w:val="single" w:sz="8" w:color="003A70"/>
            </w:tcBorders>
          </w:tcPr>
          <w:p>
            <w:pPr>
              <w:spacing w:after="0"/>
              <w:rPr>
                <w:sz w:val="22"/>
                <w:szCs w:val="22"/>
                <w:color w:val="auto"/>
              </w:rPr>
            </w:pPr>
          </w:p>
        </w:tc>
        <w:tc>
          <w:tcPr>
            <w:tcW w:w="700" w:type="dxa"/>
            <w:vAlign w:val="bottom"/>
            <w:tcBorders>
              <w:bottom w:val="single" w:sz="8" w:color="003A70"/>
            </w:tcBorders>
          </w:tcPr>
          <w:p>
            <w:pPr>
              <w:spacing w:after="0"/>
              <w:rPr>
                <w:sz w:val="22"/>
                <w:szCs w:val="22"/>
                <w:color w:val="auto"/>
              </w:rPr>
            </w:pPr>
          </w:p>
        </w:tc>
        <w:tc>
          <w:tcPr>
            <w:tcW w:w="2840" w:type="dxa"/>
            <w:vAlign w:val="bottom"/>
            <w:tcBorders>
              <w:bottom w:val="single" w:sz="8" w:color="003A70"/>
            </w:tcBorders>
            <w:gridSpan w:val="3"/>
          </w:tcPr>
          <w:p>
            <w:pPr>
              <w:jc w:val="right"/>
              <w:ind w:right="99"/>
              <w:spacing w:after="0"/>
              <w:rPr>
                <w:sz w:val="20"/>
                <w:szCs w:val="20"/>
                <w:color w:val="auto"/>
              </w:rPr>
            </w:pPr>
            <w:r>
              <w:rPr>
                <w:rFonts w:ascii="Arial" w:cs="Arial" w:eastAsia="Arial" w:hAnsi="Arial"/>
                <w:sz w:val="11"/>
                <w:szCs w:val="11"/>
                <w:color w:val="auto"/>
              </w:rPr>
              <w:t>Executive Compensation Tables and Discussion</w:t>
            </w:r>
          </w:p>
        </w:tc>
        <w:tc>
          <w:tcPr>
            <w:tcW w:w="320" w:type="dxa"/>
            <w:vAlign w:val="bottom"/>
            <w:tcBorders>
              <w:bottom w:val="single" w:sz="8" w:color="003A70"/>
            </w:tcBorders>
          </w:tcPr>
          <w:p>
            <w:pPr>
              <w:spacing w:after="0"/>
              <w:rPr>
                <w:sz w:val="22"/>
                <w:szCs w:val="22"/>
                <w:color w:val="auto"/>
              </w:rPr>
            </w:pPr>
          </w:p>
        </w:tc>
        <w:tc>
          <w:tcPr>
            <w:tcW w:w="3860" w:type="dxa"/>
            <w:vAlign w:val="bottom"/>
            <w:tcBorders>
              <w:bottom w:val="single" w:sz="8" w:color="003A70"/>
            </w:tcBorders>
            <w:gridSpan w:val="3"/>
          </w:tcPr>
          <w:p>
            <w:pPr>
              <w:jc w:val="right"/>
              <w:spacing w:after="0"/>
              <w:rPr>
                <w:sz w:val="20"/>
                <w:szCs w:val="20"/>
                <w:color w:val="auto"/>
              </w:rPr>
            </w:pPr>
            <w:r>
              <w:rPr>
                <w:rFonts w:ascii="Arial" w:cs="Arial" w:eastAsia="Arial" w:hAnsi="Arial"/>
                <w:sz w:val="11"/>
                <w:szCs w:val="11"/>
                <w:color w:val="auto"/>
              </w:rPr>
              <w:t xml:space="preserve">2026 PROXY STATEMENT </w:t>
            </w:r>
            <w:r>
              <w:rPr>
                <w:rFonts w:ascii="Arial" w:cs="Arial" w:eastAsia="Arial" w:hAnsi="Arial"/>
                <w:sz w:val="11"/>
                <w:szCs w:val="11"/>
                <w:b w:val="1"/>
                <w:bCs w:val="1"/>
                <w:color w:val="003A70"/>
              </w:rPr>
              <w:t>MARRIOTT VACATIONS WORLDWIDE</w:t>
            </w:r>
          </w:p>
        </w:tc>
      </w:tr>
    </w:tbl>
    <w:p>
      <w:pPr>
        <w:sectPr>
          <w:pgSz w:w="11900" w:h="16838" w:orient="portrait"/>
          <w:cols w:equalWidth="0" w:num="1">
            <w:col w:w="11240"/>
          </w:cols>
          <w:pgMar w:left="320" w:top="482"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6" w:lineRule="exact"/>
        <w:rPr>
          <w:sz w:val="20"/>
          <w:szCs w:val="20"/>
          <w:color w:val="auto"/>
        </w:rPr>
      </w:pPr>
    </w:p>
    <w:p>
      <w:pPr>
        <w:ind w:left="880" w:hanging="440"/>
        <w:spacing w:after="0"/>
        <w:tabs>
          <w:tab w:leader="none" w:pos="880" w:val="left"/>
        </w:tabs>
        <w:numPr>
          <w:ilvl w:val="0"/>
          <w:numId w:val="105"/>
        </w:numPr>
        <w:rPr>
          <w:rFonts w:ascii="Arial" w:cs="Arial" w:eastAsia="Arial" w:hAnsi="Arial"/>
          <w:sz w:val="18"/>
          <w:szCs w:val="18"/>
          <w:color w:val="auto"/>
          <w:vertAlign w:val="superscript"/>
        </w:rPr>
      </w:pPr>
      <w:r>
        <w:rPr>
          <w:rFonts w:ascii="Arial" w:cs="Arial" w:eastAsia="Arial" w:hAnsi="Arial"/>
          <w:sz w:val="14"/>
          <w:szCs w:val="14"/>
          <w:color w:val="auto"/>
        </w:rPr>
        <w:t>The amounts deducted or added in calculating the equity award adjustments are as follows:</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color w:val="003A70"/>
              </w:rPr>
              <w:t>Change in Fair</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02"/>
              <w:spacing w:after="0"/>
              <w:rPr>
                <w:sz w:val="20"/>
                <w:szCs w:val="20"/>
                <w:color w:val="auto"/>
              </w:rPr>
            </w:pPr>
            <w:r>
              <w:rPr>
                <w:rFonts w:ascii="Arial" w:cs="Arial" w:eastAsia="Arial" w:hAnsi="Arial"/>
                <w:sz w:val="14"/>
                <w:szCs w:val="14"/>
                <w:color w:val="003A70"/>
              </w:rPr>
              <w:t>Value from</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02"/>
              <w:spacing w:after="0"/>
              <w:rPr>
                <w:sz w:val="20"/>
                <w:szCs w:val="20"/>
                <w:color w:val="auto"/>
              </w:rPr>
            </w:pPr>
            <w:r>
              <w:rPr>
                <w:rFonts w:ascii="Arial" w:cs="Arial" w:eastAsia="Arial" w:hAnsi="Arial"/>
                <w:sz w:val="14"/>
                <w:szCs w:val="14"/>
                <w:color w:val="003A70"/>
              </w:rPr>
              <w:t>Last Day of</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center"/>
              <w:ind w:left="126"/>
              <w:spacing w:after="0"/>
              <w:rPr>
                <w:sz w:val="20"/>
                <w:szCs w:val="20"/>
                <w:color w:val="auto"/>
              </w:rPr>
            </w:pPr>
            <w:r>
              <w:rPr>
                <w:rFonts w:ascii="Arial" w:cs="Arial" w:eastAsia="Arial" w:hAnsi="Arial"/>
                <w:sz w:val="14"/>
                <w:szCs w:val="14"/>
                <w:color w:val="003A70"/>
                <w:w w:val="97"/>
              </w:rPr>
              <w:t>Value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center"/>
              <w:ind w:right="144"/>
              <w:spacing w:after="0"/>
              <w:rPr>
                <w:sz w:val="20"/>
                <w:szCs w:val="20"/>
                <w:color w:val="auto"/>
              </w:rPr>
            </w:pPr>
            <w:r>
              <w:rPr>
                <w:rFonts w:ascii="Arial" w:cs="Arial" w:eastAsia="Arial" w:hAnsi="Arial"/>
                <w:sz w:val="14"/>
                <w:szCs w:val="14"/>
                <w:color w:val="003A70"/>
                <w:w w:val="99"/>
              </w:rPr>
              <w:t>Year End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46"/>
              <w:spacing w:after="0"/>
              <w:rPr>
                <w:sz w:val="20"/>
                <w:szCs w:val="20"/>
                <w:color w:val="auto"/>
              </w:rPr>
            </w:pPr>
            <w:r>
              <w:rPr>
                <w:rFonts w:ascii="Arial" w:cs="Arial" w:eastAsia="Arial" w:hAnsi="Arial"/>
                <w:sz w:val="14"/>
                <w:szCs w:val="14"/>
                <w:color w:val="003A70"/>
              </w:rPr>
              <w:t>Fair Value</w:t>
            </w:r>
          </w:p>
        </w:tc>
        <w:tc>
          <w:tcPr>
            <w:tcW w:w="140" w:type="dxa"/>
            <w:vAlign w:val="bottom"/>
          </w:tcPr>
          <w:p>
            <w:pPr>
              <w:spacing w:after="0"/>
              <w:rPr>
                <w:sz w:val="14"/>
                <w:szCs w:val="14"/>
                <w:color w:val="auto"/>
              </w:rPr>
            </w:pPr>
          </w:p>
        </w:tc>
        <w:tc>
          <w:tcPr>
            <w:tcW w:w="960" w:type="dxa"/>
            <w:vAlign w:val="bottom"/>
            <w:gridSpan w:val="2"/>
          </w:tcPr>
          <w:p>
            <w:pPr>
              <w:jc w:val="center"/>
              <w:ind w:right="82"/>
              <w:spacing w:after="0"/>
              <w:rPr>
                <w:sz w:val="20"/>
                <w:szCs w:val="20"/>
                <w:color w:val="auto"/>
              </w:rPr>
            </w:pPr>
            <w:r>
              <w:rPr>
                <w:rFonts w:ascii="Arial" w:cs="Arial" w:eastAsia="Arial" w:hAnsi="Arial"/>
                <w:sz w:val="14"/>
                <w:szCs w:val="14"/>
                <w:color w:val="003A70"/>
              </w:rPr>
              <w:t>Prior Fiscal</w:t>
            </w:r>
          </w:p>
        </w:tc>
        <w:tc>
          <w:tcPr>
            <w:tcW w:w="1040" w:type="dxa"/>
            <w:vAlign w:val="bottom"/>
            <w:gridSpan w:val="2"/>
          </w:tcPr>
          <w:p>
            <w:pPr>
              <w:jc w:val="center"/>
              <w:spacing w:after="0"/>
              <w:rPr>
                <w:sz w:val="20"/>
                <w:szCs w:val="20"/>
                <w:color w:val="auto"/>
              </w:rPr>
            </w:pPr>
            <w:r>
              <w:rPr>
                <w:rFonts w:ascii="Arial" w:cs="Arial" w:eastAsia="Arial" w:hAnsi="Arial"/>
                <w:sz w:val="14"/>
                <w:szCs w:val="14"/>
                <w:color w:val="003A70"/>
              </w:rPr>
              <w:t>Fair Value at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003A70"/>
              </w:rPr>
              <w:t>Dividends or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46"/>
              <w:spacing w:after="0" w:line="149" w:lineRule="exact"/>
              <w:rPr>
                <w:sz w:val="20"/>
                <w:szCs w:val="20"/>
                <w:color w:val="auto"/>
              </w:rPr>
            </w:pPr>
            <w:r>
              <w:rPr>
                <w:rFonts w:ascii="Arial" w:cs="Arial" w:eastAsia="Arial" w:hAnsi="Arial"/>
                <w:sz w:val="14"/>
                <w:szCs w:val="14"/>
                <w:color w:val="003A70"/>
                <w:w w:val="98"/>
              </w:rPr>
              <w:t>as of</w:t>
            </w: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color w:val="003A70"/>
              </w:rPr>
              <w:t>Year to Vesting</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003A70"/>
              </w:rPr>
              <w:t>the End of the</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color w:val="003A70"/>
              </w:rPr>
              <w:t>Other Earnings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003A70"/>
              </w:rPr>
              <w:t>Fair Value of</w:t>
            </w:r>
          </w:p>
        </w:tc>
        <w:tc>
          <w:tcPr>
            <w:tcW w:w="140" w:type="dxa"/>
            <w:vAlign w:val="bottom"/>
          </w:tcPr>
          <w:p>
            <w:pPr>
              <w:spacing w:after="0"/>
              <w:rPr>
                <w:sz w:val="14"/>
                <w:szCs w:val="14"/>
                <w:color w:val="auto"/>
              </w:rPr>
            </w:pPr>
          </w:p>
        </w:tc>
        <w:tc>
          <w:tcPr>
            <w:tcW w:w="1100" w:type="dxa"/>
            <w:vAlign w:val="bottom"/>
          </w:tcPr>
          <w:p>
            <w:pPr>
              <w:jc w:val="center"/>
              <w:ind w:right="105"/>
              <w:spacing w:after="0"/>
              <w:rPr>
                <w:sz w:val="20"/>
                <w:szCs w:val="20"/>
                <w:color w:val="auto"/>
              </w:rPr>
            </w:pPr>
            <w:r>
              <w:rPr>
                <w:rFonts w:ascii="Arial" w:cs="Arial" w:eastAsia="Arial" w:hAnsi="Arial"/>
                <w:sz w:val="14"/>
                <w:szCs w:val="14"/>
                <w:color w:val="003A70"/>
              </w:rPr>
              <w:t>Year Over</w:t>
            </w:r>
          </w:p>
        </w:tc>
        <w:tc>
          <w:tcPr>
            <w:tcW w:w="1140" w:type="dxa"/>
            <w:vAlign w:val="bottom"/>
            <w:gridSpan w:val="2"/>
          </w:tcPr>
          <w:p>
            <w:pPr>
              <w:jc w:val="center"/>
              <w:spacing w:after="0"/>
              <w:rPr>
                <w:sz w:val="20"/>
                <w:szCs w:val="20"/>
                <w:color w:val="auto"/>
              </w:rPr>
            </w:pPr>
            <w:r>
              <w:rPr>
                <w:rFonts w:ascii="Arial" w:cs="Arial" w:eastAsia="Arial" w:hAnsi="Arial"/>
                <w:sz w:val="14"/>
                <w:szCs w:val="14"/>
                <w:color w:val="003A70"/>
              </w:rPr>
              <w:t>Vesting Date</w:t>
            </w:r>
          </w:p>
        </w:tc>
        <w:tc>
          <w:tcPr>
            <w:tcW w:w="1100" w:type="dxa"/>
            <w:vAlign w:val="bottom"/>
            <w:gridSpan w:val="3"/>
          </w:tcPr>
          <w:p>
            <w:pPr>
              <w:jc w:val="center"/>
              <w:spacing w:after="0"/>
              <w:rPr>
                <w:sz w:val="20"/>
                <w:szCs w:val="20"/>
                <w:color w:val="auto"/>
              </w:rPr>
            </w:pPr>
            <w:r>
              <w:rPr>
                <w:rFonts w:ascii="Arial" w:cs="Arial" w:eastAsia="Arial" w:hAnsi="Arial"/>
                <w:sz w:val="14"/>
                <w:szCs w:val="14"/>
                <w:color w:val="003A70"/>
              </w:rPr>
              <w:t>Date of Equity</w:t>
            </w:r>
          </w:p>
        </w:tc>
        <w:tc>
          <w:tcPr>
            <w:tcW w:w="1040" w:type="dxa"/>
            <w:vAlign w:val="bottom"/>
            <w:gridSpan w:val="2"/>
          </w:tcPr>
          <w:p>
            <w:pPr>
              <w:jc w:val="center"/>
              <w:spacing w:after="0"/>
              <w:rPr>
                <w:sz w:val="20"/>
                <w:szCs w:val="20"/>
                <w:color w:val="auto"/>
              </w:rPr>
            </w:pPr>
            <w:r>
              <w:rPr>
                <w:rFonts w:ascii="Arial" w:cs="Arial" w:eastAsia="Arial" w:hAnsi="Arial"/>
                <w:sz w:val="14"/>
                <w:szCs w:val="14"/>
                <w:color w:val="003A70"/>
              </w:rPr>
              <w:t>Prior Year of</w:t>
            </w:r>
          </w:p>
        </w:tc>
        <w:tc>
          <w:tcPr>
            <w:tcW w:w="1080" w:type="dxa"/>
            <w:vAlign w:val="bottom"/>
            <w:gridSpan w:val="2"/>
          </w:tcPr>
          <w:p>
            <w:pPr>
              <w:jc w:val="center"/>
              <w:spacing w:after="0"/>
              <w:rPr>
                <w:sz w:val="20"/>
                <w:szCs w:val="20"/>
                <w:color w:val="auto"/>
              </w:rPr>
            </w:pPr>
            <w:r>
              <w:rPr>
                <w:rFonts w:ascii="Arial" w:cs="Arial" w:eastAsia="Arial" w:hAnsi="Arial"/>
                <w:sz w:val="14"/>
                <w:szCs w:val="14"/>
                <w:color w:val="003A70"/>
              </w:rPr>
              <w:t>Paid on Stock</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003A70"/>
              </w:rPr>
              <w:t>Equity Awards</w:t>
            </w:r>
          </w:p>
        </w:tc>
        <w:tc>
          <w:tcPr>
            <w:tcW w:w="1240" w:type="dxa"/>
            <w:vAlign w:val="bottom"/>
            <w:gridSpan w:val="2"/>
          </w:tcPr>
          <w:p>
            <w:pPr>
              <w:jc w:val="center"/>
              <w:spacing w:after="0"/>
              <w:rPr>
                <w:sz w:val="20"/>
                <w:szCs w:val="20"/>
                <w:color w:val="auto"/>
              </w:rPr>
            </w:pPr>
            <w:r>
              <w:rPr>
                <w:rFonts w:ascii="Arial" w:cs="Arial" w:eastAsia="Arial" w:hAnsi="Arial"/>
                <w:sz w:val="14"/>
                <w:szCs w:val="14"/>
                <w:color w:val="003A70"/>
              </w:rPr>
              <w:t>Year Change in</w:t>
            </w:r>
          </w:p>
        </w:tc>
        <w:tc>
          <w:tcPr>
            <w:tcW w:w="180" w:type="dxa"/>
            <w:vAlign w:val="bottom"/>
          </w:tcPr>
          <w:p>
            <w:pPr>
              <w:spacing w:after="0"/>
              <w:rPr>
                <w:sz w:val="14"/>
                <w:szCs w:val="14"/>
                <w:color w:val="auto"/>
              </w:rPr>
            </w:pPr>
          </w:p>
        </w:tc>
        <w:tc>
          <w:tcPr>
            <w:tcW w:w="960" w:type="dxa"/>
            <w:vAlign w:val="bottom"/>
          </w:tcPr>
          <w:p>
            <w:pPr>
              <w:jc w:val="center"/>
              <w:ind w:right="126"/>
              <w:spacing w:after="0"/>
              <w:rPr>
                <w:sz w:val="20"/>
                <w:szCs w:val="20"/>
                <w:color w:val="auto"/>
              </w:rPr>
            </w:pPr>
            <w:r>
              <w:rPr>
                <w:rFonts w:ascii="Arial" w:cs="Arial" w:eastAsia="Arial" w:hAnsi="Arial"/>
                <w:sz w:val="14"/>
                <w:szCs w:val="14"/>
                <w:color w:val="003A70"/>
              </w:rPr>
              <w:t>of Equity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242"/>
              <w:spacing w:after="0"/>
              <w:rPr>
                <w:sz w:val="20"/>
                <w:szCs w:val="20"/>
                <w:color w:val="auto"/>
              </w:rPr>
            </w:pPr>
            <w:r>
              <w:rPr>
                <w:rFonts w:ascii="Arial" w:cs="Arial" w:eastAsia="Arial" w:hAnsi="Arial"/>
                <w:sz w:val="14"/>
                <w:szCs w:val="14"/>
                <w:color w:val="003A70"/>
                <w:w w:val="98"/>
              </w:rPr>
              <w:t>Awards</w:t>
            </w:r>
          </w:p>
        </w:tc>
        <w:tc>
          <w:tcPr>
            <w:tcW w:w="1040" w:type="dxa"/>
            <w:vAlign w:val="bottom"/>
            <w:gridSpan w:val="2"/>
          </w:tcPr>
          <w:p>
            <w:pPr>
              <w:jc w:val="center"/>
              <w:spacing w:after="0"/>
              <w:rPr>
                <w:sz w:val="20"/>
                <w:szCs w:val="20"/>
                <w:color w:val="auto"/>
              </w:rPr>
            </w:pPr>
            <w:r>
              <w:rPr>
                <w:rFonts w:ascii="Arial" w:cs="Arial" w:eastAsia="Arial" w:hAnsi="Arial"/>
                <w:sz w:val="14"/>
                <w:szCs w:val="14"/>
                <w:color w:val="003A70"/>
              </w:rPr>
              <w:t>Equity Awards</w:t>
            </w:r>
          </w:p>
        </w:tc>
        <w:tc>
          <w:tcPr>
            <w:tcW w:w="860" w:type="dxa"/>
            <w:vAlign w:val="bottom"/>
          </w:tcPr>
          <w:p>
            <w:pPr>
              <w:jc w:val="center"/>
              <w:ind w:left="126"/>
              <w:spacing w:after="0"/>
              <w:rPr>
                <w:sz w:val="20"/>
                <w:szCs w:val="20"/>
                <w:color w:val="auto"/>
              </w:rPr>
            </w:pPr>
            <w:r>
              <w:rPr>
                <w:rFonts w:ascii="Arial" w:cs="Arial" w:eastAsia="Arial" w:hAnsi="Arial"/>
                <w:sz w:val="14"/>
                <w:szCs w:val="14"/>
                <w:color w:val="003A70"/>
              </w:rPr>
              <w:t>or Option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24"/>
              <w:spacing w:after="0"/>
              <w:rPr>
                <w:sz w:val="20"/>
                <w:szCs w:val="20"/>
                <w:color w:val="auto"/>
              </w:rPr>
            </w:pPr>
            <w:r>
              <w:rPr>
                <w:rFonts w:ascii="Arial" w:cs="Arial" w:eastAsia="Arial" w:hAnsi="Arial"/>
                <w:sz w:val="14"/>
                <w:szCs w:val="14"/>
                <w:color w:val="003A70"/>
              </w:rPr>
              <w:t>Granted in</w:t>
            </w:r>
          </w:p>
        </w:tc>
        <w:tc>
          <w:tcPr>
            <w:tcW w:w="140" w:type="dxa"/>
            <w:vAlign w:val="bottom"/>
          </w:tcPr>
          <w:p>
            <w:pPr>
              <w:spacing w:after="0"/>
              <w:rPr>
                <w:sz w:val="14"/>
                <w:szCs w:val="14"/>
                <w:color w:val="auto"/>
              </w:rPr>
            </w:pPr>
          </w:p>
        </w:tc>
        <w:tc>
          <w:tcPr>
            <w:tcW w:w="1100" w:type="dxa"/>
            <w:vAlign w:val="bottom"/>
          </w:tcPr>
          <w:p>
            <w:pPr>
              <w:jc w:val="center"/>
              <w:ind w:right="105"/>
              <w:spacing w:after="0"/>
              <w:rPr>
                <w:sz w:val="20"/>
                <w:szCs w:val="20"/>
                <w:color w:val="auto"/>
              </w:rPr>
            </w:pPr>
            <w:r>
              <w:rPr>
                <w:rFonts w:ascii="Arial" w:cs="Arial" w:eastAsia="Arial" w:hAnsi="Arial"/>
                <w:sz w:val="14"/>
                <w:szCs w:val="14"/>
                <w:color w:val="003A70"/>
              </w:rPr>
              <w:t>Fair Value of</w:t>
            </w:r>
          </w:p>
        </w:tc>
        <w:tc>
          <w:tcPr>
            <w:tcW w:w="180" w:type="dxa"/>
            <w:vAlign w:val="bottom"/>
          </w:tcPr>
          <w:p>
            <w:pPr>
              <w:spacing w:after="0"/>
              <w:rPr>
                <w:sz w:val="14"/>
                <w:szCs w:val="14"/>
                <w:color w:val="auto"/>
              </w:rPr>
            </w:pPr>
          </w:p>
        </w:tc>
        <w:tc>
          <w:tcPr>
            <w:tcW w:w="960" w:type="dxa"/>
            <w:vAlign w:val="bottom"/>
          </w:tcPr>
          <w:p>
            <w:pPr>
              <w:jc w:val="center"/>
              <w:ind w:right="146"/>
              <w:spacing w:after="0"/>
              <w:rPr>
                <w:sz w:val="20"/>
                <w:szCs w:val="20"/>
                <w:color w:val="auto"/>
              </w:rPr>
            </w:pPr>
            <w:r>
              <w:rPr>
                <w:rFonts w:ascii="Arial" w:cs="Arial" w:eastAsia="Arial" w:hAnsi="Arial"/>
                <w:sz w:val="14"/>
                <w:szCs w:val="14"/>
                <w:color w:val="003A70"/>
                <w:w w:val="98"/>
              </w:rPr>
              <w:t>Awards</w:t>
            </w:r>
          </w:p>
        </w:tc>
        <w:tc>
          <w:tcPr>
            <w:tcW w:w="140" w:type="dxa"/>
            <w:vAlign w:val="bottom"/>
          </w:tcPr>
          <w:p>
            <w:pPr>
              <w:spacing w:after="0"/>
              <w:rPr>
                <w:sz w:val="14"/>
                <w:szCs w:val="14"/>
                <w:color w:val="auto"/>
              </w:rPr>
            </w:pPr>
          </w:p>
        </w:tc>
        <w:tc>
          <w:tcPr>
            <w:tcW w:w="960" w:type="dxa"/>
            <w:vAlign w:val="bottom"/>
            <w:gridSpan w:val="2"/>
          </w:tcPr>
          <w:p>
            <w:pPr>
              <w:jc w:val="center"/>
              <w:ind w:right="102"/>
              <w:spacing w:after="0"/>
              <w:rPr>
                <w:sz w:val="20"/>
                <w:szCs w:val="20"/>
                <w:color w:val="auto"/>
              </w:rPr>
            </w:pPr>
            <w:r>
              <w:rPr>
                <w:rFonts w:ascii="Arial" w:cs="Arial" w:eastAsia="Arial" w:hAnsi="Arial"/>
                <w:sz w:val="14"/>
                <w:szCs w:val="14"/>
                <w:color w:val="003A70"/>
              </w:rPr>
              <w:t>Granted in</w:t>
            </w:r>
          </w:p>
        </w:tc>
        <w:tc>
          <w:tcPr>
            <w:tcW w:w="1040" w:type="dxa"/>
            <w:vAlign w:val="bottom"/>
            <w:gridSpan w:val="2"/>
          </w:tcPr>
          <w:p>
            <w:pPr>
              <w:jc w:val="center"/>
              <w:spacing w:after="0"/>
              <w:rPr>
                <w:sz w:val="20"/>
                <w:szCs w:val="20"/>
                <w:color w:val="auto"/>
              </w:rPr>
            </w:pPr>
            <w:r>
              <w:rPr>
                <w:rFonts w:ascii="Arial" w:cs="Arial" w:eastAsia="Arial" w:hAnsi="Arial"/>
                <w:sz w:val="14"/>
                <w:szCs w:val="14"/>
                <w:color w:val="003A70"/>
              </w:rPr>
              <w:t>that Failed to</w:t>
            </w:r>
          </w:p>
        </w:tc>
        <w:tc>
          <w:tcPr>
            <w:tcW w:w="1080" w:type="dxa"/>
            <w:vAlign w:val="bottom"/>
            <w:gridSpan w:val="2"/>
          </w:tcPr>
          <w:p>
            <w:pPr>
              <w:jc w:val="center"/>
              <w:spacing w:after="0"/>
              <w:rPr>
                <w:sz w:val="20"/>
                <w:szCs w:val="20"/>
                <w:color w:val="auto"/>
              </w:rPr>
            </w:pPr>
            <w:r>
              <w:rPr>
                <w:rFonts w:ascii="Arial" w:cs="Arial" w:eastAsia="Arial" w:hAnsi="Arial"/>
                <w:sz w:val="14"/>
                <w:szCs w:val="14"/>
                <w:color w:val="003A70"/>
                <w:w w:val="99"/>
              </w:rPr>
              <w:t>Awards not</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003A70"/>
              </w:rPr>
              <w:t>the Year and</w:t>
            </w:r>
          </w:p>
        </w:tc>
        <w:tc>
          <w:tcPr>
            <w:tcW w:w="140" w:type="dxa"/>
            <w:vAlign w:val="bottom"/>
          </w:tcPr>
          <w:p>
            <w:pPr>
              <w:spacing w:after="0"/>
              <w:rPr>
                <w:sz w:val="14"/>
                <w:szCs w:val="14"/>
                <w:color w:val="auto"/>
              </w:rPr>
            </w:pPr>
          </w:p>
        </w:tc>
        <w:tc>
          <w:tcPr>
            <w:tcW w:w="1100" w:type="dxa"/>
            <w:vAlign w:val="bottom"/>
          </w:tcPr>
          <w:p>
            <w:pPr>
              <w:jc w:val="center"/>
              <w:ind w:right="85"/>
              <w:spacing w:after="0"/>
              <w:rPr>
                <w:sz w:val="20"/>
                <w:szCs w:val="20"/>
                <w:color w:val="auto"/>
              </w:rPr>
            </w:pPr>
            <w:r>
              <w:rPr>
                <w:rFonts w:ascii="Arial" w:cs="Arial" w:eastAsia="Arial" w:hAnsi="Arial"/>
                <w:sz w:val="14"/>
                <w:szCs w:val="14"/>
                <w:color w:val="003A70"/>
              </w:rPr>
              <w:t>Outstanding</w:t>
            </w:r>
          </w:p>
        </w:tc>
        <w:tc>
          <w:tcPr>
            <w:tcW w:w="1140" w:type="dxa"/>
            <w:vAlign w:val="bottom"/>
            <w:gridSpan w:val="2"/>
          </w:tcPr>
          <w:p>
            <w:pPr>
              <w:jc w:val="center"/>
              <w:spacing w:after="0"/>
              <w:rPr>
                <w:sz w:val="20"/>
                <w:szCs w:val="20"/>
                <w:color w:val="auto"/>
              </w:rPr>
            </w:pPr>
            <w:r>
              <w:rPr>
                <w:rFonts w:ascii="Arial" w:cs="Arial" w:eastAsia="Arial" w:hAnsi="Arial"/>
                <w:sz w:val="14"/>
                <w:szCs w:val="14"/>
                <w:color w:val="003A70"/>
              </w:rPr>
              <w:t>Granted and</w:t>
            </w:r>
          </w:p>
        </w:tc>
        <w:tc>
          <w:tcPr>
            <w:tcW w:w="140" w:type="dxa"/>
            <w:vAlign w:val="bottom"/>
          </w:tcPr>
          <w:p>
            <w:pPr>
              <w:spacing w:after="0"/>
              <w:rPr>
                <w:sz w:val="14"/>
                <w:szCs w:val="14"/>
                <w:color w:val="auto"/>
              </w:rPr>
            </w:pPr>
          </w:p>
        </w:tc>
        <w:tc>
          <w:tcPr>
            <w:tcW w:w="960" w:type="dxa"/>
            <w:vAlign w:val="bottom"/>
            <w:gridSpan w:val="2"/>
          </w:tcPr>
          <w:p>
            <w:pPr>
              <w:jc w:val="center"/>
              <w:ind w:right="102"/>
              <w:spacing w:after="0"/>
              <w:rPr>
                <w:sz w:val="20"/>
                <w:szCs w:val="20"/>
                <w:color w:val="auto"/>
              </w:rPr>
            </w:pPr>
            <w:r>
              <w:rPr>
                <w:rFonts w:ascii="Arial" w:cs="Arial" w:eastAsia="Arial" w:hAnsi="Arial"/>
                <w:sz w:val="14"/>
                <w:szCs w:val="14"/>
                <w:color w:val="003A70"/>
                <w:w w:val="99"/>
              </w:rPr>
              <w:t>Prior Years</w:t>
            </w:r>
          </w:p>
        </w:tc>
        <w:tc>
          <w:tcPr>
            <w:tcW w:w="1040" w:type="dxa"/>
            <w:vAlign w:val="bottom"/>
            <w:gridSpan w:val="2"/>
          </w:tcPr>
          <w:p>
            <w:pPr>
              <w:jc w:val="center"/>
              <w:spacing w:after="0"/>
              <w:rPr>
                <w:sz w:val="20"/>
                <w:szCs w:val="20"/>
                <w:color w:val="auto"/>
              </w:rPr>
            </w:pPr>
            <w:r>
              <w:rPr>
                <w:rFonts w:ascii="Arial" w:cs="Arial" w:eastAsia="Arial" w:hAnsi="Arial"/>
                <w:sz w:val="14"/>
                <w:szCs w:val="14"/>
                <w:color w:val="003A70"/>
              </w:rPr>
              <w:t>Meet Vesting</w:t>
            </w:r>
          </w:p>
        </w:tc>
        <w:tc>
          <w:tcPr>
            <w:tcW w:w="860" w:type="dxa"/>
            <w:vAlign w:val="bottom"/>
          </w:tcPr>
          <w:p>
            <w:pPr>
              <w:jc w:val="center"/>
              <w:ind w:left="126"/>
              <w:spacing w:after="0"/>
              <w:rPr>
                <w:sz w:val="20"/>
                <w:szCs w:val="20"/>
                <w:color w:val="auto"/>
              </w:rPr>
            </w:pPr>
            <w:r>
              <w:rPr>
                <w:rFonts w:ascii="Arial" w:cs="Arial" w:eastAsia="Arial" w:hAnsi="Arial"/>
                <w:sz w:val="14"/>
                <w:szCs w:val="14"/>
                <w:color w:val="003A70"/>
              </w:rPr>
              <w:t>Otherwise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color w:val="003A70"/>
              </w:rPr>
              <w:t>Total Equity</w:t>
            </w: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4"/>
                <w:szCs w:val="14"/>
                <w:color w:val="003A70"/>
              </w:rPr>
              <w:t>Fiscal</w:t>
            </w:r>
          </w:p>
        </w:tc>
        <w:tc>
          <w:tcPr>
            <w:tcW w:w="1140" w:type="dxa"/>
            <w:vAlign w:val="bottom"/>
            <w:gridSpan w:val="2"/>
          </w:tcPr>
          <w:p>
            <w:pPr>
              <w:jc w:val="center"/>
              <w:spacing w:after="0"/>
              <w:rPr>
                <w:sz w:val="20"/>
                <w:szCs w:val="20"/>
                <w:color w:val="auto"/>
              </w:rPr>
            </w:pPr>
            <w:r>
              <w:rPr>
                <w:rFonts w:ascii="Arial" w:cs="Arial" w:eastAsia="Arial" w:hAnsi="Arial"/>
                <w:sz w:val="14"/>
                <w:szCs w:val="14"/>
                <w:color w:val="003A70"/>
              </w:rPr>
              <w:t>Unvested at</w:t>
            </w:r>
          </w:p>
        </w:tc>
        <w:tc>
          <w:tcPr>
            <w:tcW w:w="140" w:type="dxa"/>
            <w:vAlign w:val="bottom"/>
          </w:tcPr>
          <w:p>
            <w:pPr>
              <w:spacing w:after="0"/>
              <w:rPr>
                <w:sz w:val="14"/>
                <w:szCs w:val="14"/>
                <w:color w:val="auto"/>
              </w:rPr>
            </w:pPr>
          </w:p>
        </w:tc>
        <w:tc>
          <w:tcPr>
            <w:tcW w:w="1100" w:type="dxa"/>
            <w:vAlign w:val="bottom"/>
          </w:tcPr>
          <w:p>
            <w:pPr>
              <w:jc w:val="center"/>
              <w:ind w:right="105"/>
              <w:spacing w:after="0"/>
              <w:rPr>
                <w:sz w:val="20"/>
                <w:szCs w:val="20"/>
                <w:color w:val="auto"/>
              </w:rPr>
            </w:pPr>
            <w:r>
              <w:rPr>
                <w:rFonts w:ascii="Arial" w:cs="Arial" w:eastAsia="Arial" w:hAnsi="Arial"/>
                <w:sz w:val="14"/>
                <w:szCs w:val="14"/>
                <w:color w:val="003A70"/>
              </w:rPr>
              <w:t>and Unvested</w:t>
            </w:r>
          </w:p>
        </w:tc>
        <w:tc>
          <w:tcPr>
            <w:tcW w:w="180" w:type="dxa"/>
            <w:vAlign w:val="bottom"/>
          </w:tcPr>
          <w:p>
            <w:pPr>
              <w:spacing w:after="0"/>
              <w:rPr>
                <w:sz w:val="14"/>
                <w:szCs w:val="14"/>
                <w:color w:val="auto"/>
              </w:rPr>
            </w:pPr>
          </w:p>
        </w:tc>
        <w:tc>
          <w:tcPr>
            <w:tcW w:w="960" w:type="dxa"/>
            <w:vAlign w:val="bottom"/>
          </w:tcPr>
          <w:p>
            <w:pPr>
              <w:jc w:val="center"/>
              <w:ind w:right="146"/>
              <w:spacing w:after="0"/>
              <w:rPr>
                <w:sz w:val="20"/>
                <w:szCs w:val="20"/>
                <w:color w:val="auto"/>
              </w:rPr>
            </w:pPr>
            <w:r>
              <w:rPr>
                <w:rFonts w:ascii="Arial" w:cs="Arial" w:eastAsia="Arial" w:hAnsi="Arial"/>
                <w:sz w:val="14"/>
                <w:szCs w:val="14"/>
                <w:color w:val="003A70"/>
                <w:w w:val="99"/>
              </w:rPr>
              <w:t>Vested in</w:t>
            </w:r>
          </w:p>
        </w:tc>
        <w:tc>
          <w:tcPr>
            <w:tcW w:w="1100" w:type="dxa"/>
            <w:vAlign w:val="bottom"/>
            <w:gridSpan w:val="3"/>
          </w:tcPr>
          <w:p>
            <w:pPr>
              <w:jc w:val="center"/>
              <w:spacing w:after="0"/>
              <w:rPr>
                <w:sz w:val="20"/>
                <w:szCs w:val="20"/>
                <w:color w:val="auto"/>
              </w:rPr>
            </w:pPr>
            <w:r>
              <w:rPr>
                <w:rFonts w:ascii="Arial" w:cs="Arial" w:eastAsia="Arial" w:hAnsi="Arial"/>
                <w:sz w:val="14"/>
                <w:szCs w:val="14"/>
                <w:color w:val="003A70"/>
              </w:rPr>
              <w:t>that Vested in</w:t>
            </w:r>
          </w:p>
        </w:tc>
        <w:tc>
          <w:tcPr>
            <w:tcW w:w="1040" w:type="dxa"/>
            <w:vAlign w:val="bottom"/>
            <w:gridSpan w:val="2"/>
          </w:tcPr>
          <w:p>
            <w:pPr>
              <w:jc w:val="center"/>
              <w:spacing w:after="0"/>
              <w:rPr>
                <w:sz w:val="20"/>
                <w:szCs w:val="20"/>
                <w:color w:val="auto"/>
              </w:rPr>
            </w:pPr>
            <w:r>
              <w:rPr>
                <w:rFonts w:ascii="Arial" w:cs="Arial" w:eastAsia="Arial" w:hAnsi="Arial"/>
                <w:sz w:val="14"/>
                <w:szCs w:val="14"/>
                <w:color w:val="003A70"/>
              </w:rPr>
              <w:t>Conditions in</w:t>
            </w:r>
          </w:p>
        </w:tc>
        <w:tc>
          <w:tcPr>
            <w:tcW w:w="1080" w:type="dxa"/>
            <w:vAlign w:val="bottom"/>
            <w:gridSpan w:val="2"/>
          </w:tcPr>
          <w:p>
            <w:pPr>
              <w:jc w:val="center"/>
              <w:spacing w:after="0"/>
              <w:rPr>
                <w:sz w:val="20"/>
                <w:szCs w:val="20"/>
                <w:color w:val="auto"/>
              </w:rPr>
            </w:pPr>
            <w:r>
              <w:rPr>
                <w:rFonts w:ascii="Arial" w:cs="Arial" w:eastAsia="Arial" w:hAnsi="Arial"/>
                <w:sz w:val="14"/>
                <w:szCs w:val="14"/>
                <w:color w:val="003A70"/>
              </w:rPr>
              <w:t>Reflected in</w:t>
            </w:r>
          </w:p>
        </w:tc>
        <w:tc>
          <w:tcPr>
            <w:tcW w:w="160" w:type="dxa"/>
            <w:vAlign w:val="bottom"/>
          </w:tcPr>
          <w:p>
            <w:pPr>
              <w:spacing w:after="0"/>
              <w:rPr>
                <w:sz w:val="14"/>
                <w:szCs w:val="14"/>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color w:val="003A70"/>
              </w:rPr>
              <w:t>Award</w:t>
            </w:r>
          </w:p>
        </w:tc>
        <w:tc>
          <w:tcPr>
            <w:tcW w:w="0" w:type="dxa"/>
            <w:vAlign w:val="bottom"/>
          </w:tcPr>
          <w:p>
            <w:pPr>
              <w:spacing w:after="0"/>
              <w:rPr>
                <w:sz w:val="1"/>
                <w:szCs w:val="1"/>
                <w:color w:val="auto"/>
              </w:rPr>
            </w:pPr>
          </w:p>
        </w:tc>
      </w:tr>
      <w:tr>
        <w:trPr>
          <w:trHeight w:val="219"/>
        </w:trPr>
        <w:tc>
          <w:tcPr>
            <w:tcW w:w="1620" w:type="dxa"/>
            <w:vAlign w:val="bottom"/>
            <w:tcBorders>
              <w:bottom w:val="single" w:sz="8" w:color="003A70"/>
            </w:tcBorders>
          </w:tcPr>
          <w:p>
            <w:pPr>
              <w:spacing w:after="0"/>
              <w:rPr>
                <w:sz w:val="19"/>
                <w:szCs w:val="19"/>
                <w:color w:val="auto"/>
              </w:rPr>
            </w:pPr>
          </w:p>
        </w:tc>
        <w:tc>
          <w:tcPr>
            <w:tcW w:w="620" w:type="dxa"/>
            <w:vAlign w:val="bottom"/>
            <w:tcBorders>
              <w:bottom w:val="single" w:sz="8" w:color="003A70"/>
            </w:tcBorders>
          </w:tcPr>
          <w:p>
            <w:pPr>
              <w:ind w:left="180"/>
              <w:spacing w:after="0"/>
              <w:rPr>
                <w:sz w:val="20"/>
                <w:szCs w:val="20"/>
                <w:color w:val="auto"/>
              </w:rPr>
            </w:pPr>
            <w:r>
              <w:rPr>
                <w:rFonts w:ascii="Arial" w:cs="Arial" w:eastAsia="Arial" w:hAnsi="Arial"/>
                <w:sz w:val="14"/>
                <w:szCs w:val="14"/>
                <w:color w:val="003A70"/>
              </w:rPr>
              <w:t>Year</w:t>
            </w:r>
          </w:p>
        </w:tc>
        <w:tc>
          <w:tcPr>
            <w:tcW w:w="180" w:type="dxa"/>
            <w:vAlign w:val="bottom"/>
            <w:tcBorders>
              <w:bottom w:val="single" w:sz="8" w:color="003A70"/>
            </w:tcBorders>
          </w:tcPr>
          <w:p>
            <w:pPr>
              <w:spacing w:after="0"/>
              <w:rPr>
                <w:sz w:val="19"/>
                <w:szCs w:val="19"/>
                <w:color w:val="auto"/>
              </w:rPr>
            </w:pPr>
          </w:p>
        </w:tc>
        <w:tc>
          <w:tcPr>
            <w:tcW w:w="960" w:type="dxa"/>
            <w:vAlign w:val="bottom"/>
            <w:tcBorders>
              <w:bottom w:val="single" w:sz="8" w:color="003A70"/>
            </w:tcBorders>
          </w:tcPr>
          <w:p>
            <w:pPr>
              <w:jc w:val="center"/>
              <w:ind w:right="144"/>
              <w:spacing w:after="0"/>
              <w:rPr>
                <w:sz w:val="20"/>
                <w:szCs w:val="20"/>
                <w:color w:val="auto"/>
              </w:rPr>
            </w:pPr>
            <w:r>
              <w:rPr>
                <w:rFonts w:ascii="Arial" w:cs="Arial" w:eastAsia="Arial" w:hAnsi="Arial"/>
                <w:sz w:val="14"/>
                <w:szCs w:val="14"/>
                <w:color w:val="003A70"/>
                <w:w w:val="99"/>
              </w:rPr>
              <w:t>Year End</w:t>
            </w:r>
          </w:p>
        </w:tc>
        <w:tc>
          <w:tcPr>
            <w:tcW w:w="140" w:type="dxa"/>
            <w:vAlign w:val="bottom"/>
            <w:tcBorders>
              <w:bottom w:val="single" w:sz="8" w:color="003A70"/>
            </w:tcBorders>
          </w:tcPr>
          <w:p>
            <w:pPr>
              <w:spacing w:after="0"/>
              <w:rPr>
                <w:sz w:val="19"/>
                <w:szCs w:val="19"/>
                <w:color w:val="auto"/>
              </w:rPr>
            </w:pPr>
          </w:p>
        </w:tc>
        <w:tc>
          <w:tcPr>
            <w:tcW w:w="1100" w:type="dxa"/>
            <w:vAlign w:val="bottom"/>
            <w:tcBorders>
              <w:bottom w:val="single" w:sz="8" w:color="003A70"/>
            </w:tcBorders>
          </w:tcPr>
          <w:p>
            <w:pPr>
              <w:jc w:val="center"/>
              <w:ind w:right="105"/>
              <w:spacing w:after="0"/>
              <w:rPr>
                <w:sz w:val="20"/>
                <w:szCs w:val="20"/>
                <w:color w:val="auto"/>
              </w:rPr>
            </w:pPr>
            <w:r>
              <w:rPr>
                <w:rFonts w:ascii="Arial" w:cs="Arial" w:eastAsia="Arial" w:hAnsi="Arial"/>
                <w:sz w:val="14"/>
                <w:szCs w:val="14"/>
                <w:color w:val="003A70"/>
              </w:rPr>
              <w:t>Equity Awards</w:t>
            </w:r>
          </w:p>
        </w:tc>
        <w:tc>
          <w:tcPr>
            <w:tcW w:w="180" w:type="dxa"/>
            <w:vAlign w:val="bottom"/>
            <w:tcBorders>
              <w:bottom w:val="single" w:sz="8" w:color="003A70"/>
            </w:tcBorders>
          </w:tcPr>
          <w:p>
            <w:pPr>
              <w:spacing w:after="0"/>
              <w:rPr>
                <w:sz w:val="19"/>
                <w:szCs w:val="19"/>
                <w:color w:val="auto"/>
              </w:rPr>
            </w:pPr>
          </w:p>
        </w:tc>
        <w:tc>
          <w:tcPr>
            <w:tcW w:w="960" w:type="dxa"/>
            <w:vAlign w:val="bottom"/>
            <w:tcBorders>
              <w:bottom w:val="single" w:sz="8" w:color="003A70"/>
            </w:tcBorders>
          </w:tcPr>
          <w:p>
            <w:pPr>
              <w:jc w:val="center"/>
              <w:ind w:right="146"/>
              <w:spacing w:after="0"/>
              <w:rPr>
                <w:sz w:val="20"/>
                <w:szCs w:val="20"/>
                <w:color w:val="auto"/>
              </w:rPr>
            </w:pPr>
            <w:r>
              <w:rPr>
                <w:rFonts w:ascii="Arial" w:cs="Arial" w:eastAsia="Arial" w:hAnsi="Arial"/>
                <w:sz w:val="14"/>
                <w:szCs w:val="14"/>
                <w:color w:val="003A70"/>
              </w:rPr>
              <w:t>the Year</w:t>
            </w:r>
          </w:p>
        </w:tc>
        <w:tc>
          <w:tcPr>
            <w:tcW w:w="140" w:type="dxa"/>
            <w:vAlign w:val="bottom"/>
            <w:tcBorders>
              <w:bottom w:val="single" w:sz="8" w:color="003A70"/>
            </w:tcBorders>
          </w:tcPr>
          <w:p>
            <w:pPr>
              <w:spacing w:after="0"/>
              <w:rPr>
                <w:sz w:val="19"/>
                <w:szCs w:val="19"/>
                <w:color w:val="auto"/>
              </w:rPr>
            </w:pPr>
          </w:p>
        </w:tc>
        <w:tc>
          <w:tcPr>
            <w:tcW w:w="960" w:type="dxa"/>
            <w:vAlign w:val="bottom"/>
            <w:tcBorders>
              <w:bottom w:val="single" w:sz="8" w:color="003A70"/>
            </w:tcBorders>
            <w:gridSpan w:val="2"/>
          </w:tcPr>
          <w:p>
            <w:pPr>
              <w:jc w:val="center"/>
              <w:ind w:right="102"/>
              <w:spacing w:after="0"/>
              <w:rPr>
                <w:sz w:val="20"/>
                <w:szCs w:val="20"/>
                <w:color w:val="auto"/>
              </w:rPr>
            </w:pPr>
            <w:r>
              <w:rPr>
                <w:rFonts w:ascii="Arial" w:cs="Arial" w:eastAsia="Arial" w:hAnsi="Arial"/>
                <w:sz w:val="14"/>
                <w:szCs w:val="14"/>
                <w:color w:val="003A70"/>
              </w:rPr>
              <w:t>the Year</w:t>
            </w:r>
          </w:p>
        </w:tc>
        <w:tc>
          <w:tcPr>
            <w:tcW w:w="180" w:type="dxa"/>
            <w:vAlign w:val="bottom"/>
            <w:tcBorders>
              <w:bottom w:val="single" w:sz="8" w:color="003A70"/>
            </w:tcBorders>
          </w:tcPr>
          <w:p>
            <w:pPr>
              <w:spacing w:after="0"/>
              <w:rPr>
                <w:sz w:val="19"/>
                <w:szCs w:val="19"/>
                <w:color w:val="auto"/>
              </w:rPr>
            </w:pPr>
          </w:p>
        </w:tc>
        <w:tc>
          <w:tcPr>
            <w:tcW w:w="860" w:type="dxa"/>
            <w:vAlign w:val="bottom"/>
            <w:tcBorders>
              <w:bottom w:val="single" w:sz="8" w:color="003A70"/>
            </w:tcBorders>
          </w:tcPr>
          <w:p>
            <w:pPr>
              <w:jc w:val="center"/>
              <w:ind w:right="82"/>
              <w:spacing w:after="0"/>
              <w:rPr>
                <w:sz w:val="20"/>
                <w:szCs w:val="20"/>
                <w:color w:val="auto"/>
              </w:rPr>
            </w:pPr>
            <w:r>
              <w:rPr>
                <w:rFonts w:ascii="Arial" w:cs="Arial" w:eastAsia="Arial" w:hAnsi="Arial"/>
                <w:sz w:val="14"/>
                <w:szCs w:val="14"/>
                <w:color w:val="003A70"/>
              </w:rPr>
              <w:t>the Year</w:t>
            </w:r>
          </w:p>
        </w:tc>
        <w:tc>
          <w:tcPr>
            <w:tcW w:w="860" w:type="dxa"/>
            <w:vAlign w:val="bottom"/>
            <w:tcBorders>
              <w:bottom w:val="single" w:sz="8" w:color="003A70"/>
            </w:tcBorders>
          </w:tcPr>
          <w:p>
            <w:pPr>
              <w:jc w:val="center"/>
              <w:ind w:left="126"/>
              <w:spacing w:after="0"/>
              <w:rPr>
                <w:sz w:val="20"/>
                <w:szCs w:val="20"/>
                <w:color w:val="auto"/>
              </w:rPr>
            </w:pPr>
            <w:r>
              <w:rPr>
                <w:rFonts w:ascii="Arial" w:cs="Arial" w:eastAsia="Arial" w:hAnsi="Arial"/>
                <w:sz w:val="14"/>
                <w:szCs w:val="14"/>
                <w:color w:val="003A70"/>
              </w:rPr>
              <w:t>Fair Value</w:t>
            </w:r>
          </w:p>
        </w:tc>
        <w:tc>
          <w:tcPr>
            <w:tcW w:w="220" w:type="dxa"/>
            <w:vAlign w:val="bottom"/>
            <w:tcBorders>
              <w:bottom w:val="single" w:sz="8" w:color="003A70"/>
            </w:tcBorders>
          </w:tcPr>
          <w:p>
            <w:pPr>
              <w:spacing w:after="0"/>
              <w:rPr>
                <w:sz w:val="19"/>
                <w:szCs w:val="19"/>
                <w:color w:val="auto"/>
              </w:rPr>
            </w:pPr>
          </w:p>
        </w:tc>
        <w:tc>
          <w:tcPr>
            <w:tcW w:w="160" w:type="dxa"/>
            <w:vAlign w:val="bottom"/>
            <w:tcBorders>
              <w:bottom w:val="single" w:sz="8" w:color="003A70"/>
            </w:tcBorders>
          </w:tcPr>
          <w:p>
            <w:pPr>
              <w:spacing w:after="0"/>
              <w:rPr>
                <w:sz w:val="19"/>
                <w:szCs w:val="19"/>
                <w:color w:val="auto"/>
              </w:rPr>
            </w:pPr>
          </w:p>
        </w:tc>
        <w:tc>
          <w:tcPr>
            <w:tcW w:w="1000" w:type="dxa"/>
            <w:vAlign w:val="bottom"/>
            <w:tcBorders>
              <w:bottom w:val="single" w:sz="8" w:color="003A70"/>
            </w:tcBorders>
          </w:tcPr>
          <w:p>
            <w:pPr>
              <w:jc w:val="center"/>
              <w:ind w:right="84"/>
              <w:spacing w:after="0"/>
              <w:rPr>
                <w:sz w:val="20"/>
                <w:szCs w:val="20"/>
                <w:color w:val="auto"/>
              </w:rPr>
            </w:pPr>
            <w:r>
              <w:rPr>
                <w:rFonts w:ascii="Arial" w:cs="Arial" w:eastAsia="Arial" w:hAnsi="Arial"/>
                <w:sz w:val="14"/>
                <w:szCs w:val="14"/>
                <w:color w:val="003A70"/>
              </w:rPr>
              <w:t>Adjustments</w:t>
            </w:r>
          </w:p>
        </w:tc>
        <w:tc>
          <w:tcPr>
            <w:tcW w:w="0" w:type="dxa"/>
            <w:vAlign w:val="bottom"/>
          </w:tcPr>
          <w:p>
            <w:pPr>
              <w:spacing w:after="0"/>
              <w:rPr>
                <w:sz w:val="1"/>
                <w:szCs w:val="1"/>
                <w:color w:val="auto"/>
              </w:rPr>
            </w:pPr>
          </w:p>
        </w:tc>
      </w:tr>
      <w:tr>
        <w:trPr>
          <w:trHeight w:val="175"/>
        </w:trPr>
        <w:tc>
          <w:tcPr>
            <w:tcW w:w="1620" w:type="dxa"/>
            <w:vAlign w:val="bottom"/>
          </w:tcPr>
          <w:p>
            <w:pPr>
              <w:spacing w:after="0" w:line="175" w:lineRule="exact"/>
              <w:rPr>
                <w:sz w:val="20"/>
                <w:szCs w:val="20"/>
                <w:color w:val="auto"/>
              </w:rPr>
            </w:pPr>
            <w:r>
              <w:rPr>
                <w:rFonts w:ascii="Arial" w:cs="Arial" w:eastAsia="Arial" w:hAnsi="Arial"/>
                <w:sz w:val="16"/>
                <w:szCs w:val="16"/>
                <w:color w:val="auto"/>
              </w:rPr>
              <w:t>Former PEO (Geller)</w:t>
            </w:r>
          </w:p>
        </w:tc>
        <w:tc>
          <w:tcPr>
            <w:tcW w:w="620" w:type="dxa"/>
            <w:vAlign w:val="bottom"/>
          </w:tcPr>
          <w:p>
            <w:pPr>
              <w:ind w:left="180"/>
              <w:spacing w:after="0" w:line="175" w:lineRule="exact"/>
              <w:rPr>
                <w:sz w:val="20"/>
                <w:szCs w:val="20"/>
                <w:color w:val="auto"/>
              </w:rPr>
            </w:pPr>
            <w:r>
              <w:rPr>
                <w:rFonts w:ascii="Arial" w:cs="Arial" w:eastAsia="Arial" w:hAnsi="Arial"/>
                <w:sz w:val="16"/>
                <w:szCs w:val="16"/>
                <w:color w:val="auto"/>
              </w:rPr>
              <w:t>2025</w:t>
            </w:r>
          </w:p>
        </w:tc>
        <w:tc>
          <w:tcPr>
            <w:tcW w:w="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rPr>
              <w:t>892,789</w:t>
            </w:r>
          </w:p>
        </w:tc>
        <w:tc>
          <w:tcPr>
            <w:tcW w:w="1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25"/>
              <w:spacing w:after="0" w:line="175" w:lineRule="exact"/>
              <w:rPr>
                <w:sz w:val="20"/>
                <w:szCs w:val="20"/>
                <w:color w:val="auto"/>
              </w:rPr>
            </w:pPr>
            <w:r>
              <w:rPr>
                <w:rFonts w:ascii="Arial" w:cs="Arial" w:eastAsia="Arial" w:hAnsi="Arial"/>
                <w:sz w:val="16"/>
                <w:szCs w:val="16"/>
                <w:color w:val="auto"/>
                <w:w w:val="91"/>
              </w:rPr>
              <w:t>   (1,339,579)</w:t>
            </w:r>
          </w:p>
        </w:tc>
        <w:tc>
          <w:tcPr>
            <w:tcW w:w="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5" w:lineRule="exact"/>
              <w:rPr>
                <w:sz w:val="20"/>
                <w:szCs w:val="20"/>
                <w:color w:val="auto"/>
              </w:rPr>
            </w:pPr>
            <w:r>
              <w:rPr>
                <w:rFonts w:ascii="Arial" w:cs="Arial" w:eastAsia="Arial" w:hAnsi="Arial"/>
                <w:sz w:val="16"/>
                <w:szCs w:val="16"/>
                <w:color w:val="auto"/>
                <w:w w:val="91"/>
              </w:rPr>
              <w:t>   1,610,206</w:t>
            </w:r>
          </w:p>
        </w:tc>
        <w:tc>
          <w:tcPr>
            <w:tcW w:w="1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w w:val="71"/>
              </w:rPr>
              <w:t> </w:t>
            </w:r>
          </w:p>
        </w:tc>
        <w:tc>
          <w:tcPr>
            <w:tcW w:w="820" w:type="dxa"/>
            <w:vAlign w:val="bottom"/>
          </w:tcPr>
          <w:p>
            <w:pPr>
              <w:jc w:val="right"/>
              <w:ind w:right="2"/>
              <w:spacing w:after="0" w:line="175" w:lineRule="exact"/>
              <w:rPr>
                <w:sz w:val="20"/>
                <w:szCs w:val="20"/>
                <w:color w:val="auto"/>
              </w:rPr>
            </w:pPr>
            <w:r>
              <w:rPr>
                <w:rFonts w:ascii="Arial" w:cs="Arial" w:eastAsia="Arial" w:hAnsi="Arial"/>
                <w:sz w:val="16"/>
                <w:szCs w:val="16"/>
                <w:color w:val="auto"/>
              </w:rPr>
              <w:t>(889,541)</w:t>
            </w:r>
          </w:p>
        </w:tc>
        <w:tc>
          <w:tcPr>
            <w:tcW w:w="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line="175" w:lineRule="exact"/>
              <w:rPr>
                <w:sz w:val="20"/>
                <w:szCs w:val="20"/>
                <w:color w:val="auto"/>
              </w:rPr>
            </w:pPr>
            <w:r>
              <w:rPr>
                <w:rFonts w:ascii="Arial" w:cs="Arial" w:eastAsia="Arial" w:hAnsi="Arial"/>
                <w:sz w:val="16"/>
                <w:szCs w:val="16"/>
                <w:color w:val="auto"/>
                <w:w w:val="93"/>
              </w:rPr>
              <w:t>  (641,890)</w:t>
            </w:r>
          </w:p>
        </w:tc>
        <w:tc>
          <w:tcPr>
            <w:tcW w:w="860" w:type="dxa"/>
            <w:vAlign w:val="bottom"/>
          </w:tcPr>
          <w:p>
            <w:pPr>
              <w:ind w:left="440"/>
              <w:spacing w:after="0" w:line="175" w:lineRule="exact"/>
              <w:rPr>
                <w:sz w:val="20"/>
                <w:szCs w:val="20"/>
                <w:color w:val="auto"/>
              </w:rPr>
            </w:pPr>
            <w:r>
              <w:rPr>
                <w:rFonts w:ascii="Arial" w:cs="Arial" w:eastAsia="Arial" w:hAnsi="Arial"/>
                <w:sz w:val="16"/>
                <w:szCs w:val="16"/>
                <w:color w:val="auto"/>
              </w:rPr>
              <w:t xml:space="preserve">$    </w:t>
            </w:r>
          </w:p>
        </w:tc>
        <w:tc>
          <w:tcPr>
            <w:tcW w:w="22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(368,015)</w:t>
            </w:r>
          </w:p>
        </w:tc>
        <w:tc>
          <w:tcPr>
            <w:tcW w:w="0" w:type="dxa"/>
            <w:vAlign w:val="bottom"/>
          </w:tcPr>
          <w:p>
            <w:pPr>
              <w:spacing w:after="0"/>
              <w:rPr>
                <w:sz w:val="1"/>
                <w:szCs w:val="1"/>
                <w:color w:val="auto"/>
              </w:rPr>
            </w:pPr>
          </w:p>
        </w:tc>
      </w:tr>
      <w:tr>
        <w:trPr>
          <w:trHeight w:val="203"/>
        </w:trPr>
        <w:tc>
          <w:tcPr>
            <w:tcW w:w="162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Current PEO (Avril)</w:t>
            </w:r>
          </w:p>
        </w:tc>
        <w:tc>
          <w:tcPr>
            <w:tcW w:w="620" w:type="dxa"/>
            <w:vAlign w:val="bottom"/>
            <w:tcBorders>
              <w:bottom w:val="single" w:sz="8" w:color="003A70"/>
            </w:tcBorders>
          </w:tcPr>
          <w:p>
            <w:pPr>
              <w:ind w:left="180"/>
              <w:spacing w:after="0"/>
              <w:rPr>
                <w:sz w:val="20"/>
                <w:szCs w:val="20"/>
                <w:color w:val="auto"/>
              </w:rPr>
            </w:pPr>
            <w:r>
              <w:rPr>
                <w:rFonts w:ascii="Arial" w:cs="Arial" w:eastAsia="Arial" w:hAnsi="Arial"/>
                <w:sz w:val="16"/>
                <w:szCs w:val="16"/>
                <w:color w:val="auto"/>
              </w:rPr>
              <w:t>2025</w:t>
            </w:r>
          </w:p>
        </w:tc>
        <w:tc>
          <w:tcPr>
            <w:tcW w:w="18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w w:val="91"/>
              </w:rPr>
              <w:t>   5,130,666</w:t>
            </w:r>
          </w:p>
        </w:tc>
        <w:tc>
          <w:tcPr>
            <w:tcW w:w="14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003A70"/>
            </w:tcBorders>
          </w:tcPr>
          <w:p>
            <w:pPr>
              <w:jc w:val="right"/>
              <w:ind w:right="65"/>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003A70"/>
            </w:tcBorders>
          </w:tcPr>
          <w:p>
            <w:pPr>
              <w:ind w:left="80"/>
              <w:spacing w:after="0"/>
              <w:rPr>
                <w:sz w:val="20"/>
                <w:szCs w:val="20"/>
                <w:color w:val="auto"/>
              </w:rPr>
            </w:pPr>
            <w:r>
              <w:rPr>
                <w:rFonts w:ascii="Arial" w:cs="Arial" w:eastAsia="Arial" w:hAnsi="Arial"/>
                <w:sz w:val="5"/>
                <w:szCs w:val="5"/>
                <w:color w:val="auto"/>
                <w:w w:val="79"/>
              </w:rPr>
              <w:t> </w:t>
            </w:r>
          </w:p>
        </w:tc>
        <w:tc>
          <w:tcPr>
            <w:tcW w:w="820" w:type="dxa"/>
            <w:vAlign w:val="bottom"/>
            <w:tcBorders>
              <w:bottom w:val="single" w:sz="8" w:color="003A70"/>
            </w:tcBorders>
          </w:tcPr>
          <w:p>
            <w:pPr>
              <w:jc w:val="right"/>
              <w:ind w:right="62"/>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003A70"/>
            </w:tcBorders>
          </w:tcPr>
          <w:p>
            <w:pPr>
              <w:jc w:val="right"/>
              <w:ind w:right="62"/>
              <w:spacing w:after="0"/>
              <w:rPr>
                <w:sz w:val="20"/>
                <w:szCs w:val="20"/>
                <w:color w:val="auto"/>
              </w:rPr>
            </w:pPr>
            <w:r>
              <w:rPr>
                <w:rFonts w:ascii="Arial" w:cs="Arial" w:eastAsia="Arial" w:hAnsi="Arial"/>
                <w:sz w:val="16"/>
                <w:szCs w:val="16"/>
                <w:color w:val="auto"/>
              </w:rPr>
              <w:t>         —</w:t>
            </w:r>
          </w:p>
        </w:tc>
        <w:tc>
          <w:tcPr>
            <w:tcW w:w="860" w:type="dxa"/>
            <w:vAlign w:val="bottom"/>
            <w:tcBorders>
              <w:bottom w:val="single" w:sz="8" w:color="003A70"/>
            </w:tcBorders>
          </w:tcPr>
          <w:p>
            <w:pPr>
              <w:ind w:left="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03A70"/>
            </w:tcBorders>
          </w:tcPr>
          <w:p>
            <w:pPr>
              <w:jc w:val="right"/>
              <w:ind w:right="44"/>
              <w:spacing w:after="0"/>
              <w:rPr>
                <w:sz w:val="20"/>
                <w:szCs w:val="20"/>
                <w:color w:val="auto"/>
              </w:rPr>
            </w:pPr>
            <w:r>
              <w:rPr>
                <w:rFonts w:ascii="Arial" w:cs="Arial" w:eastAsia="Arial" w:hAnsi="Arial"/>
                <w:sz w:val="16"/>
                <w:szCs w:val="16"/>
                <w:color w:val="auto"/>
                <w:w w:val="89"/>
              </w:rPr>
              <w:t>   5,130,666</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40" w:hanging="324"/>
        <w:spacing w:after="0" w:line="233" w:lineRule="auto"/>
        <w:tabs>
          <w:tab w:leader="none" w:pos="440" w:val="left"/>
        </w:tabs>
        <w:numPr>
          <w:ilvl w:val="0"/>
          <w:numId w:val="106"/>
        </w:numPr>
        <w:rPr>
          <w:rFonts w:ascii="Arial" w:cs="Arial" w:eastAsia="Arial" w:hAnsi="Arial"/>
          <w:sz w:val="18"/>
          <w:szCs w:val="18"/>
          <w:color w:val="auto"/>
          <w:vertAlign w:val="superscript"/>
        </w:rPr>
      </w:pPr>
      <w:r>
        <w:rPr>
          <w:rFonts w:ascii="Arial" w:cs="Arial" w:eastAsia="Arial" w:hAnsi="Arial"/>
          <w:sz w:val="14"/>
          <w:szCs w:val="14"/>
          <w:color w:val="auto"/>
        </w:rPr>
        <w:t>Included in the average compensation actually paid to Non-PEO NEOs are the following individuals and time periods: Mr. Geller for 2022 and 2021; Mr. Marino for 2025, 2024 and 2023; Mr. Terry for 2023, 2022 and 2021; Mr. Miller for 2025, 2024, 2023, 2022, and 2021; Ms. Marbert for 2024, 2023, 2022, and 2021; Mr. Hunter for 2025, 2024 and 2023; Ms. Gustafson for 2025 and 2024; and Mr. Cunningham for 2021.</w:t>
      </w:r>
    </w:p>
    <w:p>
      <w:pPr>
        <w:spacing w:after="0" w:line="77" w:lineRule="exact"/>
        <w:rPr>
          <w:sz w:val="20"/>
          <w:szCs w:val="20"/>
          <w:color w:val="auto"/>
        </w:rPr>
      </w:pPr>
    </w:p>
    <w:p>
      <w:pPr>
        <w:ind w:left="440" w:hanging="324"/>
        <w:spacing w:after="0"/>
        <w:tabs>
          <w:tab w:leader="none" w:pos="440" w:val="left"/>
        </w:tabs>
        <w:numPr>
          <w:ilvl w:val="0"/>
          <w:numId w:val="107"/>
        </w:numPr>
        <w:rPr>
          <w:rFonts w:ascii="Arial" w:cs="Arial" w:eastAsia="Arial" w:hAnsi="Arial"/>
          <w:sz w:val="18"/>
          <w:szCs w:val="18"/>
          <w:color w:val="auto"/>
          <w:vertAlign w:val="superscript"/>
        </w:rPr>
      </w:pPr>
      <w:r>
        <w:rPr>
          <w:rFonts w:ascii="Arial" w:cs="Arial" w:eastAsia="Arial" w:hAnsi="Arial"/>
          <w:sz w:val="14"/>
          <w:szCs w:val="14"/>
          <w:color w:val="auto"/>
        </w:rPr>
        <w:t>The bridge between non-PEO NEOs reported SCT compensation to the Compensation Actually Paid is outlined below:</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1560" w:type="dxa"/>
            <w:vAlign w:val="bottom"/>
            <w:vMerge w:val="restart"/>
          </w:tcPr>
          <w:p>
            <w:pPr>
              <w:ind w:left="560"/>
              <w:spacing w:after="0"/>
              <w:rPr>
                <w:sz w:val="20"/>
                <w:szCs w:val="20"/>
                <w:color w:val="auto"/>
              </w:rPr>
            </w:pPr>
            <w:r>
              <w:rPr>
                <w:rFonts w:ascii="Arial" w:cs="Arial" w:eastAsia="Arial" w:hAnsi="Arial"/>
                <w:sz w:val="14"/>
                <w:szCs w:val="14"/>
                <w:color w:val="003A70"/>
              </w:rPr>
              <w:t>Fiscal</w:t>
            </w:r>
          </w:p>
        </w:tc>
        <w:tc>
          <w:tcPr>
            <w:tcW w:w="2740" w:type="dxa"/>
            <w:vAlign w:val="bottom"/>
          </w:tcPr>
          <w:p>
            <w:pPr>
              <w:jc w:val="center"/>
              <w:ind w:left="206"/>
              <w:spacing w:after="0"/>
              <w:rPr>
                <w:sz w:val="20"/>
                <w:szCs w:val="20"/>
                <w:color w:val="auto"/>
              </w:rPr>
            </w:pPr>
            <w:r>
              <w:rPr>
                <w:rFonts w:ascii="Arial" w:cs="Arial" w:eastAsia="Arial" w:hAnsi="Arial"/>
                <w:sz w:val="14"/>
                <w:szCs w:val="14"/>
                <w:color w:val="003A70"/>
              </w:rPr>
              <w:t>Average Reported Summary</w:t>
            </w:r>
          </w:p>
        </w:tc>
        <w:tc>
          <w:tcPr>
            <w:tcW w:w="2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40" w:type="dxa"/>
            <w:vAlign w:val="bottom"/>
          </w:tcPr>
          <w:p>
            <w:pPr>
              <w:jc w:val="center"/>
              <w:ind w:left="206"/>
              <w:spacing w:after="0"/>
              <w:rPr>
                <w:sz w:val="20"/>
                <w:szCs w:val="20"/>
                <w:color w:val="auto"/>
              </w:rPr>
            </w:pPr>
            <w:r>
              <w:rPr>
                <w:rFonts w:ascii="Arial" w:cs="Arial" w:eastAsia="Arial" w:hAnsi="Arial"/>
                <w:sz w:val="14"/>
                <w:szCs w:val="14"/>
                <w:color w:val="003A70"/>
              </w:rPr>
              <w:t>Average Compensation</w:t>
            </w:r>
          </w:p>
        </w:tc>
        <w:tc>
          <w:tcPr>
            <w:tcW w:w="0" w:type="dxa"/>
            <w:vAlign w:val="bottom"/>
          </w:tcPr>
          <w:p>
            <w:pPr>
              <w:spacing w:after="0"/>
              <w:rPr>
                <w:sz w:val="1"/>
                <w:szCs w:val="1"/>
                <w:color w:val="auto"/>
              </w:rPr>
            </w:pPr>
          </w:p>
        </w:tc>
      </w:tr>
      <w:tr>
        <w:trPr>
          <w:trHeight w:val="149"/>
        </w:trPr>
        <w:tc>
          <w:tcPr>
            <w:tcW w:w="1560" w:type="dxa"/>
            <w:vAlign w:val="bottom"/>
            <w:vMerge w:val="continue"/>
          </w:tcPr>
          <w:p>
            <w:pPr>
              <w:spacing w:after="0"/>
              <w:rPr>
                <w:sz w:val="12"/>
                <w:szCs w:val="12"/>
                <w:color w:val="auto"/>
              </w:rPr>
            </w:pPr>
          </w:p>
        </w:tc>
        <w:tc>
          <w:tcPr>
            <w:tcW w:w="2740" w:type="dxa"/>
            <w:vAlign w:val="bottom"/>
          </w:tcPr>
          <w:p>
            <w:pPr>
              <w:jc w:val="center"/>
              <w:ind w:left="206"/>
              <w:spacing w:after="0" w:line="149" w:lineRule="exact"/>
              <w:rPr>
                <w:sz w:val="20"/>
                <w:szCs w:val="20"/>
                <w:color w:val="auto"/>
              </w:rPr>
            </w:pPr>
            <w:r>
              <w:rPr>
                <w:rFonts w:ascii="Arial" w:cs="Arial" w:eastAsia="Arial" w:hAnsi="Arial"/>
                <w:sz w:val="14"/>
                <w:szCs w:val="14"/>
                <w:color w:val="003A70"/>
              </w:rPr>
              <w:t>Compensation Table Total</w:t>
            </w:r>
          </w:p>
        </w:tc>
        <w:tc>
          <w:tcPr>
            <w:tcW w:w="2400" w:type="dxa"/>
            <w:vAlign w:val="bottom"/>
          </w:tcPr>
          <w:p>
            <w:pPr>
              <w:jc w:val="center"/>
              <w:spacing w:after="0" w:line="149" w:lineRule="exact"/>
              <w:rPr>
                <w:sz w:val="20"/>
                <w:szCs w:val="20"/>
                <w:color w:val="auto"/>
              </w:rPr>
            </w:pPr>
            <w:r>
              <w:rPr>
                <w:rFonts w:ascii="Arial" w:cs="Arial" w:eastAsia="Arial" w:hAnsi="Arial"/>
                <w:sz w:val="14"/>
                <w:szCs w:val="14"/>
                <w:color w:val="003A70"/>
              </w:rPr>
              <w:t>Average Reported Value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003A70"/>
              </w:rPr>
              <w:t>Average Equity Award</w:t>
            </w:r>
          </w:p>
        </w:tc>
        <w:tc>
          <w:tcPr>
            <w:tcW w:w="1940" w:type="dxa"/>
            <w:vAlign w:val="bottom"/>
          </w:tcPr>
          <w:p>
            <w:pPr>
              <w:jc w:val="center"/>
              <w:ind w:left="186"/>
              <w:spacing w:after="0" w:line="149" w:lineRule="exact"/>
              <w:rPr>
                <w:sz w:val="20"/>
                <w:szCs w:val="20"/>
                <w:color w:val="auto"/>
              </w:rPr>
            </w:pPr>
            <w:r>
              <w:rPr>
                <w:rFonts w:ascii="Arial" w:cs="Arial" w:eastAsia="Arial" w:hAnsi="Arial"/>
                <w:sz w:val="14"/>
                <w:szCs w:val="14"/>
                <w:color w:val="003A70"/>
              </w:rPr>
              <w:t>Actually Paid to Non-PEO</w:t>
            </w:r>
          </w:p>
        </w:tc>
        <w:tc>
          <w:tcPr>
            <w:tcW w:w="0" w:type="dxa"/>
            <w:vAlign w:val="bottom"/>
          </w:tcPr>
          <w:p>
            <w:pPr>
              <w:spacing w:after="0"/>
              <w:rPr>
                <w:sz w:val="1"/>
                <w:szCs w:val="1"/>
                <w:color w:val="auto"/>
              </w:rPr>
            </w:pPr>
          </w:p>
        </w:tc>
      </w:tr>
      <w:tr>
        <w:trPr>
          <w:trHeight w:val="219"/>
        </w:trPr>
        <w:tc>
          <w:tcPr>
            <w:tcW w:w="1560" w:type="dxa"/>
            <w:vAlign w:val="bottom"/>
            <w:tcBorders>
              <w:bottom w:val="single" w:sz="8" w:color="003A70"/>
            </w:tcBorders>
          </w:tcPr>
          <w:p>
            <w:pPr>
              <w:ind w:left="600"/>
              <w:spacing w:after="0"/>
              <w:rPr>
                <w:sz w:val="20"/>
                <w:szCs w:val="20"/>
                <w:color w:val="auto"/>
              </w:rPr>
            </w:pPr>
            <w:r>
              <w:rPr>
                <w:rFonts w:ascii="Arial" w:cs="Arial" w:eastAsia="Arial" w:hAnsi="Arial"/>
                <w:sz w:val="14"/>
                <w:szCs w:val="14"/>
                <w:color w:val="003A70"/>
              </w:rPr>
              <w:t>Year</w:t>
            </w:r>
          </w:p>
        </w:tc>
        <w:tc>
          <w:tcPr>
            <w:tcW w:w="2740" w:type="dxa"/>
            <w:vAlign w:val="bottom"/>
            <w:tcBorders>
              <w:bottom w:val="single" w:sz="8" w:color="003A70"/>
            </w:tcBorders>
          </w:tcPr>
          <w:p>
            <w:pPr>
              <w:jc w:val="center"/>
              <w:ind w:left="186"/>
              <w:spacing w:after="0"/>
              <w:rPr>
                <w:sz w:val="20"/>
                <w:szCs w:val="20"/>
                <w:color w:val="auto"/>
              </w:rPr>
            </w:pPr>
            <w:r>
              <w:rPr>
                <w:rFonts w:ascii="Arial" w:cs="Arial" w:eastAsia="Arial" w:hAnsi="Arial"/>
                <w:sz w:val="14"/>
                <w:szCs w:val="14"/>
                <w:color w:val="003A70"/>
              </w:rPr>
              <w:t>for Non-PEO NEOs</w:t>
            </w:r>
          </w:p>
        </w:tc>
        <w:tc>
          <w:tcPr>
            <w:tcW w:w="24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Equity Awards</w:t>
            </w:r>
          </w:p>
        </w:tc>
        <w:tc>
          <w:tcPr>
            <w:tcW w:w="20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w w:val="98"/>
              </w:rPr>
              <w:t>Adjustments</w:t>
            </w:r>
            <w:r>
              <w:rPr>
                <w:rFonts w:ascii="Arial" w:cs="Arial" w:eastAsia="Arial" w:hAnsi="Arial"/>
                <w:sz w:val="17"/>
                <w:szCs w:val="17"/>
                <w:color w:val="003A70"/>
                <w:w w:val="98"/>
                <w:vertAlign w:val="superscript"/>
              </w:rPr>
              <w:t>(a)</w:t>
            </w:r>
          </w:p>
        </w:tc>
        <w:tc>
          <w:tcPr>
            <w:tcW w:w="1940" w:type="dxa"/>
            <w:vAlign w:val="bottom"/>
            <w:tcBorders>
              <w:bottom w:val="single" w:sz="8" w:color="003A70"/>
            </w:tcBorders>
          </w:tcPr>
          <w:p>
            <w:pPr>
              <w:jc w:val="center"/>
              <w:ind w:left="206"/>
              <w:spacing w:after="0"/>
              <w:rPr>
                <w:sz w:val="20"/>
                <w:szCs w:val="20"/>
                <w:color w:val="auto"/>
              </w:rPr>
            </w:pPr>
            <w:r>
              <w:rPr>
                <w:rFonts w:ascii="Arial" w:cs="Arial" w:eastAsia="Arial" w:hAnsi="Arial"/>
                <w:sz w:val="14"/>
                <w:szCs w:val="14"/>
                <w:color w:val="003A70"/>
              </w:rPr>
              <w:t>NEOs</w:t>
            </w:r>
          </w:p>
        </w:tc>
        <w:tc>
          <w:tcPr>
            <w:tcW w:w="0" w:type="dxa"/>
            <w:vAlign w:val="bottom"/>
          </w:tcPr>
          <w:p>
            <w:pPr>
              <w:spacing w:after="0"/>
              <w:rPr>
                <w:sz w:val="1"/>
                <w:szCs w:val="1"/>
                <w:color w:val="auto"/>
              </w:rPr>
            </w:pPr>
          </w:p>
        </w:tc>
      </w:tr>
      <w:tr>
        <w:trPr>
          <w:trHeight w:val="189"/>
        </w:trPr>
        <w:tc>
          <w:tcPr>
            <w:tcW w:w="1560" w:type="dxa"/>
            <w:vAlign w:val="bottom"/>
            <w:tcBorders>
              <w:bottom w:val="single" w:sz="8" w:color="003A70"/>
            </w:tcBorders>
          </w:tcPr>
          <w:p>
            <w:pPr>
              <w:ind w:left="580"/>
              <w:spacing w:after="0"/>
              <w:rPr>
                <w:sz w:val="20"/>
                <w:szCs w:val="20"/>
                <w:color w:val="auto"/>
              </w:rPr>
            </w:pPr>
            <w:r>
              <w:rPr>
                <w:rFonts w:ascii="Arial" w:cs="Arial" w:eastAsia="Arial" w:hAnsi="Arial"/>
                <w:sz w:val="16"/>
                <w:szCs w:val="16"/>
                <w:color w:val="auto"/>
              </w:rPr>
              <w:t>2025</w:t>
            </w:r>
          </w:p>
        </w:tc>
        <w:tc>
          <w:tcPr>
            <w:tcW w:w="2740" w:type="dxa"/>
            <w:vAlign w:val="bottom"/>
            <w:tcBorders>
              <w:bottom w:val="single" w:sz="8" w:color="003A70"/>
            </w:tcBorders>
          </w:tcPr>
          <w:p>
            <w:pPr>
              <w:jc w:val="center"/>
              <w:ind w:left="206"/>
              <w:spacing w:after="0"/>
              <w:rPr>
                <w:sz w:val="20"/>
                <w:szCs w:val="20"/>
                <w:color w:val="auto"/>
              </w:rPr>
            </w:pPr>
            <w:r>
              <w:rPr>
                <w:rFonts w:ascii="Arial" w:cs="Arial" w:eastAsia="Arial" w:hAnsi="Arial"/>
                <w:sz w:val="16"/>
                <w:szCs w:val="16"/>
                <w:color w:val="auto"/>
              </w:rPr>
              <w:t>$   2,653,006</w:t>
            </w:r>
          </w:p>
        </w:tc>
        <w:tc>
          <w:tcPr>
            <w:tcW w:w="240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   (1,599,999)</w:t>
            </w:r>
          </w:p>
        </w:tc>
        <w:tc>
          <w:tcPr>
            <w:tcW w:w="204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   270,154</w:t>
            </w:r>
          </w:p>
        </w:tc>
        <w:tc>
          <w:tcPr>
            <w:tcW w:w="1940" w:type="dxa"/>
            <w:vAlign w:val="bottom"/>
            <w:tcBorders>
              <w:bottom w:val="single" w:sz="8" w:color="003A70"/>
            </w:tcBorders>
          </w:tcPr>
          <w:p>
            <w:pPr>
              <w:jc w:val="center"/>
              <w:ind w:left="186"/>
              <w:spacing w:after="0"/>
              <w:rPr>
                <w:sz w:val="20"/>
                <w:szCs w:val="20"/>
                <w:color w:val="auto"/>
              </w:rPr>
            </w:pPr>
            <w:r>
              <w:rPr>
                <w:rFonts w:ascii="Arial" w:cs="Arial" w:eastAsia="Arial" w:hAnsi="Arial"/>
                <w:sz w:val="16"/>
                <w:szCs w:val="16"/>
                <w:color w:val="auto"/>
              </w:rPr>
              <w:t>$   1,323,161</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880" w:hanging="440"/>
        <w:spacing w:after="0"/>
        <w:tabs>
          <w:tab w:leader="none" w:pos="880" w:val="left"/>
        </w:tabs>
        <w:numPr>
          <w:ilvl w:val="0"/>
          <w:numId w:val="108"/>
        </w:numPr>
        <w:rPr>
          <w:rFonts w:ascii="Arial" w:cs="Arial" w:eastAsia="Arial" w:hAnsi="Arial"/>
          <w:sz w:val="18"/>
          <w:szCs w:val="18"/>
          <w:color w:val="auto"/>
          <w:vertAlign w:val="superscript"/>
        </w:rPr>
      </w:pPr>
      <w:r>
        <w:rPr>
          <w:rFonts w:ascii="Arial" w:cs="Arial" w:eastAsia="Arial" w:hAnsi="Arial"/>
          <w:sz w:val="14"/>
          <w:szCs w:val="14"/>
          <w:color w:val="auto"/>
        </w:rPr>
        <w:t>The amounts deducted or added in calculating the equity award adjustments are as follows: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40"/>
        <w:spacing w:after="0"/>
        <w:rPr>
          <w:sz w:val="20"/>
          <w:szCs w:val="20"/>
          <w:color w:val="auto"/>
        </w:rPr>
      </w:pPr>
      <w:r>
        <w:rPr>
          <w:rFonts w:ascii="Arial" w:cs="Arial" w:eastAsia="Arial" w:hAnsi="Arial"/>
          <w:sz w:val="14"/>
          <w:szCs w:val="14"/>
          <w:color w:val="003A70"/>
        </w:rPr>
        <w:t>Fiscal</w:t>
      </w:r>
    </w:p>
    <w:p>
      <w:pPr>
        <w:spacing w:after="0" w:line="15" w:lineRule="exact"/>
        <w:rPr>
          <w:sz w:val="20"/>
          <w:szCs w:val="20"/>
          <w:color w:val="auto"/>
        </w:rPr>
      </w:pPr>
    </w:p>
    <w:p>
      <w:pPr>
        <w:ind w:left="2280"/>
        <w:spacing w:after="0"/>
        <w:rPr>
          <w:sz w:val="20"/>
          <w:szCs w:val="20"/>
          <w:color w:val="auto"/>
        </w:rPr>
      </w:pPr>
      <w:r>
        <w:rPr>
          <w:rFonts w:ascii="Arial" w:cs="Arial" w:eastAsia="Arial" w:hAnsi="Arial"/>
          <w:sz w:val="14"/>
          <w:szCs w:val="14"/>
          <w:color w:val="003A70"/>
        </w:rPr>
        <w:t>Year</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003A70"/>
                <w:w w:val="99"/>
              </w:rPr>
              <w:t>Average</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003A70"/>
              </w:rPr>
              <w:t>Change in Fair</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003A70"/>
              </w:rPr>
              <w:t>Value from</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003A70"/>
              </w:rPr>
              <w:t>Last Day of</w:t>
            </w:r>
          </w:p>
        </w:tc>
        <w:tc>
          <w:tcPr>
            <w:tcW w:w="1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003A70"/>
              </w:rPr>
              <w:t>Average Value</w:t>
            </w:r>
          </w:p>
        </w:tc>
        <w:tc>
          <w:tcPr>
            <w:tcW w:w="920" w:type="dxa"/>
            <w:vAlign w:val="bottom"/>
          </w:tcPr>
          <w:p>
            <w:pPr>
              <w:spacing w:after="0"/>
              <w:rPr>
                <w:sz w:val="14"/>
                <w:szCs w:val="14"/>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003A70"/>
              </w:rPr>
              <w:t>Average</w:t>
            </w:r>
          </w:p>
        </w:tc>
        <w:tc>
          <w:tcPr>
            <w:tcW w:w="10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003A70"/>
              </w:rPr>
              <w:t>Average Fair</w:t>
            </w:r>
          </w:p>
        </w:tc>
        <w:tc>
          <w:tcPr>
            <w:tcW w:w="1080" w:type="dxa"/>
            <w:vAlign w:val="bottom"/>
          </w:tcPr>
          <w:p>
            <w:pPr>
              <w:jc w:val="center"/>
              <w:spacing w:after="0"/>
              <w:rPr>
                <w:sz w:val="20"/>
                <w:szCs w:val="20"/>
                <w:color w:val="auto"/>
              </w:rPr>
            </w:pPr>
            <w:r>
              <w:rPr>
                <w:rFonts w:ascii="Arial" w:cs="Arial" w:eastAsia="Arial" w:hAnsi="Arial"/>
                <w:sz w:val="14"/>
                <w:szCs w:val="14"/>
                <w:color w:val="003A70"/>
              </w:rPr>
              <w:t>Prior Fiscal</w:t>
            </w:r>
          </w:p>
        </w:tc>
        <w:tc>
          <w:tcPr>
            <w:tcW w:w="1160" w:type="dxa"/>
            <w:vAlign w:val="bottom"/>
          </w:tcPr>
          <w:p>
            <w:pPr>
              <w:jc w:val="center"/>
              <w:spacing w:after="0"/>
              <w:rPr>
                <w:sz w:val="20"/>
                <w:szCs w:val="20"/>
                <w:color w:val="auto"/>
              </w:rPr>
            </w:pPr>
            <w:r>
              <w:rPr>
                <w:rFonts w:ascii="Arial" w:cs="Arial" w:eastAsia="Arial" w:hAnsi="Arial"/>
                <w:sz w:val="14"/>
                <w:szCs w:val="14"/>
                <w:color w:val="003A70"/>
              </w:rPr>
              <w:t>Average Fair</w:t>
            </w:r>
          </w:p>
        </w:tc>
        <w:tc>
          <w:tcPr>
            <w:tcW w:w="1080" w:type="dxa"/>
            <w:vAlign w:val="bottom"/>
          </w:tcPr>
          <w:p>
            <w:pPr>
              <w:jc w:val="center"/>
              <w:spacing w:after="0"/>
              <w:rPr>
                <w:sz w:val="20"/>
                <w:szCs w:val="20"/>
                <w:color w:val="auto"/>
              </w:rPr>
            </w:pPr>
            <w:r>
              <w:rPr>
                <w:rFonts w:ascii="Arial" w:cs="Arial" w:eastAsia="Arial" w:hAnsi="Arial"/>
                <w:sz w:val="14"/>
                <w:szCs w:val="14"/>
                <w:color w:val="003A70"/>
              </w:rPr>
              <w:t>of Dividends or</w:t>
            </w:r>
          </w:p>
        </w:tc>
        <w:tc>
          <w:tcPr>
            <w:tcW w:w="920" w:type="dxa"/>
            <w:vAlign w:val="bottom"/>
          </w:tcPr>
          <w:p>
            <w:pPr>
              <w:spacing w:after="0"/>
              <w:rPr>
                <w:sz w:val="14"/>
                <w:szCs w:val="14"/>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003A70"/>
                <w:w w:val="99"/>
              </w:rPr>
              <w:t>Year End</w:t>
            </w:r>
          </w:p>
        </w:tc>
        <w:tc>
          <w:tcPr>
            <w:tcW w:w="1060" w:type="dxa"/>
            <w:vAlign w:val="bottom"/>
          </w:tcPr>
          <w:p>
            <w:pPr>
              <w:jc w:val="center"/>
              <w:spacing w:after="0"/>
              <w:rPr>
                <w:sz w:val="20"/>
                <w:szCs w:val="20"/>
                <w:color w:val="auto"/>
              </w:rPr>
            </w:pPr>
            <w:r>
              <w:rPr>
                <w:rFonts w:ascii="Arial" w:cs="Arial" w:eastAsia="Arial" w:hAnsi="Arial"/>
                <w:sz w:val="14"/>
                <w:szCs w:val="14"/>
                <w:color w:val="003A70"/>
              </w:rPr>
              <w:t>Year Over</w:t>
            </w:r>
          </w:p>
        </w:tc>
        <w:tc>
          <w:tcPr>
            <w:tcW w:w="920" w:type="dxa"/>
            <w:vAlign w:val="bottom"/>
          </w:tcPr>
          <w:p>
            <w:pPr>
              <w:jc w:val="center"/>
              <w:spacing w:after="0"/>
              <w:rPr>
                <w:sz w:val="20"/>
                <w:szCs w:val="20"/>
                <w:color w:val="auto"/>
              </w:rPr>
            </w:pPr>
            <w:r>
              <w:rPr>
                <w:rFonts w:ascii="Arial" w:cs="Arial" w:eastAsia="Arial" w:hAnsi="Arial"/>
                <w:sz w:val="14"/>
                <w:szCs w:val="14"/>
                <w:color w:val="003A70"/>
              </w:rPr>
              <w:t>Value as of</w:t>
            </w:r>
          </w:p>
        </w:tc>
        <w:tc>
          <w:tcPr>
            <w:tcW w:w="1080" w:type="dxa"/>
            <w:vAlign w:val="bottom"/>
          </w:tcPr>
          <w:p>
            <w:pPr>
              <w:jc w:val="center"/>
              <w:spacing w:after="0"/>
              <w:rPr>
                <w:sz w:val="20"/>
                <w:szCs w:val="20"/>
                <w:color w:val="auto"/>
              </w:rPr>
            </w:pPr>
            <w:r>
              <w:rPr>
                <w:rFonts w:ascii="Arial" w:cs="Arial" w:eastAsia="Arial" w:hAnsi="Arial"/>
                <w:sz w:val="14"/>
                <w:szCs w:val="14"/>
                <w:color w:val="003A70"/>
              </w:rPr>
              <w:t>Year to Vesting</w:t>
            </w:r>
          </w:p>
        </w:tc>
        <w:tc>
          <w:tcPr>
            <w:tcW w:w="1160" w:type="dxa"/>
            <w:vAlign w:val="bottom"/>
          </w:tcPr>
          <w:p>
            <w:pPr>
              <w:jc w:val="center"/>
              <w:spacing w:after="0"/>
              <w:rPr>
                <w:sz w:val="20"/>
                <w:szCs w:val="20"/>
                <w:color w:val="auto"/>
              </w:rPr>
            </w:pPr>
            <w:r>
              <w:rPr>
                <w:rFonts w:ascii="Arial" w:cs="Arial" w:eastAsia="Arial" w:hAnsi="Arial"/>
                <w:sz w:val="14"/>
                <w:szCs w:val="14"/>
                <w:color w:val="003A70"/>
              </w:rPr>
              <w:t>Value at the End</w:t>
            </w:r>
          </w:p>
        </w:tc>
        <w:tc>
          <w:tcPr>
            <w:tcW w:w="1080" w:type="dxa"/>
            <w:vAlign w:val="bottom"/>
          </w:tcPr>
          <w:p>
            <w:pPr>
              <w:jc w:val="center"/>
              <w:spacing w:after="0"/>
              <w:rPr>
                <w:sz w:val="20"/>
                <w:szCs w:val="20"/>
                <w:color w:val="auto"/>
              </w:rPr>
            </w:pPr>
            <w:r>
              <w:rPr>
                <w:rFonts w:ascii="Arial" w:cs="Arial" w:eastAsia="Arial" w:hAnsi="Arial"/>
                <w:sz w:val="14"/>
                <w:szCs w:val="14"/>
                <w:color w:val="003A70"/>
              </w:rPr>
              <w:t>Other Earnings</w:t>
            </w:r>
          </w:p>
        </w:tc>
        <w:tc>
          <w:tcPr>
            <w:tcW w:w="920" w:type="dxa"/>
            <w:vAlign w:val="bottom"/>
          </w:tcPr>
          <w:p>
            <w:pPr>
              <w:spacing w:after="0"/>
              <w:rPr>
                <w:sz w:val="14"/>
                <w:szCs w:val="14"/>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003A70"/>
              </w:rPr>
              <w:t>Fair Value of</w:t>
            </w:r>
          </w:p>
        </w:tc>
        <w:tc>
          <w:tcPr>
            <w:tcW w:w="1060" w:type="dxa"/>
            <w:vAlign w:val="bottom"/>
          </w:tcPr>
          <w:p>
            <w:pPr>
              <w:jc w:val="center"/>
              <w:spacing w:after="0"/>
              <w:rPr>
                <w:sz w:val="20"/>
                <w:szCs w:val="20"/>
                <w:color w:val="auto"/>
              </w:rPr>
            </w:pPr>
            <w:r>
              <w:rPr>
                <w:rFonts w:ascii="Arial" w:cs="Arial" w:eastAsia="Arial" w:hAnsi="Arial"/>
                <w:sz w:val="14"/>
                <w:szCs w:val="14"/>
                <w:color w:val="003A70"/>
              </w:rPr>
              <w:t>Year Average</w:t>
            </w:r>
          </w:p>
        </w:tc>
        <w:tc>
          <w:tcPr>
            <w:tcW w:w="920" w:type="dxa"/>
            <w:vAlign w:val="bottom"/>
          </w:tcPr>
          <w:p>
            <w:pPr>
              <w:jc w:val="center"/>
              <w:spacing w:after="0"/>
              <w:rPr>
                <w:sz w:val="20"/>
                <w:szCs w:val="20"/>
                <w:color w:val="auto"/>
              </w:rPr>
            </w:pPr>
            <w:r>
              <w:rPr>
                <w:rFonts w:ascii="Arial" w:cs="Arial" w:eastAsia="Arial" w:hAnsi="Arial"/>
                <w:sz w:val="14"/>
                <w:szCs w:val="14"/>
                <w:color w:val="003A70"/>
                <w:w w:val="99"/>
              </w:rPr>
              <w:t>Vesting Date</w:t>
            </w:r>
          </w:p>
        </w:tc>
        <w:tc>
          <w:tcPr>
            <w:tcW w:w="1080" w:type="dxa"/>
            <w:vAlign w:val="bottom"/>
          </w:tcPr>
          <w:p>
            <w:pPr>
              <w:jc w:val="center"/>
              <w:spacing w:after="0"/>
              <w:rPr>
                <w:sz w:val="20"/>
                <w:szCs w:val="20"/>
                <w:color w:val="auto"/>
              </w:rPr>
            </w:pPr>
            <w:r>
              <w:rPr>
                <w:rFonts w:ascii="Arial" w:cs="Arial" w:eastAsia="Arial" w:hAnsi="Arial"/>
                <w:sz w:val="14"/>
                <w:szCs w:val="14"/>
                <w:color w:val="003A70"/>
              </w:rPr>
              <w:t>Date of Equity</w:t>
            </w:r>
          </w:p>
        </w:tc>
        <w:tc>
          <w:tcPr>
            <w:tcW w:w="1160" w:type="dxa"/>
            <w:vAlign w:val="bottom"/>
          </w:tcPr>
          <w:p>
            <w:pPr>
              <w:jc w:val="center"/>
              <w:spacing w:after="0"/>
              <w:rPr>
                <w:sz w:val="20"/>
                <w:szCs w:val="20"/>
                <w:color w:val="auto"/>
              </w:rPr>
            </w:pPr>
            <w:r>
              <w:rPr>
                <w:rFonts w:ascii="Arial" w:cs="Arial" w:eastAsia="Arial" w:hAnsi="Arial"/>
                <w:sz w:val="14"/>
                <w:szCs w:val="14"/>
                <w:color w:val="003A70"/>
              </w:rPr>
              <w:t>of the Prior Year</w:t>
            </w:r>
          </w:p>
        </w:tc>
        <w:tc>
          <w:tcPr>
            <w:tcW w:w="1080" w:type="dxa"/>
            <w:vAlign w:val="bottom"/>
          </w:tcPr>
          <w:p>
            <w:pPr>
              <w:jc w:val="center"/>
              <w:spacing w:after="0"/>
              <w:rPr>
                <w:sz w:val="20"/>
                <w:szCs w:val="20"/>
                <w:color w:val="auto"/>
              </w:rPr>
            </w:pPr>
            <w:r>
              <w:rPr>
                <w:rFonts w:ascii="Arial" w:cs="Arial" w:eastAsia="Arial" w:hAnsi="Arial"/>
                <w:sz w:val="14"/>
                <w:szCs w:val="14"/>
                <w:color w:val="003A70"/>
              </w:rPr>
              <w:t>Paid on Stock</w:t>
            </w:r>
          </w:p>
        </w:tc>
        <w:tc>
          <w:tcPr>
            <w:tcW w:w="920" w:type="dxa"/>
            <w:vAlign w:val="bottom"/>
          </w:tcPr>
          <w:p>
            <w:pPr>
              <w:spacing w:after="0"/>
              <w:rPr>
                <w:sz w:val="14"/>
                <w:szCs w:val="14"/>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003A70"/>
              </w:rPr>
              <w:t>Equity Awards</w:t>
            </w:r>
          </w:p>
        </w:tc>
        <w:tc>
          <w:tcPr>
            <w:tcW w:w="1060" w:type="dxa"/>
            <w:vAlign w:val="bottom"/>
          </w:tcPr>
          <w:p>
            <w:pPr>
              <w:jc w:val="center"/>
              <w:spacing w:after="0"/>
              <w:rPr>
                <w:sz w:val="20"/>
                <w:szCs w:val="20"/>
                <w:color w:val="auto"/>
              </w:rPr>
            </w:pPr>
            <w:r>
              <w:rPr>
                <w:rFonts w:ascii="Arial" w:cs="Arial" w:eastAsia="Arial" w:hAnsi="Arial"/>
                <w:sz w:val="14"/>
                <w:szCs w:val="14"/>
                <w:color w:val="003A70"/>
              </w:rPr>
              <w:t>Change in Fair</w:t>
            </w:r>
          </w:p>
        </w:tc>
        <w:tc>
          <w:tcPr>
            <w:tcW w:w="920" w:type="dxa"/>
            <w:vAlign w:val="bottom"/>
          </w:tcPr>
          <w:p>
            <w:pPr>
              <w:jc w:val="center"/>
              <w:spacing w:after="0"/>
              <w:rPr>
                <w:sz w:val="20"/>
                <w:szCs w:val="20"/>
                <w:color w:val="auto"/>
              </w:rPr>
            </w:pPr>
            <w:r>
              <w:rPr>
                <w:rFonts w:ascii="Arial" w:cs="Arial" w:eastAsia="Arial" w:hAnsi="Arial"/>
                <w:sz w:val="14"/>
                <w:szCs w:val="14"/>
                <w:color w:val="003A70"/>
              </w:rPr>
              <w:t>of Equity</w:t>
            </w:r>
          </w:p>
        </w:tc>
        <w:tc>
          <w:tcPr>
            <w:tcW w:w="1080" w:type="dxa"/>
            <w:vAlign w:val="bottom"/>
          </w:tcPr>
          <w:p>
            <w:pPr>
              <w:jc w:val="center"/>
              <w:spacing w:after="0"/>
              <w:rPr>
                <w:sz w:val="20"/>
                <w:szCs w:val="20"/>
                <w:color w:val="auto"/>
              </w:rPr>
            </w:pPr>
            <w:r>
              <w:rPr>
                <w:rFonts w:ascii="Arial" w:cs="Arial" w:eastAsia="Arial" w:hAnsi="Arial"/>
                <w:sz w:val="14"/>
                <w:szCs w:val="14"/>
                <w:color w:val="003A70"/>
              </w:rPr>
              <w:t>Awards</w:t>
            </w:r>
          </w:p>
        </w:tc>
        <w:tc>
          <w:tcPr>
            <w:tcW w:w="1160" w:type="dxa"/>
            <w:vAlign w:val="bottom"/>
          </w:tcPr>
          <w:p>
            <w:pPr>
              <w:jc w:val="center"/>
              <w:spacing w:after="0"/>
              <w:rPr>
                <w:sz w:val="20"/>
                <w:szCs w:val="20"/>
                <w:color w:val="auto"/>
              </w:rPr>
            </w:pPr>
            <w:r>
              <w:rPr>
                <w:rFonts w:ascii="Arial" w:cs="Arial" w:eastAsia="Arial" w:hAnsi="Arial"/>
                <w:sz w:val="14"/>
                <w:szCs w:val="14"/>
                <w:color w:val="003A70"/>
              </w:rPr>
              <w:t>of Equity Awards</w:t>
            </w:r>
          </w:p>
        </w:tc>
        <w:tc>
          <w:tcPr>
            <w:tcW w:w="1080" w:type="dxa"/>
            <w:vAlign w:val="bottom"/>
          </w:tcPr>
          <w:p>
            <w:pPr>
              <w:jc w:val="center"/>
              <w:spacing w:after="0"/>
              <w:rPr>
                <w:sz w:val="20"/>
                <w:szCs w:val="20"/>
                <w:color w:val="auto"/>
              </w:rPr>
            </w:pPr>
            <w:r>
              <w:rPr>
                <w:rFonts w:ascii="Arial" w:cs="Arial" w:eastAsia="Arial" w:hAnsi="Arial"/>
                <w:sz w:val="14"/>
                <w:szCs w:val="14"/>
                <w:color w:val="003A70"/>
              </w:rPr>
              <w:t>or Option</w:t>
            </w:r>
          </w:p>
        </w:tc>
        <w:tc>
          <w:tcPr>
            <w:tcW w:w="920" w:type="dxa"/>
            <w:vAlign w:val="bottom"/>
          </w:tcPr>
          <w:p>
            <w:pPr>
              <w:spacing w:after="0"/>
              <w:rPr>
                <w:sz w:val="14"/>
                <w:szCs w:val="14"/>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003A70"/>
              </w:rPr>
              <w:t>Granted in the</w:t>
            </w:r>
          </w:p>
        </w:tc>
        <w:tc>
          <w:tcPr>
            <w:tcW w:w="1060" w:type="dxa"/>
            <w:vAlign w:val="bottom"/>
          </w:tcPr>
          <w:p>
            <w:pPr>
              <w:jc w:val="center"/>
              <w:spacing w:after="0"/>
              <w:rPr>
                <w:sz w:val="20"/>
                <w:szCs w:val="20"/>
                <w:color w:val="auto"/>
              </w:rPr>
            </w:pPr>
            <w:r>
              <w:rPr>
                <w:rFonts w:ascii="Arial" w:cs="Arial" w:eastAsia="Arial" w:hAnsi="Arial"/>
                <w:sz w:val="14"/>
                <w:szCs w:val="14"/>
                <w:color w:val="003A70"/>
              </w:rPr>
              <w:t>Value of</w:t>
            </w:r>
          </w:p>
        </w:tc>
        <w:tc>
          <w:tcPr>
            <w:tcW w:w="920" w:type="dxa"/>
            <w:vAlign w:val="bottom"/>
          </w:tcPr>
          <w:p>
            <w:pPr>
              <w:jc w:val="center"/>
              <w:spacing w:after="0"/>
              <w:rPr>
                <w:sz w:val="20"/>
                <w:szCs w:val="20"/>
                <w:color w:val="auto"/>
              </w:rPr>
            </w:pPr>
            <w:r>
              <w:rPr>
                <w:rFonts w:ascii="Arial" w:cs="Arial" w:eastAsia="Arial" w:hAnsi="Arial"/>
                <w:sz w:val="14"/>
                <w:szCs w:val="14"/>
                <w:color w:val="003A70"/>
              </w:rPr>
              <w:t>Awards</w:t>
            </w:r>
          </w:p>
        </w:tc>
        <w:tc>
          <w:tcPr>
            <w:tcW w:w="1080" w:type="dxa"/>
            <w:vAlign w:val="bottom"/>
          </w:tcPr>
          <w:p>
            <w:pPr>
              <w:jc w:val="center"/>
              <w:spacing w:after="0"/>
              <w:rPr>
                <w:sz w:val="20"/>
                <w:szCs w:val="20"/>
                <w:color w:val="auto"/>
              </w:rPr>
            </w:pPr>
            <w:r>
              <w:rPr>
                <w:rFonts w:ascii="Arial" w:cs="Arial" w:eastAsia="Arial" w:hAnsi="Arial"/>
                <w:sz w:val="14"/>
                <w:szCs w:val="14"/>
                <w:color w:val="003A70"/>
              </w:rPr>
              <w:t>Granted in</w:t>
            </w:r>
          </w:p>
        </w:tc>
        <w:tc>
          <w:tcPr>
            <w:tcW w:w="1160" w:type="dxa"/>
            <w:vAlign w:val="bottom"/>
          </w:tcPr>
          <w:p>
            <w:pPr>
              <w:jc w:val="center"/>
              <w:spacing w:after="0"/>
              <w:rPr>
                <w:sz w:val="20"/>
                <w:szCs w:val="20"/>
                <w:color w:val="auto"/>
              </w:rPr>
            </w:pPr>
            <w:r>
              <w:rPr>
                <w:rFonts w:ascii="Arial" w:cs="Arial" w:eastAsia="Arial" w:hAnsi="Arial"/>
                <w:sz w:val="14"/>
                <w:szCs w:val="14"/>
                <w:color w:val="003A70"/>
              </w:rPr>
              <w:t>that Failed to</w:t>
            </w:r>
          </w:p>
        </w:tc>
        <w:tc>
          <w:tcPr>
            <w:tcW w:w="1080" w:type="dxa"/>
            <w:vAlign w:val="bottom"/>
          </w:tcPr>
          <w:p>
            <w:pPr>
              <w:jc w:val="center"/>
              <w:spacing w:after="0"/>
              <w:rPr>
                <w:sz w:val="20"/>
                <w:szCs w:val="20"/>
                <w:color w:val="auto"/>
              </w:rPr>
            </w:pPr>
            <w:r>
              <w:rPr>
                <w:rFonts w:ascii="Arial" w:cs="Arial" w:eastAsia="Arial" w:hAnsi="Arial"/>
                <w:sz w:val="14"/>
                <w:szCs w:val="14"/>
                <w:color w:val="003A70"/>
              </w:rPr>
              <w:t>Awards not</w:t>
            </w:r>
          </w:p>
        </w:tc>
        <w:tc>
          <w:tcPr>
            <w:tcW w:w="920" w:type="dxa"/>
            <w:vAlign w:val="bottom"/>
          </w:tcPr>
          <w:p>
            <w:pPr>
              <w:spacing w:after="0"/>
              <w:rPr>
                <w:sz w:val="14"/>
                <w:szCs w:val="14"/>
                <w:color w:val="auto"/>
              </w:rPr>
            </w:pP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003A70"/>
                <w:w w:val="98"/>
              </w:rPr>
              <w:t>Year and</w:t>
            </w:r>
          </w:p>
        </w:tc>
        <w:tc>
          <w:tcPr>
            <w:tcW w:w="1060" w:type="dxa"/>
            <w:vAlign w:val="bottom"/>
          </w:tcPr>
          <w:p>
            <w:pPr>
              <w:jc w:val="center"/>
              <w:spacing w:after="0"/>
              <w:rPr>
                <w:sz w:val="20"/>
                <w:szCs w:val="20"/>
                <w:color w:val="auto"/>
              </w:rPr>
            </w:pPr>
            <w:r>
              <w:rPr>
                <w:rFonts w:ascii="Arial" w:cs="Arial" w:eastAsia="Arial" w:hAnsi="Arial"/>
                <w:sz w:val="14"/>
                <w:szCs w:val="14"/>
                <w:color w:val="003A70"/>
              </w:rPr>
              <w:t>Outstanding</w:t>
            </w:r>
          </w:p>
        </w:tc>
        <w:tc>
          <w:tcPr>
            <w:tcW w:w="920" w:type="dxa"/>
            <w:vAlign w:val="bottom"/>
          </w:tcPr>
          <w:p>
            <w:pPr>
              <w:jc w:val="center"/>
              <w:spacing w:after="0"/>
              <w:rPr>
                <w:sz w:val="20"/>
                <w:szCs w:val="20"/>
                <w:color w:val="auto"/>
              </w:rPr>
            </w:pPr>
            <w:r>
              <w:rPr>
                <w:rFonts w:ascii="Arial" w:cs="Arial" w:eastAsia="Arial" w:hAnsi="Arial"/>
                <w:sz w:val="14"/>
                <w:szCs w:val="14"/>
                <w:color w:val="003A70"/>
              </w:rPr>
              <w:t>Granted and</w:t>
            </w:r>
          </w:p>
        </w:tc>
        <w:tc>
          <w:tcPr>
            <w:tcW w:w="1080" w:type="dxa"/>
            <w:vAlign w:val="bottom"/>
          </w:tcPr>
          <w:p>
            <w:pPr>
              <w:jc w:val="center"/>
              <w:spacing w:after="0"/>
              <w:rPr>
                <w:sz w:val="20"/>
                <w:szCs w:val="20"/>
                <w:color w:val="auto"/>
              </w:rPr>
            </w:pPr>
            <w:r>
              <w:rPr>
                <w:rFonts w:ascii="Arial" w:cs="Arial" w:eastAsia="Arial" w:hAnsi="Arial"/>
                <w:sz w:val="14"/>
                <w:szCs w:val="14"/>
                <w:color w:val="003A70"/>
              </w:rPr>
              <w:t>Prior Years</w:t>
            </w:r>
          </w:p>
        </w:tc>
        <w:tc>
          <w:tcPr>
            <w:tcW w:w="1160" w:type="dxa"/>
            <w:vAlign w:val="bottom"/>
          </w:tcPr>
          <w:p>
            <w:pPr>
              <w:jc w:val="center"/>
              <w:spacing w:after="0"/>
              <w:rPr>
                <w:sz w:val="20"/>
                <w:szCs w:val="20"/>
                <w:color w:val="auto"/>
              </w:rPr>
            </w:pPr>
            <w:r>
              <w:rPr>
                <w:rFonts w:ascii="Arial" w:cs="Arial" w:eastAsia="Arial" w:hAnsi="Arial"/>
                <w:sz w:val="14"/>
                <w:szCs w:val="14"/>
                <w:color w:val="003A70"/>
              </w:rPr>
              <w:t>Meet Vesting</w:t>
            </w:r>
          </w:p>
        </w:tc>
        <w:tc>
          <w:tcPr>
            <w:tcW w:w="1080" w:type="dxa"/>
            <w:vAlign w:val="bottom"/>
          </w:tcPr>
          <w:p>
            <w:pPr>
              <w:jc w:val="center"/>
              <w:spacing w:after="0"/>
              <w:rPr>
                <w:sz w:val="20"/>
                <w:szCs w:val="20"/>
                <w:color w:val="auto"/>
              </w:rPr>
            </w:pPr>
            <w:r>
              <w:rPr>
                <w:rFonts w:ascii="Arial" w:cs="Arial" w:eastAsia="Arial" w:hAnsi="Arial"/>
                <w:sz w:val="14"/>
                <w:szCs w:val="14"/>
                <w:color w:val="003A70"/>
              </w:rPr>
              <w:t>Otherwise</w:t>
            </w:r>
          </w:p>
        </w:tc>
        <w:tc>
          <w:tcPr>
            <w:tcW w:w="920" w:type="dxa"/>
            <w:vAlign w:val="bottom"/>
          </w:tcPr>
          <w:p>
            <w:pPr>
              <w:jc w:val="center"/>
              <w:spacing w:after="0"/>
              <w:rPr>
                <w:sz w:val="20"/>
                <w:szCs w:val="20"/>
                <w:color w:val="auto"/>
              </w:rPr>
            </w:pPr>
            <w:r>
              <w:rPr>
                <w:rFonts w:ascii="Arial" w:cs="Arial" w:eastAsia="Arial" w:hAnsi="Arial"/>
                <w:sz w:val="14"/>
                <w:szCs w:val="14"/>
                <w:color w:val="003A70"/>
                <w:w w:val="98"/>
              </w:rPr>
              <w:t>Total Average</w:t>
            </w:r>
          </w:p>
        </w:tc>
      </w:tr>
      <w:tr>
        <w:trPr>
          <w:trHeight w:val="162"/>
        </w:trPr>
        <w:tc>
          <w:tcPr>
            <w:tcW w:w="960" w:type="dxa"/>
            <w:vAlign w:val="bottom"/>
          </w:tcPr>
          <w:p>
            <w:pPr>
              <w:jc w:val="center"/>
              <w:spacing w:after="0"/>
              <w:rPr>
                <w:sz w:val="20"/>
                <w:szCs w:val="20"/>
                <w:color w:val="auto"/>
              </w:rPr>
            </w:pPr>
            <w:r>
              <w:rPr>
                <w:rFonts w:ascii="Arial" w:cs="Arial" w:eastAsia="Arial" w:hAnsi="Arial"/>
                <w:sz w:val="14"/>
                <w:szCs w:val="14"/>
                <w:color w:val="003A70"/>
              </w:rPr>
              <w:t>Unvested at</w:t>
            </w:r>
          </w:p>
        </w:tc>
        <w:tc>
          <w:tcPr>
            <w:tcW w:w="1060" w:type="dxa"/>
            <w:vAlign w:val="bottom"/>
          </w:tcPr>
          <w:p>
            <w:pPr>
              <w:jc w:val="center"/>
              <w:spacing w:after="0"/>
              <w:rPr>
                <w:sz w:val="20"/>
                <w:szCs w:val="20"/>
                <w:color w:val="auto"/>
              </w:rPr>
            </w:pPr>
            <w:r>
              <w:rPr>
                <w:rFonts w:ascii="Arial" w:cs="Arial" w:eastAsia="Arial" w:hAnsi="Arial"/>
                <w:sz w:val="14"/>
                <w:szCs w:val="14"/>
                <w:color w:val="003A70"/>
              </w:rPr>
              <w:t>and Unvested</w:t>
            </w:r>
          </w:p>
        </w:tc>
        <w:tc>
          <w:tcPr>
            <w:tcW w:w="920" w:type="dxa"/>
            <w:vAlign w:val="bottom"/>
          </w:tcPr>
          <w:p>
            <w:pPr>
              <w:jc w:val="center"/>
              <w:spacing w:after="0"/>
              <w:rPr>
                <w:sz w:val="20"/>
                <w:szCs w:val="20"/>
                <w:color w:val="auto"/>
              </w:rPr>
            </w:pPr>
            <w:r>
              <w:rPr>
                <w:rFonts w:ascii="Arial" w:cs="Arial" w:eastAsia="Arial" w:hAnsi="Arial"/>
                <w:sz w:val="14"/>
                <w:szCs w:val="14"/>
                <w:color w:val="003A70"/>
              </w:rPr>
              <w:t>Vested in the</w:t>
            </w:r>
          </w:p>
        </w:tc>
        <w:tc>
          <w:tcPr>
            <w:tcW w:w="1080" w:type="dxa"/>
            <w:vAlign w:val="bottom"/>
          </w:tcPr>
          <w:p>
            <w:pPr>
              <w:jc w:val="center"/>
              <w:spacing w:after="0"/>
              <w:rPr>
                <w:sz w:val="20"/>
                <w:szCs w:val="20"/>
                <w:color w:val="auto"/>
              </w:rPr>
            </w:pPr>
            <w:r>
              <w:rPr>
                <w:rFonts w:ascii="Arial" w:cs="Arial" w:eastAsia="Arial" w:hAnsi="Arial"/>
                <w:sz w:val="14"/>
                <w:szCs w:val="14"/>
                <w:color w:val="003A70"/>
              </w:rPr>
              <w:t>that Vested in</w:t>
            </w:r>
          </w:p>
        </w:tc>
        <w:tc>
          <w:tcPr>
            <w:tcW w:w="1160" w:type="dxa"/>
            <w:vAlign w:val="bottom"/>
          </w:tcPr>
          <w:p>
            <w:pPr>
              <w:jc w:val="center"/>
              <w:spacing w:after="0"/>
              <w:rPr>
                <w:sz w:val="20"/>
                <w:szCs w:val="20"/>
                <w:color w:val="auto"/>
              </w:rPr>
            </w:pPr>
            <w:r>
              <w:rPr>
                <w:rFonts w:ascii="Arial" w:cs="Arial" w:eastAsia="Arial" w:hAnsi="Arial"/>
                <w:sz w:val="14"/>
                <w:szCs w:val="14"/>
                <w:color w:val="003A70"/>
              </w:rPr>
              <w:t>Conditions in the</w:t>
            </w:r>
          </w:p>
        </w:tc>
        <w:tc>
          <w:tcPr>
            <w:tcW w:w="1080" w:type="dxa"/>
            <w:vAlign w:val="bottom"/>
          </w:tcPr>
          <w:p>
            <w:pPr>
              <w:jc w:val="center"/>
              <w:spacing w:after="0"/>
              <w:rPr>
                <w:sz w:val="20"/>
                <w:szCs w:val="20"/>
                <w:color w:val="auto"/>
              </w:rPr>
            </w:pPr>
            <w:r>
              <w:rPr>
                <w:rFonts w:ascii="Arial" w:cs="Arial" w:eastAsia="Arial" w:hAnsi="Arial"/>
                <w:sz w:val="14"/>
                <w:szCs w:val="14"/>
                <w:color w:val="003A70"/>
              </w:rPr>
              <w:t>Reflected in</w:t>
            </w:r>
          </w:p>
        </w:tc>
        <w:tc>
          <w:tcPr>
            <w:tcW w:w="920" w:type="dxa"/>
            <w:vAlign w:val="bottom"/>
          </w:tcPr>
          <w:p>
            <w:pPr>
              <w:jc w:val="center"/>
              <w:spacing w:after="0"/>
              <w:rPr>
                <w:sz w:val="20"/>
                <w:szCs w:val="20"/>
                <w:color w:val="auto"/>
              </w:rPr>
            </w:pPr>
            <w:r>
              <w:rPr>
                <w:rFonts w:ascii="Arial" w:cs="Arial" w:eastAsia="Arial" w:hAnsi="Arial"/>
                <w:sz w:val="14"/>
                <w:szCs w:val="14"/>
                <w:color w:val="003A70"/>
              </w:rPr>
              <w:t>Equity Award</w:t>
            </w:r>
          </w:p>
        </w:tc>
      </w:tr>
      <w:tr>
        <w:trPr>
          <w:trHeight w:val="190"/>
        </w:trPr>
        <w:tc>
          <w:tcPr>
            <w:tcW w:w="960" w:type="dxa"/>
            <w:vAlign w:val="bottom"/>
          </w:tcPr>
          <w:p>
            <w:pPr>
              <w:jc w:val="center"/>
              <w:spacing w:after="0"/>
              <w:rPr>
                <w:sz w:val="20"/>
                <w:szCs w:val="20"/>
                <w:color w:val="auto"/>
              </w:rPr>
            </w:pPr>
            <w:r>
              <w:rPr>
                <w:rFonts w:ascii="Arial" w:cs="Arial" w:eastAsia="Arial" w:hAnsi="Arial"/>
                <w:sz w:val="14"/>
                <w:szCs w:val="14"/>
                <w:color w:val="003A70"/>
                <w:w w:val="99"/>
              </w:rPr>
              <w:t>Year End</w:t>
            </w:r>
          </w:p>
        </w:tc>
        <w:tc>
          <w:tcPr>
            <w:tcW w:w="1060" w:type="dxa"/>
            <w:vAlign w:val="bottom"/>
          </w:tcPr>
          <w:p>
            <w:pPr>
              <w:jc w:val="center"/>
              <w:spacing w:after="0"/>
              <w:rPr>
                <w:sz w:val="20"/>
                <w:szCs w:val="20"/>
                <w:color w:val="auto"/>
              </w:rPr>
            </w:pPr>
            <w:r>
              <w:rPr>
                <w:rFonts w:ascii="Arial" w:cs="Arial" w:eastAsia="Arial" w:hAnsi="Arial"/>
                <w:sz w:val="14"/>
                <w:szCs w:val="14"/>
                <w:color w:val="003A70"/>
              </w:rPr>
              <w:t>Equity Awards</w:t>
            </w:r>
          </w:p>
        </w:tc>
        <w:tc>
          <w:tcPr>
            <w:tcW w:w="920" w:type="dxa"/>
            <w:vAlign w:val="bottom"/>
          </w:tcPr>
          <w:p>
            <w:pPr>
              <w:jc w:val="center"/>
              <w:spacing w:after="0"/>
              <w:rPr>
                <w:sz w:val="20"/>
                <w:szCs w:val="20"/>
                <w:color w:val="auto"/>
              </w:rPr>
            </w:pPr>
            <w:r>
              <w:rPr>
                <w:rFonts w:ascii="Arial" w:cs="Arial" w:eastAsia="Arial" w:hAnsi="Arial"/>
                <w:sz w:val="14"/>
                <w:szCs w:val="14"/>
                <w:color w:val="003A70"/>
                <w:w w:val="94"/>
              </w:rPr>
              <w:t>Year</w:t>
            </w:r>
          </w:p>
        </w:tc>
        <w:tc>
          <w:tcPr>
            <w:tcW w:w="1080" w:type="dxa"/>
            <w:vAlign w:val="bottom"/>
          </w:tcPr>
          <w:p>
            <w:pPr>
              <w:jc w:val="center"/>
              <w:spacing w:after="0"/>
              <w:rPr>
                <w:sz w:val="20"/>
                <w:szCs w:val="20"/>
                <w:color w:val="auto"/>
              </w:rPr>
            </w:pPr>
            <w:r>
              <w:rPr>
                <w:rFonts w:ascii="Arial" w:cs="Arial" w:eastAsia="Arial" w:hAnsi="Arial"/>
                <w:sz w:val="14"/>
                <w:szCs w:val="14"/>
                <w:color w:val="003A70"/>
                <w:w w:val="98"/>
              </w:rPr>
              <w:t>the Year</w:t>
            </w:r>
          </w:p>
        </w:tc>
        <w:tc>
          <w:tcPr>
            <w:tcW w:w="1160" w:type="dxa"/>
            <w:vAlign w:val="bottom"/>
          </w:tcPr>
          <w:p>
            <w:pPr>
              <w:jc w:val="center"/>
              <w:spacing w:after="0"/>
              <w:rPr>
                <w:sz w:val="20"/>
                <w:szCs w:val="20"/>
                <w:color w:val="auto"/>
              </w:rPr>
            </w:pPr>
            <w:r>
              <w:rPr>
                <w:rFonts w:ascii="Arial" w:cs="Arial" w:eastAsia="Arial" w:hAnsi="Arial"/>
                <w:sz w:val="14"/>
                <w:szCs w:val="14"/>
                <w:color w:val="003A70"/>
                <w:w w:val="94"/>
              </w:rPr>
              <w:t>Year</w:t>
            </w:r>
          </w:p>
        </w:tc>
        <w:tc>
          <w:tcPr>
            <w:tcW w:w="1080" w:type="dxa"/>
            <w:vAlign w:val="bottom"/>
          </w:tcPr>
          <w:p>
            <w:pPr>
              <w:jc w:val="center"/>
              <w:spacing w:after="0"/>
              <w:rPr>
                <w:sz w:val="20"/>
                <w:szCs w:val="20"/>
                <w:color w:val="auto"/>
              </w:rPr>
            </w:pPr>
            <w:r>
              <w:rPr>
                <w:rFonts w:ascii="Arial" w:cs="Arial" w:eastAsia="Arial" w:hAnsi="Arial"/>
                <w:sz w:val="14"/>
                <w:szCs w:val="14"/>
                <w:color w:val="003A70"/>
              </w:rPr>
              <w:t>Fair Value</w:t>
            </w:r>
          </w:p>
        </w:tc>
        <w:tc>
          <w:tcPr>
            <w:tcW w:w="920" w:type="dxa"/>
            <w:vAlign w:val="bottom"/>
          </w:tcPr>
          <w:p>
            <w:pPr>
              <w:jc w:val="center"/>
              <w:spacing w:after="0"/>
              <w:rPr>
                <w:sz w:val="20"/>
                <w:szCs w:val="20"/>
                <w:color w:val="auto"/>
              </w:rPr>
            </w:pPr>
            <w:r>
              <w:rPr>
                <w:rFonts w:ascii="Arial" w:cs="Arial" w:eastAsia="Arial" w:hAnsi="Arial"/>
                <w:sz w:val="14"/>
                <w:szCs w:val="14"/>
                <w:color w:val="003A70"/>
              </w:rPr>
              <w:t>Adjustments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-1861820</wp:posOffset>
            </wp:positionH>
            <wp:positionV relativeFrom="paragraph">
              <wp:posOffset>5080</wp:posOffset>
            </wp:positionV>
            <wp:extent cx="642937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429375" cy="1714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3220" w:space="720"/>
            <w:col w:w="7200"/>
          </w:cols>
          <w:pgMar w:left="320" w:top="482" w:right="439" w:bottom="1440" w:gutter="0" w:footer="0" w:header="0"/>
          <w:type w:val="continuous"/>
        </w:sectPr>
      </w:pPr>
    </w:p>
    <w:p>
      <w:pPr>
        <w:ind w:left="2280"/>
        <w:spacing w:after="0"/>
        <w:tabs>
          <w:tab w:leader="none" w:pos="3960" w:val="left"/>
          <w:tab w:leader="none" w:pos="4940" w:val="left"/>
          <w:tab w:leader="none" w:pos="6200" w:val="left"/>
          <w:tab w:leader="none" w:pos="6980" w:val="left"/>
          <w:tab w:leader="none" w:pos="8320" w:val="left"/>
          <w:tab w:leader="none" w:pos="9440" w:val="left"/>
          <w:tab w:leader="none" w:pos="10240" w:val="left"/>
        </w:tabs>
        <w:rPr>
          <w:sz w:val="20"/>
          <w:szCs w:val="20"/>
          <w:color w:val="auto"/>
        </w:rPr>
      </w:pPr>
      <w:r>
        <w:rPr>
          <w:rFonts w:ascii="Arial" w:cs="Arial" w:eastAsia="Arial" w:hAnsi="Arial"/>
          <w:sz w:val="16"/>
          <w:szCs w:val="16"/>
          <w:color w:val="auto"/>
        </w:rPr>
        <w:t>2025</w:t>
      </w:r>
      <w:r>
        <w:rPr>
          <w:sz w:val="20"/>
          <w:szCs w:val="20"/>
          <w:color w:val="auto"/>
        </w:rPr>
        <w:tab/>
      </w:r>
      <w:r>
        <w:rPr>
          <w:rFonts w:ascii="Arial" w:cs="Arial" w:eastAsia="Arial" w:hAnsi="Arial"/>
          <w:sz w:val="16"/>
          <w:szCs w:val="16"/>
          <w:color w:val="auto"/>
        </w:rPr>
        <w:t>$   871,779</w:t>
        <w:tab/>
        <w:t>$   (582,489)</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(19,136)</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270,154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12065</wp:posOffset>
            </wp:positionV>
            <wp:extent cx="64293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108" w:lineRule="exact"/>
        <w:rPr>
          <w:sz w:val="20"/>
          <w:szCs w:val="20"/>
          <w:color w:val="auto"/>
        </w:rPr>
      </w:pPr>
    </w:p>
    <w:p>
      <w:pPr>
        <w:ind w:left="440" w:hanging="324"/>
        <w:spacing w:after="0"/>
        <w:tabs>
          <w:tab w:leader="none" w:pos="440" w:val="left"/>
        </w:tabs>
        <w:numPr>
          <w:ilvl w:val="0"/>
          <w:numId w:val="109"/>
        </w:numPr>
        <w:rPr>
          <w:rFonts w:ascii="Arial" w:cs="Arial" w:eastAsia="Arial" w:hAnsi="Arial"/>
          <w:sz w:val="18"/>
          <w:szCs w:val="18"/>
          <w:color w:val="auto"/>
          <w:vertAlign w:val="superscript"/>
        </w:rPr>
      </w:pPr>
      <w:r>
        <w:rPr>
          <w:rFonts w:ascii="Arial" w:cs="Arial" w:eastAsia="Arial" w:hAnsi="Arial"/>
          <w:sz w:val="14"/>
          <w:szCs w:val="14"/>
          <w:color w:val="auto"/>
        </w:rPr>
        <w:t>Refer to description and reconciliation of Adjusted EBITDA in Appendix A.</w:t>
      </w:r>
    </w:p>
    <w:p>
      <w:pPr>
        <w:spacing w:after="0" w:line="93" w:lineRule="exact"/>
        <w:rPr>
          <w:sz w:val="20"/>
          <w:szCs w:val="20"/>
          <w:color w:val="auto"/>
        </w:rPr>
      </w:pPr>
    </w:p>
    <w:p>
      <w:pPr>
        <w:ind w:left="440" w:right="60" w:hanging="324"/>
        <w:spacing w:after="0" w:line="229" w:lineRule="auto"/>
        <w:tabs>
          <w:tab w:leader="none" w:pos="440" w:val="left"/>
        </w:tabs>
        <w:numPr>
          <w:ilvl w:val="0"/>
          <w:numId w:val="110"/>
        </w:numPr>
        <w:rPr>
          <w:rFonts w:ascii="Arial" w:cs="Arial" w:eastAsia="Arial" w:hAnsi="Arial"/>
          <w:sz w:val="18"/>
          <w:szCs w:val="18"/>
          <w:color w:val="auto"/>
          <w:vertAlign w:val="superscript"/>
        </w:rPr>
      </w:pPr>
      <w:r>
        <w:rPr>
          <w:rFonts w:ascii="Arial" w:cs="Arial" w:eastAsia="Arial" w:hAnsi="Arial"/>
          <w:sz w:val="14"/>
          <w:szCs w:val="14"/>
          <w:color w:val="auto"/>
        </w:rPr>
        <w:t>Prior year amounts for fiscal year 2024 have been reclassified to conform with our current year presentation. Please see “Non-GAAP Financial Measures” for additional information.</w:t>
      </w:r>
    </w:p>
    <w:p>
      <w:pPr>
        <w:spacing w:after="0" w:line="117" w:lineRule="exact"/>
        <w:rPr>
          <w:sz w:val="20"/>
          <w:szCs w:val="20"/>
          <w:color w:val="auto"/>
        </w:rPr>
      </w:pPr>
    </w:p>
    <w:p>
      <w:pPr>
        <w:ind w:left="120"/>
        <w:spacing w:after="0"/>
        <w:tabs>
          <w:tab w:leader="none" w:pos="446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380"/>
        <w:spacing w:after="0" w:line="266" w:lineRule="auto"/>
        <w:rPr>
          <w:sz w:val="20"/>
          <w:szCs w:val="20"/>
          <w:color w:val="auto"/>
        </w:rPr>
      </w:pPr>
      <w:r>
        <w:rPr>
          <w:rFonts w:ascii="Arial" w:cs="Arial" w:eastAsia="Arial" w:hAnsi="Arial"/>
          <w:sz w:val="16"/>
          <w:szCs w:val="16"/>
          <w:color w:val="auto"/>
        </w:rPr>
        <w:t>The below charts represent the alignment of the PEO and NEO pay to Net Income, Adjusted EBITDA, and Company and peer TSR. The graphical representation demonstrates that both the (C-) current and (F-) former PEO and NEO compensation actually paid (“CAP”) is aligned with stockholder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168910</wp:posOffset>
            </wp:positionV>
            <wp:extent cx="6360795" cy="36347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36079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tabs>
          <w:tab w:leader="none" w:pos="4460" w:val="left"/>
          <w:tab w:leader="none" w:pos="7820" w:val="left"/>
        </w:tabs>
        <w:rPr>
          <w:sz w:val="20"/>
          <w:szCs w:val="20"/>
          <w:color w:val="auto"/>
        </w:rPr>
      </w:pPr>
      <w:r>
        <w:rPr>
          <w:rFonts w:ascii="Arial" w:cs="Arial" w:eastAsia="Arial" w:hAnsi="Arial"/>
          <w:sz w:val="11"/>
          <w:szCs w:val="11"/>
          <w:b w:val="1"/>
          <w:bCs w:val="1"/>
          <w:color w:val="003A70"/>
        </w:rPr>
        <w:t>56</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ARRANGEMENTS FOR NON-EMPLOYEE DIRECTORS</w:t>
      </w:r>
    </w:p>
    <w:p>
      <w:pPr>
        <w:spacing w:after="0" w:line="112" w:lineRule="exact"/>
        <w:rPr>
          <w:sz w:val="20"/>
          <w:szCs w:val="20"/>
          <w:color w:val="auto"/>
        </w:rPr>
      </w:pPr>
    </w:p>
    <w:p>
      <w:pPr>
        <w:jc w:val="both"/>
        <w:ind w:left="120" w:right="100"/>
        <w:spacing w:after="0" w:line="256" w:lineRule="auto"/>
        <w:rPr>
          <w:sz w:val="20"/>
          <w:szCs w:val="20"/>
          <w:color w:val="auto"/>
        </w:rPr>
      </w:pPr>
      <w:r>
        <w:rPr>
          <w:rFonts w:ascii="Arial" w:cs="Arial" w:eastAsia="Arial" w:hAnsi="Arial"/>
          <w:sz w:val="16"/>
          <w:szCs w:val="16"/>
          <w:color w:val="auto"/>
        </w:rPr>
        <w:t>In designing and implementing compensation programs applicable to our non-employee directors, our CPC considered the advice and recommendations of Exequity. In determining its recommendation to the Board with respect to compensation for our non-employee directors for 2025, the CPC considered the external market pay practices of the same companies that comprised the peer group it considered with respect to the compensation of our executive officers for 2025 and generally looks to the median of such market data when making director compensation decisions. As a result of the external market review, the CPC did not recommend changes to non-employee director compensation in 2025.</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2025, our compensation arrangements for our non-employee directors for service on our Board consisted of:</w:t>
      </w:r>
    </w:p>
    <w:p>
      <w:pPr>
        <w:spacing w:after="0" w:line="46" w:lineRule="exact"/>
        <w:rPr>
          <w:sz w:val="20"/>
          <w:szCs w:val="20"/>
          <w:color w:val="auto"/>
        </w:rPr>
      </w:pPr>
    </w:p>
    <w:p>
      <w:pPr>
        <w:ind w:left="340" w:hanging="224"/>
        <w:spacing w:after="0"/>
        <w:tabs>
          <w:tab w:leader="none" w:pos="340" w:val="left"/>
        </w:tabs>
        <w:numPr>
          <w:ilvl w:val="0"/>
          <w:numId w:val="111"/>
        </w:numPr>
        <w:rPr>
          <w:rFonts w:ascii="Arial" w:cs="Arial" w:eastAsia="Arial" w:hAnsi="Arial"/>
          <w:sz w:val="16"/>
          <w:szCs w:val="16"/>
          <w:color w:val="003A70"/>
        </w:rPr>
      </w:pPr>
      <w:r>
        <w:rPr>
          <w:rFonts w:ascii="Arial" w:cs="Arial" w:eastAsia="Arial" w:hAnsi="Arial"/>
          <w:sz w:val="16"/>
          <w:szCs w:val="16"/>
          <w:color w:val="auto"/>
        </w:rPr>
        <w:t>an annual cash retainer of $85,000 for each non-employee director other than the Chairman and $130,000 for the Chairman;</w:t>
      </w:r>
    </w:p>
    <w:p>
      <w:pPr>
        <w:spacing w:after="0" w:line="45" w:lineRule="exact"/>
        <w:rPr>
          <w:rFonts w:ascii="Arial" w:cs="Arial" w:eastAsia="Arial" w:hAnsi="Arial"/>
          <w:sz w:val="16"/>
          <w:szCs w:val="16"/>
          <w:color w:val="003A70"/>
        </w:rPr>
      </w:pPr>
    </w:p>
    <w:p>
      <w:pPr>
        <w:ind w:left="340" w:right="360" w:hanging="224"/>
        <w:spacing w:after="0" w:line="272" w:lineRule="auto"/>
        <w:tabs>
          <w:tab w:leader="none" w:pos="340" w:val="left"/>
        </w:tabs>
        <w:numPr>
          <w:ilvl w:val="0"/>
          <w:numId w:val="111"/>
        </w:numPr>
        <w:rPr>
          <w:rFonts w:ascii="Arial" w:cs="Arial" w:eastAsia="Arial" w:hAnsi="Arial"/>
          <w:sz w:val="16"/>
          <w:szCs w:val="16"/>
          <w:color w:val="003A70"/>
        </w:rPr>
      </w:pPr>
      <w:r>
        <w:rPr>
          <w:rFonts w:ascii="Arial" w:cs="Arial" w:eastAsia="Arial" w:hAnsi="Arial"/>
          <w:sz w:val="16"/>
          <w:szCs w:val="16"/>
          <w:color w:val="auto"/>
        </w:rPr>
        <w:t>an annual cash retainer of $25,000 for the chairs of each of the Audit Committee, Compensation Policy Committee and Nominating and Corporate Governance Committee;</w:t>
      </w:r>
    </w:p>
    <w:p>
      <w:pPr>
        <w:spacing w:after="0" w:line="1" w:lineRule="exact"/>
        <w:rPr>
          <w:rFonts w:ascii="Arial" w:cs="Arial" w:eastAsia="Arial" w:hAnsi="Arial"/>
          <w:sz w:val="16"/>
          <w:szCs w:val="16"/>
          <w:color w:val="003A70"/>
        </w:rPr>
      </w:pPr>
    </w:p>
    <w:p>
      <w:pPr>
        <w:ind w:left="340" w:right="400" w:hanging="224"/>
        <w:spacing w:after="0" w:line="272" w:lineRule="auto"/>
        <w:tabs>
          <w:tab w:leader="none" w:pos="340" w:val="left"/>
        </w:tabs>
        <w:numPr>
          <w:ilvl w:val="0"/>
          <w:numId w:val="111"/>
        </w:numPr>
        <w:rPr>
          <w:rFonts w:ascii="Arial" w:cs="Arial" w:eastAsia="Arial" w:hAnsi="Arial"/>
          <w:sz w:val="16"/>
          <w:szCs w:val="16"/>
          <w:color w:val="003A70"/>
        </w:rPr>
      </w:pPr>
      <w:r>
        <w:rPr>
          <w:rFonts w:ascii="Arial" w:cs="Arial" w:eastAsia="Arial" w:hAnsi="Arial"/>
          <w:sz w:val="16"/>
          <w:szCs w:val="16"/>
          <w:color w:val="auto"/>
        </w:rPr>
        <w:t>an annual cash retainer of $10,000 for the members (other than the Chairs) of each of the Audit Committee, Compensation Policy Committee and Nominating and Corporate Governance Committee; and</w:t>
      </w:r>
    </w:p>
    <w:p>
      <w:pPr>
        <w:spacing w:after="0" w:line="1" w:lineRule="exact"/>
        <w:rPr>
          <w:rFonts w:ascii="Arial" w:cs="Arial" w:eastAsia="Arial" w:hAnsi="Arial"/>
          <w:sz w:val="16"/>
          <w:szCs w:val="16"/>
          <w:color w:val="003A70"/>
        </w:rPr>
      </w:pPr>
    </w:p>
    <w:p>
      <w:pPr>
        <w:ind w:left="340" w:right="20" w:hanging="224"/>
        <w:spacing w:after="0" w:line="286" w:lineRule="auto"/>
        <w:tabs>
          <w:tab w:leader="none" w:pos="340" w:val="left"/>
        </w:tabs>
        <w:numPr>
          <w:ilvl w:val="0"/>
          <w:numId w:val="111"/>
        </w:numPr>
        <w:rPr>
          <w:rFonts w:ascii="Arial" w:cs="Arial" w:eastAsia="Arial" w:hAnsi="Arial"/>
          <w:sz w:val="16"/>
          <w:szCs w:val="16"/>
          <w:color w:val="003A70"/>
        </w:rPr>
      </w:pPr>
      <w:r>
        <w:rPr>
          <w:rFonts w:ascii="Arial" w:cs="Arial" w:eastAsia="Arial" w:hAnsi="Arial"/>
          <w:sz w:val="16"/>
          <w:szCs w:val="16"/>
          <w:color w:val="auto"/>
        </w:rPr>
        <w:t>an annual equity grant (the “Non-Employee Director Share Awards”) with a grant date value of $175,000 for each non-employee director other than the Chairman and $250,000 for the Chairman.</w:t>
      </w:r>
    </w:p>
    <w:p>
      <w:pPr>
        <w:spacing w:after="0" w:line="48"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The Non-Employee Director Share Awards vest immediately upon grant. Non-Employee Director Share Awards granted prior to 2016 represent the right to receive shares of the Company’s Common Stock upon a director’s completion of Board service. Since 2016, a non-employee director who has achieved the ownership level required by our stock ownership guidelines at such time (without giving effect to any time permitted for achievement) has been permitted to elect one of the following options with respect to each grant of Non-Employee Director Share Awards:</w:t>
      </w:r>
    </w:p>
    <w:p>
      <w:pPr>
        <w:spacing w:after="0" w:line="2" w:lineRule="exact"/>
        <w:rPr>
          <w:sz w:val="20"/>
          <w:szCs w:val="20"/>
          <w:color w:val="auto"/>
        </w:rPr>
      </w:pPr>
    </w:p>
    <w:p>
      <w:pPr>
        <w:jc w:val="both"/>
        <w:ind w:left="340" w:right="460" w:hanging="224"/>
        <w:spacing w:after="0" w:line="264" w:lineRule="auto"/>
        <w:tabs>
          <w:tab w:leader="none" w:pos="340" w:val="left"/>
        </w:tabs>
        <w:numPr>
          <w:ilvl w:val="0"/>
          <w:numId w:val="112"/>
        </w:numPr>
        <w:rPr>
          <w:rFonts w:ascii="Arial" w:cs="Arial" w:eastAsia="Arial" w:hAnsi="Arial"/>
          <w:sz w:val="16"/>
          <w:szCs w:val="16"/>
          <w:color w:val="003A70"/>
        </w:rPr>
      </w:pPr>
      <w:r>
        <w:rPr>
          <w:rFonts w:ascii="Arial" w:cs="Arial" w:eastAsia="Arial" w:hAnsi="Arial"/>
          <w:sz w:val="16"/>
          <w:szCs w:val="16"/>
          <w:color w:val="auto"/>
        </w:rPr>
        <w:t>to receive the Non-Employee Director Share Awards in the form of stock units with terms, including the payment of dividends, as specified in the relevant equity plan, with distribution in the form of shares of the Company’s Common Stock to occur as elected by the non-employee director as permitted pursuant to the relevant equity plan; or</w:t>
      </w:r>
    </w:p>
    <w:p>
      <w:pPr>
        <w:ind w:left="340" w:right="460" w:hanging="224"/>
        <w:spacing w:after="0" w:line="286" w:lineRule="auto"/>
        <w:tabs>
          <w:tab w:leader="none" w:pos="340" w:val="left"/>
        </w:tabs>
        <w:numPr>
          <w:ilvl w:val="0"/>
          <w:numId w:val="112"/>
        </w:numPr>
        <w:rPr>
          <w:rFonts w:ascii="Arial" w:cs="Arial" w:eastAsia="Arial" w:hAnsi="Arial"/>
          <w:sz w:val="16"/>
          <w:szCs w:val="16"/>
          <w:color w:val="003A70"/>
        </w:rPr>
      </w:pPr>
      <w:r>
        <w:rPr>
          <w:rFonts w:ascii="Arial" w:cs="Arial" w:eastAsia="Arial" w:hAnsi="Arial"/>
          <w:sz w:val="16"/>
          <w:szCs w:val="16"/>
          <w:color w:val="auto"/>
        </w:rPr>
        <w:t>to receive the Non-Employee Director Share Awards in the form of shares of the Company’s Common Stock, to be issued as soon as practicable following the grant date.</w:t>
      </w:r>
    </w:p>
    <w:p>
      <w:pPr>
        <w:spacing w:after="0" w:line="48"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If no election is made, Non-Employee Director Share Awards will represent the right to receive shares of the Company’s Common Stock upon a director’s completion of Board service. When the Company pays a cash dividend, a corresponding dividend equivalent payment is paid in cash with respect to the Non-Employee Director Share Awards. Non-Employee Director Share Awards cannot be transferred or assigned, and the director has no voting rights in the shares of Common Stock underlying the awards until such time as such shares are distributed to the non-employee director.</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summarizes the compensation paid to our non-employee directors during the fiscal year ended December 31, 2025.</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4300" w:type="dxa"/>
            <w:vAlign w:val="bottom"/>
          </w:tcPr>
          <w:p>
            <w:pPr>
              <w:jc w:val="center"/>
              <w:ind w:left="3001"/>
              <w:spacing w:after="0"/>
              <w:rPr>
                <w:sz w:val="20"/>
                <w:szCs w:val="20"/>
                <w:color w:val="auto"/>
              </w:rPr>
            </w:pPr>
            <w:r>
              <w:rPr>
                <w:rFonts w:ascii="Arial" w:cs="Arial" w:eastAsia="Arial" w:hAnsi="Arial"/>
                <w:sz w:val="14"/>
                <w:szCs w:val="14"/>
                <w:color w:val="003A70"/>
              </w:rPr>
              <w:t>Fees Earned</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4960" w:type="dxa"/>
            <w:vAlign w:val="bottom"/>
          </w:tcPr>
          <w:p>
            <w:pPr>
              <w:spacing w:after="0"/>
              <w:rPr>
                <w:sz w:val="13"/>
                <w:szCs w:val="13"/>
                <w:color w:val="auto"/>
              </w:rPr>
            </w:pPr>
          </w:p>
        </w:tc>
        <w:tc>
          <w:tcPr>
            <w:tcW w:w="4300" w:type="dxa"/>
            <w:vAlign w:val="bottom"/>
          </w:tcPr>
          <w:p>
            <w:pPr>
              <w:jc w:val="center"/>
              <w:ind w:left="2981"/>
              <w:spacing w:after="0" w:line="158" w:lineRule="exact"/>
              <w:rPr>
                <w:sz w:val="20"/>
                <w:szCs w:val="20"/>
                <w:color w:val="auto"/>
              </w:rPr>
            </w:pPr>
            <w:r>
              <w:rPr>
                <w:rFonts w:ascii="Arial" w:cs="Arial" w:eastAsia="Arial" w:hAnsi="Arial"/>
                <w:sz w:val="14"/>
                <w:szCs w:val="14"/>
                <w:color w:val="003A70"/>
              </w:rPr>
              <w:t>or Paid in</w:t>
            </w:r>
          </w:p>
        </w:tc>
        <w:tc>
          <w:tcPr>
            <w:tcW w:w="960" w:type="dxa"/>
            <w:vAlign w:val="bottom"/>
          </w:tcPr>
          <w:p>
            <w:pPr>
              <w:jc w:val="right"/>
              <w:ind w:right="200"/>
              <w:spacing w:after="0" w:line="158" w:lineRule="exact"/>
              <w:rPr>
                <w:sz w:val="20"/>
                <w:szCs w:val="20"/>
                <w:color w:val="auto"/>
              </w:rPr>
            </w:pPr>
            <w:r>
              <w:rPr>
                <w:rFonts w:ascii="Arial" w:cs="Arial" w:eastAsia="Arial" w:hAnsi="Arial"/>
                <w:sz w:val="14"/>
                <w:szCs w:val="14"/>
                <w:color w:val="003A70"/>
              </w:rPr>
              <w:t>Stock</w:t>
            </w:r>
          </w:p>
        </w:tc>
        <w:tc>
          <w:tcPr>
            <w:tcW w:w="800" w:type="dxa"/>
            <w:vAlign w:val="bottom"/>
          </w:tcPr>
          <w:p>
            <w:pPr>
              <w:spacing w:after="0"/>
              <w:rPr>
                <w:sz w:val="13"/>
                <w:szCs w:val="13"/>
                <w:color w:val="auto"/>
              </w:rPr>
            </w:pPr>
          </w:p>
        </w:tc>
      </w:tr>
      <w:tr>
        <w:trPr>
          <w:trHeight w:val="196"/>
        </w:trPr>
        <w:tc>
          <w:tcPr>
            <w:tcW w:w="496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Name</w:t>
            </w:r>
          </w:p>
        </w:tc>
        <w:tc>
          <w:tcPr>
            <w:tcW w:w="4300" w:type="dxa"/>
            <w:vAlign w:val="bottom"/>
            <w:tcBorders>
              <w:bottom w:val="single" w:sz="8" w:color="003A70"/>
            </w:tcBorders>
          </w:tcPr>
          <w:p>
            <w:pPr>
              <w:jc w:val="center"/>
              <w:ind w:left="2981"/>
              <w:spacing w:after="0" w:line="189" w:lineRule="exact"/>
              <w:rPr>
                <w:sz w:val="20"/>
                <w:szCs w:val="20"/>
                <w:color w:val="auto"/>
              </w:rPr>
            </w:pPr>
            <w:r>
              <w:rPr>
                <w:rFonts w:ascii="Arial" w:cs="Arial" w:eastAsia="Arial" w:hAnsi="Arial"/>
                <w:sz w:val="14"/>
                <w:szCs w:val="14"/>
                <w:color w:val="003A70"/>
                <w:w w:val="91"/>
              </w:rPr>
              <w:t>Cash</w:t>
            </w:r>
            <w:r>
              <w:rPr>
                <w:rFonts w:ascii="Arial" w:cs="Arial" w:eastAsia="Arial" w:hAnsi="Arial"/>
                <w:sz w:val="21"/>
                <w:szCs w:val="21"/>
                <w:color w:val="003A70"/>
                <w:w w:val="91"/>
                <w:vertAlign w:val="superscript"/>
              </w:rPr>
              <w:t>1,2</w:t>
            </w:r>
          </w:p>
        </w:tc>
        <w:tc>
          <w:tcPr>
            <w:tcW w:w="960" w:type="dxa"/>
            <w:vAlign w:val="bottom"/>
            <w:tcBorders>
              <w:bottom w:val="single" w:sz="8" w:color="003A70"/>
            </w:tcBorders>
          </w:tcPr>
          <w:p>
            <w:pPr>
              <w:jc w:val="right"/>
              <w:ind w:right="100"/>
              <w:spacing w:after="0" w:line="189" w:lineRule="exact"/>
              <w:rPr>
                <w:sz w:val="20"/>
                <w:szCs w:val="20"/>
                <w:color w:val="auto"/>
              </w:rPr>
            </w:pPr>
            <w:r>
              <w:rPr>
                <w:rFonts w:ascii="Arial" w:cs="Arial" w:eastAsia="Arial" w:hAnsi="Arial"/>
                <w:sz w:val="14"/>
                <w:szCs w:val="14"/>
                <w:color w:val="003A70"/>
              </w:rPr>
              <w:t>Awards</w:t>
            </w:r>
            <w:r>
              <w:rPr>
                <w:rFonts w:ascii="Arial" w:cs="Arial" w:eastAsia="Arial" w:hAnsi="Arial"/>
                <w:sz w:val="21"/>
                <w:szCs w:val="21"/>
                <w:color w:val="003A70"/>
                <w:vertAlign w:val="superscript"/>
              </w:rPr>
              <w:t>3</w:t>
            </w:r>
          </w:p>
        </w:tc>
        <w:tc>
          <w:tcPr>
            <w:tcW w:w="800" w:type="dxa"/>
            <w:vAlign w:val="bottom"/>
            <w:tcBorders>
              <w:bottom w:val="single" w:sz="8" w:color="003A70"/>
            </w:tcBorders>
          </w:tcPr>
          <w:p>
            <w:pPr>
              <w:jc w:val="right"/>
              <w:ind w:right="160"/>
              <w:spacing w:after="0"/>
              <w:rPr>
                <w:sz w:val="20"/>
                <w:szCs w:val="20"/>
                <w:color w:val="auto"/>
              </w:rPr>
            </w:pPr>
            <w:r>
              <w:rPr>
                <w:rFonts w:ascii="Arial" w:cs="Arial" w:eastAsia="Arial" w:hAnsi="Arial"/>
                <w:sz w:val="14"/>
                <w:szCs w:val="14"/>
                <w:color w:val="003A70"/>
              </w:rPr>
              <w:t>Total</w:t>
            </w:r>
          </w:p>
        </w:tc>
      </w:tr>
      <w:tr>
        <w:trPr>
          <w:trHeight w:val="189"/>
        </w:trPr>
        <w:tc>
          <w:tcPr>
            <w:tcW w:w="4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William J. Shaw</w:t>
            </w:r>
          </w:p>
        </w:tc>
        <w:tc>
          <w:tcPr>
            <w:tcW w:w="43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$150,000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$284,998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$434,998</w:t>
            </w:r>
          </w:p>
        </w:tc>
      </w:tr>
      <w:tr>
        <w:trPr>
          <w:trHeight w:val="183"/>
        </w:trPr>
        <w:tc>
          <w:tcPr>
            <w:tcW w:w="49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C.E. Andrews</w:t>
            </w:r>
          </w:p>
        </w:tc>
        <w:tc>
          <w:tcPr>
            <w:tcW w:w="430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color w:val="auto"/>
              </w:rPr>
              <w:t>135,000</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209,999</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344,999</w:t>
            </w:r>
          </w:p>
        </w:tc>
      </w:tr>
      <w:tr>
        <w:trPr>
          <w:trHeight w:val="183"/>
        </w:trPr>
        <w:tc>
          <w:tcPr>
            <w:tcW w:w="49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Christian Asmar</w:t>
            </w:r>
          </w:p>
        </w:tc>
        <w:tc>
          <w:tcPr>
            <w:tcW w:w="430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color w:val="auto"/>
              </w:rPr>
              <w:t>93,026</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93,026</w:t>
            </w:r>
          </w:p>
        </w:tc>
      </w:tr>
      <w:tr>
        <w:trPr>
          <w:trHeight w:val="183"/>
        </w:trPr>
        <w:tc>
          <w:tcPr>
            <w:tcW w:w="49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James Dausch</w:t>
            </w:r>
          </w:p>
        </w:tc>
        <w:tc>
          <w:tcPr>
            <w:tcW w:w="430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color w:val="auto"/>
              </w:rPr>
              <w:t>89,124</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209,999</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299,123</w:t>
            </w:r>
          </w:p>
        </w:tc>
      </w:tr>
      <w:tr>
        <w:trPr>
          <w:trHeight w:val="183"/>
        </w:trPr>
        <w:tc>
          <w:tcPr>
            <w:tcW w:w="49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Lizanne Galbreath</w:t>
            </w:r>
          </w:p>
        </w:tc>
        <w:tc>
          <w:tcPr>
            <w:tcW w:w="430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color w:val="auto"/>
              </w:rPr>
              <w:t>120,000</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209,999</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329,999</w:t>
            </w:r>
          </w:p>
        </w:tc>
      </w:tr>
      <w:tr>
        <w:trPr>
          <w:trHeight w:val="183"/>
        </w:trPr>
        <w:tc>
          <w:tcPr>
            <w:tcW w:w="49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Mary E. Galligan</w:t>
            </w:r>
          </w:p>
        </w:tc>
        <w:tc>
          <w:tcPr>
            <w:tcW w:w="430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color w:val="auto"/>
              </w:rPr>
              <w:t>110,000</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214,975</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324,975</w:t>
            </w:r>
          </w:p>
        </w:tc>
      </w:tr>
      <w:tr>
        <w:trPr>
          <w:trHeight w:val="183"/>
        </w:trPr>
        <w:tc>
          <w:tcPr>
            <w:tcW w:w="49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Raymond L. Gellein, Jr.</w:t>
            </w:r>
          </w:p>
        </w:tc>
        <w:tc>
          <w:tcPr>
            <w:tcW w:w="430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color w:val="auto"/>
              </w:rPr>
              <w:t>44,176</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44,176</w:t>
            </w:r>
          </w:p>
        </w:tc>
      </w:tr>
      <w:tr>
        <w:trPr>
          <w:trHeight w:val="183"/>
        </w:trPr>
        <w:tc>
          <w:tcPr>
            <w:tcW w:w="49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Jonice M. Gray</w:t>
            </w:r>
          </w:p>
        </w:tc>
        <w:tc>
          <w:tcPr>
            <w:tcW w:w="430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color w:val="auto"/>
              </w:rPr>
              <w:t>120,000</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214,975</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334,975</w:t>
            </w:r>
          </w:p>
        </w:tc>
      </w:tr>
      <w:tr>
        <w:trPr>
          <w:trHeight w:val="183"/>
        </w:trPr>
        <w:tc>
          <w:tcPr>
            <w:tcW w:w="49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Melquiades R. Martinez</w:t>
            </w:r>
          </w:p>
        </w:tc>
        <w:tc>
          <w:tcPr>
            <w:tcW w:w="430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color w:val="auto"/>
              </w:rPr>
              <w:t>40,495</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40,495</w:t>
            </w:r>
          </w:p>
        </w:tc>
      </w:tr>
      <w:tr>
        <w:trPr>
          <w:trHeight w:val="183"/>
        </w:trPr>
        <w:tc>
          <w:tcPr>
            <w:tcW w:w="49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William W. McCarten</w:t>
            </w:r>
          </w:p>
        </w:tc>
        <w:tc>
          <w:tcPr>
            <w:tcW w:w="430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color w:val="auto"/>
              </w:rPr>
              <w:t>120,000</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209,999</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329,999</w:t>
            </w:r>
          </w:p>
        </w:tc>
      </w:tr>
      <w:tr>
        <w:trPr>
          <w:trHeight w:val="183"/>
        </w:trPr>
        <w:tc>
          <w:tcPr>
            <w:tcW w:w="49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Dianna F. Morgan</w:t>
            </w:r>
          </w:p>
        </w:tc>
        <w:tc>
          <w:tcPr>
            <w:tcW w:w="4300" w:type="dxa"/>
            <w:vAlign w:val="bottom"/>
            <w:tcBorders>
              <w:bottom w:val="single" w:sz="8" w:color="auto"/>
            </w:tcBorders>
          </w:tcPr>
          <w:p>
            <w:pPr>
              <w:jc w:val="right"/>
              <w:ind w:right="201"/>
              <w:spacing w:after="0" w:line="183" w:lineRule="exact"/>
              <w:rPr>
                <w:sz w:val="20"/>
                <w:szCs w:val="20"/>
                <w:color w:val="auto"/>
              </w:rPr>
            </w:pPr>
            <w:r>
              <w:rPr>
                <w:rFonts w:ascii="Arial" w:cs="Arial" w:eastAsia="Arial" w:hAnsi="Arial"/>
                <w:sz w:val="16"/>
                <w:szCs w:val="16"/>
                <w:color w:val="auto"/>
              </w:rPr>
              <w:t>135,000</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209,999</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344,999</w:t>
            </w:r>
          </w:p>
        </w:tc>
      </w:tr>
      <w:tr>
        <w:trPr>
          <w:trHeight w:val="183"/>
        </w:trPr>
        <w:tc>
          <w:tcPr>
            <w:tcW w:w="4960" w:type="dxa"/>
            <w:vAlign w:val="bottom"/>
            <w:tcBorders>
              <w:bottom w:val="single" w:sz="8" w:color="003A70"/>
            </w:tcBorders>
          </w:tcPr>
          <w:p>
            <w:pPr>
              <w:spacing w:after="0" w:line="183" w:lineRule="exact"/>
              <w:rPr>
                <w:sz w:val="20"/>
                <w:szCs w:val="20"/>
                <w:color w:val="auto"/>
              </w:rPr>
            </w:pPr>
            <w:r>
              <w:rPr>
                <w:rFonts w:ascii="Arial" w:cs="Arial" w:eastAsia="Arial" w:hAnsi="Arial"/>
                <w:sz w:val="16"/>
                <w:szCs w:val="16"/>
                <w:color w:val="auto"/>
              </w:rPr>
              <w:t>Stephen R. Quazzo</w:t>
            </w:r>
          </w:p>
        </w:tc>
        <w:tc>
          <w:tcPr>
            <w:tcW w:w="4300" w:type="dxa"/>
            <w:vAlign w:val="bottom"/>
            <w:tcBorders>
              <w:bottom w:val="single" w:sz="8" w:color="003A70"/>
            </w:tcBorders>
          </w:tcPr>
          <w:p>
            <w:pPr>
              <w:jc w:val="right"/>
              <w:ind w:right="201"/>
              <w:spacing w:after="0" w:line="183" w:lineRule="exact"/>
              <w:rPr>
                <w:sz w:val="20"/>
                <w:szCs w:val="20"/>
                <w:color w:val="auto"/>
              </w:rPr>
            </w:pPr>
            <w:r>
              <w:rPr>
                <w:rFonts w:ascii="Arial" w:cs="Arial" w:eastAsia="Arial" w:hAnsi="Arial"/>
                <w:sz w:val="16"/>
                <w:szCs w:val="16"/>
                <w:color w:val="auto"/>
              </w:rPr>
              <w:t>135,000</w:t>
            </w:r>
          </w:p>
        </w:tc>
        <w:tc>
          <w:tcPr>
            <w:tcW w:w="960" w:type="dxa"/>
            <w:vAlign w:val="bottom"/>
            <w:tcBorders>
              <w:bottom w:val="single" w:sz="8" w:color="003A70"/>
            </w:tcBorders>
          </w:tcPr>
          <w:p>
            <w:pPr>
              <w:jc w:val="right"/>
              <w:spacing w:after="0" w:line="183" w:lineRule="exact"/>
              <w:rPr>
                <w:sz w:val="20"/>
                <w:szCs w:val="20"/>
                <w:color w:val="auto"/>
              </w:rPr>
            </w:pPr>
            <w:r>
              <w:rPr>
                <w:rFonts w:ascii="Arial" w:cs="Arial" w:eastAsia="Arial" w:hAnsi="Arial"/>
                <w:sz w:val="16"/>
                <w:szCs w:val="16"/>
                <w:color w:val="auto"/>
              </w:rPr>
              <w:t>209,999</w:t>
            </w:r>
          </w:p>
        </w:tc>
        <w:tc>
          <w:tcPr>
            <w:tcW w:w="800" w:type="dxa"/>
            <w:vAlign w:val="bottom"/>
            <w:tcBorders>
              <w:bottom w:val="single" w:sz="8" w:color="003A70"/>
            </w:tcBorders>
          </w:tcPr>
          <w:p>
            <w:pPr>
              <w:jc w:val="right"/>
              <w:spacing w:after="0" w:line="183" w:lineRule="exact"/>
              <w:rPr>
                <w:sz w:val="20"/>
                <w:szCs w:val="20"/>
                <w:color w:val="auto"/>
              </w:rPr>
            </w:pPr>
            <w:r>
              <w:rPr>
                <w:rFonts w:ascii="Arial" w:cs="Arial" w:eastAsia="Arial" w:hAnsi="Arial"/>
                <w:sz w:val="16"/>
                <w:szCs w:val="16"/>
                <w:color w:val="auto"/>
              </w:rPr>
              <w:t>344,999</w:t>
            </w:r>
          </w:p>
        </w:tc>
      </w:tr>
    </w:tbl>
    <w:p>
      <w:pPr>
        <w:spacing w:after="0" w:line="72" w:lineRule="exact"/>
        <w:rPr>
          <w:sz w:val="20"/>
          <w:szCs w:val="20"/>
          <w:color w:val="auto"/>
        </w:rPr>
      </w:pPr>
    </w:p>
    <w:p>
      <w:pPr>
        <w:ind w:left="440" w:right="160" w:hanging="324"/>
        <w:spacing w:after="0" w:line="204" w:lineRule="auto"/>
        <w:tabs>
          <w:tab w:leader="none" w:pos="440" w:val="left"/>
        </w:tabs>
        <w:numPr>
          <w:ilvl w:val="0"/>
          <w:numId w:val="113"/>
        </w:numPr>
        <w:rPr>
          <w:rFonts w:ascii="Arial" w:cs="Arial" w:eastAsia="Arial" w:hAnsi="Arial"/>
          <w:sz w:val="22"/>
          <w:szCs w:val="22"/>
          <w:color w:val="auto"/>
          <w:vertAlign w:val="superscript"/>
        </w:rPr>
      </w:pPr>
      <w:r>
        <w:rPr>
          <w:rFonts w:ascii="Arial" w:cs="Arial" w:eastAsia="Arial" w:hAnsi="Arial"/>
          <w:sz w:val="14"/>
          <w:szCs w:val="14"/>
          <w:color w:val="auto"/>
        </w:rPr>
        <w:t>Directors may elect to defer their cash retainer and committee fees pursuant to the MVW Deferred Compensation Plan. No director elected to defer their cash retainer and committee fees pursuant to the MVW Deferred Compensation Plan in 2025.</w:t>
      </w:r>
    </w:p>
    <w:p>
      <w:pPr>
        <w:spacing w:after="0" w:line="53" w:lineRule="exact"/>
        <w:rPr>
          <w:sz w:val="20"/>
          <w:szCs w:val="20"/>
          <w:color w:val="auto"/>
        </w:rPr>
      </w:pPr>
    </w:p>
    <w:p>
      <w:pPr>
        <w:ind w:left="440" w:right="120" w:hanging="324"/>
        <w:spacing w:after="0" w:line="220" w:lineRule="auto"/>
        <w:tabs>
          <w:tab w:leader="none" w:pos="440" w:val="left"/>
        </w:tabs>
        <w:numPr>
          <w:ilvl w:val="0"/>
          <w:numId w:val="114"/>
        </w:numPr>
        <w:rPr>
          <w:rFonts w:ascii="Arial" w:cs="Arial" w:eastAsia="Arial" w:hAnsi="Arial"/>
          <w:sz w:val="22"/>
          <w:szCs w:val="22"/>
          <w:color w:val="auto"/>
          <w:vertAlign w:val="superscript"/>
        </w:rPr>
      </w:pPr>
      <w:r>
        <w:rPr>
          <w:rFonts w:ascii="Arial" w:cs="Arial" w:eastAsia="Arial" w:hAnsi="Arial"/>
          <w:sz w:val="14"/>
          <w:szCs w:val="14"/>
          <w:color w:val="auto"/>
        </w:rPr>
        <w:t>Directors may elect to receive their cash retainer and committee fees in the form of equity awards. Mr. Gellein, Ms. Gray, and Mr. Asmar elected equity in lieu of their cash retainer in 2025. Mr. Gellein’s prorated retainer for the second quarter of 2025 was paid in cash. Mr. Asmar’s prorated retainer for the second quarter of 2025 was paid in cash. Due to an administrative error, Mr. Asmar received both an equity grant and cash retainer payment for the fourth quarter of 2025. Mr. Asmar is repaying such cash retainer in 2026.</w:t>
      </w:r>
    </w:p>
    <w:p>
      <w:pPr>
        <w:spacing w:after="0" w:line="118" w:lineRule="exact"/>
        <w:rPr>
          <w:sz w:val="20"/>
          <w:szCs w:val="20"/>
          <w:color w:val="auto"/>
        </w:rPr>
      </w:pPr>
    </w:p>
    <w:p>
      <w:pPr>
        <w:ind w:left="120"/>
        <w:spacing w:after="0"/>
        <w:tabs>
          <w:tab w:leader="none" w:pos="446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66" w:lineRule="exact"/>
        <w:rPr>
          <w:sz w:val="20"/>
          <w:szCs w:val="20"/>
          <w:color w:val="auto"/>
        </w:rPr>
      </w:pPr>
    </w:p>
    <w:p>
      <w:pPr>
        <w:ind w:left="540" w:hanging="208"/>
        <w:spacing w:after="0"/>
        <w:tabs>
          <w:tab w:leader="none" w:pos="540" w:val="left"/>
        </w:tabs>
        <w:numPr>
          <w:ilvl w:val="0"/>
          <w:numId w:val="115"/>
        </w:numPr>
        <w:rPr>
          <w:rFonts w:ascii="Arial" w:cs="Arial" w:eastAsia="Arial" w:hAnsi="Arial"/>
          <w:sz w:val="24"/>
          <w:szCs w:val="24"/>
          <w:color w:val="auto"/>
          <w:vertAlign w:val="superscript"/>
        </w:rPr>
      </w:pPr>
      <w:r>
        <w:rPr>
          <w:rFonts w:ascii="Arial" w:cs="Arial" w:eastAsia="Arial" w:hAnsi="Arial"/>
          <w:sz w:val="16"/>
          <w:szCs w:val="16"/>
          <w:color w:val="auto"/>
        </w:rPr>
        <w:t>The following table indicates the number of outstanding equity awards held by each non-employee director as of December 31, 2025.</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color w:val="003A70"/>
              </w:rPr>
              <w:t>Number of Securities</w:t>
            </w:r>
          </w:p>
        </w:tc>
        <w:tc>
          <w:tcPr>
            <w:tcW w:w="1820" w:type="dxa"/>
            <w:vAlign w:val="bottom"/>
          </w:tcPr>
          <w:p>
            <w:pPr>
              <w:jc w:val="center"/>
              <w:spacing w:after="0"/>
              <w:rPr>
                <w:sz w:val="20"/>
                <w:szCs w:val="20"/>
                <w:color w:val="auto"/>
              </w:rPr>
            </w:pPr>
            <w:r>
              <w:rPr>
                <w:rFonts w:ascii="Arial" w:cs="Arial" w:eastAsia="Arial" w:hAnsi="Arial"/>
                <w:sz w:val="14"/>
                <w:szCs w:val="14"/>
                <w:color w:val="003A70"/>
              </w:rPr>
              <w:t>Number of</w:t>
            </w:r>
          </w:p>
        </w:tc>
        <w:tc>
          <w:tcPr>
            <w:tcW w:w="1480" w:type="dxa"/>
            <w:vAlign w:val="bottom"/>
          </w:tcPr>
          <w:p>
            <w:pPr>
              <w:jc w:val="center"/>
              <w:ind w:left="81"/>
              <w:spacing w:after="0"/>
              <w:rPr>
                <w:sz w:val="20"/>
                <w:szCs w:val="20"/>
                <w:color w:val="auto"/>
              </w:rPr>
            </w:pPr>
            <w:r>
              <w:rPr>
                <w:rFonts w:ascii="Arial" w:cs="Arial" w:eastAsia="Arial" w:hAnsi="Arial"/>
                <w:sz w:val="14"/>
                <w:szCs w:val="14"/>
                <w:color w:val="003A70"/>
              </w:rPr>
              <w:t>Number of</w:t>
            </w:r>
          </w:p>
        </w:tc>
      </w:tr>
      <w:tr>
        <w:trPr>
          <w:trHeight w:val="162"/>
        </w:trPr>
        <w:tc>
          <w:tcPr>
            <w:tcW w:w="22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80" w:type="dxa"/>
            <w:vAlign w:val="bottom"/>
            <w:gridSpan w:val="2"/>
          </w:tcPr>
          <w:p>
            <w:pPr>
              <w:jc w:val="center"/>
              <w:spacing w:after="0"/>
              <w:rPr>
                <w:sz w:val="20"/>
                <w:szCs w:val="20"/>
                <w:color w:val="auto"/>
              </w:rPr>
            </w:pPr>
            <w:r>
              <w:rPr>
                <w:rFonts w:ascii="Arial" w:cs="Arial" w:eastAsia="Arial" w:hAnsi="Arial"/>
                <w:sz w:val="14"/>
                <w:szCs w:val="14"/>
                <w:color w:val="003A70"/>
              </w:rPr>
              <w:t>Underlying Unexercised</w:t>
            </w:r>
          </w:p>
        </w:tc>
        <w:tc>
          <w:tcPr>
            <w:tcW w:w="1820" w:type="dxa"/>
            <w:vAlign w:val="bottom"/>
          </w:tcPr>
          <w:p>
            <w:pPr>
              <w:jc w:val="center"/>
              <w:spacing w:after="0"/>
              <w:rPr>
                <w:sz w:val="20"/>
                <w:szCs w:val="20"/>
                <w:color w:val="auto"/>
              </w:rPr>
            </w:pPr>
            <w:r>
              <w:rPr>
                <w:rFonts w:ascii="Arial" w:cs="Arial" w:eastAsia="Arial" w:hAnsi="Arial"/>
                <w:sz w:val="14"/>
                <w:szCs w:val="14"/>
                <w:color w:val="003A70"/>
              </w:rPr>
              <w:t>Shares or Units</w:t>
            </w:r>
          </w:p>
        </w:tc>
        <w:tc>
          <w:tcPr>
            <w:tcW w:w="1480" w:type="dxa"/>
            <w:vAlign w:val="bottom"/>
          </w:tcPr>
          <w:p>
            <w:pPr>
              <w:jc w:val="center"/>
              <w:ind w:left="81"/>
              <w:spacing w:after="0"/>
              <w:rPr>
                <w:sz w:val="20"/>
                <w:szCs w:val="20"/>
                <w:color w:val="auto"/>
              </w:rPr>
            </w:pPr>
            <w:r>
              <w:rPr>
                <w:rFonts w:ascii="Arial" w:cs="Arial" w:eastAsia="Arial" w:hAnsi="Arial"/>
                <w:sz w:val="14"/>
                <w:szCs w:val="14"/>
                <w:color w:val="003A70"/>
              </w:rPr>
              <w:t>Shares or Units</w:t>
            </w:r>
          </w:p>
        </w:tc>
      </w:tr>
      <w:tr>
        <w:trPr>
          <w:trHeight w:val="171"/>
        </w:trPr>
        <w:tc>
          <w:tcPr>
            <w:tcW w:w="22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80" w:type="dxa"/>
            <w:vAlign w:val="bottom"/>
            <w:tcBorders>
              <w:bottom w:val="single" w:sz="8" w:color="003A70"/>
            </w:tcBorders>
            <w:gridSpan w:val="2"/>
          </w:tcPr>
          <w:p>
            <w:pPr>
              <w:jc w:val="center"/>
              <w:spacing w:after="0"/>
              <w:rPr>
                <w:sz w:val="20"/>
                <w:szCs w:val="20"/>
                <w:color w:val="auto"/>
              </w:rPr>
            </w:pPr>
            <w:r>
              <w:rPr>
                <w:rFonts w:ascii="Arial" w:cs="Arial" w:eastAsia="Arial" w:hAnsi="Arial"/>
                <w:sz w:val="14"/>
                <w:szCs w:val="14"/>
                <w:color w:val="003A70"/>
              </w:rPr>
              <w:t>Options/SARs</w:t>
            </w:r>
          </w:p>
        </w:tc>
        <w:tc>
          <w:tcPr>
            <w:tcW w:w="1820" w:type="dxa"/>
            <w:vAlign w:val="bottom"/>
          </w:tcPr>
          <w:p>
            <w:pPr>
              <w:jc w:val="center"/>
              <w:spacing w:after="0"/>
              <w:rPr>
                <w:sz w:val="20"/>
                <w:szCs w:val="20"/>
                <w:color w:val="auto"/>
              </w:rPr>
            </w:pPr>
            <w:r>
              <w:rPr>
                <w:rFonts w:ascii="Arial" w:cs="Arial" w:eastAsia="Arial" w:hAnsi="Arial"/>
                <w:sz w:val="14"/>
                <w:szCs w:val="14"/>
                <w:color w:val="003A70"/>
              </w:rPr>
              <w:t>of Stock That</w:t>
            </w:r>
          </w:p>
        </w:tc>
        <w:tc>
          <w:tcPr>
            <w:tcW w:w="1480" w:type="dxa"/>
            <w:vAlign w:val="bottom"/>
          </w:tcPr>
          <w:p>
            <w:pPr>
              <w:jc w:val="center"/>
              <w:ind w:left="81"/>
              <w:spacing w:after="0"/>
              <w:rPr>
                <w:sz w:val="20"/>
                <w:szCs w:val="20"/>
                <w:color w:val="auto"/>
              </w:rPr>
            </w:pPr>
            <w:r>
              <w:rPr>
                <w:rFonts w:ascii="Arial" w:cs="Arial" w:eastAsia="Arial" w:hAnsi="Arial"/>
                <w:sz w:val="14"/>
                <w:szCs w:val="14"/>
                <w:color w:val="003A70"/>
              </w:rPr>
              <w:t>of Stock That</w:t>
            </w:r>
          </w:p>
        </w:tc>
      </w:tr>
      <w:tr>
        <w:trPr>
          <w:trHeight w:val="176"/>
        </w:trPr>
        <w:tc>
          <w:tcPr>
            <w:tcW w:w="222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Name</w:t>
            </w:r>
          </w:p>
        </w:tc>
        <w:tc>
          <w:tcPr>
            <w:tcW w:w="3420" w:type="dxa"/>
            <w:vAlign w:val="bottom"/>
            <w:tcBorders>
              <w:bottom w:val="single" w:sz="8" w:color="003A70"/>
            </w:tcBorders>
          </w:tcPr>
          <w:p>
            <w:pPr>
              <w:ind w:left="520"/>
              <w:spacing w:after="0"/>
              <w:rPr>
                <w:sz w:val="20"/>
                <w:szCs w:val="20"/>
                <w:color w:val="auto"/>
              </w:rPr>
            </w:pPr>
            <w:r>
              <w:rPr>
                <w:rFonts w:ascii="Arial" w:cs="Arial" w:eastAsia="Arial" w:hAnsi="Arial"/>
                <w:sz w:val="14"/>
                <w:szCs w:val="14"/>
                <w:color w:val="003A70"/>
              </w:rPr>
              <w:t>Award Type</w:t>
            </w:r>
          </w:p>
        </w:tc>
        <w:tc>
          <w:tcPr>
            <w:tcW w:w="96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Exercisable</w:t>
            </w:r>
          </w:p>
        </w:tc>
        <w:tc>
          <w:tcPr>
            <w:tcW w:w="1120" w:type="dxa"/>
            <w:vAlign w:val="bottom"/>
            <w:tcBorders>
              <w:bottom w:val="single" w:sz="8" w:color="003A70"/>
            </w:tcBorders>
          </w:tcPr>
          <w:p>
            <w:pPr>
              <w:ind w:left="200"/>
              <w:spacing w:after="0"/>
              <w:rPr>
                <w:sz w:val="20"/>
                <w:szCs w:val="20"/>
                <w:color w:val="auto"/>
              </w:rPr>
            </w:pPr>
            <w:r>
              <w:rPr>
                <w:rFonts w:ascii="Arial" w:cs="Arial" w:eastAsia="Arial" w:hAnsi="Arial"/>
                <w:sz w:val="14"/>
                <w:szCs w:val="14"/>
                <w:color w:val="003A70"/>
              </w:rPr>
              <w:t>Unexercisable</w:t>
            </w:r>
          </w:p>
        </w:tc>
        <w:tc>
          <w:tcPr>
            <w:tcW w:w="18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color w:val="003A70"/>
              </w:rPr>
              <w:t>Have Not Vested</w:t>
            </w:r>
          </w:p>
        </w:tc>
        <w:tc>
          <w:tcPr>
            <w:tcW w:w="1480" w:type="dxa"/>
            <w:vAlign w:val="bottom"/>
            <w:tcBorders>
              <w:bottom w:val="single" w:sz="8" w:color="003A70"/>
            </w:tcBorders>
          </w:tcPr>
          <w:p>
            <w:pPr>
              <w:jc w:val="center"/>
              <w:ind w:left="61"/>
              <w:spacing w:after="0"/>
              <w:rPr>
                <w:sz w:val="20"/>
                <w:szCs w:val="20"/>
                <w:color w:val="auto"/>
              </w:rPr>
            </w:pPr>
            <w:r>
              <w:rPr>
                <w:rFonts w:ascii="Arial" w:cs="Arial" w:eastAsia="Arial" w:hAnsi="Arial"/>
                <w:sz w:val="14"/>
                <w:szCs w:val="14"/>
                <w:color w:val="003A70"/>
              </w:rPr>
              <w:t>Have Vested</w:t>
            </w:r>
          </w:p>
        </w:tc>
      </w:tr>
      <w:tr>
        <w:trPr>
          <w:trHeight w:val="189"/>
        </w:trPr>
        <w:tc>
          <w:tcPr>
            <w:tcW w:w="2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William J. Shaw</w:t>
            </w:r>
          </w:p>
        </w:tc>
        <w:tc>
          <w:tcPr>
            <w:tcW w:w="34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Non-Employee Director</w:t>
            </w: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33,528</w:t>
            </w:r>
          </w:p>
        </w:tc>
      </w:tr>
      <w:tr>
        <w:trPr>
          <w:trHeight w:val="183"/>
        </w:trPr>
        <w:tc>
          <w:tcPr>
            <w:tcW w:w="2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C.E. Andrews</w:t>
            </w:r>
          </w:p>
        </w:tc>
        <w:tc>
          <w:tcPr>
            <w:tcW w:w="3420" w:type="dxa"/>
            <w:vAlign w:val="bottom"/>
            <w:tcBorders>
              <w:bottom w:val="single" w:sz="8" w:color="auto"/>
            </w:tcBorders>
          </w:tcPr>
          <w:p>
            <w:pPr>
              <w:ind w:left="520"/>
              <w:spacing w:after="0" w:line="183" w:lineRule="exact"/>
              <w:rPr>
                <w:sz w:val="20"/>
                <w:szCs w:val="20"/>
                <w:color w:val="auto"/>
              </w:rPr>
            </w:pPr>
            <w:r>
              <w:rPr>
                <w:rFonts w:ascii="Arial" w:cs="Arial" w:eastAsia="Arial" w:hAnsi="Arial"/>
                <w:sz w:val="16"/>
                <w:szCs w:val="16"/>
                <w:color w:val="auto"/>
              </w:rPr>
              <w:t>Non-Employee Director</w:t>
            </w:r>
          </w:p>
        </w:tc>
        <w:tc>
          <w:tcPr>
            <w:tcW w:w="960" w:type="dxa"/>
            <w:vAlign w:val="bottom"/>
            <w:tcBorders>
              <w:bottom w:val="single" w:sz="8" w:color="auto"/>
            </w:tcBorders>
          </w:tcPr>
          <w:p>
            <w:pPr>
              <w:ind w:left="320"/>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620"/>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ind w:left="880"/>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22,871</w:t>
            </w:r>
          </w:p>
        </w:tc>
      </w:tr>
      <w:tr>
        <w:trPr>
          <w:trHeight w:val="168"/>
        </w:trPr>
        <w:tc>
          <w:tcPr>
            <w:tcW w:w="2220" w:type="dxa"/>
            <w:vAlign w:val="bottom"/>
          </w:tcPr>
          <w:p>
            <w:pPr>
              <w:spacing w:after="0" w:line="168" w:lineRule="exact"/>
              <w:rPr>
                <w:sz w:val="20"/>
                <w:szCs w:val="20"/>
                <w:color w:val="auto"/>
              </w:rPr>
            </w:pPr>
            <w:r>
              <w:rPr>
                <w:rFonts w:ascii="Arial" w:cs="Arial" w:eastAsia="Arial" w:hAnsi="Arial"/>
                <w:sz w:val="16"/>
                <w:szCs w:val="16"/>
                <w:color w:val="auto"/>
              </w:rPr>
              <w:t>Christian Asmar</w:t>
            </w:r>
          </w:p>
        </w:tc>
        <w:tc>
          <w:tcPr>
            <w:tcW w:w="3420" w:type="dxa"/>
            <w:vAlign w:val="bottom"/>
          </w:tcPr>
          <w:p>
            <w:pPr>
              <w:ind w:left="520"/>
              <w:spacing w:after="0" w:line="168" w:lineRule="exact"/>
              <w:rPr>
                <w:sz w:val="20"/>
                <w:szCs w:val="20"/>
                <w:color w:val="auto"/>
              </w:rPr>
            </w:pPr>
            <w:r>
              <w:rPr>
                <w:rFonts w:ascii="Arial" w:cs="Arial" w:eastAsia="Arial" w:hAnsi="Arial"/>
                <w:sz w:val="16"/>
                <w:szCs w:val="16"/>
                <w:color w:val="auto"/>
              </w:rPr>
              <w:t>Non-Employee Director</w:t>
            </w:r>
          </w:p>
        </w:tc>
        <w:tc>
          <w:tcPr>
            <w:tcW w:w="960" w:type="dxa"/>
            <w:vAlign w:val="bottom"/>
          </w:tcPr>
          <w:p>
            <w:pPr>
              <w:ind w:left="320"/>
              <w:spacing w:after="0" w:line="168" w:lineRule="exact"/>
              <w:rPr>
                <w:sz w:val="20"/>
                <w:szCs w:val="20"/>
                <w:color w:val="auto"/>
              </w:rPr>
            </w:pPr>
            <w:r>
              <w:rPr>
                <w:rFonts w:ascii="Arial" w:cs="Arial" w:eastAsia="Arial" w:hAnsi="Arial"/>
                <w:sz w:val="16"/>
                <w:szCs w:val="16"/>
                <w:color w:val="auto"/>
              </w:rPr>
              <w:t>—</w:t>
            </w:r>
          </w:p>
        </w:tc>
        <w:tc>
          <w:tcPr>
            <w:tcW w:w="1120" w:type="dxa"/>
            <w:vAlign w:val="bottom"/>
          </w:tcPr>
          <w:p>
            <w:pPr>
              <w:ind w:left="620"/>
              <w:spacing w:after="0" w:line="168" w:lineRule="exact"/>
              <w:rPr>
                <w:sz w:val="20"/>
                <w:szCs w:val="20"/>
                <w:color w:val="auto"/>
              </w:rPr>
            </w:pPr>
            <w:r>
              <w:rPr>
                <w:rFonts w:ascii="Arial" w:cs="Arial" w:eastAsia="Arial" w:hAnsi="Arial"/>
                <w:sz w:val="16"/>
                <w:szCs w:val="16"/>
                <w:color w:val="auto"/>
              </w:rPr>
              <w:t>—</w:t>
            </w:r>
          </w:p>
        </w:tc>
        <w:tc>
          <w:tcPr>
            <w:tcW w:w="1820" w:type="dxa"/>
            <w:vAlign w:val="bottom"/>
          </w:tcPr>
          <w:p>
            <w:pPr>
              <w:ind w:left="880"/>
              <w:spacing w:after="0" w:line="168"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301"/>
              <w:spacing w:after="0" w:line="168" w:lineRule="exact"/>
              <w:rPr>
                <w:sz w:val="20"/>
                <w:szCs w:val="20"/>
                <w:color w:val="auto"/>
              </w:rPr>
            </w:pPr>
            <w:r>
              <w:rPr>
                <w:rFonts w:ascii="Arial" w:cs="Arial" w:eastAsia="Arial" w:hAnsi="Arial"/>
                <w:sz w:val="16"/>
                <w:szCs w:val="16"/>
                <w:color w:val="auto"/>
              </w:rPr>
              <w:t>—</w:t>
            </w:r>
          </w:p>
        </w:tc>
      </w:tr>
      <w:tr>
        <w:trPr>
          <w:trHeight w:val="203"/>
        </w:trPr>
        <w:tc>
          <w:tcPr>
            <w:tcW w:w="22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Stock Units</w:t>
            </w: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834</w:t>
            </w:r>
          </w:p>
        </w:tc>
      </w:tr>
      <w:tr>
        <w:trPr>
          <w:trHeight w:val="183"/>
        </w:trPr>
        <w:tc>
          <w:tcPr>
            <w:tcW w:w="2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James Dausch</w:t>
            </w:r>
          </w:p>
        </w:tc>
        <w:tc>
          <w:tcPr>
            <w:tcW w:w="3420" w:type="dxa"/>
            <w:vAlign w:val="bottom"/>
            <w:tcBorders>
              <w:bottom w:val="single" w:sz="8" w:color="auto"/>
            </w:tcBorders>
          </w:tcPr>
          <w:p>
            <w:pPr>
              <w:ind w:left="520"/>
              <w:spacing w:after="0" w:line="183" w:lineRule="exact"/>
              <w:rPr>
                <w:sz w:val="20"/>
                <w:szCs w:val="20"/>
                <w:color w:val="auto"/>
              </w:rPr>
            </w:pPr>
            <w:r>
              <w:rPr>
                <w:rFonts w:ascii="Arial" w:cs="Arial" w:eastAsia="Arial" w:hAnsi="Arial"/>
                <w:sz w:val="16"/>
                <w:szCs w:val="16"/>
                <w:color w:val="auto"/>
              </w:rPr>
              <w:t>Non-Employee Director</w:t>
            </w:r>
          </w:p>
        </w:tc>
        <w:tc>
          <w:tcPr>
            <w:tcW w:w="960" w:type="dxa"/>
            <w:vAlign w:val="bottom"/>
            <w:tcBorders>
              <w:bottom w:val="single" w:sz="8" w:color="auto"/>
            </w:tcBorders>
          </w:tcPr>
          <w:p>
            <w:pPr>
              <w:ind w:left="320"/>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620"/>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ind w:left="880"/>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w:t>
            </w:r>
          </w:p>
        </w:tc>
      </w:tr>
      <w:tr>
        <w:trPr>
          <w:trHeight w:val="168"/>
        </w:trPr>
        <w:tc>
          <w:tcPr>
            <w:tcW w:w="2220" w:type="dxa"/>
            <w:vAlign w:val="bottom"/>
          </w:tcPr>
          <w:p>
            <w:pPr>
              <w:spacing w:after="0" w:line="168" w:lineRule="exact"/>
              <w:rPr>
                <w:sz w:val="20"/>
                <w:szCs w:val="20"/>
                <w:color w:val="auto"/>
              </w:rPr>
            </w:pPr>
            <w:r>
              <w:rPr>
                <w:rFonts w:ascii="Arial" w:cs="Arial" w:eastAsia="Arial" w:hAnsi="Arial"/>
                <w:sz w:val="16"/>
                <w:szCs w:val="16"/>
                <w:color w:val="auto"/>
              </w:rPr>
              <w:t>Lizanne Galbreath</w:t>
            </w:r>
          </w:p>
        </w:tc>
        <w:tc>
          <w:tcPr>
            <w:tcW w:w="3420" w:type="dxa"/>
            <w:vAlign w:val="bottom"/>
          </w:tcPr>
          <w:p>
            <w:pPr>
              <w:ind w:left="520"/>
              <w:spacing w:after="0" w:line="168" w:lineRule="exact"/>
              <w:rPr>
                <w:sz w:val="20"/>
                <w:szCs w:val="20"/>
                <w:color w:val="auto"/>
              </w:rPr>
            </w:pPr>
            <w:r>
              <w:rPr>
                <w:rFonts w:ascii="Arial" w:cs="Arial" w:eastAsia="Arial" w:hAnsi="Arial"/>
                <w:sz w:val="16"/>
                <w:szCs w:val="16"/>
                <w:color w:val="auto"/>
              </w:rPr>
              <w:t>Non-Employee Director</w:t>
            </w:r>
          </w:p>
        </w:tc>
        <w:tc>
          <w:tcPr>
            <w:tcW w:w="960" w:type="dxa"/>
            <w:vAlign w:val="bottom"/>
          </w:tcPr>
          <w:p>
            <w:pPr>
              <w:ind w:left="320"/>
              <w:spacing w:after="0" w:line="168" w:lineRule="exact"/>
              <w:rPr>
                <w:sz w:val="20"/>
                <w:szCs w:val="20"/>
                <w:color w:val="auto"/>
              </w:rPr>
            </w:pPr>
            <w:r>
              <w:rPr>
                <w:rFonts w:ascii="Arial" w:cs="Arial" w:eastAsia="Arial" w:hAnsi="Arial"/>
                <w:sz w:val="16"/>
                <w:szCs w:val="16"/>
                <w:color w:val="auto"/>
              </w:rPr>
              <w:t>—</w:t>
            </w:r>
          </w:p>
        </w:tc>
        <w:tc>
          <w:tcPr>
            <w:tcW w:w="1120" w:type="dxa"/>
            <w:vAlign w:val="bottom"/>
          </w:tcPr>
          <w:p>
            <w:pPr>
              <w:ind w:left="620"/>
              <w:spacing w:after="0" w:line="168" w:lineRule="exact"/>
              <w:rPr>
                <w:sz w:val="20"/>
                <w:szCs w:val="20"/>
                <w:color w:val="auto"/>
              </w:rPr>
            </w:pPr>
            <w:r>
              <w:rPr>
                <w:rFonts w:ascii="Arial" w:cs="Arial" w:eastAsia="Arial" w:hAnsi="Arial"/>
                <w:sz w:val="16"/>
                <w:szCs w:val="16"/>
                <w:color w:val="auto"/>
              </w:rPr>
              <w:t>—</w:t>
            </w:r>
          </w:p>
        </w:tc>
        <w:tc>
          <w:tcPr>
            <w:tcW w:w="1820" w:type="dxa"/>
            <w:vAlign w:val="bottom"/>
          </w:tcPr>
          <w:p>
            <w:pPr>
              <w:ind w:left="880"/>
              <w:spacing w:after="0" w:line="168"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301"/>
              <w:spacing w:after="0" w:line="168" w:lineRule="exact"/>
              <w:rPr>
                <w:sz w:val="20"/>
                <w:szCs w:val="20"/>
                <w:color w:val="auto"/>
              </w:rPr>
            </w:pPr>
            <w:r>
              <w:rPr>
                <w:rFonts w:ascii="Arial" w:cs="Arial" w:eastAsia="Arial" w:hAnsi="Arial"/>
                <w:sz w:val="16"/>
                <w:szCs w:val="16"/>
                <w:color w:val="auto"/>
              </w:rPr>
              <w:t>7,818</w:t>
            </w:r>
          </w:p>
        </w:tc>
      </w:tr>
      <w:tr>
        <w:trPr>
          <w:trHeight w:val="203"/>
        </w:trPr>
        <w:tc>
          <w:tcPr>
            <w:tcW w:w="22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Stock Units</w:t>
            </w: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2,929</w:t>
            </w:r>
          </w:p>
        </w:tc>
      </w:tr>
      <w:tr>
        <w:trPr>
          <w:trHeight w:val="183"/>
        </w:trPr>
        <w:tc>
          <w:tcPr>
            <w:tcW w:w="2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Mary E. Galligan</w:t>
            </w:r>
          </w:p>
        </w:tc>
        <w:tc>
          <w:tcPr>
            <w:tcW w:w="3420" w:type="dxa"/>
            <w:vAlign w:val="bottom"/>
            <w:tcBorders>
              <w:bottom w:val="single" w:sz="8" w:color="auto"/>
            </w:tcBorders>
          </w:tcPr>
          <w:p>
            <w:pPr>
              <w:ind w:left="520"/>
              <w:spacing w:after="0" w:line="183" w:lineRule="exact"/>
              <w:rPr>
                <w:sz w:val="20"/>
                <w:szCs w:val="20"/>
                <w:color w:val="auto"/>
              </w:rPr>
            </w:pPr>
            <w:r>
              <w:rPr>
                <w:rFonts w:ascii="Arial" w:cs="Arial" w:eastAsia="Arial" w:hAnsi="Arial"/>
                <w:sz w:val="16"/>
                <w:szCs w:val="16"/>
                <w:color w:val="auto"/>
              </w:rPr>
              <w:t>Non-Employee Director</w:t>
            </w:r>
          </w:p>
        </w:tc>
        <w:tc>
          <w:tcPr>
            <w:tcW w:w="960" w:type="dxa"/>
            <w:vAlign w:val="bottom"/>
            <w:tcBorders>
              <w:bottom w:val="single" w:sz="8" w:color="auto"/>
            </w:tcBorders>
          </w:tcPr>
          <w:p>
            <w:pPr>
              <w:ind w:left="320"/>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620"/>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ind w:left="880"/>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4,828</w:t>
            </w:r>
          </w:p>
        </w:tc>
      </w:tr>
      <w:tr>
        <w:trPr>
          <w:trHeight w:val="168"/>
        </w:trPr>
        <w:tc>
          <w:tcPr>
            <w:tcW w:w="2220" w:type="dxa"/>
            <w:vAlign w:val="bottom"/>
          </w:tcPr>
          <w:p>
            <w:pPr>
              <w:spacing w:after="0" w:line="168" w:lineRule="exact"/>
              <w:rPr>
                <w:sz w:val="20"/>
                <w:szCs w:val="20"/>
                <w:color w:val="auto"/>
              </w:rPr>
            </w:pPr>
            <w:r>
              <w:rPr>
                <w:rFonts w:ascii="Arial" w:cs="Arial" w:eastAsia="Arial" w:hAnsi="Arial"/>
                <w:sz w:val="16"/>
                <w:szCs w:val="16"/>
                <w:color w:val="auto"/>
              </w:rPr>
              <w:t>Raymond L. Gellein, Jr.</w:t>
            </w:r>
          </w:p>
        </w:tc>
        <w:tc>
          <w:tcPr>
            <w:tcW w:w="3420" w:type="dxa"/>
            <w:vAlign w:val="bottom"/>
          </w:tcPr>
          <w:p>
            <w:pPr>
              <w:ind w:left="520"/>
              <w:spacing w:after="0" w:line="168" w:lineRule="exact"/>
              <w:rPr>
                <w:sz w:val="20"/>
                <w:szCs w:val="20"/>
                <w:color w:val="auto"/>
              </w:rPr>
            </w:pPr>
            <w:r>
              <w:rPr>
                <w:rFonts w:ascii="Arial" w:cs="Arial" w:eastAsia="Arial" w:hAnsi="Arial"/>
                <w:sz w:val="16"/>
                <w:szCs w:val="16"/>
                <w:color w:val="auto"/>
              </w:rPr>
              <w:t>Non-Employee Director</w:t>
            </w:r>
          </w:p>
        </w:tc>
        <w:tc>
          <w:tcPr>
            <w:tcW w:w="960" w:type="dxa"/>
            <w:vAlign w:val="bottom"/>
          </w:tcPr>
          <w:p>
            <w:pPr>
              <w:ind w:left="320"/>
              <w:spacing w:after="0" w:line="168" w:lineRule="exact"/>
              <w:rPr>
                <w:sz w:val="20"/>
                <w:szCs w:val="20"/>
                <w:color w:val="auto"/>
              </w:rPr>
            </w:pPr>
            <w:r>
              <w:rPr>
                <w:rFonts w:ascii="Arial" w:cs="Arial" w:eastAsia="Arial" w:hAnsi="Arial"/>
                <w:sz w:val="16"/>
                <w:szCs w:val="16"/>
                <w:color w:val="auto"/>
              </w:rPr>
              <w:t>—</w:t>
            </w:r>
          </w:p>
        </w:tc>
        <w:tc>
          <w:tcPr>
            <w:tcW w:w="1120" w:type="dxa"/>
            <w:vAlign w:val="bottom"/>
          </w:tcPr>
          <w:p>
            <w:pPr>
              <w:ind w:left="620"/>
              <w:spacing w:after="0" w:line="168" w:lineRule="exact"/>
              <w:rPr>
                <w:sz w:val="20"/>
                <w:szCs w:val="20"/>
                <w:color w:val="auto"/>
              </w:rPr>
            </w:pPr>
            <w:r>
              <w:rPr>
                <w:rFonts w:ascii="Arial" w:cs="Arial" w:eastAsia="Arial" w:hAnsi="Arial"/>
                <w:sz w:val="16"/>
                <w:szCs w:val="16"/>
                <w:color w:val="auto"/>
              </w:rPr>
              <w:t>—</w:t>
            </w:r>
          </w:p>
        </w:tc>
        <w:tc>
          <w:tcPr>
            <w:tcW w:w="1820" w:type="dxa"/>
            <w:vAlign w:val="bottom"/>
          </w:tcPr>
          <w:p>
            <w:pPr>
              <w:ind w:left="880"/>
              <w:spacing w:after="0" w:line="168"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301"/>
              <w:spacing w:after="0" w:line="168" w:lineRule="exact"/>
              <w:rPr>
                <w:sz w:val="20"/>
                <w:szCs w:val="20"/>
                <w:color w:val="auto"/>
              </w:rPr>
            </w:pPr>
            <w:r>
              <w:rPr>
                <w:rFonts w:ascii="Arial" w:cs="Arial" w:eastAsia="Arial" w:hAnsi="Arial"/>
                <w:sz w:val="16"/>
                <w:szCs w:val="16"/>
                <w:color w:val="auto"/>
              </w:rPr>
              <w:t>—</w:t>
            </w:r>
          </w:p>
        </w:tc>
      </w:tr>
      <w:tr>
        <w:trPr>
          <w:trHeight w:val="203"/>
        </w:trPr>
        <w:tc>
          <w:tcPr>
            <w:tcW w:w="22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Stock Units</w:t>
            </w: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r>
      <w:tr>
        <w:trPr>
          <w:trHeight w:val="168"/>
        </w:trPr>
        <w:tc>
          <w:tcPr>
            <w:tcW w:w="2220" w:type="dxa"/>
            <w:vAlign w:val="bottom"/>
          </w:tcPr>
          <w:p>
            <w:pPr>
              <w:spacing w:after="0" w:line="168" w:lineRule="exact"/>
              <w:rPr>
                <w:sz w:val="20"/>
                <w:szCs w:val="20"/>
                <w:color w:val="auto"/>
              </w:rPr>
            </w:pPr>
            <w:r>
              <w:rPr>
                <w:rFonts w:ascii="Arial" w:cs="Arial" w:eastAsia="Arial" w:hAnsi="Arial"/>
                <w:sz w:val="16"/>
                <w:szCs w:val="16"/>
                <w:color w:val="auto"/>
              </w:rPr>
              <w:t>Jonice M. Gray</w:t>
            </w:r>
          </w:p>
        </w:tc>
        <w:tc>
          <w:tcPr>
            <w:tcW w:w="3420" w:type="dxa"/>
            <w:vAlign w:val="bottom"/>
          </w:tcPr>
          <w:p>
            <w:pPr>
              <w:ind w:left="520"/>
              <w:spacing w:after="0" w:line="168" w:lineRule="exact"/>
              <w:rPr>
                <w:sz w:val="20"/>
                <w:szCs w:val="20"/>
                <w:color w:val="auto"/>
              </w:rPr>
            </w:pPr>
            <w:r>
              <w:rPr>
                <w:rFonts w:ascii="Arial" w:cs="Arial" w:eastAsia="Arial" w:hAnsi="Arial"/>
                <w:sz w:val="16"/>
                <w:szCs w:val="16"/>
                <w:color w:val="auto"/>
              </w:rPr>
              <w:t>Non-Employee Director</w:t>
            </w:r>
          </w:p>
        </w:tc>
        <w:tc>
          <w:tcPr>
            <w:tcW w:w="960" w:type="dxa"/>
            <w:vAlign w:val="bottom"/>
          </w:tcPr>
          <w:p>
            <w:pPr>
              <w:ind w:left="320"/>
              <w:spacing w:after="0" w:line="168" w:lineRule="exact"/>
              <w:rPr>
                <w:sz w:val="20"/>
                <w:szCs w:val="20"/>
                <w:color w:val="auto"/>
              </w:rPr>
            </w:pPr>
            <w:r>
              <w:rPr>
                <w:rFonts w:ascii="Arial" w:cs="Arial" w:eastAsia="Arial" w:hAnsi="Arial"/>
                <w:sz w:val="16"/>
                <w:szCs w:val="16"/>
                <w:color w:val="auto"/>
              </w:rPr>
              <w:t>—</w:t>
            </w:r>
          </w:p>
        </w:tc>
        <w:tc>
          <w:tcPr>
            <w:tcW w:w="1120" w:type="dxa"/>
            <w:vAlign w:val="bottom"/>
          </w:tcPr>
          <w:p>
            <w:pPr>
              <w:ind w:left="620"/>
              <w:spacing w:after="0" w:line="168" w:lineRule="exact"/>
              <w:rPr>
                <w:sz w:val="20"/>
                <w:szCs w:val="20"/>
                <w:color w:val="auto"/>
              </w:rPr>
            </w:pPr>
            <w:r>
              <w:rPr>
                <w:rFonts w:ascii="Arial" w:cs="Arial" w:eastAsia="Arial" w:hAnsi="Arial"/>
                <w:sz w:val="16"/>
                <w:szCs w:val="16"/>
                <w:color w:val="auto"/>
              </w:rPr>
              <w:t>—</w:t>
            </w:r>
          </w:p>
        </w:tc>
        <w:tc>
          <w:tcPr>
            <w:tcW w:w="1820" w:type="dxa"/>
            <w:vAlign w:val="bottom"/>
          </w:tcPr>
          <w:p>
            <w:pPr>
              <w:ind w:left="880"/>
              <w:spacing w:after="0" w:line="168"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301"/>
              <w:spacing w:after="0" w:line="168" w:lineRule="exact"/>
              <w:rPr>
                <w:sz w:val="20"/>
                <w:szCs w:val="20"/>
                <w:color w:val="auto"/>
              </w:rPr>
            </w:pPr>
            <w:r>
              <w:rPr>
                <w:rFonts w:ascii="Arial" w:cs="Arial" w:eastAsia="Arial" w:hAnsi="Arial"/>
                <w:sz w:val="16"/>
                <w:szCs w:val="16"/>
                <w:color w:val="auto"/>
              </w:rPr>
              <w:t>7,687</w:t>
            </w:r>
          </w:p>
        </w:tc>
      </w:tr>
      <w:tr>
        <w:trPr>
          <w:trHeight w:val="203"/>
        </w:trPr>
        <w:tc>
          <w:tcPr>
            <w:tcW w:w="22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Stock Units</w:t>
            </w: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4,940</w:t>
            </w:r>
          </w:p>
        </w:tc>
      </w:tr>
      <w:tr>
        <w:trPr>
          <w:trHeight w:val="183"/>
        </w:trPr>
        <w:tc>
          <w:tcPr>
            <w:tcW w:w="2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Melquiades R. Martinez</w:t>
            </w:r>
          </w:p>
        </w:tc>
        <w:tc>
          <w:tcPr>
            <w:tcW w:w="3420" w:type="dxa"/>
            <w:vAlign w:val="bottom"/>
            <w:tcBorders>
              <w:bottom w:val="single" w:sz="8" w:color="auto"/>
            </w:tcBorders>
          </w:tcPr>
          <w:p>
            <w:pPr>
              <w:ind w:left="520"/>
              <w:spacing w:after="0" w:line="183" w:lineRule="exact"/>
              <w:rPr>
                <w:sz w:val="20"/>
                <w:szCs w:val="20"/>
                <w:color w:val="auto"/>
              </w:rPr>
            </w:pPr>
            <w:r>
              <w:rPr>
                <w:rFonts w:ascii="Arial" w:cs="Arial" w:eastAsia="Arial" w:hAnsi="Arial"/>
                <w:sz w:val="16"/>
                <w:szCs w:val="16"/>
                <w:color w:val="auto"/>
              </w:rPr>
              <w:t>Non-Employee Director</w:t>
            </w:r>
          </w:p>
        </w:tc>
        <w:tc>
          <w:tcPr>
            <w:tcW w:w="960" w:type="dxa"/>
            <w:vAlign w:val="bottom"/>
            <w:tcBorders>
              <w:bottom w:val="single" w:sz="8" w:color="auto"/>
            </w:tcBorders>
          </w:tcPr>
          <w:p>
            <w:pPr>
              <w:ind w:left="320"/>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620"/>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ind w:left="880"/>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w:t>
            </w:r>
          </w:p>
        </w:tc>
      </w:tr>
      <w:tr>
        <w:trPr>
          <w:trHeight w:val="183"/>
        </w:trPr>
        <w:tc>
          <w:tcPr>
            <w:tcW w:w="2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William W. McCarten</w:t>
            </w:r>
          </w:p>
        </w:tc>
        <w:tc>
          <w:tcPr>
            <w:tcW w:w="3420" w:type="dxa"/>
            <w:vAlign w:val="bottom"/>
            <w:tcBorders>
              <w:bottom w:val="single" w:sz="8" w:color="auto"/>
            </w:tcBorders>
          </w:tcPr>
          <w:p>
            <w:pPr>
              <w:ind w:left="520"/>
              <w:spacing w:after="0" w:line="183" w:lineRule="exact"/>
              <w:rPr>
                <w:sz w:val="20"/>
                <w:szCs w:val="20"/>
                <w:color w:val="auto"/>
              </w:rPr>
            </w:pPr>
            <w:r>
              <w:rPr>
                <w:rFonts w:ascii="Arial" w:cs="Arial" w:eastAsia="Arial" w:hAnsi="Arial"/>
                <w:sz w:val="16"/>
                <w:szCs w:val="16"/>
                <w:color w:val="auto"/>
              </w:rPr>
              <w:t>Non-Employee Director</w:t>
            </w:r>
          </w:p>
        </w:tc>
        <w:tc>
          <w:tcPr>
            <w:tcW w:w="960" w:type="dxa"/>
            <w:vAlign w:val="bottom"/>
            <w:tcBorders>
              <w:bottom w:val="single" w:sz="8" w:color="auto"/>
            </w:tcBorders>
          </w:tcPr>
          <w:p>
            <w:pPr>
              <w:ind w:left="320"/>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620"/>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ind w:left="880"/>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21,101</w:t>
            </w:r>
          </w:p>
        </w:tc>
      </w:tr>
      <w:tr>
        <w:trPr>
          <w:trHeight w:val="183"/>
        </w:trPr>
        <w:tc>
          <w:tcPr>
            <w:tcW w:w="2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Dianna F. Morgan</w:t>
            </w:r>
          </w:p>
        </w:tc>
        <w:tc>
          <w:tcPr>
            <w:tcW w:w="3420" w:type="dxa"/>
            <w:vAlign w:val="bottom"/>
            <w:tcBorders>
              <w:bottom w:val="single" w:sz="8" w:color="auto"/>
            </w:tcBorders>
          </w:tcPr>
          <w:p>
            <w:pPr>
              <w:ind w:left="520"/>
              <w:spacing w:after="0" w:line="183" w:lineRule="exact"/>
              <w:rPr>
                <w:sz w:val="20"/>
                <w:szCs w:val="20"/>
                <w:color w:val="auto"/>
              </w:rPr>
            </w:pPr>
            <w:r>
              <w:rPr>
                <w:rFonts w:ascii="Arial" w:cs="Arial" w:eastAsia="Arial" w:hAnsi="Arial"/>
                <w:sz w:val="16"/>
                <w:szCs w:val="16"/>
                <w:color w:val="auto"/>
              </w:rPr>
              <w:t>Non-Employee Director</w:t>
            </w:r>
          </w:p>
        </w:tc>
        <w:tc>
          <w:tcPr>
            <w:tcW w:w="960" w:type="dxa"/>
            <w:vAlign w:val="bottom"/>
            <w:tcBorders>
              <w:bottom w:val="single" w:sz="8" w:color="auto"/>
            </w:tcBorders>
          </w:tcPr>
          <w:p>
            <w:pPr>
              <w:ind w:left="320"/>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ind w:left="620"/>
              <w:spacing w:after="0" w:line="183" w:lineRule="exact"/>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ind w:left="880"/>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01"/>
              <w:spacing w:after="0" w:line="183" w:lineRule="exact"/>
              <w:rPr>
                <w:sz w:val="20"/>
                <w:szCs w:val="20"/>
                <w:color w:val="auto"/>
              </w:rPr>
            </w:pPr>
            <w:r>
              <w:rPr>
                <w:rFonts w:ascii="Arial" w:cs="Arial" w:eastAsia="Arial" w:hAnsi="Arial"/>
                <w:sz w:val="16"/>
                <w:szCs w:val="16"/>
                <w:color w:val="auto"/>
              </w:rPr>
              <w:t>13,523</w:t>
            </w:r>
          </w:p>
        </w:tc>
      </w:tr>
      <w:tr>
        <w:trPr>
          <w:trHeight w:val="168"/>
        </w:trPr>
        <w:tc>
          <w:tcPr>
            <w:tcW w:w="2220" w:type="dxa"/>
            <w:vAlign w:val="bottom"/>
          </w:tcPr>
          <w:p>
            <w:pPr>
              <w:spacing w:after="0" w:line="168" w:lineRule="exact"/>
              <w:rPr>
                <w:sz w:val="20"/>
                <w:szCs w:val="20"/>
                <w:color w:val="auto"/>
              </w:rPr>
            </w:pPr>
            <w:r>
              <w:rPr>
                <w:rFonts w:ascii="Arial" w:cs="Arial" w:eastAsia="Arial" w:hAnsi="Arial"/>
                <w:sz w:val="16"/>
                <w:szCs w:val="16"/>
                <w:color w:val="auto"/>
              </w:rPr>
              <w:t>Stephen R. Quazzo</w:t>
            </w:r>
          </w:p>
        </w:tc>
        <w:tc>
          <w:tcPr>
            <w:tcW w:w="3420" w:type="dxa"/>
            <w:vAlign w:val="bottom"/>
          </w:tcPr>
          <w:p>
            <w:pPr>
              <w:ind w:left="520"/>
              <w:spacing w:after="0" w:line="168" w:lineRule="exact"/>
              <w:rPr>
                <w:sz w:val="20"/>
                <w:szCs w:val="20"/>
                <w:color w:val="auto"/>
              </w:rPr>
            </w:pPr>
            <w:r>
              <w:rPr>
                <w:rFonts w:ascii="Arial" w:cs="Arial" w:eastAsia="Arial" w:hAnsi="Arial"/>
                <w:sz w:val="16"/>
                <w:szCs w:val="16"/>
                <w:color w:val="auto"/>
              </w:rPr>
              <w:t>Non-Employee Director</w:t>
            </w:r>
          </w:p>
        </w:tc>
        <w:tc>
          <w:tcPr>
            <w:tcW w:w="960" w:type="dxa"/>
            <w:vAlign w:val="bottom"/>
          </w:tcPr>
          <w:p>
            <w:pPr>
              <w:ind w:left="320"/>
              <w:spacing w:after="0" w:line="168" w:lineRule="exact"/>
              <w:rPr>
                <w:sz w:val="20"/>
                <w:szCs w:val="20"/>
                <w:color w:val="auto"/>
              </w:rPr>
            </w:pPr>
            <w:r>
              <w:rPr>
                <w:rFonts w:ascii="Arial" w:cs="Arial" w:eastAsia="Arial" w:hAnsi="Arial"/>
                <w:sz w:val="16"/>
                <w:szCs w:val="16"/>
                <w:color w:val="auto"/>
              </w:rPr>
              <w:t>—</w:t>
            </w:r>
          </w:p>
        </w:tc>
        <w:tc>
          <w:tcPr>
            <w:tcW w:w="1120" w:type="dxa"/>
            <w:vAlign w:val="bottom"/>
          </w:tcPr>
          <w:p>
            <w:pPr>
              <w:ind w:left="620"/>
              <w:spacing w:after="0" w:line="168" w:lineRule="exact"/>
              <w:rPr>
                <w:sz w:val="20"/>
                <w:szCs w:val="20"/>
                <w:color w:val="auto"/>
              </w:rPr>
            </w:pPr>
            <w:r>
              <w:rPr>
                <w:rFonts w:ascii="Arial" w:cs="Arial" w:eastAsia="Arial" w:hAnsi="Arial"/>
                <w:sz w:val="16"/>
                <w:szCs w:val="16"/>
                <w:color w:val="auto"/>
              </w:rPr>
              <w:t>—</w:t>
            </w:r>
          </w:p>
        </w:tc>
        <w:tc>
          <w:tcPr>
            <w:tcW w:w="1820" w:type="dxa"/>
            <w:vAlign w:val="bottom"/>
          </w:tcPr>
          <w:p>
            <w:pPr>
              <w:ind w:left="880"/>
              <w:spacing w:after="0" w:line="168"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301"/>
              <w:spacing w:after="0" w:line="168" w:lineRule="exact"/>
              <w:rPr>
                <w:sz w:val="20"/>
                <w:szCs w:val="20"/>
                <w:color w:val="auto"/>
              </w:rPr>
            </w:pPr>
            <w:r>
              <w:rPr>
                <w:rFonts w:ascii="Arial" w:cs="Arial" w:eastAsia="Arial" w:hAnsi="Arial"/>
                <w:sz w:val="16"/>
                <w:szCs w:val="16"/>
                <w:color w:val="auto"/>
              </w:rPr>
              <w:t>1,816</w:t>
            </w:r>
          </w:p>
        </w:tc>
      </w:tr>
      <w:tr>
        <w:trPr>
          <w:trHeight w:val="203"/>
        </w:trPr>
        <w:tc>
          <w:tcPr>
            <w:tcW w:w="2220" w:type="dxa"/>
            <w:vAlign w:val="bottom"/>
            <w:tcBorders>
              <w:bottom w:val="single" w:sz="8" w:color="003A70"/>
            </w:tcBorders>
          </w:tcPr>
          <w:p>
            <w:pPr>
              <w:spacing w:after="0"/>
              <w:rPr>
                <w:sz w:val="17"/>
                <w:szCs w:val="17"/>
                <w:color w:val="auto"/>
              </w:rPr>
            </w:pPr>
          </w:p>
        </w:tc>
        <w:tc>
          <w:tcPr>
            <w:tcW w:w="3420" w:type="dxa"/>
            <w:vAlign w:val="bottom"/>
            <w:tcBorders>
              <w:bottom w:val="single" w:sz="8" w:color="003A70"/>
            </w:tcBorders>
          </w:tcPr>
          <w:p>
            <w:pPr>
              <w:ind w:left="520"/>
              <w:spacing w:after="0"/>
              <w:rPr>
                <w:sz w:val="20"/>
                <w:szCs w:val="20"/>
                <w:color w:val="auto"/>
              </w:rPr>
            </w:pPr>
            <w:r>
              <w:rPr>
                <w:rFonts w:ascii="Arial" w:cs="Arial" w:eastAsia="Arial" w:hAnsi="Arial"/>
                <w:sz w:val="16"/>
                <w:szCs w:val="16"/>
                <w:color w:val="auto"/>
              </w:rPr>
              <w:t>Stock Units</w:t>
            </w:r>
          </w:p>
        </w:tc>
        <w:tc>
          <w:tcPr>
            <w:tcW w:w="960" w:type="dxa"/>
            <w:vAlign w:val="bottom"/>
            <w:tcBorders>
              <w:bottom w:val="single" w:sz="8" w:color="003A70"/>
            </w:tcBorders>
          </w:tcPr>
          <w:p>
            <w:pPr>
              <w:ind w:left="3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003A70"/>
            </w:tcBorders>
          </w:tcPr>
          <w:p>
            <w:pPr>
              <w:ind w:left="6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003A70"/>
            </w:tcBorders>
          </w:tcPr>
          <w:p>
            <w:pPr>
              <w:ind w:left="8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003A70"/>
            </w:tcBorders>
          </w:tcPr>
          <w:p>
            <w:pPr>
              <w:jc w:val="right"/>
              <w:ind w:right="301"/>
              <w:spacing w:after="0"/>
              <w:rPr>
                <w:sz w:val="20"/>
                <w:szCs w:val="20"/>
                <w:color w:val="auto"/>
              </w:rPr>
            </w:pPr>
            <w:r>
              <w:rPr>
                <w:rFonts w:ascii="Arial" w:cs="Arial" w:eastAsia="Arial" w:hAnsi="Arial"/>
                <w:sz w:val="16"/>
                <w:szCs w:val="16"/>
                <w:color w:val="auto"/>
              </w:rPr>
              <w:t>1,086</w:t>
            </w:r>
          </w:p>
        </w:tc>
      </w:tr>
    </w:tbl>
    <w:p>
      <w:pPr>
        <w:spacing w:after="0" w:line="30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Deferred Compensation Plan</w:t>
      </w:r>
    </w:p>
    <w:p>
      <w:pPr>
        <w:spacing w:after="0" w:line="104"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Our non-employee directors are eligible to participate in the MVW Deferred Compensation Plan. A non-employee director may defer receipt of all or part of any non-employee director fees until such future date as he or she elects in accordance with the terms of the MVW Deferred Compensation Plan. A non-employee director may elect to receive his or her deferred amounts in a lump sum or in installments over five, ten, fifteen or twenty years at either a separation from service or upon any of the first five anniversaries of a separation from service. Alternatively, he or she may elect to receive his or her deferred amounts in a lump sum in January of a specified year.</w:t>
      </w:r>
    </w:p>
    <w:p>
      <w:pPr>
        <w:spacing w:after="0" w:line="72"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For 2025, participants were able to select a fixed rate of return of 3.5% or a rate of return based on various market-based investment alternatives, such as mutual funds with various investment profiles, and were also able to select such a rate for their existing account balances. Participants were not limited to minimum elections in the fixed rate of return. To support our ability to meet our obligations under the MVW Deferred Compensation Plan, we acquired insurance on the lives of certain participants in the MVW Deferred Compensation Plan, the proceeds of which are payable to a trust of which the Company is the grantor. For 2025, participants may select a rate of return based on market-based investment alternatives for up to 100% of their contributions and existing balances. There are no earnings reported in the Change in Pension Value and Nonqualified Deferred Compensation Earnings column as the fixed rate of return in the MVW Deferred Compensation Plan was less than 120% of the applicable federal long-term rate.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Clawbacks</w:t>
      </w:r>
    </w:p>
    <w:p>
      <w:pPr>
        <w:spacing w:after="0" w:line="104"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Under our clawback policy, the Board may recoup any compensation received by a director who has engaged in conduct that violates our Business Conduct Guide or in willful misconduct or fraud that causes harm to the Company. Compensation received up to three years prior to the willful misconduct or fraud and after the date of the adoption of the policy is subject to potential recoupment under the policy.</w:t>
      </w:r>
    </w:p>
    <w:p>
      <w:pPr>
        <w:spacing w:after="0" w:line="105" w:lineRule="exact"/>
        <w:rPr>
          <w:sz w:val="20"/>
          <w:szCs w:val="20"/>
          <w:color w:val="auto"/>
        </w:rPr>
      </w:pPr>
    </w:p>
    <w:p>
      <w:pPr>
        <w:ind w:left="120"/>
        <w:spacing w:after="0"/>
        <w:tabs>
          <w:tab w:leader="none" w:pos="4460" w:val="left"/>
          <w:tab w:leader="none" w:pos="7820" w:val="left"/>
        </w:tabs>
        <w:rPr>
          <w:sz w:val="20"/>
          <w:szCs w:val="20"/>
          <w:color w:val="auto"/>
        </w:rPr>
      </w:pPr>
      <w:r>
        <w:rPr>
          <w:rFonts w:ascii="Arial" w:cs="Arial" w:eastAsia="Arial" w:hAnsi="Arial"/>
          <w:sz w:val="11"/>
          <w:szCs w:val="11"/>
          <w:b w:val="1"/>
          <w:bCs w:val="1"/>
          <w:color w:val="003A70"/>
        </w:rPr>
        <w:t>58</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Stock Ownership Guidelines</w:t>
      </w:r>
    </w:p>
    <w:p>
      <w:pPr>
        <w:spacing w:after="0" w:line="104"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Under our stock ownership guidelines, non-employee directors are required to own shares of our stock with a value equal to five times their Board cash retainer for the fiscal year for which compliance is being evaluated. For purposes of determining compliance with the guidelines, the following are considered shares owned by the director: shares owned by the director and his or her spouse; shares held by a trust if any beneficiaries of which are the director or his or her family members; shares held jointly with others; restricted stock awards; restricted stock unit awards; Non-Employee Director Share Awards; and share equivalents deferred in accordance with our plans. Shares underlying options and SARs are not considered owned by the director. The CPC receives an annual report of the ownership achieved by each director as of the end of the fiscal year, with the achievement level determined by reference to the average of the closing prices of our Common Stock for the 20 trading days ending on the last trading day of the fiscal year. As of the end of 2025, all directors had achieved the required ownership levels with the exception of one director, who was appointed in December 2023 and who has until the end of 2028 to achieve the ownership level in the stock ownership guidelines.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INSIDER TRADING, PLEDGING, HEDGING, AND DERIVATIVE TRANSACTIONS</w:t>
      </w:r>
    </w:p>
    <w:p>
      <w:pPr>
        <w:spacing w:after="0" w:line="104"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auto"/>
        </w:rPr>
        <w:t>We have a securities trading policy (our “Insider Trading Policy”), which governs the purchase, sale and other dispositions of our securities by directors, officers and employees (including, as applicable, their family members and controlled entities, in each case, as defined in the Insider Trading Policy) and the Company, and is designed to promote compliance with insider trading laws, rules and regulations, as well as the rules and regulations of the NYSE. Among other things, the Insider Trading Policy prohibits the purchase and sale of our securities by any employee, officer or director who may be in possession of material non-public information relating to the Company. The Insider Trading Policy provides guidance as to what constitutes material information and when information becomes public. The Insider Trading Policy addresses transactions by family members and under Company plans, as well as other transactions which may be prohibited. For more information about our Insider Trading Policy, please see the full text of the Insider Trading Policy, a copy of which was filed as an exhibit to our Annual Report on Form 10-K for the year ended December 31, 2025, and is available through our website www.marriottvacationsworldwide.com under the “Investor Relations” tab.</w:t>
      </w:r>
    </w:p>
    <w:p>
      <w:pPr>
        <w:spacing w:after="0" w:line="77"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Under our Insider Trading Policy, employees, officers and directors are prohibited from including the Company’s stock or other securities in a margin account or pledging such securities as collateral for a loan or shorting the sale of our stock or securities. These persons are further prohibited from buying, selling, writing or otherwise entering into any other “derivative” transaction related to our stock or securities, including options, warrants, puts, calls, and similar rights that have an exercise or conversion privilege that is related to the price of our securities, or similar securities with a value derived from the value of our securities (in each case, other than the receipt or exercise of stock options or other derivative securities that we issue to employees, officers or directors pursuant to Company compensation plans). This prohibition of derivative transactions extends to any transactions designed to hedge or offset, or that have the effect of hedging or offsetting, any decrease in the market value of our securities. As such, employees, officers and directors may not utilize financial instruments, such as prepaid variable forwards, equity swaps, collars or exchange funds.</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54"/>
          <w:szCs w:val="54"/>
          <w:b w:val="1"/>
          <w:bCs w:val="1"/>
          <w:color w:val="auto"/>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-356235</wp:posOffset>
            </wp:positionV>
            <wp:extent cx="85725" cy="4457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44577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 OWNERSHIP OF OUR DIRECTORS, EXECUTIVE OFFICERS AND CERTAIN BENEFICIAL OWNERS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table below sets forth the beneficial ownership of the Company’s Common Stock as of March 16, 2026 (unless otherwise noted) by:</w:t>
      </w:r>
    </w:p>
    <w:p>
      <w:pPr>
        <w:spacing w:after="0" w:line="46" w:lineRule="exact"/>
        <w:rPr>
          <w:sz w:val="20"/>
          <w:szCs w:val="20"/>
          <w:color w:val="auto"/>
        </w:rPr>
      </w:pPr>
    </w:p>
    <w:p>
      <w:pPr>
        <w:ind w:left="340" w:right="80" w:hanging="224"/>
        <w:spacing w:after="0" w:line="272" w:lineRule="auto"/>
        <w:tabs>
          <w:tab w:leader="none" w:pos="340" w:val="left"/>
        </w:tabs>
        <w:numPr>
          <w:ilvl w:val="0"/>
          <w:numId w:val="116"/>
        </w:numPr>
        <w:rPr>
          <w:rFonts w:ascii="Arial" w:cs="Arial" w:eastAsia="Arial" w:hAnsi="Arial"/>
          <w:sz w:val="16"/>
          <w:szCs w:val="16"/>
          <w:color w:val="003A70"/>
        </w:rPr>
      </w:pPr>
      <w:r>
        <w:rPr>
          <w:rFonts w:ascii="Arial" w:cs="Arial" w:eastAsia="Arial" w:hAnsi="Arial"/>
          <w:sz w:val="16"/>
          <w:szCs w:val="16"/>
          <w:color w:val="auto"/>
        </w:rPr>
        <w:t>those persons or entities (or group of affiliated persons or entities) known by management to beneficially own more than 5% of the outstanding shares of the Company’s Common Stock;</w:t>
      </w:r>
    </w:p>
    <w:p>
      <w:pPr>
        <w:spacing w:after="0" w:line="1" w:lineRule="exact"/>
        <w:rPr>
          <w:rFonts w:ascii="Arial" w:cs="Arial" w:eastAsia="Arial" w:hAnsi="Arial"/>
          <w:sz w:val="16"/>
          <w:szCs w:val="16"/>
          <w:color w:val="003A70"/>
        </w:rPr>
      </w:pPr>
    </w:p>
    <w:p>
      <w:pPr>
        <w:ind w:left="340" w:hanging="224"/>
        <w:spacing w:after="0"/>
        <w:tabs>
          <w:tab w:leader="none" w:pos="340" w:val="left"/>
        </w:tabs>
        <w:numPr>
          <w:ilvl w:val="0"/>
          <w:numId w:val="116"/>
        </w:numPr>
        <w:rPr>
          <w:rFonts w:ascii="Arial" w:cs="Arial" w:eastAsia="Arial" w:hAnsi="Arial"/>
          <w:sz w:val="16"/>
          <w:szCs w:val="16"/>
          <w:color w:val="003A70"/>
        </w:rPr>
      </w:pPr>
      <w:r>
        <w:rPr>
          <w:rFonts w:ascii="Arial" w:cs="Arial" w:eastAsia="Arial" w:hAnsi="Arial"/>
          <w:sz w:val="16"/>
          <w:szCs w:val="16"/>
          <w:color w:val="auto"/>
        </w:rPr>
        <w:t>each director and director nominee of the Company;</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116"/>
        </w:numPr>
        <w:rPr>
          <w:rFonts w:ascii="Arial" w:cs="Arial" w:eastAsia="Arial" w:hAnsi="Arial"/>
          <w:sz w:val="16"/>
          <w:szCs w:val="16"/>
          <w:color w:val="003A70"/>
        </w:rPr>
      </w:pPr>
      <w:r>
        <w:rPr>
          <w:rFonts w:ascii="Arial" w:cs="Arial" w:eastAsia="Arial" w:hAnsi="Arial"/>
          <w:sz w:val="16"/>
          <w:szCs w:val="16"/>
          <w:color w:val="auto"/>
        </w:rPr>
        <w:t>each NEO of the Company; and</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116"/>
        </w:numPr>
        <w:rPr>
          <w:rFonts w:ascii="Arial" w:cs="Arial" w:eastAsia="Arial" w:hAnsi="Arial"/>
          <w:sz w:val="16"/>
          <w:szCs w:val="16"/>
          <w:color w:val="003A70"/>
        </w:rPr>
      </w:pPr>
      <w:r>
        <w:rPr>
          <w:rFonts w:ascii="Arial" w:cs="Arial" w:eastAsia="Arial" w:hAnsi="Arial"/>
          <w:sz w:val="16"/>
          <w:szCs w:val="16"/>
          <w:color w:val="auto"/>
        </w:rPr>
        <w:t>all of the current executive officers and directors of the Company as a group.</w:t>
      </w:r>
    </w:p>
    <w:p>
      <w:pPr>
        <w:spacing w:after="0" w:line="113"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auto"/>
        </w:rPr>
        <w:t>Ownership consists of sole voting and sole dispositive power, except as indicated in the notes below, and except for shares registered in the name of children sharing the same household or subject to any community property laws.</w:t>
      </w:r>
    </w:p>
    <w:p>
      <w:pPr>
        <w:spacing w:after="0" w:line="48"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Beneficial ownership is determined in accordance with the rules of the SEC. In computing the number of shares beneficially owned by a person and the percentage ownership of that person, shares of the Company’s Common Stock that such person has the right to acquire within 60 days of the applicable date, including through the exercise of SARs, are deemed outstanding for such person. Such shares, however, are not deemed outstanding for the purpose of computing the percentage ownership of any other person. Percentage ownership is based upon 34,306,797 shares of the Company’s Common Stock outstanding on March 16, 2026.</w:t>
      </w:r>
    </w:p>
    <w:p>
      <w:pPr>
        <w:spacing w:after="0" w:line="113" w:lineRule="exact"/>
        <w:rPr>
          <w:sz w:val="20"/>
          <w:szCs w:val="20"/>
          <w:color w:val="auto"/>
        </w:rPr>
      </w:pPr>
    </w:p>
    <w:p>
      <w:pPr>
        <w:ind w:left="120"/>
        <w:spacing w:after="0"/>
        <w:tabs>
          <w:tab w:leader="none" w:pos="520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Stock Ownership</w:t>
      </w:r>
      <w:r>
        <w:rPr>
          <w:sz w:val="20"/>
          <w:szCs w:val="20"/>
          <w:color w:val="auto"/>
        </w:rPr>
        <w:tab/>
      </w:r>
      <w:r>
        <w:rPr>
          <w:rFonts w:ascii="Arial" w:cs="Arial" w:eastAsia="Arial" w:hAnsi="Arial"/>
          <w:sz w:val="10"/>
          <w:szCs w:val="10"/>
          <w:b w:val="1"/>
          <w:bCs w:val="1"/>
          <w:color w:val="003A7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Stock Ownership of Certain Beneficial Owners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660" w:type="dxa"/>
            <w:vAlign w:val="bottom"/>
          </w:tcPr>
          <w:p>
            <w:pPr>
              <w:jc w:val="center"/>
              <w:ind w:left="1906"/>
              <w:spacing w:after="0"/>
              <w:rPr>
                <w:sz w:val="20"/>
                <w:szCs w:val="20"/>
                <w:color w:val="auto"/>
              </w:rPr>
            </w:pPr>
            <w:r>
              <w:rPr>
                <w:rFonts w:ascii="Arial" w:cs="Arial" w:eastAsia="Arial" w:hAnsi="Arial"/>
                <w:sz w:val="14"/>
                <w:szCs w:val="14"/>
                <w:color w:val="003A70"/>
              </w:rPr>
              <w:t>Amount and Nature</w:t>
            </w:r>
          </w:p>
        </w:tc>
        <w:tc>
          <w:tcPr>
            <w:tcW w:w="880" w:type="dxa"/>
            <w:vAlign w:val="bottom"/>
          </w:tcPr>
          <w:p>
            <w:pPr>
              <w:jc w:val="center"/>
              <w:ind w:left="120"/>
              <w:spacing w:after="0"/>
              <w:rPr>
                <w:sz w:val="20"/>
                <w:szCs w:val="20"/>
                <w:color w:val="auto"/>
              </w:rPr>
            </w:pPr>
            <w:r>
              <w:rPr>
                <w:rFonts w:ascii="Arial" w:cs="Arial" w:eastAsia="Arial" w:hAnsi="Arial"/>
                <w:sz w:val="14"/>
                <w:szCs w:val="14"/>
                <w:color w:val="003A70"/>
              </w:rPr>
              <w:t>Percent of</w:t>
            </w:r>
          </w:p>
        </w:tc>
      </w:tr>
      <w:tr>
        <w:trPr>
          <w:trHeight w:val="162"/>
        </w:trPr>
        <w:tc>
          <w:tcPr>
            <w:tcW w:w="6480" w:type="dxa"/>
            <w:vAlign w:val="bottom"/>
          </w:tcPr>
          <w:p>
            <w:pPr>
              <w:spacing w:after="0"/>
              <w:rPr>
                <w:sz w:val="14"/>
                <w:szCs w:val="14"/>
                <w:color w:val="auto"/>
              </w:rPr>
            </w:pPr>
          </w:p>
        </w:tc>
        <w:tc>
          <w:tcPr>
            <w:tcW w:w="3660" w:type="dxa"/>
            <w:vAlign w:val="bottom"/>
          </w:tcPr>
          <w:p>
            <w:pPr>
              <w:jc w:val="center"/>
              <w:ind w:left="1926"/>
              <w:spacing w:after="0"/>
              <w:rPr>
                <w:sz w:val="20"/>
                <w:szCs w:val="20"/>
                <w:color w:val="auto"/>
              </w:rPr>
            </w:pPr>
            <w:r>
              <w:rPr>
                <w:rFonts w:ascii="Arial" w:cs="Arial" w:eastAsia="Arial" w:hAnsi="Arial"/>
                <w:sz w:val="14"/>
                <w:szCs w:val="14"/>
                <w:color w:val="003A70"/>
              </w:rPr>
              <w:t>of Beneficial</w:t>
            </w:r>
          </w:p>
        </w:tc>
        <w:tc>
          <w:tcPr>
            <w:tcW w:w="880" w:type="dxa"/>
            <w:vAlign w:val="bottom"/>
          </w:tcPr>
          <w:p>
            <w:pPr>
              <w:jc w:val="center"/>
              <w:ind w:left="120"/>
              <w:spacing w:after="0"/>
              <w:rPr>
                <w:sz w:val="20"/>
                <w:szCs w:val="20"/>
                <w:color w:val="auto"/>
              </w:rPr>
            </w:pPr>
            <w:r>
              <w:rPr>
                <w:rFonts w:ascii="Arial" w:cs="Arial" w:eastAsia="Arial" w:hAnsi="Arial"/>
                <w:sz w:val="14"/>
                <w:szCs w:val="14"/>
                <w:color w:val="003A70"/>
              </w:rPr>
              <w:t>Class</w:t>
            </w:r>
          </w:p>
        </w:tc>
      </w:tr>
      <w:tr>
        <w:trPr>
          <w:trHeight w:val="192"/>
        </w:trPr>
        <w:tc>
          <w:tcPr>
            <w:tcW w:w="6480" w:type="dxa"/>
            <w:vAlign w:val="bottom"/>
            <w:tcBorders>
              <w:bottom w:val="single" w:sz="8" w:color="003A70"/>
            </w:tcBorders>
          </w:tcPr>
          <w:p>
            <w:pPr>
              <w:spacing w:after="0"/>
              <w:rPr>
                <w:sz w:val="20"/>
                <w:szCs w:val="20"/>
                <w:color w:val="auto"/>
              </w:rPr>
            </w:pPr>
            <w:r>
              <w:rPr>
                <w:rFonts w:ascii="Arial" w:cs="Arial" w:eastAsia="Arial" w:hAnsi="Arial"/>
                <w:sz w:val="14"/>
                <w:szCs w:val="14"/>
                <w:color w:val="003A70"/>
              </w:rPr>
              <w:t>Name</w:t>
            </w:r>
          </w:p>
        </w:tc>
        <w:tc>
          <w:tcPr>
            <w:tcW w:w="3660" w:type="dxa"/>
            <w:vAlign w:val="bottom"/>
            <w:tcBorders>
              <w:bottom w:val="single" w:sz="8" w:color="003A70"/>
            </w:tcBorders>
          </w:tcPr>
          <w:p>
            <w:pPr>
              <w:jc w:val="center"/>
              <w:ind w:left="1926"/>
              <w:spacing w:after="0"/>
              <w:rPr>
                <w:sz w:val="20"/>
                <w:szCs w:val="20"/>
                <w:color w:val="auto"/>
              </w:rPr>
            </w:pPr>
            <w:r>
              <w:rPr>
                <w:rFonts w:ascii="Arial" w:cs="Arial" w:eastAsia="Arial" w:hAnsi="Arial"/>
                <w:sz w:val="14"/>
                <w:szCs w:val="14"/>
                <w:color w:val="003A70"/>
              </w:rPr>
              <w:t>Ownership (#)</w:t>
            </w:r>
          </w:p>
        </w:tc>
        <w:tc>
          <w:tcPr>
            <w:tcW w:w="880" w:type="dxa"/>
            <w:vAlign w:val="bottom"/>
            <w:tcBorders>
              <w:bottom w:val="single" w:sz="8" w:color="003A70"/>
            </w:tcBorders>
          </w:tcPr>
          <w:p>
            <w:pPr>
              <w:jc w:val="center"/>
              <w:ind w:left="120"/>
              <w:spacing w:after="0" w:line="185" w:lineRule="exact"/>
              <w:rPr>
                <w:sz w:val="20"/>
                <w:szCs w:val="20"/>
                <w:color w:val="auto"/>
              </w:rPr>
            </w:pPr>
            <w:r>
              <w:rPr>
                <w:rFonts w:ascii="Arial" w:cs="Arial" w:eastAsia="Arial" w:hAnsi="Arial"/>
                <w:sz w:val="14"/>
                <w:szCs w:val="14"/>
                <w:color w:val="003A70"/>
                <w:w w:val="94"/>
              </w:rPr>
              <w:t>(%)</w:t>
            </w:r>
            <w:r>
              <w:rPr>
                <w:rFonts w:ascii="Arial" w:cs="Arial" w:eastAsia="Arial" w:hAnsi="Arial"/>
                <w:sz w:val="21"/>
                <w:szCs w:val="21"/>
                <w:color w:val="003A70"/>
                <w:w w:val="94"/>
                <w:vertAlign w:val="superscript"/>
              </w:rPr>
              <w:t>1</w:t>
            </w:r>
          </w:p>
        </w:tc>
      </w:tr>
      <w:tr>
        <w:trPr>
          <w:trHeight w:val="175"/>
        </w:trPr>
        <w:tc>
          <w:tcPr>
            <w:tcW w:w="6480" w:type="dxa"/>
            <w:vAlign w:val="bottom"/>
          </w:tcPr>
          <w:p>
            <w:pPr>
              <w:spacing w:after="0" w:line="175" w:lineRule="exact"/>
              <w:rPr>
                <w:sz w:val="20"/>
                <w:szCs w:val="20"/>
                <w:color w:val="auto"/>
              </w:rPr>
            </w:pPr>
            <w:r>
              <w:rPr>
                <w:rFonts w:ascii="Arial" w:cs="Arial" w:eastAsia="Arial" w:hAnsi="Arial"/>
                <w:sz w:val="16"/>
                <w:szCs w:val="16"/>
                <w:b w:val="1"/>
                <w:bCs w:val="1"/>
                <w:color w:val="auto"/>
              </w:rPr>
              <w:t>Directors and Nominees</w:t>
            </w:r>
          </w:p>
        </w:tc>
        <w:tc>
          <w:tcPr>
            <w:tcW w:w="36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C.E. Andrews</w:t>
            </w:r>
          </w:p>
        </w:tc>
        <w:tc>
          <w:tcPr>
            <w:tcW w:w="3660" w:type="dxa"/>
            <w:vAlign w:val="bottom"/>
          </w:tcPr>
          <w:p>
            <w:pPr>
              <w:jc w:val="right"/>
              <w:ind w:right="286"/>
              <w:spacing w:after="0" w:line="189" w:lineRule="exact"/>
              <w:rPr>
                <w:sz w:val="20"/>
                <w:szCs w:val="20"/>
                <w:color w:val="auto"/>
              </w:rPr>
            </w:pPr>
            <w:r>
              <w:rPr>
                <w:rFonts w:ascii="Arial" w:cs="Arial" w:eastAsia="Arial" w:hAnsi="Arial"/>
                <w:sz w:val="14"/>
                <w:szCs w:val="14"/>
                <w:color w:val="auto"/>
              </w:rPr>
              <w:t>41,578 </w:t>
            </w:r>
            <w:r>
              <w:rPr>
                <w:rFonts w:ascii="Arial" w:cs="Arial" w:eastAsia="Arial" w:hAnsi="Arial"/>
                <w:sz w:val="21"/>
                <w:szCs w:val="21"/>
                <w:color w:val="auto"/>
                <w:vertAlign w:val="superscript"/>
              </w:rPr>
              <w:t>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Christian Asmar</w:t>
            </w:r>
          </w:p>
        </w:tc>
        <w:tc>
          <w:tcPr>
            <w:tcW w:w="3660" w:type="dxa"/>
            <w:vAlign w:val="bottom"/>
          </w:tcPr>
          <w:p>
            <w:pPr>
              <w:ind w:left="2460"/>
              <w:spacing w:after="0" w:line="189" w:lineRule="exact"/>
              <w:rPr>
                <w:sz w:val="20"/>
                <w:szCs w:val="20"/>
                <w:color w:val="auto"/>
              </w:rPr>
            </w:pPr>
            <w:r>
              <w:rPr>
                <w:rFonts w:ascii="Arial" w:cs="Arial" w:eastAsia="Arial" w:hAnsi="Arial"/>
                <w:sz w:val="14"/>
                <w:szCs w:val="14"/>
                <w:color w:val="auto"/>
              </w:rPr>
              <w:t>4,130,818 </w:t>
            </w:r>
            <w:r>
              <w:rPr>
                <w:rFonts w:ascii="Arial" w:cs="Arial" w:eastAsia="Arial" w:hAnsi="Arial"/>
                <w:sz w:val="21"/>
                <w:szCs w:val="21"/>
                <w:color w:val="auto"/>
                <w:vertAlign w:val="superscript"/>
              </w:rPr>
              <w:t>2 ,3</w:t>
            </w: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Matthew E. Avril</w:t>
            </w:r>
          </w:p>
        </w:tc>
        <w:tc>
          <w:tcPr>
            <w:tcW w:w="3660" w:type="dxa"/>
            <w:vAlign w:val="bottom"/>
          </w:tcPr>
          <w:p>
            <w:pPr>
              <w:jc w:val="right"/>
              <w:ind w:right="286"/>
              <w:spacing w:after="0" w:line="189" w:lineRule="exact"/>
              <w:rPr>
                <w:sz w:val="20"/>
                <w:szCs w:val="20"/>
                <w:color w:val="auto"/>
              </w:rPr>
            </w:pPr>
            <w:r>
              <w:rPr>
                <w:rFonts w:ascii="Arial" w:cs="Arial" w:eastAsia="Arial" w:hAnsi="Arial"/>
                <w:sz w:val="14"/>
                <w:szCs w:val="14"/>
                <w:color w:val="auto"/>
              </w:rPr>
              <w:t>8,019 </w:t>
            </w:r>
            <w:r>
              <w:rPr>
                <w:rFonts w:ascii="Arial" w:cs="Arial" w:eastAsia="Arial" w:hAnsi="Arial"/>
                <w:sz w:val="21"/>
                <w:szCs w:val="21"/>
                <w:color w:val="auto"/>
                <w:vertAlign w:val="superscript"/>
              </w:rPr>
              <w:t>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James A. Dausch</w:t>
            </w:r>
          </w:p>
        </w:tc>
        <w:tc>
          <w:tcPr>
            <w:tcW w:w="3660" w:type="dxa"/>
            <w:vAlign w:val="bottom"/>
          </w:tcPr>
          <w:p>
            <w:pPr>
              <w:jc w:val="right"/>
              <w:ind w:right="346"/>
              <w:spacing w:after="0"/>
              <w:rPr>
                <w:sz w:val="20"/>
                <w:szCs w:val="20"/>
                <w:color w:val="auto"/>
              </w:rPr>
            </w:pPr>
            <w:r>
              <w:rPr>
                <w:rFonts w:ascii="Arial" w:cs="Arial" w:eastAsia="Arial" w:hAnsi="Arial"/>
                <w:sz w:val="16"/>
                <w:szCs w:val="16"/>
                <w:color w:val="auto"/>
              </w:rPr>
              <w:t>2,912 </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Lizanne Galbreath</w:t>
            </w:r>
          </w:p>
        </w:tc>
        <w:tc>
          <w:tcPr>
            <w:tcW w:w="3660" w:type="dxa"/>
            <w:vAlign w:val="bottom"/>
          </w:tcPr>
          <w:p>
            <w:pPr>
              <w:jc w:val="right"/>
              <w:ind w:right="286"/>
              <w:spacing w:after="0" w:line="189" w:lineRule="exact"/>
              <w:rPr>
                <w:sz w:val="20"/>
                <w:szCs w:val="20"/>
                <w:color w:val="auto"/>
              </w:rPr>
            </w:pPr>
            <w:r>
              <w:rPr>
                <w:rFonts w:ascii="Arial" w:cs="Arial" w:eastAsia="Arial" w:hAnsi="Arial"/>
                <w:sz w:val="14"/>
                <w:szCs w:val="14"/>
                <w:color w:val="auto"/>
              </w:rPr>
              <w:t>25,848 </w:t>
            </w:r>
            <w:r>
              <w:rPr>
                <w:rFonts w:ascii="Arial" w:cs="Arial" w:eastAsia="Arial" w:hAnsi="Arial"/>
                <w:sz w:val="21"/>
                <w:szCs w:val="21"/>
                <w:color w:val="auto"/>
                <w:vertAlign w:val="superscript"/>
              </w:rPr>
              <w:t>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Mary E. Galligan</w:t>
            </w:r>
          </w:p>
        </w:tc>
        <w:tc>
          <w:tcPr>
            <w:tcW w:w="3660" w:type="dxa"/>
            <w:vAlign w:val="bottom"/>
          </w:tcPr>
          <w:p>
            <w:pPr>
              <w:jc w:val="right"/>
              <w:ind w:right="286"/>
              <w:spacing w:after="0" w:line="189" w:lineRule="exact"/>
              <w:rPr>
                <w:sz w:val="20"/>
                <w:szCs w:val="20"/>
                <w:color w:val="auto"/>
              </w:rPr>
            </w:pPr>
            <w:r>
              <w:rPr>
                <w:rFonts w:ascii="Arial" w:cs="Arial" w:eastAsia="Arial" w:hAnsi="Arial"/>
                <w:sz w:val="14"/>
                <w:szCs w:val="14"/>
                <w:color w:val="auto"/>
              </w:rPr>
              <w:t>4,890 </w:t>
            </w:r>
            <w:r>
              <w:rPr>
                <w:rFonts w:ascii="Arial" w:cs="Arial" w:eastAsia="Arial" w:hAnsi="Arial"/>
                <w:sz w:val="21"/>
                <w:szCs w:val="21"/>
                <w:color w:val="auto"/>
                <w:vertAlign w:val="superscript"/>
              </w:rPr>
              <w:t>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Jonice M. Gray</w:t>
            </w:r>
          </w:p>
        </w:tc>
        <w:tc>
          <w:tcPr>
            <w:tcW w:w="3660" w:type="dxa"/>
            <w:vAlign w:val="bottom"/>
          </w:tcPr>
          <w:p>
            <w:pPr>
              <w:jc w:val="right"/>
              <w:ind w:right="286"/>
              <w:spacing w:after="0" w:line="189" w:lineRule="exact"/>
              <w:rPr>
                <w:sz w:val="20"/>
                <w:szCs w:val="20"/>
                <w:color w:val="auto"/>
              </w:rPr>
            </w:pPr>
            <w:r>
              <w:rPr>
                <w:rFonts w:ascii="Arial" w:cs="Arial" w:eastAsia="Arial" w:hAnsi="Arial"/>
                <w:sz w:val="14"/>
                <w:szCs w:val="14"/>
                <w:color w:val="auto"/>
              </w:rPr>
              <w:t>13,880 </w:t>
            </w:r>
            <w:r>
              <w:rPr>
                <w:rFonts w:ascii="Arial" w:cs="Arial" w:eastAsia="Arial" w:hAnsi="Arial"/>
                <w:sz w:val="21"/>
                <w:szCs w:val="21"/>
                <w:color w:val="auto"/>
                <w:vertAlign w:val="superscript"/>
              </w:rPr>
              <w:t>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William W. McCarten</w:t>
            </w:r>
          </w:p>
        </w:tc>
        <w:tc>
          <w:tcPr>
            <w:tcW w:w="3660" w:type="dxa"/>
            <w:vAlign w:val="bottom"/>
          </w:tcPr>
          <w:p>
            <w:pPr>
              <w:jc w:val="right"/>
              <w:ind w:right="166"/>
              <w:spacing w:after="0" w:line="189" w:lineRule="exact"/>
              <w:rPr>
                <w:sz w:val="20"/>
                <w:szCs w:val="20"/>
                <w:color w:val="auto"/>
              </w:rPr>
            </w:pPr>
            <w:r>
              <w:rPr>
                <w:rFonts w:ascii="Arial" w:cs="Arial" w:eastAsia="Arial" w:hAnsi="Arial"/>
                <w:sz w:val="14"/>
                <w:szCs w:val="14"/>
                <w:color w:val="auto"/>
              </w:rPr>
              <w:t>36,696 </w:t>
            </w:r>
            <w:r>
              <w:rPr>
                <w:rFonts w:ascii="Arial" w:cs="Arial" w:eastAsia="Arial" w:hAnsi="Arial"/>
                <w:sz w:val="21"/>
                <w:szCs w:val="21"/>
                <w:color w:val="auto"/>
                <w:vertAlign w:val="superscript"/>
              </w:rPr>
              <w:t>2, 5</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Dianna F. Morgan</w:t>
            </w:r>
          </w:p>
        </w:tc>
        <w:tc>
          <w:tcPr>
            <w:tcW w:w="3660" w:type="dxa"/>
            <w:vAlign w:val="bottom"/>
          </w:tcPr>
          <w:p>
            <w:pPr>
              <w:jc w:val="right"/>
              <w:ind w:right="286"/>
              <w:spacing w:after="0" w:line="189" w:lineRule="exact"/>
              <w:rPr>
                <w:sz w:val="20"/>
                <w:szCs w:val="20"/>
                <w:color w:val="auto"/>
              </w:rPr>
            </w:pPr>
            <w:r>
              <w:rPr>
                <w:rFonts w:ascii="Arial" w:cs="Arial" w:eastAsia="Arial" w:hAnsi="Arial"/>
                <w:sz w:val="14"/>
                <w:szCs w:val="14"/>
                <w:color w:val="auto"/>
              </w:rPr>
              <w:t>23,130 </w:t>
            </w:r>
            <w:r>
              <w:rPr>
                <w:rFonts w:ascii="Arial" w:cs="Arial" w:eastAsia="Arial" w:hAnsi="Arial"/>
                <w:sz w:val="21"/>
                <w:szCs w:val="21"/>
                <w:color w:val="auto"/>
                <w:vertAlign w:val="superscript"/>
              </w:rPr>
              <w:t>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Stephen R. Quazzo</w:t>
            </w:r>
          </w:p>
        </w:tc>
        <w:tc>
          <w:tcPr>
            <w:tcW w:w="3660" w:type="dxa"/>
            <w:vAlign w:val="bottom"/>
          </w:tcPr>
          <w:p>
            <w:pPr>
              <w:jc w:val="right"/>
              <w:ind w:right="286"/>
              <w:spacing w:after="0" w:line="189" w:lineRule="exact"/>
              <w:rPr>
                <w:sz w:val="20"/>
                <w:szCs w:val="20"/>
                <w:color w:val="auto"/>
              </w:rPr>
            </w:pPr>
            <w:r>
              <w:rPr>
                <w:rFonts w:ascii="Arial" w:cs="Arial" w:eastAsia="Arial" w:hAnsi="Arial"/>
                <w:sz w:val="14"/>
                <w:szCs w:val="14"/>
                <w:color w:val="auto"/>
              </w:rPr>
              <w:t>24,126 </w:t>
            </w:r>
            <w:r>
              <w:rPr>
                <w:rFonts w:ascii="Arial" w:cs="Arial" w:eastAsia="Arial" w:hAnsi="Arial"/>
                <w:sz w:val="21"/>
                <w:szCs w:val="21"/>
                <w:color w:val="auto"/>
                <w:vertAlign w:val="superscript"/>
              </w:rPr>
              <w:t>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William J. Shaw</w:t>
            </w:r>
          </w:p>
        </w:tc>
        <w:tc>
          <w:tcPr>
            <w:tcW w:w="3660" w:type="dxa"/>
            <w:vAlign w:val="bottom"/>
          </w:tcPr>
          <w:p>
            <w:pPr>
              <w:jc w:val="right"/>
              <w:ind w:right="286"/>
              <w:spacing w:after="0" w:line="189" w:lineRule="exact"/>
              <w:rPr>
                <w:sz w:val="20"/>
                <w:szCs w:val="20"/>
                <w:color w:val="auto"/>
              </w:rPr>
            </w:pPr>
            <w:r>
              <w:rPr>
                <w:rFonts w:ascii="Arial" w:cs="Arial" w:eastAsia="Arial" w:hAnsi="Arial"/>
                <w:sz w:val="14"/>
                <w:szCs w:val="14"/>
                <w:color w:val="auto"/>
              </w:rPr>
              <w:t>203,582 </w:t>
            </w:r>
            <w:r>
              <w:rPr>
                <w:rFonts w:ascii="Arial" w:cs="Arial" w:eastAsia="Arial" w:hAnsi="Arial"/>
                <w:sz w:val="21"/>
                <w:szCs w:val="21"/>
                <w:color w:val="auto"/>
                <w:vertAlign w:val="superscript"/>
              </w:rPr>
              <w:t>2</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spacing w:after="0"/>
              <w:rPr>
                <w:sz w:val="20"/>
                <w:szCs w:val="20"/>
                <w:color w:val="auto"/>
              </w:rPr>
            </w:pPr>
            <w:r>
              <w:rPr>
                <w:rFonts w:ascii="Arial" w:cs="Arial" w:eastAsia="Arial" w:hAnsi="Arial"/>
                <w:sz w:val="16"/>
                <w:szCs w:val="16"/>
                <w:b w:val="1"/>
                <w:bCs w:val="1"/>
                <w:color w:val="auto"/>
              </w:rPr>
              <w:t>Named Executive Officers (other than Mr. Avril)</w:t>
            </w:r>
          </w:p>
        </w:tc>
        <w:tc>
          <w:tcPr>
            <w:tcW w:w="3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John E. Geller, Jr.</w:t>
            </w:r>
          </w:p>
        </w:tc>
        <w:tc>
          <w:tcPr>
            <w:tcW w:w="3660" w:type="dxa"/>
            <w:vAlign w:val="bottom"/>
          </w:tcPr>
          <w:p>
            <w:pPr>
              <w:jc w:val="right"/>
              <w:ind w:right="286"/>
              <w:spacing w:after="0" w:line="189" w:lineRule="exact"/>
              <w:rPr>
                <w:sz w:val="20"/>
                <w:szCs w:val="20"/>
                <w:color w:val="auto"/>
              </w:rPr>
            </w:pPr>
            <w:r>
              <w:rPr>
                <w:rFonts w:ascii="Arial" w:cs="Arial" w:eastAsia="Arial" w:hAnsi="Arial"/>
                <w:sz w:val="14"/>
                <w:szCs w:val="14"/>
                <w:color w:val="auto"/>
              </w:rPr>
              <w:t>116,215 </w:t>
            </w:r>
            <w:r>
              <w:rPr>
                <w:rFonts w:ascii="Arial" w:cs="Arial" w:eastAsia="Arial" w:hAnsi="Arial"/>
                <w:sz w:val="21"/>
                <w:szCs w:val="21"/>
                <w:color w:val="auto"/>
                <w:vertAlign w:val="superscript"/>
              </w:rPr>
              <w:t>4</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Lori M. Gustafson</w:t>
            </w:r>
          </w:p>
        </w:tc>
        <w:tc>
          <w:tcPr>
            <w:tcW w:w="3660" w:type="dxa"/>
            <w:vAlign w:val="bottom"/>
          </w:tcPr>
          <w:p>
            <w:pPr>
              <w:jc w:val="right"/>
              <w:ind w:right="346"/>
              <w:spacing w:after="0"/>
              <w:rPr>
                <w:sz w:val="20"/>
                <w:szCs w:val="20"/>
                <w:color w:val="auto"/>
              </w:rPr>
            </w:pPr>
            <w:r>
              <w:rPr>
                <w:rFonts w:ascii="Arial" w:cs="Arial" w:eastAsia="Arial" w:hAnsi="Arial"/>
                <w:sz w:val="16"/>
                <w:szCs w:val="16"/>
                <w:color w:val="auto"/>
              </w:rPr>
              <w:t>2,964 </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James H Hunter, IV</w:t>
            </w:r>
          </w:p>
        </w:tc>
        <w:tc>
          <w:tcPr>
            <w:tcW w:w="3660" w:type="dxa"/>
            <w:vAlign w:val="bottom"/>
          </w:tcPr>
          <w:p>
            <w:pPr>
              <w:jc w:val="right"/>
              <w:ind w:right="346"/>
              <w:spacing w:after="0"/>
              <w:rPr>
                <w:sz w:val="20"/>
                <w:szCs w:val="20"/>
                <w:color w:val="auto"/>
              </w:rPr>
            </w:pPr>
            <w:r>
              <w:rPr>
                <w:rFonts w:ascii="Arial" w:cs="Arial" w:eastAsia="Arial" w:hAnsi="Arial"/>
                <w:sz w:val="16"/>
                <w:szCs w:val="16"/>
                <w:color w:val="auto"/>
              </w:rPr>
              <w:t>40,093 </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Jason P. Marino</w:t>
            </w:r>
          </w:p>
        </w:tc>
        <w:tc>
          <w:tcPr>
            <w:tcW w:w="3660" w:type="dxa"/>
            <w:vAlign w:val="bottom"/>
          </w:tcPr>
          <w:p>
            <w:pPr>
              <w:jc w:val="right"/>
              <w:ind w:right="346"/>
              <w:spacing w:after="0"/>
              <w:rPr>
                <w:sz w:val="20"/>
                <w:szCs w:val="20"/>
                <w:color w:val="auto"/>
              </w:rPr>
            </w:pPr>
            <w:r>
              <w:rPr>
                <w:rFonts w:ascii="Arial" w:cs="Arial" w:eastAsia="Arial" w:hAnsi="Arial"/>
                <w:sz w:val="16"/>
                <w:szCs w:val="16"/>
                <w:color w:val="auto"/>
              </w:rPr>
              <w:t>9,157 </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Brian E. Miller</w:t>
            </w:r>
          </w:p>
        </w:tc>
        <w:tc>
          <w:tcPr>
            <w:tcW w:w="3660" w:type="dxa"/>
            <w:vAlign w:val="bottom"/>
          </w:tcPr>
          <w:p>
            <w:pPr>
              <w:jc w:val="right"/>
              <w:ind w:right="346"/>
              <w:spacing w:after="0"/>
              <w:rPr>
                <w:sz w:val="20"/>
                <w:szCs w:val="20"/>
                <w:color w:val="auto"/>
              </w:rPr>
            </w:pPr>
            <w:r>
              <w:rPr>
                <w:rFonts w:ascii="Arial" w:cs="Arial" w:eastAsia="Arial" w:hAnsi="Arial"/>
                <w:sz w:val="16"/>
                <w:szCs w:val="16"/>
                <w:color w:val="auto"/>
              </w:rPr>
              <w:t>33,514 </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6480" w:type="dxa"/>
            <w:vAlign w:val="bottom"/>
          </w:tcPr>
          <w:p>
            <w:pPr>
              <w:spacing w:after="0"/>
              <w:rPr>
                <w:sz w:val="20"/>
                <w:szCs w:val="20"/>
                <w:color w:val="auto"/>
              </w:rPr>
            </w:pPr>
            <w:r>
              <w:rPr>
                <w:rFonts w:ascii="Arial" w:cs="Arial" w:eastAsia="Arial" w:hAnsi="Arial"/>
                <w:sz w:val="16"/>
                <w:szCs w:val="16"/>
                <w:b w:val="1"/>
                <w:bCs w:val="1"/>
                <w:color w:val="auto"/>
              </w:rPr>
              <w:t>All Directors and Current Executive Officers as a Group</w:t>
            </w:r>
          </w:p>
        </w:tc>
        <w:tc>
          <w:tcPr>
            <w:tcW w:w="3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(18 persons)</w:t>
            </w:r>
          </w:p>
        </w:tc>
        <w:tc>
          <w:tcPr>
            <w:tcW w:w="3660" w:type="dxa"/>
            <w:vAlign w:val="bottom"/>
          </w:tcPr>
          <w:p>
            <w:pPr>
              <w:jc w:val="right"/>
              <w:ind w:right="286"/>
              <w:spacing w:after="0" w:line="189" w:lineRule="exact"/>
              <w:rPr>
                <w:sz w:val="20"/>
                <w:szCs w:val="20"/>
                <w:color w:val="auto"/>
              </w:rPr>
            </w:pPr>
            <w:r>
              <w:rPr>
                <w:rFonts w:ascii="Arial" w:cs="Arial" w:eastAsia="Arial" w:hAnsi="Arial"/>
                <w:sz w:val="14"/>
                <w:szCs w:val="14"/>
                <w:color w:val="auto"/>
              </w:rPr>
              <w:t>4,572,472 </w:t>
            </w:r>
            <w:r>
              <w:rPr>
                <w:rFonts w:ascii="Arial" w:cs="Arial" w:eastAsia="Arial" w:hAnsi="Arial"/>
                <w:sz w:val="21"/>
                <w:szCs w:val="21"/>
                <w:color w:val="auto"/>
                <w:vertAlign w:val="superscript"/>
              </w:rPr>
              <w:t>6</w:t>
            </w:r>
          </w:p>
        </w:tc>
        <w:tc>
          <w:tcPr>
            <w:tcW w:w="88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189"/>
        </w:trPr>
        <w:tc>
          <w:tcPr>
            <w:tcW w:w="6480" w:type="dxa"/>
            <w:vAlign w:val="bottom"/>
          </w:tcPr>
          <w:p>
            <w:pPr>
              <w:spacing w:after="0"/>
              <w:rPr>
                <w:sz w:val="20"/>
                <w:szCs w:val="20"/>
                <w:color w:val="auto"/>
              </w:rPr>
            </w:pPr>
            <w:r>
              <w:rPr>
                <w:rFonts w:ascii="Arial" w:cs="Arial" w:eastAsia="Arial" w:hAnsi="Arial"/>
                <w:sz w:val="16"/>
                <w:szCs w:val="16"/>
                <w:b w:val="1"/>
                <w:bCs w:val="1"/>
                <w:color w:val="auto"/>
              </w:rPr>
              <w:t>Five Percent Beneficial Owners</w:t>
            </w:r>
          </w:p>
        </w:tc>
        <w:tc>
          <w:tcPr>
            <w:tcW w:w="36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BlackRock, Inc.</w:t>
            </w:r>
          </w:p>
        </w:tc>
        <w:tc>
          <w:tcPr>
            <w:tcW w:w="3660" w:type="dxa"/>
            <w:vAlign w:val="bottom"/>
          </w:tcPr>
          <w:p>
            <w:pPr>
              <w:jc w:val="right"/>
              <w:ind w:right="286"/>
              <w:spacing w:after="0" w:line="189" w:lineRule="exact"/>
              <w:rPr>
                <w:sz w:val="20"/>
                <w:szCs w:val="20"/>
                <w:color w:val="auto"/>
              </w:rPr>
            </w:pPr>
            <w:r>
              <w:rPr>
                <w:rFonts w:ascii="Arial" w:cs="Arial" w:eastAsia="Arial" w:hAnsi="Arial"/>
                <w:sz w:val="14"/>
                <w:szCs w:val="14"/>
                <w:color w:val="auto"/>
              </w:rPr>
              <w:t>4,084,555 </w:t>
            </w:r>
            <w:r>
              <w:rPr>
                <w:rFonts w:ascii="Arial" w:cs="Arial" w:eastAsia="Arial" w:hAnsi="Arial"/>
                <w:sz w:val="21"/>
                <w:szCs w:val="21"/>
                <w:color w:val="auto"/>
                <w:vertAlign w:val="superscript"/>
              </w:rPr>
              <w:t>7</w:t>
            </w:r>
          </w:p>
        </w:tc>
        <w:tc>
          <w:tcPr>
            <w:tcW w:w="88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Impactive Capital LP</w:t>
            </w:r>
          </w:p>
        </w:tc>
        <w:tc>
          <w:tcPr>
            <w:tcW w:w="3660" w:type="dxa"/>
            <w:vAlign w:val="bottom"/>
          </w:tcPr>
          <w:p>
            <w:pPr>
              <w:jc w:val="right"/>
              <w:ind w:right="286"/>
              <w:spacing w:after="0" w:line="189" w:lineRule="exact"/>
              <w:rPr>
                <w:sz w:val="20"/>
                <w:szCs w:val="20"/>
                <w:color w:val="auto"/>
              </w:rPr>
            </w:pPr>
            <w:r>
              <w:rPr>
                <w:rFonts w:ascii="Arial" w:cs="Arial" w:eastAsia="Arial" w:hAnsi="Arial"/>
                <w:sz w:val="14"/>
                <w:szCs w:val="14"/>
                <w:color w:val="auto"/>
              </w:rPr>
              <w:t>4,045,984 </w:t>
            </w:r>
            <w:r>
              <w:rPr>
                <w:rFonts w:ascii="Arial" w:cs="Arial" w:eastAsia="Arial" w:hAnsi="Arial"/>
                <w:sz w:val="21"/>
                <w:szCs w:val="21"/>
                <w:color w:val="auto"/>
                <w:vertAlign w:val="superscript"/>
              </w:rPr>
              <w:t>8</w:t>
            </w:r>
          </w:p>
        </w:tc>
        <w:tc>
          <w:tcPr>
            <w:tcW w:w="88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The Vanguard Group, Inc.</w:t>
            </w:r>
          </w:p>
        </w:tc>
        <w:tc>
          <w:tcPr>
            <w:tcW w:w="3660" w:type="dxa"/>
            <w:vAlign w:val="bottom"/>
          </w:tcPr>
          <w:p>
            <w:pPr>
              <w:jc w:val="right"/>
              <w:ind w:right="286"/>
              <w:spacing w:after="0" w:line="189" w:lineRule="exact"/>
              <w:rPr>
                <w:sz w:val="20"/>
                <w:szCs w:val="20"/>
                <w:color w:val="auto"/>
              </w:rPr>
            </w:pPr>
            <w:r>
              <w:rPr>
                <w:rFonts w:ascii="Arial" w:cs="Arial" w:eastAsia="Arial" w:hAnsi="Arial"/>
                <w:sz w:val="14"/>
                <w:szCs w:val="14"/>
                <w:color w:val="auto"/>
              </w:rPr>
              <w:t>3,464,224 </w:t>
            </w:r>
            <w:r>
              <w:rPr>
                <w:rFonts w:ascii="Arial" w:cs="Arial" w:eastAsia="Arial" w:hAnsi="Arial"/>
                <w:sz w:val="21"/>
                <w:szCs w:val="21"/>
                <w:color w:val="auto"/>
                <w:vertAlign w:val="superscript"/>
              </w:rPr>
              <w:t>9</w:t>
            </w: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JWM Family Enterprises</w:t>
            </w:r>
          </w:p>
        </w:tc>
        <w:tc>
          <w:tcPr>
            <w:tcW w:w="3660" w:type="dxa"/>
            <w:vAlign w:val="bottom"/>
          </w:tcPr>
          <w:p>
            <w:pPr>
              <w:ind w:left="2460"/>
              <w:spacing w:after="0" w:line="189" w:lineRule="exact"/>
              <w:rPr>
                <w:sz w:val="20"/>
                <w:szCs w:val="20"/>
                <w:color w:val="auto"/>
              </w:rPr>
            </w:pPr>
            <w:r>
              <w:rPr>
                <w:rFonts w:ascii="Arial" w:cs="Arial" w:eastAsia="Arial" w:hAnsi="Arial"/>
                <w:sz w:val="14"/>
                <w:szCs w:val="14"/>
                <w:color w:val="auto"/>
              </w:rPr>
              <w:t>2,002,797 </w:t>
            </w:r>
            <w:r>
              <w:rPr>
                <w:rFonts w:ascii="Arial" w:cs="Arial" w:eastAsia="Arial" w:hAnsi="Arial"/>
                <w:sz w:val="21"/>
                <w:szCs w:val="21"/>
                <w:color w:val="auto"/>
                <w:vertAlign w:val="superscript"/>
              </w:rPr>
              <w:t>10</w:t>
            </w:r>
          </w:p>
        </w:tc>
        <w:tc>
          <w:tcPr>
            <w:tcW w:w="8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189"/>
        </w:trPr>
        <w:tc>
          <w:tcPr>
            <w:tcW w:w="6480" w:type="dxa"/>
            <w:vAlign w:val="bottom"/>
          </w:tcPr>
          <w:p>
            <w:pPr>
              <w:ind w:left="160"/>
              <w:spacing w:after="0"/>
              <w:rPr>
                <w:sz w:val="20"/>
                <w:szCs w:val="20"/>
                <w:color w:val="auto"/>
              </w:rPr>
            </w:pPr>
            <w:r>
              <w:rPr>
                <w:rFonts w:ascii="Arial" w:cs="Arial" w:eastAsia="Arial" w:hAnsi="Arial"/>
                <w:sz w:val="16"/>
                <w:szCs w:val="16"/>
                <w:color w:val="auto"/>
              </w:rPr>
              <w:t>Dimensional Fund Advisors LP</w:t>
            </w:r>
          </w:p>
        </w:tc>
        <w:tc>
          <w:tcPr>
            <w:tcW w:w="3660" w:type="dxa"/>
            <w:vAlign w:val="bottom"/>
          </w:tcPr>
          <w:p>
            <w:pPr>
              <w:ind w:left="2460"/>
              <w:spacing w:after="0" w:line="189" w:lineRule="exact"/>
              <w:rPr>
                <w:sz w:val="20"/>
                <w:szCs w:val="20"/>
                <w:color w:val="auto"/>
              </w:rPr>
            </w:pPr>
            <w:r>
              <w:rPr>
                <w:rFonts w:ascii="Arial" w:cs="Arial" w:eastAsia="Arial" w:hAnsi="Arial"/>
                <w:sz w:val="14"/>
                <w:szCs w:val="14"/>
                <w:color w:val="auto"/>
              </w:rPr>
              <w:t>1,766,343 </w:t>
            </w:r>
            <w:r>
              <w:rPr>
                <w:rFonts w:ascii="Arial" w:cs="Arial" w:eastAsia="Arial" w:hAnsi="Arial"/>
                <w:sz w:val="21"/>
                <w:szCs w:val="21"/>
                <w:color w:val="auto"/>
                <w:vertAlign w:val="superscript"/>
              </w:rPr>
              <w:t>11</w:t>
            </w:r>
          </w:p>
        </w:tc>
        <w:tc>
          <w:tcPr>
            <w:tcW w:w="8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03"/>
        </w:trPr>
        <w:tc>
          <w:tcPr>
            <w:tcW w:w="6480" w:type="dxa"/>
            <w:vAlign w:val="bottom"/>
            <w:tcBorders>
              <w:bottom w:val="single" w:sz="8" w:color="003A70"/>
            </w:tcBorders>
          </w:tcPr>
          <w:p>
            <w:pPr>
              <w:ind w:left="160"/>
              <w:spacing w:after="0"/>
              <w:rPr>
                <w:sz w:val="20"/>
                <w:szCs w:val="20"/>
                <w:color w:val="auto"/>
              </w:rPr>
            </w:pPr>
            <w:r>
              <w:rPr>
                <w:rFonts w:ascii="Arial" w:cs="Arial" w:eastAsia="Arial" w:hAnsi="Arial"/>
                <w:sz w:val="16"/>
                <w:szCs w:val="16"/>
                <w:color w:val="auto"/>
              </w:rPr>
              <w:t>Fuller &amp; Thaler Asset Management, Inc.</w:t>
            </w:r>
          </w:p>
        </w:tc>
        <w:tc>
          <w:tcPr>
            <w:tcW w:w="3660" w:type="dxa"/>
            <w:vAlign w:val="bottom"/>
            <w:tcBorders>
              <w:bottom w:val="single" w:sz="8" w:color="003A70"/>
            </w:tcBorders>
          </w:tcPr>
          <w:p>
            <w:pPr>
              <w:ind w:left="2460"/>
              <w:spacing w:after="0" w:line="203" w:lineRule="exact"/>
              <w:rPr>
                <w:sz w:val="20"/>
                <w:szCs w:val="20"/>
                <w:color w:val="auto"/>
              </w:rPr>
            </w:pPr>
            <w:r>
              <w:rPr>
                <w:rFonts w:ascii="Arial" w:cs="Arial" w:eastAsia="Arial" w:hAnsi="Arial"/>
                <w:sz w:val="16"/>
                <w:szCs w:val="16"/>
                <w:color w:val="auto"/>
              </w:rPr>
              <w:t>1,725,533 </w:t>
            </w:r>
            <w:r>
              <w:rPr>
                <w:rFonts w:ascii="Arial" w:cs="Arial" w:eastAsia="Arial" w:hAnsi="Arial"/>
                <w:sz w:val="23"/>
                <w:szCs w:val="23"/>
                <w:color w:val="auto"/>
                <w:vertAlign w:val="superscript"/>
              </w:rPr>
              <w:t>12</w:t>
            </w:r>
          </w:p>
        </w:tc>
        <w:tc>
          <w:tcPr>
            <w:tcW w:w="88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5.0%</w:t>
            </w:r>
          </w:p>
        </w:tc>
      </w:tr>
    </w:tbl>
    <w:p>
      <w:pPr>
        <w:spacing w:after="0" w:line="72" w:lineRule="exact"/>
        <w:rPr>
          <w:sz w:val="20"/>
          <w:szCs w:val="20"/>
          <w:color w:val="auto"/>
        </w:rPr>
      </w:pPr>
    </w:p>
    <w:p>
      <w:pPr>
        <w:ind w:left="440" w:hanging="324"/>
        <w:spacing w:after="0"/>
        <w:tabs>
          <w:tab w:leader="none" w:pos="4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2" w:lineRule="exact"/>
        <w:rPr>
          <w:sz w:val="20"/>
          <w:szCs w:val="20"/>
          <w:color w:val="auto"/>
        </w:rPr>
      </w:pPr>
    </w:p>
    <w:p>
      <w:pPr>
        <w:ind w:left="440" w:right="80" w:hanging="324"/>
        <w:spacing w:after="0" w:line="204" w:lineRule="auto"/>
        <w:tabs>
          <w:tab w:leader="none" w:pos="440" w:val="left"/>
        </w:tabs>
        <w:numPr>
          <w:ilvl w:val="0"/>
          <w:numId w:val="118"/>
        </w:numPr>
        <w:rPr>
          <w:rFonts w:ascii="Arial" w:cs="Arial" w:eastAsia="Arial" w:hAnsi="Arial"/>
          <w:sz w:val="22"/>
          <w:szCs w:val="22"/>
          <w:color w:val="auto"/>
          <w:vertAlign w:val="superscript"/>
        </w:rPr>
      </w:pPr>
      <w:r>
        <w:rPr>
          <w:rFonts w:ascii="Arial" w:cs="Arial" w:eastAsia="Arial" w:hAnsi="Arial"/>
          <w:sz w:val="14"/>
          <w:szCs w:val="14"/>
          <w:color w:val="auto"/>
        </w:rPr>
        <w:t>Based on the number of shares outstanding 34,306,797 on March 16, 2026, plus the number of shares acquirable by the specified persons within 60 days of March 16, 2026 as described below.</w:t>
      </w:r>
    </w:p>
    <w:p>
      <w:pPr>
        <w:spacing w:after="0" w:line="53" w:lineRule="exact"/>
        <w:rPr>
          <w:sz w:val="20"/>
          <w:szCs w:val="20"/>
          <w:color w:val="auto"/>
        </w:rPr>
      </w:pPr>
    </w:p>
    <w:p>
      <w:pPr>
        <w:ind w:left="440" w:right="360" w:hanging="324"/>
        <w:spacing w:after="0" w:line="195" w:lineRule="auto"/>
        <w:tabs>
          <w:tab w:leader="none" w:pos="440" w:val="left"/>
        </w:tabs>
        <w:numPr>
          <w:ilvl w:val="0"/>
          <w:numId w:val="119"/>
        </w:numPr>
        <w:rPr>
          <w:rFonts w:ascii="Arial" w:cs="Arial" w:eastAsia="Arial" w:hAnsi="Arial"/>
          <w:sz w:val="22"/>
          <w:szCs w:val="22"/>
          <w:color w:val="auto"/>
          <w:vertAlign w:val="superscript"/>
        </w:rPr>
      </w:pPr>
      <w:r>
        <w:rPr>
          <w:rFonts w:ascii="Arial" w:cs="Arial" w:eastAsia="Arial" w:hAnsi="Arial"/>
          <w:sz w:val="14"/>
          <w:szCs w:val="14"/>
          <w:color w:val="auto"/>
        </w:rPr>
        <w:t>Includes shares subject to Non-Employee Director Share Awards currently exercisable or exercisable within 60 days after March 16, 2026 as follows: Mr. Andrews, 23,014 shares; Mr. Asmar, 834 shares; Mr. Avril, 3,019 shares (which were granted prior to Mr. Avril’s appointment as CEO); Ms. Galbreath, 10,881 shares;</w:t>
      </w:r>
    </w:p>
    <w:p>
      <w:pPr>
        <w:spacing w:after="0" w:line="1" w:lineRule="exact"/>
        <w:rPr>
          <w:rFonts w:ascii="Arial" w:cs="Arial" w:eastAsia="Arial" w:hAnsi="Arial"/>
          <w:sz w:val="22"/>
          <w:szCs w:val="22"/>
          <w:color w:val="auto"/>
          <w:vertAlign w:val="superscript"/>
        </w:rPr>
      </w:pPr>
    </w:p>
    <w:p>
      <w:pPr>
        <w:ind w:left="440" w:right="420"/>
        <w:spacing w:after="0" w:line="264" w:lineRule="auto"/>
        <w:rPr>
          <w:rFonts w:ascii="Arial" w:cs="Arial" w:eastAsia="Arial" w:hAnsi="Arial"/>
          <w:sz w:val="22"/>
          <w:szCs w:val="22"/>
          <w:color w:val="auto"/>
          <w:vertAlign w:val="superscript"/>
        </w:rPr>
      </w:pPr>
      <w:r>
        <w:rPr>
          <w:rFonts w:ascii="Arial" w:cs="Arial" w:eastAsia="Arial" w:hAnsi="Arial"/>
          <w:sz w:val="14"/>
          <w:szCs w:val="14"/>
          <w:color w:val="auto"/>
        </w:rPr>
        <w:t>Ms. Galligan, 4,890 shares; Ms. Gray, 12,780 shares; Mr. McCarten, 21,124 shares; Ms. Morgan, 13,559 shares; Mr. Quazzo, 2,938 shares; and Mr. Shaw 33,563 shares.</w:t>
      </w:r>
    </w:p>
    <w:p>
      <w:pPr>
        <w:spacing w:after="0" w:line="37" w:lineRule="exact"/>
        <w:rPr>
          <w:sz w:val="20"/>
          <w:szCs w:val="20"/>
          <w:color w:val="auto"/>
        </w:rPr>
      </w:pPr>
    </w:p>
    <w:p>
      <w:pPr>
        <w:ind w:left="440" w:right="40" w:hanging="324"/>
        <w:spacing w:after="0" w:line="204" w:lineRule="auto"/>
        <w:tabs>
          <w:tab w:leader="none" w:pos="440" w:val="left"/>
        </w:tabs>
        <w:numPr>
          <w:ilvl w:val="0"/>
          <w:numId w:val="120"/>
        </w:numPr>
        <w:rPr>
          <w:rFonts w:ascii="Arial" w:cs="Arial" w:eastAsia="Arial" w:hAnsi="Arial"/>
          <w:sz w:val="22"/>
          <w:szCs w:val="22"/>
          <w:color w:val="auto"/>
          <w:vertAlign w:val="superscript"/>
        </w:rPr>
      </w:pPr>
      <w:r>
        <w:rPr>
          <w:rFonts w:ascii="Arial" w:cs="Arial" w:eastAsia="Arial" w:hAnsi="Arial"/>
          <w:sz w:val="14"/>
          <w:szCs w:val="14"/>
          <w:color w:val="auto"/>
        </w:rPr>
        <w:t>Includes shares owned by Impactive Capital LP discussed in Note 9 below. Mr. Asmar disclaims beneficial ownership of the shares except to the extent of his pecuniary interest therein.</w:t>
      </w:r>
    </w:p>
    <w:p>
      <w:pPr>
        <w:ind w:left="440" w:hanging="324"/>
        <w:spacing w:after="0" w:line="230" w:lineRule="auto"/>
        <w:tabs>
          <w:tab w:leader="none" w:pos="440" w:val="left"/>
        </w:tabs>
        <w:numPr>
          <w:ilvl w:val="0"/>
          <w:numId w:val="121"/>
        </w:numPr>
        <w:rPr>
          <w:rFonts w:ascii="Arial" w:cs="Arial" w:eastAsia="Arial" w:hAnsi="Arial"/>
          <w:sz w:val="22"/>
          <w:szCs w:val="22"/>
          <w:color w:val="auto"/>
          <w:vertAlign w:val="superscript"/>
        </w:rPr>
      </w:pPr>
      <w:r>
        <w:rPr>
          <w:rFonts w:ascii="Arial" w:cs="Arial" w:eastAsia="Arial" w:hAnsi="Arial"/>
          <w:sz w:val="14"/>
          <w:szCs w:val="14"/>
          <w:color w:val="auto"/>
        </w:rPr>
        <w:t>Includes 102,069 shares held in revocable trusts by Mr. Geller and Mr. Geller’s spouse and 2,150 shares in retirement accounts.</w:t>
      </w:r>
    </w:p>
    <w:p>
      <w:pPr>
        <w:spacing w:after="0" w:line="60" w:lineRule="exact"/>
        <w:rPr>
          <w:sz w:val="20"/>
          <w:szCs w:val="20"/>
          <w:color w:val="auto"/>
        </w:rPr>
      </w:pPr>
    </w:p>
    <w:p>
      <w:pPr>
        <w:ind w:left="440" w:right="220" w:hanging="324"/>
        <w:spacing w:after="0" w:line="200" w:lineRule="auto"/>
        <w:tabs>
          <w:tab w:leader="none" w:pos="440" w:val="left"/>
        </w:tabs>
        <w:numPr>
          <w:ilvl w:val="0"/>
          <w:numId w:val="122"/>
        </w:numPr>
        <w:rPr>
          <w:rFonts w:ascii="Arial" w:cs="Arial" w:eastAsia="Arial" w:hAnsi="Arial"/>
          <w:sz w:val="22"/>
          <w:szCs w:val="22"/>
          <w:color w:val="auto"/>
          <w:vertAlign w:val="superscript"/>
        </w:rPr>
      </w:pPr>
      <w:r>
        <w:rPr>
          <w:rFonts w:ascii="Arial" w:cs="Arial" w:eastAsia="Arial" w:hAnsi="Arial"/>
          <w:sz w:val="14"/>
          <w:szCs w:val="14"/>
          <w:color w:val="auto"/>
        </w:rPr>
        <w:t>Includes 20,999 shares held as tenants in common with Mr. McCarten’s spouse and 1,966 shares held by a limited liability corporation in which Mr. McCarten owns a 2% interest and acts as Manager.</w:t>
      </w:r>
    </w:p>
    <w:p>
      <w:pPr>
        <w:spacing w:after="0" w:line="54" w:lineRule="exact"/>
        <w:rPr>
          <w:sz w:val="20"/>
          <w:szCs w:val="20"/>
          <w:color w:val="auto"/>
        </w:rPr>
      </w:pPr>
    </w:p>
    <w:p>
      <w:pPr>
        <w:ind w:left="440" w:right="200" w:hanging="324"/>
        <w:spacing w:after="0" w:line="220" w:lineRule="auto"/>
        <w:tabs>
          <w:tab w:leader="none" w:pos="440" w:val="left"/>
        </w:tabs>
        <w:numPr>
          <w:ilvl w:val="0"/>
          <w:numId w:val="123"/>
        </w:numPr>
        <w:rPr>
          <w:rFonts w:ascii="Arial" w:cs="Arial" w:eastAsia="Arial" w:hAnsi="Arial"/>
          <w:sz w:val="22"/>
          <w:szCs w:val="22"/>
          <w:color w:val="auto"/>
          <w:vertAlign w:val="superscript"/>
        </w:rPr>
      </w:pPr>
      <w:r>
        <w:rPr>
          <w:rFonts w:ascii="Arial" w:cs="Arial" w:eastAsia="Arial" w:hAnsi="Arial"/>
          <w:sz w:val="14"/>
          <w:szCs w:val="14"/>
          <w:color w:val="auto"/>
        </w:rPr>
        <w:t>Includes the aggregate number of shares subject to SARs and RSUs for all executive officers as a group, Non-Employee Director Share Awards and Non-Employee Director Stock Units currently exercisable or exercisable within 60 days after March 16, 2026. For purposes of determining the number of shares subject to SARs that are beneficially owned, we have calculated the number of shares that such persons could obtain by exercising all in the money SARs that are currently exercisable or exercisable within 60 days after March 16, 2026, based on the closing price of our Common Stock on March 16, 2026.</w:t>
      </w:r>
    </w:p>
    <w:p>
      <w:pPr>
        <w:spacing w:after="0" w:line="54" w:lineRule="exact"/>
        <w:rPr>
          <w:sz w:val="20"/>
          <w:szCs w:val="20"/>
          <w:color w:val="auto"/>
        </w:rPr>
      </w:pPr>
    </w:p>
    <w:p>
      <w:pPr>
        <w:ind w:left="440" w:right="20" w:hanging="324"/>
        <w:spacing w:after="0" w:line="204" w:lineRule="auto"/>
        <w:tabs>
          <w:tab w:leader="none" w:pos="440" w:val="left"/>
        </w:tabs>
        <w:numPr>
          <w:ilvl w:val="0"/>
          <w:numId w:val="124"/>
        </w:numPr>
        <w:rPr>
          <w:rFonts w:ascii="Arial" w:cs="Arial" w:eastAsia="Arial" w:hAnsi="Arial"/>
          <w:sz w:val="22"/>
          <w:szCs w:val="22"/>
          <w:color w:val="auto"/>
          <w:vertAlign w:val="superscript"/>
        </w:rPr>
      </w:pPr>
      <w:r>
        <w:rPr>
          <w:rFonts w:ascii="Arial" w:cs="Arial" w:eastAsia="Arial" w:hAnsi="Arial"/>
          <w:sz w:val="14"/>
          <w:szCs w:val="14"/>
          <w:color w:val="auto"/>
        </w:rPr>
        <w:t>Based solely on the information contained in a Schedule 13G/A filed with the SEC on January 8, 2026 by BlackRock, Inc. (“BlackRock”). BlackRock reported sole voting power as to 4,017,108 shares and sole dispositive power as to 4,084,555 shares. The address of BlackRock is 50 Hudson Yards, New York, New York 10001.</w:t>
      </w:r>
    </w:p>
    <w:p>
      <w:pPr>
        <w:spacing w:after="0" w:line="53" w:lineRule="exact"/>
        <w:rPr>
          <w:sz w:val="20"/>
          <w:szCs w:val="20"/>
          <w:color w:val="auto"/>
        </w:rPr>
      </w:pPr>
    </w:p>
    <w:p>
      <w:pPr>
        <w:ind w:left="440" w:right="40" w:hanging="324"/>
        <w:spacing w:after="0" w:line="224" w:lineRule="auto"/>
        <w:tabs>
          <w:tab w:leader="none" w:pos="440" w:val="left"/>
        </w:tabs>
        <w:numPr>
          <w:ilvl w:val="0"/>
          <w:numId w:val="125"/>
        </w:numPr>
        <w:rPr>
          <w:rFonts w:ascii="Arial" w:cs="Arial" w:eastAsia="Arial" w:hAnsi="Arial"/>
          <w:sz w:val="22"/>
          <w:szCs w:val="22"/>
          <w:color w:val="auto"/>
          <w:vertAlign w:val="superscript"/>
        </w:rPr>
      </w:pPr>
      <w:r>
        <w:rPr>
          <w:rFonts w:ascii="Arial" w:cs="Arial" w:eastAsia="Arial" w:hAnsi="Arial"/>
          <w:sz w:val="14"/>
          <w:szCs w:val="14"/>
          <w:color w:val="auto"/>
        </w:rPr>
        <w:t>Based solely on the information contained in a Schedule 13D/A filed with the SEC on June 20, 2025 by (i) Impactive Capital LP, a Delaware limited partnership, as the investment manager of certain funds and/or accounts (the “Impactive Funds”), with respect to the Shares directly owned by the Impactive Funds LP, (ii) Impactive Capital LLC, a Delaware limited liability company (“Impactive Capital GP”), as the general partner of Impactive Capital, and (iii) Lauren Taylor Wolfe and Christian Asmar, each a managing member of Impactive Capital GP. The reporting entities and persons each reported the shared voting power and shared dispositive power with respect to 4,045,984 shares. The business address for the reporting entities and persons is 152 West 57th Street, 17th Floor, New York, New York 10019.</w:t>
      </w:r>
    </w:p>
    <w:p>
      <w:pPr>
        <w:spacing w:after="0" w:line="117" w:lineRule="exact"/>
        <w:rPr>
          <w:sz w:val="20"/>
          <w:szCs w:val="20"/>
          <w:color w:val="auto"/>
        </w:rPr>
      </w:pPr>
    </w:p>
    <w:p>
      <w:pPr>
        <w:ind w:left="120"/>
        <w:spacing w:after="0"/>
        <w:tabs>
          <w:tab w:leader="none" w:pos="5200" w:val="left"/>
          <w:tab w:leader="none" w:pos="7820" w:val="left"/>
        </w:tabs>
        <w:rPr>
          <w:sz w:val="20"/>
          <w:szCs w:val="20"/>
          <w:color w:val="auto"/>
        </w:rPr>
      </w:pPr>
      <w:r>
        <w:rPr>
          <w:rFonts w:ascii="Arial" w:cs="Arial" w:eastAsia="Arial" w:hAnsi="Arial"/>
          <w:sz w:val="11"/>
          <w:szCs w:val="11"/>
          <w:b w:val="1"/>
          <w:bCs w:val="1"/>
          <w:color w:val="003A70"/>
        </w:rPr>
        <w:t>60</w:t>
      </w:r>
      <w:r>
        <w:rPr>
          <w:sz w:val="20"/>
          <w:szCs w:val="20"/>
          <w:color w:val="auto"/>
        </w:rPr>
        <w:tab/>
      </w:r>
      <w:r>
        <w:rPr>
          <w:rFonts w:ascii="Arial" w:cs="Arial" w:eastAsia="Arial" w:hAnsi="Arial"/>
          <w:sz w:val="11"/>
          <w:szCs w:val="11"/>
          <w:color w:val="auto"/>
        </w:rPr>
        <w:t>Stock Ownership</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p>
      <w:pPr>
        <w:ind w:left="440" w:right="160" w:hanging="324"/>
        <w:spacing w:after="0" w:line="214" w:lineRule="auto"/>
        <w:tabs>
          <w:tab w:leader="none" w:pos="440" w:val="left"/>
        </w:tabs>
        <w:numPr>
          <w:ilvl w:val="0"/>
          <w:numId w:val="126"/>
        </w:numPr>
        <w:rPr>
          <w:rFonts w:ascii="Arial" w:cs="Arial" w:eastAsia="Arial" w:hAnsi="Arial"/>
          <w:sz w:val="22"/>
          <w:szCs w:val="22"/>
          <w:color w:val="auto"/>
          <w:vertAlign w:val="superscript"/>
        </w:rPr>
      </w:pPr>
      <w:r>
        <w:rPr>
          <w:rFonts w:ascii="Arial" w:cs="Arial" w:eastAsia="Arial" w:hAnsi="Arial"/>
          <w:sz w:val="14"/>
          <w:szCs w:val="14"/>
          <w:color w:val="auto"/>
        </w:rPr>
        <w:t>Based solely on the information contained in a Schedule 13G/A filed with the SEC on February 5, 2026 by The Vanguard Group, Inc. (“Vanguard”). Vanguard reported shared voting power as to 244,629 shares and shared dispositive power as to 3,464,224 shares. The address of Vanguard is 100 Vanguard Boulevard, Malvern, Pennsylvania 19355.</w:t>
      </w:r>
    </w:p>
    <w:p>
      <w:pPr>
        <w:spacing w:after="0" w:line="54" w:lineRule="exact"/>
        <w:rPr>
          <w:sz w:val="20"/>
          <w:szCs w:val="20"/>
          <w:color w:val="auto"/>
        </w:rPr>
      </w:pPr>
    </w:p>
    <w:p>
      <w:pPr>
        <w:ind w:left="440" w:right="120" w:hanging="324"/>
        <w:spacing w:after="0"/>
        <w:tabs>
          <w:tab w:leader="none" w:pos="440" w:val="left"/>
        </w:tabs>
        <w:numPr>
          <w:ilvl w:val="0"/>
          <w:numId w:val="127"/>
        </w:numPr>
        <w:rPr>
          <w:rFonts w:ascii="Arial" w:cs="Arial" w:eastAsia="Arial" w:hAnsi="Arial"/>
          <w:sz w:val="22"/>
          <w:szCs w:val="22"/>
          <w:color w:val="auto"/>
          <w:vertAlign w:val="superscript"/>
        </w:rPr>
      </w:pPr>
      <w:r>
        <w:rPr>
          <w:rFonts w:ascii="Arial" w:cs="Arial" w:eastAsia="Arial" w:hAnsi="Arial"/>
          <w:sz w:val="14"/>
          <w:szCs w:val="14"/>
          <w:color w:val="auto"/>
        </w:rPr>
        <w:t>Based solely on the information contained in a Schedule 13G/A filed with the SEC on February 5, 2024 jointly by JWM Family Enterprises, Inc. and JWM Family Enterprises, L.P. Consists of the following: (a) 919,999 shares owned by Thomas Point Ventures, L.P., a Delaware limited partnership, whose sole general partner is JWM Family Enterprises, L.P.; (b) 70,000 shares held by Penny Lane Limited Holdings, LLC, a Delaware limited liability company, whose sole member is JWM Family Enterprises, L.P.; (c) 47,500 shares owned by Anchorage Partners, L.P., a Delaware limited partnership, whose sole general partner is JWM Family Enterprises, L.P.; and (d) 965,298 shares owned by JWM Family Enterprises, L.P. JWM Family Enterprises, Inc. is the sole general partner of JWM Family Enterprises, L.P. JWM Family Enterprises, Inc. reported shared voting and dispositive power as to 2,002,797 shares, and JWM Family Enterprises, L.P. reported shared voting and dispositive power as to 1,082,798 shares. The address of each of JWM Family Enterprises, Inc. and JWM Family Enterprises, L.P. is 540 Gaither Road, Suite 100, Rockville, Maryland 20850.</w:t>
      </w:r>
    </w:p>
    <w:p>
      <w:pPr>
        <w:spacing w:after="0" w:line="158" w:lineRule="exact"/>
        <w:rPr>
          <w:rFonts w:ascii="Arial" w:cs="Arial" w:eastAsia="Arial" w:hAnsi="Arial"/>
          <w:sz w:val="22"/>
          <w:szCs w:val="22"/>
          <w:color w:val="auto"/>
          <w:vertAlign w:val="superscript"/>
        </w:rPr>
      </w:pPr>
    </w:p>
    <w:p>
      <w:pPr>
        <w:ind w:left="440" w:right="80" w:hanging="324"/>
        <w:spacing w:after="0" w:line="220" w:lineRule="auto"/>
        <w:tabs>
          <w:tab w:leader="none" w:pos="440" w:val="left"/>
        </w:tabs>
        <w:numPr>
          <w:ilvl w:val="0"/>
          <w:numId w:val="127"/>
        </w:numPr>
        <w:rPr>
          <w:rFonts w:ascii="Arial" w:cs="Arial" w:eastAsia="Arial" w:hAnsi="Arial"/>
          <w:sz w:val="22"/>
          <w:szCs w:val="22"/>
          <w:color w:val="auto"/>
          <w:vertAlign w:val="superscript"/>
        </w:rPr>
      </w:pPr>
      <w:r>
        <w:rPr>
          <w:rFonts w:ascii="Arial" w:cs="Arial" w:eastAsia="Arial" w:hAnsi="Arial"/>
          <w:sz w:val="14"/>
          <w:szCs w:val="14"/>
          <w:color w:val="auto"/>
        </w:rPr>
        <w:t>Based solely on the information contained in a Schedule 13G filed with the SEC on October 31, 2024. Represents an aggregate of 1,766,343 shares of common stock beneficially owned by Dimensional Fund Advisors LP in its capacity as investment adviser on behalf of its clients. Dimensional Fund Advisors LP has sole voting power over 1,719,442 shares and sole dispositive power over 1,766,343 shares. The address of record of Dimensional Fund Advisors LP is 6300 Bee Cave Road, Building One, Austin, Texas 78746.</w:t>
      </w:r>
    </w:p>
    <w:p>
      <w:pPr>
        <w:spacing w:after="0" w:line="54" w:lineRule="exact"/>
        <w:rPr>
          <w:rFonts w:ascii="Arial" w:cs="Arial" w:eastAsia="Arial" w:hAnsi="Arial"/>
          <w:sz w:val="22"/>
          <w:szCs w:val="22"/>
          <w:color w:val="auto"/>
          <w:vertAlign w:val="superscript"/>
        </w:rPr>
      </w:pPr>
    </w:p>
    <w:p>
      <w:pPr>
        <w:ind w:left="440" w:right="20" w:hanging="324"/>
        <w:spacing w:after="0" w:line="220" w:lineRule="auto"/>
        <w:tabs>
          <w:tab w:leader="none" w:pos="440" w:val="left"/>
        </w:tabs>
        <w:numPr>
          <w:ilvl w:val="0"/>
          <w:numId w:val="127"/>
        </w:numPr>
        <w:rPr>
          <w:rFonts w:ascii="Arial" w:cs="Arial" w:eastAsia="Arial" w:hAnsi="Arial"/>
          <w:sz w:val="22"/>
          <w:szCs w:val="22"/>
          <w:color w:val="auto"/>
          <w:vertAlign w:val="superscript"/>
        </w:rPr>
      </w:pPr>
      <w:r>
        <w:rPr>
          <w:rFonts w:ascii="Arial" w:cs="Arial" w:eastAsia="Arial" w:hAnsi="Arial"/>
          <w:sz w:val="14"/>
          <w:szCs w:val="14"/>
          <w:color w:val="auto"/>
        </w:rPr>
        <w:t>Based solely on the information contained in a Schedule 13G/A filed with the SEC on February 17, 2026. Represents an aggregate of 1,725,532.99 shares of common stock beneficially owned by Fuller &amp; Thaler Asset Management, Inc. in its capacity as investment adviser on behalf of certain persons. Fuller &amp; Thaler Asset Management, Inc. has sole voting power over 1,700,924.99 shares and sole dispositive power over 1,725,532.99 shares. The address of record of Fuller &amp; Thaler Asset Management, Inc. 411 Borel Avenue, Suite 300, San Mateo, California 94402.</w:t>
      </w:r>
    </w:p>
    <w:p>
      <w:pPr>
        <w:spacing w:after="0" w:line="118" w:lineRule="exact"/>
        <w:rPr>
          <w:sz w:val="20"/>
          <w:szCs w:val="20"/>
          <w:color w:val="auto"/>
        </w:rPr>
      </w:pPr>
    </w:p>
    <w:p>
      <w:pPr>
        <w:ind w:left="120"/>
        <w:spacing w:after="0"/>
        <w:tabs>
          <w:tab w:leader="none" w:pos="520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Stock Ownership</w:t>
      </w:r>
      <w:r>
        <w:rPr>
          <w:sz w:val="20"/>
          <w:szCs w:val="20"/>
          <w:color w:val="auto"/>
        </w:rPr>
        <w:tab/>
      </w:r>
      <w:r>
        <w:rPr>
          <w:rFonts w:ascii="Arial" w:cs="Arial" w:eastAsia="Arial" w:hAnsi="Arial"/>
          <w:sz w:val="10"/>
          <w:szCs w:val="10"/>
          <w:b w:val="1"/>
          <w:bCs w:val="1"/>
          <w:color w:val="003A7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3" w:lineRule="exact"/>
        <w:rPr>
          <w:sz w:val="20"/>
          <w:szCs w:val="20"/>
          <w:color w:val="auto"/>
        </w:rPr>
      </w:pPr>
    </w:p>
    <w:p>
      <w:pPr>
        <w:ind w:left="600" w:right="2060"/>
        <w:spacing w:after="0" w:line="283" w:lineRule="auto"/>
        <w:rPr>
          <w:sz w:val="20"/>
          <w:szCs w:val="20"/>
          <w:color w:val="auto"/>
        </w:rPr>
      </w:pPr>
      <w:r>
        <w:rPr>
          <w:rFonts w:ascii="Arial" w:cs="Arial" w:eastAsia="Arial" w:hAnsi="Arial"/>
          <w:sz w:val="54"/>
          <w:szCs w:val="54"/>
          <w:b w:val="1"/>
          <w:bCs w:val="1"/>
          <w:color w:val="auto"/>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-892175</wp:posOffset>
            </wp:positionV>
            <wp:extent cx="85725" cy="8312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31215"/>
                    </a:xfrm>
                    <a:prstGeom prst="rect">
                      <a:avLst/>
                    </a:prstGeom>
                    <a:noFill/>
                  </pic:spPr>
                </pic:pic>
              </a:graphicData>
            </a:graphic>
          </wp:anchor>
        </w:drawing>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POLICY ON TRANSACTIONS AND ARRANGEMENTS WITH RELATED PERSONS</w:t>
      </w:r>
    </w:p>
    <w:p>
      <w:pPr>
        <w:spacing w:after="0" w:line="112"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6"/>
          <w:szCs w:val="16"/>
          <w:color w:val="auto"/>
        </w:rPr>
        <w:t>We have adopted a written policy for approval of transactions and arrangements between the Company and “Related Persons,” which include our current and recent former directors, director nominees, current and recent former executive officers, greater than five percent stockholders, and immediate family members of any of the foregoing, where the amount involved exceeds, or may be expected to exceed, $120,000.</w:t>
      </w:r>
    </w:p>
    <w:p>
      <w:pPr>
        <w:spacing w:after="0" w:line="63" w:lineRule="exact"/>
        <w:rPr>
          <w:sz w:val="20"/>
          <w:szCs w:val="20"/>
          <w:color w:val="auto"/>
        </w:rPr>
      </w:pPr>
    </w:p>
    <w:p>
      <w:pPr>
        <w:ind w:left="120" w:right="240"/>
        <w:spacing w:after="0" w:line="251" w:lineRule="auto"/>
        <w:rPr>
          <w:sz w:val="20"/>
          <w:szCs w:val="20"/>
          <w:color w:val="auto"/>
        </w:rPr>
      </w:pPr>
      <w:r>
        <w:rPr>
          <w:rFonts w:ascii="Arial" w:cs="Arial" w:eastAsia="Arial" w:hAnsi="Arial"/>
          <w:sz w:val="16"/>
          <w:szCs w:val="16"/>
          <w:color w:val="auto"/>
        </w:rPr>
        <w:t>The policy provides that the Nominating and Corporate Governance Committee will conduct a reasonable prior review of, and oversee, all transactions subject to the policy for potential conflicts of interest and will prohibit a transaction if it determines it to be inconsistent with the interest of the Company and its stockholders. The Nominating and Corporate Governance Committee also will review the material facts of transactions subject to the policy and determine whether or not to approve or ratify those transactions. In determining whether to approve or ratify a transaction subject to the policy, the Committee will take into account, among other factors, whether the transaction is on terms that are no less favorable to the Company than terms generally available to an unaffiliated third party under similar circumstances and the materiality of the related person’s interest in the transaction. The policy provides that transactions subject to the policy must be approved in advance, but if approval is required but not reasonably feasible, then the transaction will be considered and, if determined to be appropriate, ratified at the Nominating and Corporate Governance Committee’s next regularly scheduled meeting.</w:t>
      </w:r>
    </w:p>
    <w:p>
      <w:pPr>
        <w:spacing w:after="0" w:line="77"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No director, officer or associate of the Company who has, or whose immediate family member has, any direct or indirect interest in the transaction may play any role in negotiating, approving, making decisions for or administering such transaction on our behalf. In the case of ongoing transactions between us and a related party, the Nominating and Corporate Governance Committee may establish guidelines for our management to follow in dealings with the related party and, if the Committee establishes such guidelines, it must assess the ongoing relationship in light of those guidelines on at least an annual basis. If a transaction consists of a change to an existing transaction, the transaction will be evaluated on the basis of the terms of the overall transaction, arrangement or relationship so modified.</w:t>
      </w:r>
    </w:p>
    <w:p>
      <w:pPr>
        <w:spacing w:after="0" w:line="74" w:lineRule="exact"/>
        <w:rPr>
          <w:sz w:val="20"/>
          <w:szCs w:val="20"/>
          <w:color w:val="auto"/>
        </w:rPr>
      </w:pPr>
    </w:p>
    <w:p>
      <w:pPr>
        <w:jc w:val="both"/>
        <w:ind w:left="120" w:right="200"/>
        <w:spacing w:after="0" w:line="264" w:lineRule="auto"/>
        <w:rPr>
          <w:sz w:val="20"/>
          <w:szCs w:val="20"/>
          <w:color w:val="auto"/>
        </w:rPr>
      </w:pPr>
      <w:r>
        <w:rPr>
          <w:rFonts w:ascii="Arial" w:cs="Arial" w:eastAsia="Arial" w:hAnsi="Arial"/>
          <w:sz w:val="16"/>
          <w:szCs w:val="16"/>
          <w:color w:val="auto"/>
        </w:rPr>
        <w:t>The Nominating and Corporate Governance Committee has pre-approved under the policy certain transactions with Related Persons that meet specific criteria. A summary of certain new transactions we enter into that were pre-approved under the policy is required to be provided to the Nominating and Corporate Governance Committee at its regularly scheduled meetings. Pre-approved transactions are limited to:</w:t>
      </w:r>
    </w:p>
    <w:p>
      <w:pPr>
        <w:ind w:left="340" w:right="40" w:hanging="224"/>
        <w:spacing w:after="0" w:line="272" w:lineRule="auto"/>
        <w:tabs>
          <w:tab w:leader="none" w:pos="340" w:val="left"/>
        </w:tabs>
        <w:numPr>
          <w:ilvl w:val="0"/>
          <w:numId w:val="128"/>
        </w:numPr>
        <w:rPr>
          <w:rFonts w:ascii="Arial" w:cs="Arial" w:eastAsia="Arial" w:hAnsi="Arial"/>
          <w:sz w:val="16"/>
          <w:szCs w:val="16"/>
          <w:color w:val="003A70"/>
        </w:rPr>
      </w:pPr>
      <w:r>
        <w:rPr>
          <w:rFonts w:ascii="Arial" w:cs="Arial" w:eastAsia="Arial" w:hAnsi="Arial"/>
          <w:sz w:val="16"/>
          <w:szCs w:val="16"/>
          <w:color w:val="auto"/>
        </w:rPr>
        <w:t>ordinary course sales of vacation ownership, fractional or similar ownership interests owned or controlled by a Related Person with specified maximum dollar thresholds at prices that are no lower than those available under Company-wide employee discount programs;</w:t>
      </w:r>
    </w:p>
    <w:p>
      <w:pPr>
        <w:spacing w:after="0" w:line="1" w:lineRule="exact"/>
        <w:rPr>
          <w:rFonts w:ascii="Arial" w:cs="Arial" w:eastAsia="Arial" w:hAnsi="Arial"/>
          <w:sz w:val="16"/>
          <w:szCs w:val="16"/>
          <w:color w:val="003A70"/>
        </w:rPr>
      </w:pPr>
    </w:p>
    <w:p>
      <w:pPr>
        <w:ind w:left="340" w:right="220" w:hanging="224"/>
        <w:spacing w:after="0" w:line="264" w:lineRule="auto"/>
        <w:tabs>
          <w:tab w:leader="none" w:pos="340" w:val="left"/>
        </w:tabs>
        <w:numPr>
          <w:ilvl w:val="0"/>
          <w:numId w:val="128"/>
        </w:numPr>
        <w:rPr>
          <w:rFonts w:ascii="Arial" w:cs="Arial" w:eastAsia="Arial" w:hAnsi="Arial"/>
          <w:sz w:val="16"/>
          <w:szCs w:val="16"/>
          <w:color w:val="003A70"/>
        </w:rPr>
      </w:pPr>
      <w:r>
        <w:rPr>
          <w:rFonts w:ascii="Arial" w:cs="Arial" w:eastAsia="Arial" w:hAnsi="Arial"/>
          <w:sz w:val="16"/>
          <w:szCs w:val="16"/>
          <w:color w:val="auto"/>
        </w:rPr>
        <w:t>rental of a time share unit, fractional unit, condominium or residence owned or controlled by a Related Person if the terms of the rental arrangement, including rental rate, are on terms that are no less favorable to the Company than terms generally available to an unaffiliated third-party under the same or similar circumstances;</w:t>
      </w:r>
    </w:p>
    <w:p>
      <w:pPr>
        <w:ind w:left="340" w:right="280" w:hanging="224"/>
        <w:spacing w:after="0" w:line="272" w:lineRule="auto"/>
        <w:tabs>
          <w:tab w:leader="none" w:pos="340" w:val="left"/>
        </w:tabs>
        <w:numPr>
          <w:ilvl w:val="0"/>
          <w:numId w:val="128"/>
        </w:numPr>
        <w:rPr>
          <w:rFonts w:ascii="Arial" w:cs="Arial" w:eastAsia="Arial" w:hAnsi="Arial"/>
          <w:sz w:val="16"/>
          <w:szCs w:val="16"/>
          <w:color w:val="003A70"/>
        </w:rPr>
      </w:pPr>
      <w:r>
        <w:rPr>
          <w:rFonts w:ascii="Arial" w:cs="Arial" w:eastAsia="Arial" w:hAnsi="Arial"/>
          <w:sz w:val="16"/>
          <w:szCs w:val="16"/>
          <w:color w:val="auto"/>
        </w:rPr>
        <w:t>employment and compensation relationships that are subject to Compensation Policy Committee or other specified internal management approvals and which, in the case of executive officers and directors, are subject to required proxy statement disclosure;</w:t>
      </w:r>
    </w:p>
    <w:p>
      <w:pPr>
        <w:spacing w:after="0" w:line="1" w:lineRule="exact"/>
        <w:rPr>
          <w:rFonts w:ascii="Arial" w:cs="Arial" w:eastAsia="Arial" w:hAnsi="Arial"/>
          <w:sz w:val="16"/>
          <w:szCs w:val="16"/>
          <w:color w:val="003A70"/>
        </w:rPr>
      </w:pPr>
    </w:p>
    <w:p>
      <w:pPr>
        <w:ind w:left="340" w:right="720" w:hanging="224"/>
        <w:spacing w:after="0" w:line="272" w:lineRule="auto"/>
        <w:tabs>
          <w:tab w:leader="none" w:pos="340" w:val="left"/>
        </w:tabs>
        <w:numPr>
          <w:ilvl w:val="0"/>
          <w:numId w:val="128"/>
        </w:numPr>
        <w:rPr>
          <w:rFonts w:ascii="Arial" w:cs="Arial" w:eastAsia="Arial" w:hAnsi="Arial"/>
          <w:sz w:val="16"/>
          <w:szCs w:val="16"/>
          <w:color w:val="003A70"/>
        </w:rPr>
      </w:pPr>
      <w:r>
        <w:rPr>
          <w:rFonts w:ascii="Arial" w:cs="Arial" w:eastAsia="Arial" w:hAnsi="Arial"/>
          <w:sz w:val="16"/>
          <w:szCs w:val="16"/>
          <w:color w:val="auto"/>
        </w:rPr>
        <w:t>certain transactions with other companies and certain charitable contributions that satisfy the independence criteria under both our Corporate Governance Policies and the NYSE Listing Standards;</w:t>
      </w:r>
    </w:p>
    <w:p>
      <w:pPr>
        <w:spacing w:after="0" w:line="1" w:lineRule="exact"/>
        <w:rPr>
          <w:rFonts w:ascii="Arial" w:cs="Arial" w:eastAsia="Arial" w:hAnsi="Arial"/>
          <w:sz w:val="16"/>
          <w:szCs w:val="16"/>
          <w:color w:val="003A70"/>
        </w:rPr>
      </w:pPr>
    </w:p>
    <w:p>
      <w:pPr>
        <w:ind w:left="340" w:hanging="224"/>
        <w:spacing w:after="0"/>
        <w:tabs>
          <w:tab w:leader="none" w:pos="340" w:val="left"/>
        </w:tabs>
        <w:numPr>
          <w:ilvl w:val="0"/>
          <w:numId w:val="128"/>
        </w:numPr>
        <w:rPr>
          <w:rFonts w:ascii="Arial" w:cs="Arial" w:eastAsia="Arial" w:hAnsi="Arial"/>
          <w:sz w:val="16"/>
          <w:szCs w:val="16"/>
          <w:color w:val="003A70"/>
        </w:rPr>
      </w:pPr>
      <w:r>
        <w:rPr>
          <w:rFonts w:ascii="Arial" w:cs="Arial" w:eastAsia="Arial" w:hAnsi="Arial"/>
          <w:sz w:val="16"/>
          <w:szCs w:val="16"/>
          <w:color w:val="auto"/>
        </w:rPr>
        <w:t>certain transactions with Marriott International in the ordinary course of business;</w:t>
      </w:r>
    </w:p>
    <w:p>
      <w:pPr>
        <w:spacing w:after="0" w:line="45" w:lineRule="exact"/>
        <w:rPr>
          <w:rFonts w:ascii="Arial" w:cs="Arial" w:eastAsia="Arial" w:hAnsi="Arial"/>
          <w:sz w:val="16"/>
          <w:szCs w:val="16"/>
          <w:color w:val="003A70"/>
        </w:rPr>
      </w:pPr>
    </w:p>
    <w:p>
      <w:pPr>
        <w:ind w:left="340" w:right="80" w:hanging="224"/>
        <w:spacing w:after="0" w:line="272" w:lineRule="auto"/>
        <w:tabs>
          <w:tab w:leader="none" w:pos="340" w:val="left"/>
        </w:tabs>
        <w:numPr>
          <w:ilvl w:val="0"/>
          <w:numId w:val="128"/>
        </w:numPr>
        <w:rPr>
          <w:rFonts w:ascii="Arial" w:cs="Arial" w:eastAsia="Arial" w:hAnsi="Arial"/>
          <w:sz w:val="16"/>
          <w:szCs w:val="16"/>
          <w:color w:val="003A70"/>
        </w:rPr>
      </w:pPr>
      <w:r>
        <w:rPr>
          <w:rFonts w:ascii="Arial" w:cs="Arial" w:eastAsia="Arial" w:hAnsi="Arial"/>
          <w:sz w:val="16"/>
          <w:szCs w:val="16"/>
          <w:color w:val="auto"/>
        </w:rPr>
        <w:t>transactions where the Related Person’s interest arises solely from ownership of our Common Stock and all holders of our Common Stock receive the same benefit on a pro rata basis;</w:t>
      </w:r>
    </w:p>
    <w:p>
      <w:pPr>
        <w:spacing w:after="0" w:line="1" w:lineRule="exact"/>
        <w:rPr>
          <w:rFonts w:ascii="Arial" w:cs="Arial" w:eastAsia="Arial" w:hAnsi="Arial"/>
          <w:sz w:val="16"/>
          <w:szCs w:val="16"/>
          <w:color w:val="003A70"/>
        </w:rPr>
      </w:pPr>
    </w:p>
    <w:p>
      <w:pPr>
        <w:ind w:left="340" w:right="180" w:hanging="224"/>
        <w:spacing w:after="0" w:line="252" w:lineRule="auto"/>
        <w:tabs>
          <w:tab w:leader="none" w:pos="340" w:val="left"/>
        </w:tabs>
        <w:numPr>
          <w:ilvl w:val="0"/>
          <w:numId w:val="128"/>
        </w:numPr>
        <w:rPr>
          <w:rFonts w:ascii="Arial" w:cs="Arial" w:eastAsia="Arial" w:hAnsi="Arial"/>
          <w:sz w:val="16"/>
          <w:szCs w:val="16"/>
          <w:color w:val="003A70"/>
        </w:rPr>
      </w:pPr>
      <w:r>
        <w:rPr>
          <w:rFonts w:ascii="Arial" w:cs="Arial" w:eastAsia="Arial" w:hAnsi="Arial"/>
          <w:sz w:val="16"/>
          <w:szCs w:val="16"/>
          <w:color w:val="auto"/>
        </w:rPr>
        <w:t>certain transactions involving the employment of a Related Person by the Company or one of its subsidiaries where the amount of annual compensation involved (including salary and incentive awards) is or is expected to be less than $120,000 upon initial hire, provided that such transaction is approved by at least two members of the Corporate Growth Committee (an internal management committee whose members currently include our Chief Financial Officer, General Counsel, Chief Human Resources Officer and other executive officers) who do not have any direct or indirect interest in the transaction determine that the terms and amount of such compensation (including salary and incentive awards) are commensurate with the Related Person’s qualifications and responsibilities and with the compensation of other employees holding similar positions; after initial hire, any promotion of or special award granted to such Related Person shall be submitted to the Nominating and Corporate Governance Committee for approval in accordance with the policy;</w:t>
      </w:r>
    </w:p>
    <w:p>
      <w:pPr>
        <w:spacing w:after="0" w:line="7" w:lineRule="exact"/>
        <w:rPr>
          <w:rFonts w:ascii="Arial" w:cs="Arial" w:eastAsia="Arial" w:hAnsi="Arial"/>
          <w:sz w:val="16"/>
          <w:szCs w:val="16"/>
          <w:color w:val="003A70"/>
        </w:rPr>
      </w:pPr>
    </w:p>
    <w:p>
      <w:pPr>
        <w:ind w:left="340" w:hanging="224"/>
        <w:spacing w:after="0"/>
        <w:tabs>
          <w:tab w:leader="none" w:pos="340" w:val="left"/>
        </w:tabs>
        <w:numPr>
          <w:ilvl w:val="0"/>
          <w:numId w:val="128"/>
        </w:numPr>
        <w:rPr>
          <w:rFonts w:ascii="Arial" w:cs="Arial" w:eastAsia="Arial" w:hAnsi="Arial"/>
          <w:sz w:val="16"/>
          <w:szCs w:val="16"/>
          <w:color w:val="003A70"/>
        </w:rPr>
      </w:pPr>
      <w:r>
        <w:rPr>
          <w:rFonts w:ascii="Arial" w:cs="Arial" w:eastAsia="Arial" w:hAnsi="Arial"/>
          <w:sz w:val="16"/>
          <w:szCs w:val="16"/>
          <w:color w:val="auto"/>
        </w:rPr>
        <w:t>transactions where the rates or charges involved are determined by competitive bids, or fixed in conformity with law or governmental authority; and</w:t>
      </w:r>
    </w:p>
    <w:p>
      <w:pPr>
        <w:spacing w:after="0" w:line="45" w:lineRule="exact"/>
        <w:rPr>
          <w:rFonts w:ascii="Arial" w:cs="Arial" w:eastAsia="Arial" w:hAnsi="Arial"/>
          <w:sz w:val="16"/>
          <w:szCs w:val="16"/>
          <w:color w:val="003A70"/>
        </w:rPr>
      </w:pPr>
    </w:p>
    <w:p>
      <w:pPr>
        <w:ind w:left="340" w:hanging="224"/>
        <w:spacing w:after="0"/>
        <w:tabs>
          <w:tab w:leader="none" w:pos="340" w:val="left"/>
        </w:tabs>
        <w:numPr>
          <w:ilvl w:val="0"/>
          <w:numId w:val="128"/>
        </w:numPr>
        <w:rPr>
          <w:rFonts w:ascii="Arial" w:cs="Arial" w:eastAsia="Arial" w:hAnsi="Arial"/>
          <w:sz w:val="16"/>
          <w:szCs w:val="16"/>
          <w:color w:val="003A70"/>
        </w:rPr>
      </w:pPr>
      <w:r>
        <w:rPr>
          <w:rFonts w:ascii="Arial" w:cs="Arial" w:eastAsia="Arial" w:hAnsi="Arial"/>
          <w:sz w:val="16"/>
          <w:szCs w:val="16"/>
          <w:color w:val="auto"/>
        </w:rPr>
        <w:t>transactions involving banking-related services such as transfer agent, registrar, trustee under a trust indenture or similar services.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TRANSACTIONS WITH CERTAIN STOCKHOLDERS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Support Agreement with Impactive Capital</w:t>
      </w:r>
    </w:p>
    <w:p>
      <w:pPr>
        <w:spacing w:after="0" w:line="104"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6"/>
          <w:szCs w:val="16"/>
          <w:color w:val="auto"/>
        </w:rPr>
        <w:t>On May 27, 2025, the Company entered into the Support Agreement with Impactive Capital, which beneficially owns approximately 12% of the Common Stock. Pursuant to the Support Agreement, the Company agreed to appoint Mr. Asmar to the Board. Mr. Asmar has been appointed to the Compensation Policy Committee of the Board. The Support Agreement provides for customary director replacement procedures in the event Mr. Asmar ceases to serve as a director under certain circumstances as specified in the Support Agreement.</w:t>
      </w:r>
    </w:p>
    <w:p>
      <w:pPr>
        <w:sectPr>
          <w:pgSz w:w="11900" w:h="16838" w:orient="portrait"/>
          <w:cols w:equalWidth="0" w:num="1">
            <w:col w:w="11140"/>
          </w:cols>
          <w:pgMar w:left="320" w:top="482" w:right="439" w:bottom="1440" w:gutter="0" w:footer="0" w:header="0"/>
        </w:sectPr>
      </w:pPr>
    </w:p>
    <w:p>
      <w:pPr>
        <w:spacing w:after="0" w:line="111" w:lineRule="exact"/>
        <w:rPr>
          <w:sz w:val="20"/>
          <w:szCs w:val="20"/>
          <w:color w:val="auto"/>
        </w:rPr>
      </w:pPr>
    </w:p>
    <w:p>
      <w:pPr>
        <w:ind w:left="120"/>
        <w:spacing w:after="0"/>
        <w:tabs>
          <w:tab w:leader="none" w:pos="4780" w:val="left"/>
          <w:tab w:leader="none" w:pos="7820" w:val="left"/>
        </w:tabs>
        <w:rPr>
          <w:sz w:val="20"/>
          <w:szCs w:val="20"/>
          <w:color w:val="auto"/>
        </w:rPr>
      </w:pPr>
      <w:r>
        <w:rPr>
          <w:rFonts w:ascii="Arial" w:cs="Arial" w:eastAsia="Arial" w:hAnsi="Arial"/>
          <w:sz w:val="11"/>
          <w:szCs w:val="11"/>
          <w:b w:val="1"/>
          <w:bCs w:val="1"/>
          <w:color w:val="003A70"/>
        </w:rPr>
        <w:t>62</w:t>
      </w:r>
      <w:r>
        <w:rPr>
          <w:sz w:val="20"/>
          <w:szCs w:val="20"/>
          <w:color w:val="auto"/>
        </w:rPr>
        <w:tab/>
      </w:r>
      <w:r>
        <w:rPr>
          <w:rFonts w:ascii="Arial" w:cs="Arial" w:eastAsia="Arial" w:hAnsi="Arial"/>
          <w:sz w:val="11"/>
          <w:szCs w:val="11"/>
          <w:color w:val="auto"/>
        </w:rPr>
        <w:t>Transactions with Related Persons</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260"/>
        <w:spacing w:after="0" w:line="256" w:lineRule="auto"/>
        <w:rPr>
          <w:sz w:val="20"/>
          <w:szCs w:val="20"/>
          <w:color w:val="auto"/>
        </w:rPr>
      </w:pPr>
      <w:r>
        <w:rPr>
          <w:rFonts w:ascii="Arial" w:cs="Arial" w:eastAsia="Arial" w:hAnsi="Arial"/>
          <w:sz w:val="16"/>
          <w:szCs w:val="16"/>
          <w:color w:val="auto"/>
        </w:rPr>
        <w:t>The Support Agreement also includes, among other provisions, certain standstill and voting commitments by Impactive Capital. Because the Company renominated Mr. Asmar for election at the Annual Meeting and Mr. Asmar consented to the renomination, the standstill obligations will remain in effect until the later of (x) 12:01 a.m. on the 30th day prior to the advance notice deadline for making director nominations at the 2027 annual meeting of stockholders and (y) the date on which Mr. Asmar (or the individual who becomes a director in replacement of Mr. Asmar in accordance with the provisions of the Support Agreement) is not a member of the Board.</w:t>
      </w:r>
    </w:p>
    <w:p>
      <w:pPr>
        <w:spacing w:after="0" w:line="72"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Impactive Capital’s standstill commitments under the Support Agreement include its agreement not to, among other things and subject to certain exceptions, (i) solicit proxies or written consents of Company stockholders to vote Company securities, (ii) encourage, advise or influence any other person or assist any third party with respect to the giving or withholding of any proxy other than encouragement, advice or influence that is consistent with the Board’s recommendation in connection with such matter, (iii) present at any annual meeting or any special meeting of the Company’s stockholders or through action by written consent any proposal for consideration for action by stockholders or seek the removal of any member of the Board or propose any nominee for election to the Board or seek representation on the Board, (iv) effect or seek to effect, any tender offer or exchange offer, merger, acquisition, reorganization, restructuring, recapitalization, or other business combination involving the Company or substantially all of the assets of the Company or (v) acquire cumulative ownership in excess of 12% of the outstanding Common Stock. Additionally, during the standstill period, Impactive Capital has agreed to vote for all directors nominated by the Board for election at a stockholder meeting and the Company and Impactive Capital have agreed to a mutual non-disparagement provision.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DELINQUENT SECTION 16(a) REPORTS</w:t>
      </w:r>
    </w:p>
    <w:p>
      <w:pPr>
        <w:spacing w:after="0" w:line="112"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color w:val="auto"/>
        </w:rPr>
        <w:t>Section 16(a) of the Exchange Act requires the Company’s directors, executive officers and holders of more than 10% of the Company’s Common Stock to file with the SEC an initial report of beneficial ownership of the Company’s Common Stock on Form 3 and reports of changes in beneficial ownership on Form 4 or Form 5. Specific due dates have been established by the SEC, and the Company is required to disclose in this Proxy Statement any failure to file required reports by those dates. Based solely on a review of copies of such forms filed with the SEC, and on written representations from the Company’s directors and executive officers, the Company believes that during the fiscal year ended December 31, 2025, all of the Company’s officers, directors and beneficial owners of more than 10% of the Company’s Common Stock filed the required reports on a timely basis under Section 16(a) the Exchange Act, with the exception of Mr. Asmar, Impactive Capital LP, Impactive Capital LLC and Lauren Taylor Wolfe who were not timely in the filing of their joint Form 3.</w:t>
      </w:r>
    </w:p>
    <w:p>
      <w:pPr>
        <w:spacing w:after="0" w:line="116" w:lineRule="exact"/>
        <w:rPr>
          <w:sz w:val="20"/>
          <w:szCs w:val="20"/>
          <w:color w:val="auto"/>
        </w:rPr>
      </w:pPr>
    </w:p>
    <w:p>
      <w:pPr>
        <w:ind w:left="120"/>
        <w:spacing w:after="0"/>
        <w:tabs>
          <w:tab w:leader="none" w:pos="478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Transactions with Related Persons</w:t>
      </w:r>
      <w:r>
        <w:rPr>
          <w:sz w:val="20"/>
          <w:szCs w:val="20"/>
          <w:color w:val="auto"/>
        </w:rPr>
        <w:tab/>
      </w:r>
      <w:r>
        <w:rPr>
          <w:rFonts w:ascii="Arial" w:cs="Arial" w:eastAsia="Arial" w:hAnsi="Arial"/>
          <w:sz w:val="10"/>
          <w:szCs w:val="10"/>
          <w:b w:val="1"/>
          <w:bCs w:val="1"/>
          <w:color w:val="003A7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3" w:lineRule="exact"/>
        <w:rPr>
          <w:sz w:val="20"/>
          <w:szCs w:val="20"/>
          <w:color w:val="auto"/>
        </w:rPr>
      </w:pPr>
    </w:p>
    <w:p>
      <w:pPr>
        <w:ind w:left="600" w:right="840"/>
        <w:spacing w:after="0" w:line="259" w:lineRule="auto"/>
        <w:rPr>
          <w:sz w:val="20"/>
          <w:szCs w:val="20"/>
          <w:color w:val="auto"/>
        </w:rPr>
      </w:pPr>
      <w:r>
        <w:rPr>
          <w:rFonts w:ascii="Arial" w:cs="Arial" w:eastAsia="Arial" w:hAnsi="Arial"/>
          <w:sz w:val="54"/>
          <w:szCs w:val="54"/>
          <w:b w:val="1"/>
          <w:bCs w:val="1"/>
          <w:color w:val="auto"/>
        </w:rPr>
        <w:t>STOCKHOLDER PROPOSALS AND NOMINATIONS FOR DIRECTORS FOR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-1238885</wp:posOffset>
            </wp:positionV>
            <wp:extent cx="85725" cy="12172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1217295"/>
                    </a:xfrm>
                    <a:prstGeom prst="rect">
                      <a:avLst/>
                    </a:prstGeom>
                    <a:noFill/>
                  </pic:spPr>
                </pic:pic>
              </a:graphicData>
            </a:graphic>
          </wp:anchor>
        </w:drawing>
      </w:r>
    </w:p>
    <w:p>
      <w:pPr>
        <w:spacing w:after="0" w:line="363"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Under Rule 14a-8, any stockholder proposals intended to be presented at the Company’s 2027 Annual Meeting of Stockholders (the “2027 Annual Meeting”) must be received by the Company at 7812 Palm Parkway, Orlando, Florida 32836, Attn: Corporate Secretary, on or before November 26, 2026, to be eligible for inclusion in our Proxy Statement related to our 2027 Annual Meeting of Stockholders. Any such proposal will be subject to the requirement of the proxy rules adopted under the Exchange Act, and as with any stockholder proposal (regardless of whether such proposal is included in the Company’s proxy materials), our Restated Certificate of Incorporation and our Restated Bylaws and Delaware law.</w:t>
      </w:r>
    </w:p>
    <w:p>
      <w:pPr>
        <w:spacing w:after="0" w:line="72"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6"/>
          <w:szCs w:val="16"/>
          <w:color w:val="auto"/>
        </w:rPr>
        <w:t>For proposals or director nominations to be considered for presentation at our next annual meeting, but not for inclusion in our Proxy Statement for that meeting, proposals must be delivered with the information required under the Restated Bylaws (which includes information required under Rule 14a-19) to the Company’s Corporate Secretary at its principal executive office not later than 6:00 p.m. Eastern Time on the 90th day nor earlier than 6:00 p.m.</w:t>
      </w:r>
    </w:p>
    <w:p>
      <w:pPr>
        <w:spacing w:after="0" w:line="1"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Eastern Time on the 120th day prior to the first anniversary of the preceding year’s annual meeting. For the 2027 Annual Meeting, such nominations or proposals must be delivered to the Corporate Secretary no later than the 6:00 p.m. Eastern Time on February 14, 2027 nor earlier than 6:00 p.m. Eastern Time on January 15, 2027. In the event that the date of the Company’s annual meeting is more than 30 days before or more than 70 days after the first anniversary of the preceding year’s annual meeting, then, to be timely, such stockholder’s notice must be submitted in writing not earlier than 6:00 p.m. Eastern Time on the 120th day prior to such annual meeting and not later than 6:00 p.m. Eastern Time on the later of the 90th day prior to such annual meeting or the 10th day following the date on which public announcement of the date of such meeting is first made by the Company.</w:t>
      </w:r>
    </w:p>
    <w:p>
      <w:pPr>
        <w:spacing w:after="0" w:line="200" w:lineRule="exact"/>
        <w:rPr>
          <w:sz w:val="20"/>
          <w:szCs w:val="20"/>
          <w:color w:val="auto"/>
        </w:rPr>
      </w:pPr>
    </w:p>
    <w:p>
      <w:pPr>
        <w:spacing w:after="0" w:line="223" w:lineRule="exact"/>
        <w:rPr>
          <w:sz w:val="20"/>
          <w:szCs w:val="20"/>
          <w:color w:val="auto"/>
        </w:rPr>
      </w:pPr>
    </w:p>
    <w:p>
      <w:pPr>
        <w:ind w:left="600"/>
        <w:spacing w:after="0"/>
        <w:rPr>
          <w:sz w:val="20"/>
          <w:szCs w:val="20"/>
          <w:color w:val="auto"/>
        </w:rPr>
      </w:pPr>
      <w:r>
        <w:rPr>
          <w:rFonts w:ascii="Arial" w:cs="Arial" w:eastAsia="Arial" w:hAnsi="Arial"/>
          <w:sz w:val="54"/>
          <w:szCs w:val="54"/>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-356235</wp:posOffset>
            </wp:positionV>
            <wp:extent cx="85725" cy="4457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725" cy="44577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color w:val="auto"/>
        </w:rPr>
        <w:t>This Proxy is solicited on behalf of the Board. We have also retained D.F. King &amp; Co., Inc. to assist in distribution of these proxy materials and soliciting proxy voting instructions, at an estimated cost not to exceed $9,500, plus reasonable expenses. The Company will bear all expenses in connection with the Annual Meeting and this proxy solicitation. Proxies may be solicited by certain of our directors, officers and employees, without additional compensation, in person, by telephone, by mail, telegram, facsimile, or other electronic or other means. Broadridge Financial Services, Inc. will request that brokerage houses, banks and other custodians forward the proxy materials to beneficial owners of our Common Stock. We will reimburse brokerage houses, banks, and other custodians for their reasonable expenses for forwarding these materials to beneficial owners. Broadridge Financial Services, Inc. will act as proxy tabulator.</w:t>
      </w:r>
    </w:p>
    <w:p>
      <w:pPr>
        <w:spacing w:after="0" w:line="73"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If you and other residents at your mailing address own shares of Common Stock in street name, your broker or bank may have sent you a notice that your household will receive only one Notice Regarding the Availability of Proxy Materials or set of proxy materials for each company in which you hold stock through that broker or bank unless you respond with contrary instructions. This practice, known as “householding,” is designed to reduce our printing and postage costs. If you did not respond, the broker or bank will send only one copy of the notice regarding the availability of proxy materials to your address. You may revoke your consent to householding at any time by contacting Broadridge Financial Services, Inc. either by calling 1-866-540-7095 or by writing to Broadridge Householding Department, 51 Mercedes Way, Edgewood, New York 11717. In any event, if you did not receive an individual copy of the Notice Regarding the Availability of Proxy Materials, or if you wish to receive individual copies of the Notice Regarding the Availability of Proxy Materials or our proxy materials for future meetings, we will promptly send a copy to you if you write to Marriott Vacations Worldwide Corporation, 7812 Palm Parkway, Orlando, Florida 32836, Attention: Investor Relations or call Investor Relations at 1-407-206-6000. If you and other residents at your mailing address are registered stockholders and you receive more than one copy of the Notice Regarding the Availability of Proxy Materials, but you wish to receive only one copy, you must request, in writing, that the Company eliminate these duplicate mailings. To request the elimination of duplicate copies, please write to Computershare, P.O. Box 43078, Providence, Rhode Island 02940-3078.</w:t>
      </w:r>
    </w:p>
    <w:p>
      <w:pPr>
        <w:spacing w:after="0" w:line="76" w:lineRule="exact"/>
        <w:rPr>
          <w:sz w:val="20"/>
          <w:szCs w:val="20"/>
          <w:color w:val="auto"/>
        </w:rPr>
      </w:pPr>
    </w:p>
    <w:p>
      <w:pPr>
        <w:ind w:left="120" w:right="200"/>
        <w:spacing w:after="0" w:line="263" w:lineRule="auto"/>
        <w:rPr>
          <w:sz w:val="20"/>
          <w:szCs w:val="20"/>
          <w:color w:val="auto"/>
        </w:rPr>
      </w:pPr>
      <w:r>
        <w:rPr>
          <w:rFonts w:ascii="Arial" w:cs="Arial" w:eastAsia="Arial" w:hAnsi="Arial"/>
          <w:sz w:val="16"/>
          <w:szCs w:val="16"/>
          <w:b w:val="1"/>
          <w:bCs w:val="1"/>
          <w:color w:val="auto"/>
        </w:rPr>
        <w:t>Any stockholder who would like a copy of our 2025 Annual Report may obtain one, without charge, by addressing a request to the Corporate Secretary, Marriott Vacations Worldwide Corporation, 7812 Palm Parkway, Orlando, Florida 32836. The Company’s copying costs will be charged if copies of exhibits to the 2025 Annual Report are requested. You may also obtain a copy of the 2025 Annual Report, including exhibits, from the Investor Relations portion of our website (www.marriottvacationsworldwide.com) by clicking on “Financial Information”.</w:t>
      </w:r>
    </w:p>
    <w:p>
      <w:pPr>
        <w:spacing w:after="0" w:line="99" w:lineRule="exact"/>
        <w:rPr>
          <w:sz w:val="20"/>
          <w:szCs w:val="20"/>
          <w:color w:val="auto"/>
        </w:rPr>
      </w:pPr>
    </w:p>
    <w:p>
      <w:pPr>
        <w:ind w:left="120"/>
        <w:spacing w:after="0"/>
        <w:tabs>
          <w:tab w:leader="none" w:pos="3580" w:val="left"/>
          <w:tab w:leader="none" w:pos="7820" w:val="left"/>
        </w:tabs>
        <w:rPr>
          <w:sz w:val="20"/>
          <w:szCs w:val="20"/>
          <w:color w:val="auto"/>
        </w:rPr>
      </w:pPr>
      <w:r>
        <w:rPr>
          <w:rFonts w:ascii="Arial" w:cs="Arial" w:eastAsia="Arial" w:hAnsi="Arial"/>
          <w:sz w:val="11"/>
          <w:szCs w:val="11"/>
          <w:b w:val="1"/>
          <w:bCs w:val="1"/>
          <w:color w:val="003A70"/>
        </w:rPr>
        <w:t>64</w:t>
      </w:r>
      <w:r>
        <w:rPr>
          <w:sz w:val="20"/>
          <w:szCs w:val="20"/>
          <w:color w:val="auto"/>
        </w:rPr>
        <w:tab/>
      </w:r>
      <w:r>
        <w:rPr>
          <w:rFonts w:ascii="Arial" w:cs="Arial" w:eastAsia="Arial" w:hAnsi="Arial"/>
          <w:sz w:val="11"/>
          <w:szCs w:val="11"/>
          <w:color w:val="auto"/>
        </w:rPr>
        <w:t>Stockholder Proposals and Nominations for Directors for the 2027 Annual Meeting</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54"/>
          <w:szCs w:val="54"/>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-356235</wp:posOffset>
            </wp:positionV>
            <wp:extent cx="85725" cy="4457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4457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Reconciliation of Non-GAAP Measures to GAAP Measures (Unaudited)</w:t>
      </w:r>
    </w:p>
    <w:p>
      <w:pPr>
        <w:spacing w:after="0" w:line="104"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In this Proxy Statement, we present Adjusted net income attributable to common stockholders, Adjusted diluted earnings per share, EBITDA, and Adjusted EBITDA, financial measures that are not prescribed by GAAP. The tables below reconcile these non-GAAP financial measures to the most directly comparable GAAP financial measure. We evaluate and present these non-GAAP financial measures for the reasons described below. Further, Adjusted EBITDA is one of the financial objectives we use to determine amounts payable under the Bonus Plan to our NEOs. Please be aware that these non-financial measures have limitations and should not be considered in isolation or as a substitute for any performance measure calculated in accordance with GAAP. In addition, other companies in our industry may calculate these non-GAAP financial measures differently than we do or may not calculate them at all, limiting their usefulness as a comparative measure.</w:t>
      </w:r>
    </w:p>
    <w:p>
      <w:pPr>
        <w:spacing w:after="0" w:line="73"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EBITDA, a financial measure that is not prescribed by GAAP, is defined as earnings, or net income or loss attributable to common stockholders,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to address considerable variability among companies in recording compensation expense because companies use share-based payment awards differently, both in the type and quantity of awards granted.</w:t>
      </w:r>
    </w:p>
    <w:p>
      <w:pPr>
        <w:spacing w:after="0" w:line="72" w:lineRule="exact"/>
        <w:rPr>
          <w:sz w:val="20"/>
          <w:szCs w:val="20"/>
          <w:color w:val="auto"/>
        </w:rPr>
      </w:pPr>
    </w:p>
    <w:p>
      <w:pPr>
        <w:ind w:left="120" w:right="660"/>
        <w:spacing w:after="0" w:line="266" w:lineRule="auto"/>
        <w:rPr>
          <w:sz w:val="20"/>
          <w:szCs w:val="20"/>
          <w:color w:val="auto"/>
        </w:rPr>
      </w:pPr>
      <w:r>
        <w:rPr>
          <w:rFonts w:ascii="Arial" w:cs="Arial" w:eastAsia="Arial" w:hAnsi="Arial"/>
          <w:sz w:val="16"/>
          <w:szCs w:val="16"/>
          <w:color w:val="auto"/>
        </w:rPr>
        <w:t>During the first quarter of 2025, we began excluding amortization of cloud computing software implementation costs, which are not included in depreciation and amortization, from Adjusted EBITDA for comparability purposes to address the considerable variability among companies in the utilization of productive assets, and have reclassified prior year amounts to conform with our current year presentation.</w:t>
      </w:r>
    </w:p>
    <w:p>
      <w:pPr>
        <w:spacing w:after="0" w:line="63" w:lineRule="exact"/>
        <w:rPr>
          <w:sz w:val="20"/>
          <w:szCs w:val="20"/>
          <w:color w:val="auto"/>
        </w:rPr>
      </w:pPr>
    </w:p>
    <w:p>
      <w:pPr>
        <w:ind w:left="120" w:right="560"/>
        <w:spacing w:after="0" w:line="259" w:lineRule="auto"/>
        <w:rPr>
          <w:sz w:val="20"/>
          <w:szCs w:val="20"/>
          <w:color w:val="auto"/>
        </w:rPr>
      </w:pPr>
      <w:r>
        <w:rPr>
          <w:rFonts w:ascii="Arial" w:cs="Arial" w:eastAsia="Arial" w:hAnsi="Arial"/>
          <w:sz w:val="16"/>
          <w:szCs w:val="16"/>
          <w:color w:val="auto"/>
        </w:rPr>
        <w:t>For purposes of our EBITDA and Adjusted EBITDA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stockholders.</w:t>
      </w:r>
    </w:p>
    <w:p>
      <w:pPr>
        <w:spacing w:after="0" w:line="70" w:lineRule="exact"/>
        <w:rPr>
          <w:sz w:val="20"/>
          <w:szCs w:val="20"/>
          <w:color w:val="auto"/>
        </w:rPr>
      </w:pPr>
    </w:p>
    <w:p>
      <w:pPr>
        <w:ind w:left="120" w:right="180"/>
        <w:spacing w:after="0" w:line="252" w:lineRule="auto"/>
        <w:rPr>
          <w:sz w:val="20"/>
          <w:szCs w:val="20"/>
          <w:color w:val="auto"/>
        </w:rPr>
      </w:pPr>
      <w:r>
        <w:rPr>
          <w:rFonts w:ascii="Arial" w:cs="Arial" w:eastAsia="Arial" w:hAnsi="Arial"/>
          <w:sz w:val="16"/>
          <w:szCs w:val="16"/>
          <w:color w:val="auto"/>
        </w:rPr>
        <w:t>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and Adjusted EBITDA also exclude depreciation and amortization, as well as amortization of cloud computing software implementation costs, because companies utilize productive assets of different ages and use different methods of both acquiring and depreciating or amortizing productive assets. These differences can result in considerable variability in the relative costs of productive assets and the depreciation and amortization expense among companies.</w:t>
      </w:r>
    </w:p>
    <w:p>
      <w:pPr>
        <w:spacing w:after="0" w:line="75" w:lineRule="exact"/>
        <w:rPr>
          <w:sz w:val="20"/>
          <w:szCs w:val="20"/>
          <w:color w:val="auto"/>
        </w:rPr>
      </w:pPr>
    </w:p>
    <w:p>
      <w:pPr>
        <w:jc w:val="both"/>
        <w:ind w:left="120" w:right="40"/>
        <w:spacing w:after="0" w:line="266" w:lineRule="auto"/>
        <w:rPr>
          <w:sz w:val="20"/>
          <w:szCs w:val="20"/>
          <w:color w:val="auto"/>
        </w:rPr>
      </w:pPr>
      <w:r>
        <w:rPr>
          <w:rFonts w:ascii="Arial" w:cs="Arial" w:eastAsia="Arial" w:hAnsi="Arial"/>
          <w:sz w:val="16"/>
          <w:szCs w:val="16"/>
          <w:color w:val="auto"/>
        </w:rPr>
        <w:t>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companies.</w:t>
      </w:r>
    </w:p>
    <w:p>
      <w:pPr>
        <w:spacing w:after="0" w:line="63"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6"/>
          <w:szCs w:val="16"/>
          <w:color w:val="auto"/>
        </w:rPr>
        <w:t>Similarly, we believe non-GAAP financial measures including Adjusted net income attributable to common stockholders and Adjusted diluted earnings per share provide useful information to investors because these non-GAAP financial measures facilitate period-over-period comparisons of our ongoing core operations and comparison of our results from our ongoing core operations with results from other companies.</w:t>
      </w:r>
    </w:p>
    <w:p>
      <w:pPr>
        <w:spacing w:after="0" w:line="63"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Additionally, during 2025, we reclassified $6 million of certain amounts related to ongoing litigation from General and administrative expense to Litigation charges in order to conform our 2024 results with our current year presentation.</w:t>
      </w:r>
    </w:p>
    <w:p>
      <w:pPr>
        <w:spacing w:after="0" w:line="48"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Commencing in 2026, interest expense associated with our Warehouse Credit Facility will be included as a component of Consumer financing interest expense within Financing expense.</w:t>
      </w:r>
    </w:p>
    <w:p>
      <w:pPr>
        <w:spacing w:after="0" w:line="48" w:lineRule="exact"/>
        <w:rPr>
          <w:sz w:val="20"/>
          <w:szCs w:val="20"/>
          <w:color w:val="auto"/>
        </w:rPr>
      </w:pPr>
    </w:p>
    <w:p>
      <w:pPr>
        <w:ind w:left="120" w:right="500"/>
        <w:spacing w:after="0" w:line="286" w:lineRule="auto"/>
        <w:rPr>
          <w:sz w:val="20"/>
          <w:szCs w:val="20"/>
          <w:color w:val="auto"/>
        </w:rPr>
      </w:pPr>
      <w:r>
        <w:rPr>
          <w:rFonts w:ascii="Arial" w:cs="Arial" w:eastAsia="Arial" w:hAnsi="Arial"/>
          <w:sz w:val="16"/>
          <w:szCs w:val="16"/>
          <w:color w:val="auto"/>
        </w:rPr>
        <w:t>The tables below show our EBITDA and Adjusted EBITDA calculation and reconcile these measures with Net (loss) income attributable to common stockholders, which is the most directly comparable GAAP financial measure.</w:t>
      </w:r>
    </w:p>
    <w:p>
      <w:pPr>
        <w:spacing w:after="0" w:line="89" w:lineRule="exact"/>
        <w:rPr>
          <w:sz w:val="20"/>
          <w:szCs w:val="20"/>
          <w:color w:val="auto"/>
        </w:rPr>
      </w:pPr>
    </w:p>
    <w:p>
      <w:pPr>
        <w:ind w:left="120"/>
        <w:spacing w:after="0"/>
        <w:tabs>
          <w:tab w:leader="none" w:pos="534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003A7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The table below is a reconciliation of Net (loss) income attributable to common stockholders to Adjusted net income attributable to common stockholders and Adjusted earnings per share - diluted: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60" w:type="dxa"/>
            <w:vAlign w:val="bottom"/>
            <w:vMerge w:val="restart"/>
          </w:tcPr>
          <w:p>
            <w:pPr>
              <w:spacing w:after="0"/>
              <w:rPr>
                <w:sz w:val="20"/>
                <w:szCs w:val="20"/>
                <w:color w:val="auto"/>
              </w:rPr>
            </w:pPr>
            <w:r>
              <w:rPr>
                <w:rFonts w:ascii="Arial" w:cs="Arial" w:eastAsia="Arial" w:hAnsi="Arial"/>
                <w:sz w:val="14"/>
                <w:szCs w:val="14"/>
                <w:color w:val="003A70"/>
              </w:rPr>
              <w:t>(in millions, except per share amounts)</w:t>
            </w:r>
          </w:p>
        </w:tc>
        <w:tc>
          <w:tcPr>
            <w:tcW w:w="1400" w:type="dxa"/>
            <w:vAlign w:val="bottom"/>
            <w:tcBorders>
              <w:bottom w:val="single" w:sz="8" w:color="003A70"/>
            </w:tcBorders>
            <w:gridSpan w:val="2"/>
          </w:tcPr>
          <w:p>
            <w:pPr>
              <w:jc w:val="right"/>
              <w:spacing w:after="0"/>
              <w:rPr>
                <w:sz w:val="20"/>
                <w:szCs w:val="20"/>
                <w:color w:val="auto"/>
              </w:rPr>
            </w:pPr>
            <w:r>
              <w:rPr>
                <w:rFonts w:ascii="Arial" w:cs="Arial" w:eastAsia="Arial" w:hAnsi="Arial"/>
                <w:sz w:val="14"/>
                <w:szCs w:val="14"/>
                <w:color w:val="003A70"/>
              </w:rPr>
              <w:t>Fiscal Years</w:t>
            </w:r>
          </w:p>
        </w:tc>
        <w:tc>
          <w:tcPr>
            <w:tcW w:w="560" w:type="dxa"/>
            <w:vAlign w:val="bottom"/>
            <w:tcBorders>
              <w:bottom w:val="single" w:sz="8" w:color="003A70"/>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060" w:type="dxa"/>
            <w:vAlign w:val="bottom"/>
            <w:tcBorders>
              <w:bottom w:val="single" w:sz="8" w:color="003A70"/>
            </w:tcBorders>
            <w:vMerge w:val="continue"/>
          </w:tcPr>
          <w:p>
            <w:pPr>
              <w:spacing w:after="0"/>
              <w:rPr>
                <w:sz w:val="13"/>
                <w:szCs w:val="13"/>
                <w:color w:val="auto"/>
              </w:rPr>
            </w:pPr>
          </w:p>
        </w:tc>
        <w:tc>
          <w:tcPr>
            <w:tcW w:w="680" w:type="dxa"/>
            <w:vAlign w:val="bottom"/>
            <w:tcBorders>
              <w:bottom w:val="single" w:sz="8" w:color="003A70"/>
            </w:tcBorders>
          </w:tcPr>
          <w:p>
            <w:pPr>
              <w:jc w:val="right"/>
              <w:ind w:right="100"/>
              <w:spacing w:after="0" w:line="155" w:lineRule="exact"/>
              <w:rPr>
                <w:sz w:val="20"/>
                <w:szCs w:val="20"/>
                <w:color w:val="auto"/>
              </w:rPr>
            </w:pPr>
            <w:r>
              <w:rPr>
                <w:rFonts w:ascii="Arial" w:cs="Arial" w:eastAsia="Arial" w:hAnsi="Arial"/>
                <w:sz w:val="14"/>
                <w:szCs w:val="14"/>
                <w:color w:val="003A70"/>
              </w:rPr>
              <w:t>2025</w:t>
            </w:r>
          </w:p>
        </w:tc>
        <w:tc>
          <w:tcPr>
            <w:tcW w:w="720" w:type="dxa"/>
            <w:vAlign w:val="bottom"/>
            <w:tcBorders>
              <w:bottom w:val="single" w:sz="8" w:color="003A70"/>
            </w:tcBorders>
          </w:tcPr>
          <w:p>
            <w:pPr>
              <w:jc w:val="right"/>
              <w:ind w:right="179"/>
              <w:spacing w:after="0" w:line="155" w:lineRule="exact"/>
              <w:rPr>
                <w:sz w:val="20"/>
                <w:szCs w:val="20"/>
                <w:color w:val="auto"/>
              </w:rPr>
            </w:pPr>
            <w:r>
              <w:rPr>
                <w:rFonts w:ascii="Arial" w:cs="Arial" w:eastAsia="Arial" w:hAnsi="Arial"/>
                <w:sz w:val="14"/>
                <w:szCs w:val="14"/>
                <w:color w:val="003A70"/>
              </w:rPr>
              <w:t>2024</w:t>
            </w:r>
          </w:p>
        </w:tc>
        <w:tc>
          <w:tcPr>
            <w:tcW w:w="560" w:type="dxa"/>
            <w:vAlign w:val="bottom"/>
            <w:tcBorders>
              <w:bottom w:val="single" w:sz="8" w:color="003A70"/>
            </w:tcBorders>
          </w:tcPr>
          <w:p>
            <w:pPr>
              <w:jc w:val="right"/>
              <w:ind w:right="99"/>
              <w:spacing w:after="0" w:line="155" w:lineRule="exact"/>
              <w:rPr>
                <w:sz w:val="20"/>
                <w:szCs w:val="20"/>
                <w:color w:val="auto"/>
              </w:rPr>
            </w:pPr>
            <w:r>
              <w:rPr>
                <w:rFonts w:ascii="Arial" w:cs="Arial" w:eastAsia="Arial" w:hAnsi="Arial"/>
                <w:sz w:val="14"/>
                <w:szCs w:val="14"/>
                <w:color w:val="003A70"/>
              </w:rPr>
              <w:t>2023</w:t>
            </w:r>
          </w:p>
        </w:tc>
        <w:tc>
          <w:tcPr>
            <w:tcW w:w="0" w:type="dxa"/>
            <w:vAlign w:val="bottom"/>
          </w:tcPr>
          <w:p>
            <w:pPr>
              <w:spacing w:after="0"/>
              <w:rPr>
                <w:sz w:val="1"/>
                <w:szCs w:val="1"/>
                <w:color w:val="auto"/>
              </w:rPr>
            </w:pPr>
          </w:p>
        </w:tc>
      </w:tr>
      <w:tr>
        <w:trPr>
          <w:trHeight w:val="168"/>
        </w:trPr>
        <w:tc>
          <w:tcPr>
            <w:tcW w:w="9060" w:type="dxa"/>
            <w:vAlign w:val="bottom"/>
          </w:tcPr>
          <w:p>
            <w:pPr>
              <w:spacing w:after="0" w:line="168" w:lineRule="exact"/>
              <w:rPr>
                <w:sz w:val="20"/>
                <w:szCs w:val="20"/>
                <w:color w:val="auto"/>
              </w:rPr>
            </w:pPr>
            <w:r>
              <w:rPr>
                <w:rFonts w:ascii="Arial" w:cs="Arial" w:eastAsia="Arial" w:hAnsi="Arial"/>
                <w:sz w:val="16"/>
                <w:szCs w:val="16"/>
                <w:color w:val="auto"/>
              </w:rPr>
              <w:t>Net (loss) income attributable to common stockholders</w:t>
            </w:r>
          </w:p>
        </w:tc>
        <w:tc>
          <w:tcPr>
            <w:tcW w:w="680" w:type="dxa"/>
            <w:vAlign w:val="bottom"/>
          </w:tcPr>
          <w:p>
            <w:pPr>
              <w:jc w:val="right"/>
              <w:spacing w:after="0" w:line="168" w:lineRule="exact"/>
              <w:rPr>
                <w:sz w:val="20"/>
                <w:szCs w:val="20"/>
                <w:color w:val="auto"/>
              </w:rPr>
            </w:pPr>
            <w:r>
              <w:rPr>
                <w:rFonts w:ascii="Arial" w:cs="Arial" w:eastAsia="Arial" w:hAnsi="Arial"/>
                <w:sz w:val="16"/>
                <w:szCs w:val="16"/>
                <w:color w:val="auto"/>
              </w:rPr>
              <w:t>$ (308)</w:t>
            </w:r>
          </w:p>
        </w:tc>
        <w:tc>
          <w:tcPr>
            <w:tcW w:w="72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$ 218</w:t>
            </w:r>
          </w:p>
        </w:tc>
        <w:tc>
          <w:tcPr>
            <w:tcW w:w="5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$ 254</w:t>
            </w:r>
          </w:p>
        </w:tc>
        <w:tc>
          <w:tcPr>
            <w:tcW w:w="0" w:type="dxa"/>
            <w:vAlign w:val="bottom"/>
          </w:tcPr>
          <w:p>
            <w:pPr>
              <w:spacing w:after="0"/>
              <w:rPr>
                <w:sz w:val="1"/>
                <w:szCs w:val="1"/>
                <w:color w:val="auto"/>
              </w:rPr>
            </w:pPr>
          </w:p>
        </w:tc>
      </w:tr>
      <w:tr>
        <w:trPr>
          <w:trHeight w:val="203"/>
        </w:trPr>
        <w:tc>
          <w:tcPr>
            <w:tcW w:w="90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Provision for income taxes</w:t>
            </w: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w:t>
            </w: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89</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168"/>
        </w:trPr>
        <w:tc>
          <w:tcPr>
            <w:tcW w:w="9060" w:type="dxa"/>
            <w:vAlign w:val="bottom"/>
          </w:tcPr>
          <w:p>
            <w:pPr>
              <w:spacing w:after="0" w:line="168" w:lineRule="exact"/>
              <w:rPr>
                <w:sz w:val="20"/>
                <w:szCs w:val="20"/>
                <w:color w:val="auto"/>
              </w:rPr>
            </w:pPr>
            <w:r>
              <w:rPr>
                <w:rFonts w:ascii="Arial" w:cs="Arial" w:eastAsia="Arial" w:hAnsi="Arial"/>
                <w:sz w:val="16"/>
                <w:szCs w:val="16"/>
                <w:color w:val="auto"/>
              </w:rPr>
              <w:t>(Loss) income before income taxes attributable to common stockholders</w:t>
            </w:r>
          </w:p>
        </w:tc>
        <w:tc>
          <w:tcPr>
            <w:tcW w:w="680" w:type="dxa"/>
            <w:vAlign w:val="bottom"/>
          </w:tcPr>
          <w:p>
            <w:pPr>
              <w:jc w:val="right"/>
              <w:spacing w:after="0" w:line="168" w:lineRule="exact"/>
              <w:rPr>
                <w:sz w:val="20"/>
                <w:szCs w:val="20"/>
                <w:color w:val="auto"/>
              </w:rPr>
            </w:pPr>
            <w:r>
              <w:rPr>
                <w:rFonts w:ascii="Arial" w:cs="Arial" w:eastAsia="Arial" w:hAnsi="Arial"/>
                <w:sz w:val="16"/>
                <w:szCs w:val="16"/>
                <w:color w:val="auto"/>
              </w:rPr>
              <w:t>(300)</w:t>
            </w:r>
          </w:p>
        </w:tc>
        <w:tc>
          <w:tcPr>
            <w:tcW w:w="72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307</w:t>
            </w:r>
          </w:p>
        </w:tc>
        <w:tc>
          <w:tcPr>
            <w:tcW w:w="5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89"/>
        </w:trPr>
        <w:tc>
          <w:tcPr>
            <w:tcW w:w="9060" w:type="dxa"/>
            <w:vAlign w:val="bottom"/>
          </w:tcPr>
          <w:p>
            <w:pPr>
              <w:spacing w:after="0"/>
              <w:rPr>
                <w:sz w:val="20"/>
                <w:szCs w:val="20"/>
                <w:color w:val="auto"/>
              </w:rPr>
            </w:pPr>
            <w:r>
              <w:rPr>
                <w:rFonts w:ascii="Arial" w:cs="Arial" w:eastAsia="Arial" w:hAnsi="Arial"/>
                <w:sz w:val="16"/>
                <w:szCs w:val="16"/>
                <w:color w:val="auto"/>
              </w:rPr>
              <w:t>Certain items:</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60" w:type="dxa"/>
            <w:vAlign w:val="bottom"/>
          </w:tcPr>
          <w:p>
            <w:pPr>
              <w:ind w:left="160"/>
              <w:spacing w:after="0"/>
              <w:rPr>
                <w:sz w:val="20"/>
                <w:szCs w:val="20"/>
                <w:color w:val="auto"/>
              </w:rPr>
            </w:pPr>
            <w:r>
              <w:rPr>
                <w:rFonts w:ascii="Arial" w:cs="Arial" w:eastAsia="Arial" w:hAnsi="Arial"/>
                <w:sz w:val="16"/>
                <w:szCs w:val="16"/>
                <w:color w:val="auto"/>
              </w:rPr>
              <w:t>ILG integration</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90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Welk acquisition and integration</w:t>
            </w: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8"/>
        </w:trPr>
        <w:tc>
          <w:tcPr>
            <w:tcW w:w="9060" w:type="dxa"/>
            <w:vAlign w:val="bottom"/>
          </w:tcPr>
          <w:p>
            <w:pPr>
              <w:spacing w:after="0" w:line="168" w:lineRule="exact"/>
              <w:rPr>
                <w:sz w:val="20"/>
                <w:szCs w:val="20"/>
                <w:color w:val="auto"/>
              </w:rPr>
            </w:pPr>
            <w:r>
              <w:rPr>
                <w:rFonts w:ascii="Arial" w:cs="Arial" w:eastAsia="Arial" w:hAnsi="Arial"/>
                <w:sz w:val="16"/>
                <w:szCs w:val="16"/>
                <w:color w:val="auto"/>
              </w:rPr>
              <w:t>Transaction and integration costs</w:t>
            </w:r>
          </w:p>
        </w:tc>
        <w:tc>
          <w:tcPr>
            <w:tcW w:w="680" w:type="dxa"/>
            <w:vAlign w:val="bottom"/>
          </w:tcPr>
          <w:p>
            <w:pPr>
              <w:jc w:val="right"/>
              <w:ind w:right="60"/>
              <w:spacing w:after="0" w:line="168"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18</w:t>
            </w:r>
          </w:p>
        </w:tc>
        <w:tc>
          <w:tcPr>
            <w:tcW w:w="5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9"/>
        </w:trPr>
        <w:tc>
          <w:tcPr>
            <w:tcW w:w="9060" w:type="dxa"/>
            <w:vAlign w:val="bottom"/>
          </w:tcPr>
          <w:p>
            <w:pPr>
              <w:ind w:left="160"/>
              <w:spacing w:after="0"/>
              <w:rPr>
                <w:sz w:val="20"/>
                <w:szCs w:val="20"/>
                <w:color w:val="auto"/>
              </w:rPr>
            </w:pPr>
            <w:r>
              <w:rPr>
                <w:rFonts w:ascii="Arial" w:cs="Arial" w:eastAsia="Arial" w:hAnsi="Arial"/>
                <w:sz w:val="16"/>
                <w:szCs w:val="16"/>
                <w:color w:val="auto"/>
              </w:rPr>
              <w:t>Early redemption of senior secured notes</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9060" w:type="dxa"/>
            <w:vAlign w:val="bottom"/>
          </w:tcPr>
          <w:p>
            <w:pPr>
              <w:ind w:left="160"/>
              <w:spacing w:after="0"/>
              <w:rPr>
                <w:sz w:val="20"/>
                <w:szCs w:val="20"/>
                <w:color w:val="auto"/>
              </w:rPr>
            </w:pPr>
            <w:r>
              <w:rPr>
                <w:rFonts w:ascii="Arial" w:cs="Arial" w:eastAsia="Arial" w:hAnsi="Arial"/>
                <w:sz w:val="16"/>
                <w:szCs w:val="16"/>
                <w:color w:val="auto"/>
              </w:rPr>
              <w:t>Gain on disposition of hotel, land, and other</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9060" w:type="dxa"/>
            <w:vAlign w:val="bottom"/>
          </w:tcPr>
          <w:p>
            <w:pPr>
              <w:ind w:left="160"/>
              <w:spacing w:after="0"/>
              <w:rPr>
                <w:sz w:val="20"/>
                <w:szCs w:val="20"/>
                <w:color w:val="auto"/>
              </w:rPr>
            </w:pPr>
            <w:r>
              <w:rPr>
                <w:rFonts w:ascii="Arial" w:cs="Arial" w:eastAsia="Arial" w:hAnsi="Arial"/>
                <w:sz w:val="16"/>
                <w:szCs w:val="16"/>
                <w:color w:val="auto"/>
              </w:rPr>
              <w:t>Foreign currency translation (gain) loss</w:t>
            </w: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9060" w:type="dxa"/>
            <w:vAlign w:val="bottom"/>
          </w:tcPr>
          <w:p>
            <w:pPr>
              <w:ind w:left="160"/>
              <w:spacing w:after="0"/>
              <w:rPr>
                <w:sz w:val="20"/>
                <w:szCs w:val="20"/>
                <w:color w:val="auto"/>
              </w:rPr>
            </w:pPr>
            <w:r>
              <w:rPr>
                <w:rFonts w:ascii="Arial" w:cs="Arial" w:eastAsia="Arial" w:hAnsi="Arial"/>
                <w:sz w:val="16"/>
                <w:szCs w:val="16"/>
                <w:color w:val="auto"/>
              </w:rPr>
              <w:t>Insurance proceeds</w:t>
            </w: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9060" w:type="dxa"/>
            <w:vAlign w:val="bottom"/>
          </w:tcPr>
          <w:p>
            <w:pPr>
              <w:ind w:left="160"/>
              <w:spacing w:after="0"/>
              <w:rPr>
                <w:sz w:val="20"/>
                <w:szCs w:val="20"/>
                <w:color w:val="auto"/>
              </w:rPr>
            </w:pPr>
            <w:r>
              <w:rPr>
                <w:rFonts w:ascii="Arial" w:cs="Arial" w:eastAsia="Arial" w:hAnsi="Arial"/>
                <w:sz w:val="16"/>
                <w:szCs w:val="16"/>
                <w:color w:val="auto"/>
              </w:rPr>
              <w:t>Change in indemnification asset</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9060" w:type="dxa"/>
            <w:vAlign w:val="bottom"/>
          </w:tcPr>
          <w:p>
            <w:pPr>
              <w:ind w:left="160"/>
              <w:spacing w:after="0"/>
              <w:rPr>
                <w:sz w:val="20"/>
                <w:szCs w:val="20"/>
                <w:color w:val="auto"/>
              </w:rPr>
            </w:pPr>
            <w:r>
              <w:rPr>
                <w:rFonts w:ascii="Arial" w:cs="Arial" w:eastAsia="Arial" w:hAnsi="Arial"/>
                <w:sz w:val="16"/>
                <w:szCs w:val="16"/>
                <w:color w:val="auto"/>
              </w:rPr>
              <w:t>Change in estimates relating to pre-acquisition contingencies</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0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8"/>
        </w:trPr>
        <w:tc>
          <w:tcPr>
            <w:tcW w:w="9060" w:type="dxa"/>
            <w:vAlign w:val="bottom"/>
          </w:tcPr>
          <w:p>
            <w:pPr>
              <w:ind w:left="160"/>
              <w:spacing w:after="0" w:line="168" w:lineRule="exact"/>
              <w:rPr>
                <w:sz w:val="20"/>
                <w:szCs w:val="20"/>
                <w:color w:val="auto"/>
              </w:rPr>
            </w:pPr>
            <w:r>
              <w:rPr>
                <w:rFonts w:ascii="Arial" w:cs="Arial" w:eastAsia="Arial" w:hAnsi="Arial"/>
                <w:sz w:val="16"/>
                <w:szCs w:val="16"/>
                <w:color w:val="auto"/>
              </w:rPr>
              <w:t>(Gains) losses and other (income) expense, net</w:t>
            </w:r>
          </w:p>
        </w:tc>
        <w:tc>
          <w:tcPr>
            <w:tcW w:w="680" w:type="dxa"/>
            <w:vAlign w:val="bottom"/>
          </w:tcPr>
          <w:p>
            <w:pPr>
              <w:jc w:val="right"/>
              <w:spacing w:after="0" w:line="168" w:lineRule="exact"/>
              <w:rPr>
                <w:sz w:val="20"/>
                <w:szCs w:val="20"/>
                <w:color w:val="auto"/>
              </w:rPr>
            </w:pPr>
            <w:r>
              <w:rPr>
                <w:rFonts w:ascii="Arial" w:cs="Arial" w:eastAsia="Arial" w:hAnsi="Arial"/>
                <w:sz w:val="16"/>
                <w:szCs w:val="16"/>
                <w:color w:val="auto"/>
              </w:rPr>
              <w:t>(47)</w:t>
            </w:r>
          </w:p>
        </w:tc>
        <w:tc>
          <w:tcPr>
            <w:tcW w:w="72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1</w:t>
            </w:r>
          </w:p>
        </w:tc>
        <w:tc>
          <w:tcPr>
            <w:tcW w:w="560" w:type="dxa"/>
            <w:vAlign w:val="bottom"/>
          </w:tcPr>
          <w:p>
            <w:pPr>
              <w:jc w:val="right"/>
              <w:spacing w:after="0" w:line="168"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9"/>
        </w:trPr>
        <w:tc>
          <w:tcPr>
            <w:tcW w:w="9060" w:type="dxa"/>
            <w:vAlign w:val="bottom"/>
          </w:tcPr>
          <w:p>
            <w:pPr>
              <w:ind w:left="160"/>
              <w:spacing w:after="0"/>
              <w:rPr>
                <w:sz w:val="20"/>
                <w:szCs w:val="20"/>
                <w:color w:val="auto"/>
              </w:rPr>
            </w:pPr>
            <w:r>
              <w:rPr>
                <w:rFonts w:ascii="Arial" w:cs="Arial" w:eastAsia="Arial" w:hAnsi="Arial"/>
                <w:sz w:val="16"/>
                <w:szCs w:val="16"/>
                <w:color w:val="auto"/>
              </w:rPr>
              <w:t>Purchase accounting adjustments</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9060" w:type="dxa"/>
            <w:vAlign w:val="bottom"/>
          </w:tcPr>
          <w:p>
            <w:pPr>
              <w:ind w:left="160"/>
              <w:spacing w:after="0" w:line="189" w:lineRule="exact"/>
              <w:rPr>
                <w:sz w:val="20"/>
                <w:szCs w:val="20"/>
                <w:color w:val="auto"/>
              </w:rPr>
            </w:pPr>
            <w:r>
              <w:rPr>
                <w:rFonts w:ascii="Arial" w:cs="Arial" w:eastAsia="Arial" w:hAnsi="Arial"/>
                <w:sz w:val="14"/>
                <w:szCs w:val="14"/>
                <w:color w:val="auto"/>
              </w:rPr>
              <w:t>Litigation charges</w:t>
            </w:r>
            <w:r>
              <w:rPr>
                <w:rFonts w:ascii="Arial" w:cs="Arial" w:eastAsia="Arial" w:hAnsi="Arial"/>
                <w:sz w:val="21"/>
                <w:szCs w:val="21"/>
                <w:color w:val="auto"/>
                <w:vertAlign w:val="superscript"/>
              </w:rPr>
              <w:t>(1)</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9060" w:type="dxa"/>
            <w:vAlign w:val="bottom"/>
          </w:tcPr>
          <w:p>
            <w:pPr>
              <w:ind w:left="160"/>
              <w:spacing w:after="0" w:line="189" w:lineRule="exact"/>
              <w:rPr>
                <w:sz w:val="20"/>
                <w:szCs w:val="20"/>
                <w:color w:val="auto"/>
              </w:rPr>
            </w:pPr>
            <w:r>
              <w:rPr>
                <w:rFonts w:ascii="Arial" w:cs="Arial" w:eastAsia="Arial" w:hAnsi="Arial"/>
                <w:sz w:val="14"/>
                <w:szCs w:val="14"/>
                <w:color w:val="auto"/>
              </w:rPr>
              <w:t>Modernization</w:t>
            </w:r>
            <w:r>
              <w:rPr>
                <w:rFonts w:ascii="Arial" w:cs="Arial" w:eastAsia="Arial" w:hAnsi="Arial"/>
                <w:sz w:val="21"/>
                <w:szCs w:val="21"/>
                <w:color w:val="auto"/>
                <w:vertAlign w:val="superscript"/>
              </w:rPr>
              <w:t>(1)</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122</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9060" w:type="dxa"/>
            <w:vAlign w:val="bottom"/>
          </w:tcPr>
          <w:p>
            <w:pPr>
              <w:ind w:left="160"/>
              <w:spacing w:after="0" w:line="189" w:lineRule="exact"/>
              <w:rPr>
                <w:sz w:val="20"/>
                <w:szCs w:val="20"/>
                <w:color w:val="auto"/>
              </w:rPr>
            </w:pPr>
            <w:r>
              <w:rPr>
                <w:rFonts w:ascii="Arial" w:cs="Arial" w:eastAsia="Arial" w:hAnsi="Arial"/>
                <w:sz w:val="14"/>
                <w:szCs w:val="14"/>
                <w:color w:val="auto"/>
              </w:rPr>
              <w:t>Restructuring</w:t>
            </w:r>
            <w:r>
              <w:rPr>
                <w:rFonts w:ascii="Arial" w:cs="Arial" w:eastAsia="Arial" w:hAnsi="Arial"/>
                <w:sz w:val="21"/>
                <w:szCs w:val="21"/>
                <w:color w:val="auto"/>
                <w:vertAlign w:val="superscript"/>
              </w:rPr>
              <w:t>(1)</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9060" w:type="dxa"/>
            <w:vAlign w:val="bottom"/>
          </w:tcPr>
          <w:p>
            <w:pPr>
              <w:ind w:left="160"/>
              <w:spacing w:after="0"/>
              <w:rPr>
                <w:sz w:val="20"/>
                <w:szCs w:val="20"/>
                <w:color w:val="auto"/>
              </w:rPr>
            </w:pPr>
            <w:r>
              <w:rPr>
                <w:rFonts w:ascii="Arial" w:cs="Arial" w:eastAsia="Arial" w:hAnsi="Arial"/>
                <w:sz w:val="16"/>
                <w:szCs w:val="16"/>
                <w:color w:val="auto"/>
              </w:rPr>
              <w:t>Impairment</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577</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90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w:t>
            </w: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8"/>
        </w:trPr>
        <w:tc>
          <w:tcPr>
            <w:tcW w:w="9060" w:type="dxa"/>
            <w:vAlign w:val="bottom"/>
          </w:tcPr>
          <w:p>
            <w:pPr>
              <w:spacing w:after="0" w:line="168" w:lineRule="exact"/>
              <w:rPr>
                <w:sz w:val="20"/>
                <w:szCs w:val="20"/>
                <w:color w:val="auto"/>
              </w:rPr>
            </w:pPr>
            <w:r>
              <w:rPr>
                <w:rFonts w:ascii="Arial" w:cs="Arial" w:eastAsia="Arial" w:hAnsi="Arial"/>
                <w:sz w:val="13"/>
                <w:szCs w:val="13"/>
                <w:color w:val="auto"/>
              </w:rPr>
              <w:t>Adjusted pretax income</w:t>
            </w:r>
            <w:r>
              <w:rPr>
                <w:rFonts w:ascii="Arial" w:cs="Arial" w:eastAsia="Arial" w:hAnsi="Arial"/>
                <w:sz w:val="19"/>
                <w:szCs w:val="19"/>
                <w:color w:val="auto"/>
                <w:vertAlign w:val="superscript"/>
              </w:rPr>
              <w:t>(1)</w:t>
            </w:r>
          </w:p>
        </w:tc>
        <w:tc>
          <w:tcPr>
            <w:tcW w:w="680" w:type="dxa"/>
            <w:vAlign w:val="bottom"/>
          </w:tcPr>
          <w:p>
            <w:pPr>
              <w:jc w:val="right"/>
              <w:ind w:right="60"/>
              <w:spacing w:after="0" w:line="168" w:lineRule="exact"/>
              <w:rPr>
                <w:sz w:val="20"/>
                <w:szCs w:val="20"/>
                <w:color w:val="auto"/>
              </w:rPr>
            </w:pPr>
            <w:r>
              <w:rPr>
                <w:rFonts w:ascii="Arial" w:cs="Arial" w:eastAsia="Arial" w:hAnsi="Arial"/>
                <w:sz w:val="16"/>
                <w:szCs w:val="16"/>
                <w:color w:val="auto"/>
              </w:rPr>
              <w:t>389</w:t>
            </w:r>
          </w:p>
        </w:tc>
        <w:tc>
          <w:tcPr>
            <w:tcW w:w="72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392</w:t>
            </w:r>
          </w:p>
        </w:tc>
        <w:tc>
          <w:tcPr>
            <w:tcW w:w="5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03"/>
        </w:trPr>
        <w:tc>
          <w:tcPr>
            <w:tcW w:w="9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83"/>
        </w:trPr>
        <w:tc>
          <w:tcPr>
            <w:tcW w:w="9060" w:type="dxa"/>
            <w:vAlign w:val="bottom"/>
            <w:tcBorders>
              <w:bottom w:val="single" w:sz="8" w:color="auto"/>
            </w:tcBorders>
          </w:tcPr>
          <w:p>
            <w:pPr>
              <w:spacing w:after="0" w:line="183" w:lineRule="exact"/>
              <w:rPr>
                <w:sz w:val="20"/>
                <w:szCs w:val="20"/>
                <w:color w:val="auto"/>
              </w:rPr>
            </w:pPr>
            <w:r>
              <w:rPr>
                <w:rFonts w:ascii="Arial" w:cs="Arial" w:eastAsia="Arial" w:hAnsi="Arial"/>
                <w:sz w:val="14"/>
                <w:szCs w:val="14"/>
                <w:color w:val="auto"/>
              </w:rPr>
              <w:t>Adjusted net income attributable to common stockholders</w:t>
            </w:r>
            <w:r>
              <w:rPr>
                <w:rFonts w:ascii="Arial" w:cs="Arial" w:eastAsia="Arial" w:hAnsi="Arial"/>
                <w:sz w:val="21"/>
                <w:szCs w:val="21"/>
                <w:color w:val="auto"/>
                <w:vertAlign w:val="superscript"/>
              </w:rPr>
              <w:t>(1)</w:t>
            </w:r>
          </w:p>
        </w:tc>
        <w:tc>
          <w:tcPr>
            <w:tcW w:w="68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$ 276</w:t>
            </w:r>
          </w:p>
        </w:tc>
        <w:tc>
          <w:tcPr>
            <w:tcW w:w="7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$ 264</w:t>
            </w:r>
          </w:p>
        </w:tc>
        <w:tc>
          <w:tcPr>
            <w:tcW w:w="5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$ 322</w:t>
            </w:r>
          </w:p>
        </w:tc>
        <w:tc>
          <w:tcPr>
            <w:tcW w:w="0" w:type="dxa"/>
            <w:vAlign w:val="bottom"/>
          </w:tcPr>
          <w:p>
            <w:pPr>
              <w:spacing w:after="0"/>
              <w:rPr>
                <w:sz w:val="1"/>
                <w:szCs w:val="1"/>
                <w:color w:val="auto"/>
              </w:rPr>
            </w:pPr>
          </w:p>
        </w:tc>
      </w:tr>
      <w:tr>
        <w:trPr>
          <w:trHeight w:val="168"/>
        </w:trPr>
        <w:tc>
          <w:tcPr>
            <w:tcW w:w="9060" w:type="dxa"/>
            <w:vAlign w:val="bottom"/>
          </w:tcPr>
          <w:p>
            <w:pPr>
              <w:spacing w:after="0" w:line="168" w:lineRule="exact"/>
              <w:rPr>
                <w:sz w:val="20"/>
                <w:szCs w:val="20"/>
                <w:color w:val="auto"/>
              </w:rPr>
            </w:pPr>
            <w:r>
              <w:rPr>
                <w:rFonts w:ascii="Arial" w:cs="Arial" w:eastAsia="Arial" w:hAnsi="Arial"/>
                <w:sz w:val="16"/>
                <w:szCs w:val="16"/>
                <w:color w:val="auto"/>
              </w:rPr>
              <w:t>Diluted shares</w:t>
            </w:r>
          </w:p>
        </w:tc>
        <w:tc>
          <w:tcPr>
            <w:tcW w:w="680" w:type="dxa"/>
            <w:vAlign w:val="bottom"/>
          </w:tcPr>
          <w:p>
            <w:pPr>
              <w:jc w:val="right"/>
              <w:ind w:right="60"/>
              <w:spacing w:after="0" w:line="168" w:lineRule="exact"/>
              <w:rPr>
                <w:sz w:val="20"/>
                <w:szCs w:val="20"/>
                <w:color w:val="auto"/>
              </w:rPr>
            </w:pPr>
            <w:r>
              <w:rPr>
                <w:rFonts w:ascii="Arial" w:cs="Arial" w:eastAsia="Arial" w:hAnsi="Arial"/>
                <w:sz w:val="16"/>
                <w:szCs w:val="16"/>
                <w:color w:val="auto"/>
              </w:rPr>
              <w:t>41.1</w:t>
            </w:r>
          </w:p>
        </w:tc>
        <w:tc>
          <w:tcPr>
            <w:tcW w:w="72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42.1</w:t>
            </w:r>
          </w:p>
        </w:tc>
        <w:tc>
          <w:tcPr>
            <w:tcW w:w="5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321"/>
        </w:trPr>
        <w:tc>
          <w:tcPr>
            <w:tcW w:w="9060" w:type="dxa"/>
            <w:vAlign w:val="bottom"/>
          </w:tcPr>
          <w:p>
            <w:pPr>
              <w:spacing w:after="0"/>
              <w:rPr>
                <w:sz w:val="20"/>
                <w:szCs w:val="20"/>
                <w:color w:val="auto"/>
              </w:rPr>
            </w:pPr>
            <w:r>
              <w:rPr>
                <w:rFonts w:ascii="Arial" w:cs="Arial" w:eastAsia="Arial" w:hAnsi="Arial"/>
                <w:sz w:val="16"/>
                <w:szCs w:val="16"/>
                <w:color w:val="auto"/>
              </w:rPr>
              <w:t>Adjusted earnings per share - Diluted</w:t>
            </w:r>
            <w:r>
              <w:rPr>
                <w:rFonts w:ascii="Arial" w:cs="Arial" w:eastAsia="Arial" w:hAnsi="Arial"/>
                <w:sz w:val="24"/>
                <w:szCs w:val="24"/>
                <w:color w:val="auto"/>
                <w:vertAlign w:val="superscript"/>
              </w:rPr>
              <w:t>(1)</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$ 7.16</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$ 6.72</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w w:val="94"/>
              </w:rPr>
              <w:t>$ 7.83</w:t>
            </w:r>
          </w:p>
        </w:tc>
        <w:tc>
          <w:tcPr>
            <w:tcW w:w="0" w:type="dxa"/>
            <w:vAlign w:val="bottom"/>
          </w:tcPr>
          <w:p>
            <w:pPr>
              <w:spacing w:after="0"/>
              <w:rPr>
                <w:sz w:val="1"/>
                <w:szCs w:val="1"/>
                <w:color w:val="auto"/>
              </w:rPr>
            </w:pPr>
          </w:p>
        </w:tc>
      </w:tr>
    </w:tbl>
    <w:p>
      <w:pPr>
        <w:ind w:left="440" w:hanging="324"/>
        <w:spacing w:after="0" w:line="192" w:lineRule="auto"/>
        <w:tabs>
          <w:tab w:leader="none" w:pos="440" w:val="left"/>
        </w:tabs>
        <w:numPr>
          <w:ilvl w:val="0"/>
          <w:numId w:val="129"/>
        </w:numPr>
        <w:rPr>
          <w:rFonts w:ascii="Arial" w:cs="Arial" w:eastAsia="Arial" w:hAnsi="Arial"/>
          <w:sz w:val="20"/>
          <w:szCs w:val="20"/>
          <w:color w:val="auto"/>
          <w:vertAlign w:val="superscript"/>
        </w:rPr>
      </w:pPr>
      <w:r>
        <w:rPr>
          <w:rFonts w:ascii="Arial" w:cs="Arial" w:eastAsia="Arial" w:hAnsi="Arial"/>
          <w:sz w:val="14"/>
          <w:szCs w:val="14"/>
          <w:color w:val="auto"/>
        </w:rPr>
        <w:t>Prior year amounts have been reclassified to conform with our current year presentation. Please see “Non-GAAP Financial Measures” for additional information.</w:t>
      </w:r>
    </w:p>
    <w:p>
      <w:pPr>
        <w:spacing w:after="0" w:line="117" w:lineRule="exact"/>
        <w:rPr>
          <w:sz w:val="20"/>
          <w:szCs w:val="20"/>
          <w:color w:val="auto"/>
        </w:rPr>
      </w:pPr>
    </w:p>
    <w:p>
      <w:pPr>
        <w:ind w:left="120"/>
        <w:spacing w:after="0"/>
        <w:tabs>
          <w:tab w:leader="none" w:pos="5340" w:val="left"/>
          <w:tab w:leader="none" w:pos="7820" w:val="left"/>
        </w:tabs>
        <w:rPr>
          <w:sz w:val="20"/>
          <w:szCs w:val="20"/>
          <w:color w:val="auto"/>
        </w:rPr>
      </w:pPr>
      <w:r>
        <w:rPr>
          <w:rFonts w:ascii="Arial" w:cs="Arial" w:eastAsia="Arial" w:hAnsi="Arial"/>
          <w:sz w:val="11"/>
          <w:szCs w:val="11"/>
          <w:b w:val="1"/>
          <w:bCs w:val="1"/>
          <w:color w:val="003A70"/>
        </w:rPr>
        <w:t>A-2</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table below is a reconciliation of Net (loss) income attributable to common stockholders to EBITDA and Adjusted EBITDA:</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80" w:type="dxa"/>
            <w:vAlign w:val="bottom"/>
            <w:vMerge w:val="restart"/>
          </w:tcPr>
          <w:p>
            <w:pPr>
              <w:spacing w:after="0"/>
              <w:rPr>
                <w:sz w:val="20"/>
                <w:szCs w:val="20"/>
                <w:color w:val="auto"/>
              </w:rPr>
            </w:pPr>
            <w:r>
              <w:rPr>
                <w:rFonts w:ascii="Arial" w:cs="Arial" w:eastAsia="Arial" w:hAnsi="Arial"/>
                <w:sz w:val="14"/>
                <w:szCs w:val="14"/>
                <w:color w:val="003A70"/>
              </w:rPr>
              <w:t>(in millions)</w:t>
            </w:r>
          </w:p>
        </w:tc>
        <w:tc>
          <w:tcPr>
            <w:tcW w:w="1320" w:type="dxa"/>
            <w:vAlign w:val="bottom"/>
            <w:tcBorders>
              <w:bottom w:val="single" w:sz="8" w:color="003A70"/>
            </w:tcBorders>
            <w:gridSpan w:val="2"/>
          </w:tcPr>
          <w:p>
            <w:pPr>
              <w:jc w:val="right"/>
              <w:spacing w:after="0"/>
              <w:rPr>
                <w:sz w:val="20"/>
                <w:szCs w:val="20"/>
                <w:color w:val="auto"/>
              </w:rPr>
            </w:pPr>
            <w:r>
              <w:rPr>
                <w:rFonts w:ascii="Arial" w:cs="Arial" w:eastAsia="Arial" w:hAnsi="Arial"/>
                <w:sz w:val="14"/>
                <w:szCs w:val="14"/>
                <w:color w:val="003A70"/>
              </w:rPr>
              <w:t>Fiscal Years</w:t>
            </w:r>
          </w:p>
        </w:tc>
        <w:tc>
          <w:tcPr>
            <w:tcW w:w="520" w:type="dxa"/>
            <w:vAlign w:val="bottom"/>
            <w:tcBorders>
              <w:bottom w:val="single" w:sz="8" w:color="003A70"/>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180" w:type="dxa"/>
            <w:vAlign w:val="bottom"/>
            <w:tcBorders>
              <w:bottom w:val="single" w:sz="8" w:color="003A70"/>
            </w:tcBorders>
            <w:vMerge w:val="continue"/>
          </w:tcPr>
          <w:p>
            <w:pPr>
              <w:spacing w:after="0"/>
              <w:rPr>
                <w:sz w:val="13"/>
                <w:szCs w:val="13"/>
                <w:color w:val="auto"/>
              </w:rPr>
            </w:pPr>
          </w:p>
        </w:tc>
        <w:tc>
          <w:tcPr>
            <w:tcW w:w="680" w:type="dxa"/>
            <w:vAlign w:val="bottom"/>
            <w:tcBorders>
              <w:bottom w:val="single" w:sz="8" w:color="003A70"/>
            </w:tcBorders>
          </w:tcPr>
          <w:p>
            <w:pPr>
              <w:jc w:val="right"/>
              <w:ind w:right="120"/>
              <w:spacing w:after="0" w:line="155" w:lineRule="exact"/>
              <w:rPr>
                <w:sz w:val="20"/>
                <w:szCs w:val="20"/>
                <w:color w:val="auto"/>
              </w:rPr>
            </w:pPr>
            <w:r>
              <w:rPr>
                <w:rFonts w:ascii="Arial" w:cs="Arial" w:eastAsia="Arial" w:hAnsi="Arial"/>
                <w:sz w:val="14"/>
                <w:szCs w:val="14"/>
                <w:color w:val="003A70"/>
              </w:rPr>
              <w:t>2025</w:t>
            </w:r>
          </w:p>
        </w:tc>
        <w:tc>
          <w:tcPr>
            <w:tcW w:w="640" w:type="dxa"/>
            <w:vAlign w:val="bottom"/>
            <w:tcBorders>
              <w:bottom w:val="single" w:sz="8" w:color="003A70"/>
            </w:tcBorders>
          </w:tcPr>
          <w:p>
            <w:pPr>
              <w:jc w:val="right"/>
              <w:ind w:right="139"/>
              <w:spacing w:after="0" w:line="155" w:lineRule="exact"/>
              <w:rPr>
                <w:sz w:val="20"/>
                <w:szCs w:val="20"/>
                <w:color w:val="auto"/>
              </w:rPr>
            </w:pPr>
            <w:r>
              <w:rPr>
                <w:rFonts w:ascii="Arial" w:cs="Arial" w:eastAsia="Arial" w:hAnsi="Arial"/>
                <w:sz w:val="14"/>
                <w:szCs w:val="14"/>
                <w:color w:val="003A70"/>
              </w:rPr>
              <w:t>2024</w:t>
            </w:r>
          </w:p>
        </w:tc>
        <w:tc>
          <w:tcPr>
            <w:tcW w:w="520" w:type="dxa"/>
            <w:vAlign w:val="bottom"/>
            <w:tcBorders>
              <w:bottom w:val="single" w:sz="8" w:color="003A70"/>
            </w:tcBorders>
          </w:tcPr>
          <w:p>
            <w:pPr>
              <w:jc w:val="right"/>
              <w:ind w:right="59"/>
              <w:spacing w:after="0" w:line="155" w:lineRule="exact"/>
              <w:rPr>
                <w:sz w:val="20"/>
                <w:szCs w:val="20"/>
                <w:color w:val="auto"/>
              </w:rPr>
            </w:pPr>
            <w:r>
              <w:rPr>
                <w:rFonts w:ascii="Arial" w:cs="Arial" w:eastAsia="Arial" w:hAnsi="Arial"/>
                <w:sz w:val="14"/>
                <w:szCs w:val="14"/>
                <w:color w:val="003A70"/>
              </w:rPr>
              <w:t>2023</w:t>
            </w:r>
          </w:p>
        </w:tc>
        <w:tc>
          <w:tcPr>
            <w:tcW w:w="0" w:type="dxa"/>
            <w:vAlign w:val="bottom"/>
          </w:tcPr>
          <w:p>
            <w:pPr>
              <w:spacing w:after="0"/>
              <w:rPr>
                <w:sz w:val="1"/>
                <w:szCs w:val="1"/>
                <w:color w:val="auto"/>
              </w:rPr>
            </w:pPr>
          </w:p>
        </w:tc>
      </w:tr>
      <w:tr>
        <w:trPr>
          <w:trHeight w:val="168"/>
        </w:trPr>
        <w:tc>
          <w:tcPr>
            <w:tcW w:w="9180" w:type="dxa"/>
            <w:vAlign w:val="bottom"/>
          </w:tcPr>
          <w:p>
            <w:pPr>
              <w:spacing w:after="0" w:line="168" w:lineRule="exact"/>
              <w:rPr>
                <w:sz w:val="20"/>
                <w:szCs w:val="20"/>
                <w:color w:val="auto"/>
              </w:rPr>
            </w:pPr>
            <w:r>
              <w:rPr>
                <w:rFonts w:ascii="Arial" w:cs="Arial" w:eastAsia="Arial" w:hAnsi="Arial"/>
                <w:sz w:val="16"/>
                <w:szCs w:val="16"/>
                <w:color w:val="auto"/>
              </w:rPr>
              <w:t>Net (loss) income attributable to common stockholders</w:t>
            </w:r>
          </w:p>
        </w:tc>
        <w:tc>
          <w:tcPr>
            <w:tcW w:w="680" w:type="dxa"/>
            <w:vAlign w:val="bottom"/>
          </w:tcPr>
          <w:p>
            <w:pPr>
              <w:jc w:val="right"/>
              <w:spacing w:after="0" w:line="168" w:lineRule="exact"/>
              <w:rPr>
                <w:sz w:val="20"/>
                <w:szCs w:val="20"/>
                <w:color w:val="auto"/>
              </w:rPr>
            </w:pPr>
            <w:r>
              <w:rPr>
                <w:rFonts w:ascii="Arial" w:cs="Arial" w:eastAsia="Arial" w:hAnsi="Arial"/>
                <w:sz w:val="16"/>
                <w:szCs w:val="16"/>
                <w:color w:val="auto"/>
              </w:rPr>
              <w:t>$ (308)</w:t>
            </w:r>
          </w:p>
        </w:tc>
        <w:tc>
          <w:tcPr>
            <w:tcW w:w="640" w:type="dxa"/>
            <w:vAlign w:val="bottom"/>
          </w:tcPr>
          <w:p>
            <w:pPr>
              <w:jc w:val="right"/>
              <w:ind w:right="99"/>
              <w:spacing w:after="0" w:line="168" w:lineRule="exact"/>
              <w:rPr>
                <w:sz w:val="20"/>
                <w:szCs w:val="20"/>
                <w:color w:val="auto"/>
              </w:rPr>
            </w:pPr>
            <w:r>
              <w:rPr>
                <w:rFonts w:ascii="Arial" w:cs="Arial" w:eastAsia="Arial" w:hAnsi="Arial"/>
                <w:sz w:val="16"/>
                <w:szCs w:val="16"/>
                <w:color w:val="auto"/>
              </w:rPr>
              <w:t>$ 218</w:t>
            </w:r>
          </w:p>
        </w:tc>
        <w:tc>
          <w:tcPr>
            <w:tcW w:w="520" w:type="dxa"/>
            <w:vAlign w:val="bottom"/>
          </w:tcPr>
          <w:p>
            <w:pPr>
              <w:jc w:val="right"/>
              <w:ind w:right="39"/>
              <w:spacing w:after="0" w:line="168" w:lineRule="exact"/>
              <w:rPr>
                <w:sz w:val="20"/>
                <w:szCs w:val="20"/>
                <w:color w:val="auto"/>
              </w:rPr>
            </w:pPr>
            <w:r>
              <w:rPr>
                <w:rFonts w:ascii="Arial" w:cs="Arial" w:eastAsia="Arial" w:hAnsi="Arial"/>
                <w:sz w:val="16"/>
                <w:szCs w:val="16"/>
                <w:color w:val="auto"/>
                <w:w w:val="94"/>
              </w:rPr>
              <w:t>$ 254</w:t>
            </w:r>
          </w:p>
        </w:tc>
        <w:tc>
          <w:tcPr>
            <w:tcW w:w="0" w:type="dxa"/>
            <w:vAlign w:val="bottom"/>
          </w:tcPr>
          <w:p>
            <w:pPr>
              <w:spacing w:after="0"/>
              <w:rPr>
                <w:sz w:val="1"/>
                <w:szCs w:val="1"/>
                <w:color w:val="auto"/>
              </w:rPr>
            </w:pPr>
          </w:p>
        </w:tc>
      </w:tr>
      <w:tr>
        <w:trPr>
          <w:trHeight w:val="189"/>
        </w:trPr>
        <w:tc>
          <w:tcPr>
            <w:tcW w:w="9180" w:type="dxa"/>
            <w:vAlign w:val="bottom"/>
          </w:tcPr>
          <w:p>
            <w:pPr>
              <w:spacing w:after="0"/>
              <w:rPr>
                <w:sz w:val="20"/>
                <w:szCs w:val="20"/>
                <w:color w:val="auto"/>
              </w:rPr>
            </w:pPr>
            <w:r>
              <w:rPr>
                <w:rFonts w:ascii="Arial" w:cs="Arial" w:eastAsia="Arial" w:hAnsi="Arial"/>
                <w:sz w:val="16"/>
                <w:szCs w:val="16"/>
                <w:color w:val="auto"/>
              </w:rPr>
              <w:t>Interest expense, net</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169</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162</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89"/>
        </w:trPr>
        <w:tc>
          <w:tcPr>
            <w:tcW w:w="91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89</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3"/>
        </w:trPr>
        <w:tc>
          <w:tcPr>
            <w:tcW w:w="9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Depreciation and amortization</w:t>
            </w: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149</w:t>
            </w: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146</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83"/>
        </w:trPr>
        <w:tc>
          <w:tcPr>
            <w:tcW w:w="9180" w:type="dxa"/>
            <w:vAlign w:val="bottom"/>
            <w:tcBorders>
              <w:bottom w:val="single" w:sz="8" w:color="auto"/>
            </w:tcBorders>
          </w:tcPr>
          <w:p>
            <w:pPr>
              <w:ind w:left="160"/>
              <w:spacing w:after="0" w:line="183" w:lineRule="exact"/>
              <w:rPr>
                <w:sz w:val="20"/>
                <w:szCs w:val="20"/>
                <w:color w:val="auto"/>
              </w:rPr>
            </w:pPr>
            <w:r>
              <w:rPr>
                <w:rFonts w:ascii="Arial" w:cs="Arial" w:eastAsia="Arial" w:hAnsi="Arial"/>
                <w:sz w:val="16"/>
                <w:szCs w:val="16"/>
                <w:color w:val="auto"/>
              </w:rPr>
              <w:t>EBITDA</w:t>
            </w:r>
          </w:p>
        </w:tc>
        <w:tc>
          <w:tcPr>
            <w:tcW w:w="68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18</w:t>
            </w:r>
          </w:p>
        </w:tc>
        <w:tc>
          <w:tcPr>
            <w:tcW w:w="6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615</w:t>
            </w:r>
          </w:p>
        </w:tc>
        <w:tc>
          <w:tcPr>
            <w:tcW w:w="5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168"/>
        </w:trPr>
        <w:tc>
          <w:tcPr>
            <w:tcW w:w="9180" w:type="dxa"/>
            <w:vAlign w:val="bottom"/>
          </w:tcPr>
          <w:p>
            <w:pPr>
              <w:spacing w:after="0" w:line="168" w:lineRule="exact"/>
              <w:rPr>
                <w:sz w:val="20"/>
                <w:szCs w:val="20"/>
                <w:color w:val="auto"/>
              </w:rPr>
            </w:pPr>
            <w:r>
              <w:rPr>
                <w:rFonts w:ascii="Arial" w:cs="Arial" w:eastAsia="Arial" w:hAnsi="Arial"/>
                <w:sz w:val="16"/>
                <w:szCs w:val="16"/>
                <w:color w:val="auto"/>
              </w:rPr>
              <w:t>Share-based compensation</w:t>
            </w:r>
          </w:p>
        </w:tc>
        <w:tc>
          <w:tcPr>
            <w:tcW w:w="680" w:type="dxa"/>
            <w:vAlign w:val="bottom"/>
          </w:tcPr>
          <w:p>
            <w:pPr>
              <w:jc w:val="right"/>
              <w:ind w:right="60"/>
              <w:spacing w:after="0" w:line="168" w:lineRule="exact"/>
              <w:rPr>
                <w:sz w:val="20"/>
                <w:szCs w:val="20"/>
                <w:color w:val="auto"/>
              </w:rPr>
            </w:pPr>
            <w:r>
              <w:rPr>
                <w:rFonts w:ascii="Arial" w:cs="Arial" w:eastAsia="Arial" w:hAnsi="Arial"/>
                <w:sz w:val="16"/>
                <w:szCs w:val="16"/>
                <w:color w:val="auto"/>
              </w:rPr>
              <w:t>38</w:t>
            </w:r>
          </w:p>
        </w:tc>
        <w:tc>
          <w:tcPr>
            <w:tcW w:w="640" w:type="dxa"/>
            <w:vAlign w:val="bottom"/>
          </w:tcPr>
          <w:p>
            <w:pPr>
              <w:jc w:val="right"/>
              <w:ind w:right="99"/>
              <w:spacing w:after="0" w:line="168" w:lineRule="exact"/>
              <w:rPr>
                <w:sz w:val="20"/>
                <w:szCs w:val="20"/>
                <w:color w:val="auto"/>
              </w:rPr>
            </w:pPr>
            <w:r>
              <w:rPr>
                <w:rFonts w:ascii="Arial" w:cs="Arial" w:eastAsia="Arial" w:hAnsi="Arial"/>
                <w:sz w:val="16"/>
                <w:szCs w:val="16"/>
                <w:color w:val="auto"/>
              </w:rPr>
              <w:t>33</w:t>
            </w:r>
          </w:p>
        </w:tc>
        <w:tc>
          <w:tcPr>
            <w:tcW w:w="520" w:type="dxa"/>
            <w:vAlign w:val="bottom"/>
          </w:tcPr>
          <w:p>
            <w:pPr>
              <w:jc w:val="right"/>
              <w:ind w:right="39"/>
              <w:spacing w:after="0" w:line="168"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9180" w:type="dxa"/>
            <w:vAlign w:val="bottom"/>
          </w:tcPr>
          <w:p>
            <w:pPr>
              <w:spacing w:after="0" w:line="189" w:lineRule="exact"/>
              <w:rPr>
                <w:sz w:val="20"/>
                <w:szCs w:val="20"/>
                <w:color w:val="auto"/>
              </w:rPr>
            </w:pPr>
            <w:r>
              <w:rPr>
                <w:rFonts w:ascii="Arial" w:cs="Arial" w:eastAsia="Arial" w:hAnsi="Arial"/>
                <w:sz w:val="14"/>
                <w:szCs w:val="14"/>
                <w:color w:val="auto"/>
              </w:rPr>
              <w:t>Amortization of cloud computing software implementation costs</w:t>
            </w:r>
            <w:r>
              <w:rPr>
                <w:rFonts w:ascii="Arial" w:cs="Arial" w:eastAsia="Arial" w:hAnsi="Arial"/>
                <w:sz w:val="21"/>
                <w:szCs w:val="21"/>
                <w:color w:val="auto"/>
                <w:vertAlign w:val="superscript"/>
              </w:rPr>
              <w:t>(1)</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9180" w:type="dxa"/>
            <w:vAlign w:val="bottom"/>
          </w:tcPr>
          <w:p>
            <w:pPr>
              <w:ind w:left="320"/>
              <w:spacing w:after="0"/>
              <w:rPr>
                <w:sz w:val="20"/>
                <w:szCs w:val="20"/>
                <w:color w:val="auto"/>
              </w:rPr>
            </w:pPr>
            <w:r>
              <w:rPr>
                <w:rFonts w:ascii="Arial" w:cs="Arial" w:eastAsia="Arial" w:hAnsi="Arial"/>
                <w:sz w:val="16"/>
                <w:szCs w:val="16"/>
                <w:color w:val="auto"/>
              </w:rPr>
              <w:t>ILG integration</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91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Welk acquisition and integration</w:t>
            </w: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8"/>
        </w:trPr>
        <w:tc>
          <w:tcPr>
            <w:tcW w:w="9180" w:type="dxa"/>
            <w:vAlign w:val="bottom"/>
          </w:tcPr>
          <w:p>
            <w:pPr>
              <w:ind w:left="160"/>
              <w:spacing w:after="0" w:line="168" w:lineRule="exact"/>
              <w:rPr>
                <w:sz w:val="20"/>
                <w:szCs w:val="20"/>
                <w:color w:val="auto"/>
              </w:rPr>
            </w:pPr>
            <w:r>
              <w:rPr>
                <w:rFonts w:ascii="Arial" w:cs="Arial" w:eastAsia="Arial" w:hAnsi="Arial"/>
                <w:sz w:val="16"/>
                <w:szCs w:val="16"/>
                <w:color w:val="auto"/>
              </w:rPr>
              <w:t>Transaction and integration costs</w:t>
            </w:r>
          </w:p>
        </w:tc>
        <w:tc>
          <w:tcPr>
            <w:tcW w:w="680" w:type="dxa"/>
            <w:vAlign w:val="bottom"/>
          </w:tcPr>
          <w:p>
            <w:pPr>
              <w:jc w:val="right"/>
              <w:ind w:right="60"/>
              <w:spacing w:after="0" w:line="168" w:lineRule="exact"/>
              <w:rPr>
                <w:sz w:val="20"/>
                <w:szCs w:val="20"/>
                <w:color w:val="auto"/>
              </w:rPr>
            </w:pPr>
            <w:r>
              <w:rPr>
                <w:rFonts w:ascii="Arial" w:cs="Arial" w:eastAsia="Arial" w:hAnsi="Arial"/>
                <w:sz w:val="16"/>
                <w:szCs w:val="16"/>
                <w:color w:val="auto"/>
              </w:rPr>
              <w:t>—</w:t>
            </w:r>
          </w:p>
        </w:tc>
        <w:tc>
          <w:tcPr>
            <w:tcW w:w="640" w:type="dxa"/>
            <w:vAlign w:val="bottom"/>
          </w:tcPr>
          <w:p>
            <w:pPr>
              <w:jc w:val="right"/>
              <w:ind w:right="99"/>
              <w:spacing w:after="0" w:line="168" w:lineRule="exact"/>
              <w:rPr>
                <w:sz w:val="20"/>
                <w:szCs w:val="20"/>
                <w:color w:val="auto"/>
              </w:rPr>
            </w:pPr>
            <w:r>
              <w:rPr>
                <w:rFonts w:ascii="Arial" w:cs="Arial" w:eastAsia="Arial" w:hAnsi="Arial"/>
                <w:sz w:val="16"/>
                <w:szCs w:val="16"/>
                <w:color w:val="auto"/>
              </w:rPr>
              <w:t>18</w:t>
            </w:r>
          </w:p>
        </w:tc>
        <w:tc>
          <w:tcPr>
            <w:tcW w:w="520" w:type="dxa"/>
            <w:vAlign w:val="bottom"/>
          </w:tcPr>
          <w:p>
            <w:pPr>
              <w:jc w:val="right"/>
              <w:ind w:right="39"/>
              <w:spacing w:after="0" w:line="168"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9"/>
        </w:trPr>
        <w:tc>
          <w:tcPr>
            <w:tcW w:w="9180" w:type="dxa"/>
            <w:vAlign w:val="bottom"/>
          </w:tcPr>
          <w:p>
            <w:pPr>
              <w:ind w:left="320"/>
              <w:spacing w:after="0"/>
              <w:rPr>
                <w:sz w:val="20"/>
                <w:szCs w:val="20"/>
                <w:color w:val="auto"/>
              </w:rPr>
            </w:pPr>
            <w:r>
              <w:rPr>
                <w:rFonts w:ascii="Arial" w:cs="Arial" w:eastAsia="Arial" w:hAnsi="Arial"/>
                <w:sz w:val="16"/>
                <w:szCs w:val="16"/>
                <w:color w:val="auto"/>
              </w:rPr>
              <w:t>Early redemption of senior secured notes</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9180" w:type="dxa"/>
            <w:vAlign w:val="bottom"/>
          </w:tcPr>
          <w:p>
            <w:pPr>
              <w:ind w:left="320"/>
              <w:spacing w:after="0"/>
              <w:rPr>
                <w:sz w:val="20"/>
                <w:szCs w:val="20"/>
                <w:color w:val="auto"/>
              </w:rPr>
            </w:pPr>
            <w:r>
              <w:rPr>
                <w:rFonts w:ascii="Arial" w:cs="Arial" w:eastAsia="Arial" w:hAnsi="Arial"/>
                <w:sz w:val="16"/>
                <w:szCs w:val="16"/>
                <w:color w:val="auto"/>
              </w:rPr>
              <w:t>Gain on disposition of hotel, land, and other</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9180" w:type="dxa"/>
            <w:vAlign w:val="bottom"/>
          </w:tcPr>
          <w:p>
            <w:pPr>
              <w:ind w:left="320"/>
              <w:spacing w:after="0"/>
              <w:rPr>
                <w:sz w:val="20"/>
                <w:szCs w:val="20"/>
                <w:color w:val="auto"/>
              </w:rPr>
            </w:pPr>
            <w:r>
              <w:rPr>
                <w:rFonts w:ascii="Arial" w:cs="Arial" w:eastAsia="Arial" w:hAnsi="Arial"/>
                <w:sz w:val="16"/>
                <w:szCs w:val="16"/>
                <w:color w:val="auto"/>
              </w:rPr>
              <w:t>Foreign currency translation (gain) loss</w:t>
            </w: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9180" w:type="dxa"/>
            <w:vAlign w:val="bottom"/>
          </w:tcPr>
          <w:p>
            <w:pPr>
              <w:ind w:left="320"/>
              <w:spacing w:after="0"/>
              <w:rPr>
                <w:sz w:val="20"/>
                <w:szCs w:val="20"/>
                <w:color w:val="auto"/>
              </w:rPr>
            </w:pPr>
            <w:r>
              <w:rPr>
                <w:rFonts w:ascii="Arial" w:cs="Arial" w:eastAsia="Arial" w:hAnsi="Arial"/>
                <w:sz w:val="16"/>
                <w:szCs w:val="16"/>
                <w:color w:val="auto"/>
              </w:rPr>
              <w:t>Insurance proceeds</w:t>
            </w: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9180" w:type="dxa"/>
            <w:vAlign w:val="bottom"/>
          </w:tcPr>
          <w:p>
            <w:pPr>
              <w:ind w:left="320"/>
              <w:spacing w:after="0"/>
              <w:rPr>
                <w:sz w:val="20"/>
                <w:szCs w:val="20"/>
                <w:color w:val="auto"/>
              </w:rPr>
            </w:pPr>
            <w:r>
              <w:rPr>
                <w:rFonts w:ascii="Arial" w:cs="Arial" w:eastAsia="Arial" w:hAnsi="Arial"/>
                <w:sz w:val="16"/>
                <w:szCs w:val="16"/>
                <w:color w:val="auto"/>
              </w:rPr>
              <w:t>Change in indemnification asset</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5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9180" w:type="dxa"/>
            <w:vAlign w:val="bottom"/>
          </w:tcPr>
          <w:p>
            <w:pPr>
              <w:ind w:left="320"/>
              <w:spacing w:after="0"/>
              <w:rPr>
                <w:sz w:val="20"/>
                <w:szCs w:val="20"/>
                <w:color w:val="auto"/>
              </w:rPr>
            </w:pPr>
            <w:r>
              <w:rPr>
                <w:rFonts w:ascii="Arial" w:cs="Arial" w:eastAsia="Arial" w:hAnsi="Arial"/>
                <w:sz w:val="16"/>
                <w:szCs w:val="16"/>
                <w:color w:val="auto"/>
              </w:rPr>
              <w:t>Change in estimates relating to pre-acquisition contingencies</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18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8"/>
        </w:trPr>
        <w:tc>
          <w:tcPr>
            <w:tcW w:w="9180" w:type="dxa"/>
            <w:vAlign w:val="bottom"/>
          </w:tcPr>
          <w:p>
            <w:pPr>
              <w:ind w:left="160"/>
              <w:spacing w:after="0" w:line="168" w:lineRule="exact"/>
              <w:rPr>
                <w:sz w:val="20"/>
                <w:szCs w:val="20"/>
                <w:color w:val="auto"/>
              </w:rPr>
            </w:pPr>
            <w:r>
              <w:rPr>
                <w:rFonts w:ascii="Arial" w:cs="Arial" w:eastAsia="Arial" w:hAnsi="Arial"/>
                <w:sz w:val="16"/>
                <w:szCs w:val="16"/>
                <w:color w:val="auto"/>
              </w:rPr>
              <w:t>(Gains) losses and other (income) expense, net</w:t>
            </w:r>
          </w:p>
        </w:tc>
        <w:tc>
          <w:tcPr>
            <w:tcW w:w="680" w:type="dxa"/>
            <w:vAlign w:val="bottom"/>
          </w:tcPr>
          <w:p>
            <w:pPr>
              <w:jc w:val="right"/>
              <w:spacing w:after="0" w:line="168" w:lineRule="exact"/>
              <w:rPr>
                <w:sz w:val="20"/>
                <w:szCs w:val="20"/>
                <w:color w:val="auto"/>
              </w:rPr>
            </w:pPr>
            <w:r>
              <w:rPr>
                <w:rFonts w:ascii="Arial" w:cs="Arial" w:eastAsia="Arial" w:hAnsi="Arial"/>
                <w:sz w:val="16"/>
                <w:szCs w:val="16"/>
                <w:color w:val="auto"/>
              </w:rPr>
              <w:t>(47)</w:t>
            </w:r>
          </w:p>
        </w:tc>
        <w:tc>
          <w:tcPr>
            <w:tcW w:w="640" w:type="dxa"/>
            <w:vAlign w:val="bottom"/>
          </w:tcPr>
          <w:p>
            <w:pPr>
              <w:jc w:val="right"/>
              <w:ind w:right="99"/>
              <w:spacing w:after="0" w:line="168" w:lineRule="exact"/>
              <w:rPr>
                <w:sz w:val="20"/>
                <w:szCs w:val="20"/>
                <w:color w:val="auto"/>
              </w:rPr>
            </w:pPr>
            <w:r>
              <w:rPr>
                <w:rFonts w:ascii="Arial" w:cs="Arial" w:eastAsia="Arial" w:hAnsi="Arial"/>
                <w:sz w:val="16"/>
                <w:szCs w:val="16"/>
                <w:color w:val="auto"/>
              </w:rPr>
              <w:t>1</w:t>
            </w:r>
          </w:p>
        </w:tc>
        <w:tc>
          <w:tcPr>
            <w:tcW w:w="520" w:type="dxa"/>
            <w:vAlign w:val="bottom"/>
          </w:tcPr>
          <w:p>
            <w:pPr>
              <w:jc w:val="right"/>
              <w:spacing w:after="0" w:line="168"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9"/>
        </w:trPr>
        <w:tc>
          <w:tcPr>
            <w:tcW w:w="9180" w:type="dxa"/>
            <w:vAlign w:val="bottom"/>
          </w:tcPr>
          <w:p>
            <w:pPr>
              <w:ind w:left="160"/>
              <w:spacing w:after="0"/>
              <w:rPr>
                <w:sz w:val="20"/>
                <w:szCs w:val="20"/>
                <w:color w:val="auto"/>
              </w:rPr>
            </w:pPr>
            <w:r>
              <w:rPr>
                <w:rFonts w:ascii="Arial" w:cs="Arial" w:eastAsia="Arial" w:hAnsi="Arial"/>
                <w:sz w:val="16"/>
                <w:szCs w:val="16"/>
                <w:color w:val="auto"/>
              </w:rPr>
              <w:t>Purchase accounting adjustments</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9180" w:type="dxa"/>
            <w:vAlign w:val="bottom"/>
          </w:tcPr>
          <w:p>
            <w:pPr>
              <w:ind w:left="160"/>
              <w:spacing w:after="0" w:line="189" w:lineRule="exact"/>
              <w:rPr>
                <w:sz w:val="20"/>
                <w:szCs w:val="20"/>
                <w:color w:val="auto"/>
              </w:rPr>
            </w:pPr>
            <w:r>
              <w:rPr>
                <w:rFonts w:ascii="Arial" w:cs="Arial" w:eastAsia="Arial" w:hAnsi="Arial"/>
                <w:sz w:val="14"/>
                <w:szCs w:val="14"/>
                <w:color w:val="auto"/>
              </w:rPr>
              <w:t>Litigation charges</w:t>
            </w:r>
            <w:r>
              <w:rPr>
                <w:rFonts w:ascii="Arial" w:cs="Arial" w:eastAsia="Arial" w:hAnsi="Arial"/>
                <w:sz w:val="21"/>
                <w:szCs w:val="21"/>
                <w:color w:val="auto"/>
                <w:vertAlign w:val="superscript"/>
              </w:rPr>
              <w:t>(1)</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9180" w:type="dxa"/>
            <w:vAlign w:val="bottom"/>
          </w:tcPr>
          <w:p>
            <w:pPr>
              <w:ind w:left="160"/>
              <w:spacing w:after="0" w:line="189" w:lineRule="exact"/>
              <w:rPr>
                <w:sz w:val="20"/>
                <w:szCs w:val="20"/>
                <w:color w:val="auto"/>
              </w:rPr>
            </w:pPr>
            <w:r>
              <w:rPr>
                <w:rFonts w:ascii="Arial" w:cs="Arial" w:eastAsia="Arial" w:hAnsi="Arial"/>
                <w:sz w:val="14"/>
                <w:szCs w:val="14"/>
                <w:color w:val="auto"/>
              </w:rPr>
              <w:t>Modernization</w:t>
            </w:r>
            <w:r>
              <w:rPr>
                <w:rFonts w:ascii="Arial" w:cs="Arial" w:eastAsia="Arial" w:hAnsi="Arial"/>
                <w:sz w:val="21"/>
                <w:szCs w:val="21"/>
                <w:color w:val="auto"/>
                <w:vertAlign w:val="superscript"/>
              </w:rPr>
              <w:t>(1)</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122</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9180" w:type="dxa"/>
            <w:vAlign w:val="bottom"/>
          </w:tcPr>
          <w:p>
            <w:pPr>
              <w:ind w:left="160"/>
              <w:spacing w:after="0" w:line="189" w:lineRule="exact"/>
              <w:rPr>
                <w:sz w:val="20"/>
                <w:szCs w:val="20"/>
                <w:color w:val="auto"/>
              </w:rPr>
            </w:pPr>
            <w:r>
              <w:rPr>
                <w:rFonts w:ascii="Arial" w:cs="Arial" w:eastAsia="Arial" w:hAnsi="Arial"/>
                <w:sz w:val="14"/>
                <w:szCs w:val="14"/>
                <w:color w:val="auto"/>
              </w:rPr>
              <w:t>Restructuring</w:t>
            </w:r>
            <w:r>
              <w:rPr>
                <w:rFonts w:ascii="Arial" w:cs="Arial" w:eastAsia="Arial" w:hAnsi="Arial"/>
                <w:sz w:val="21"/>
                <w:szCs w:val="21"/>
                <w:color w:val="auto"/>
                <w:vertAlign w:val="superscript"/>
              </w:rPr>
              <w:t>(1)</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9180" w:type="dxa"/>
            <w:vAlign w:val="bottom"/>
          </w:tcPr>
          <w:p>
            <w:pPr>
              <w:ind w:left="160"/>
              <w:spacing w:after="0"/>
              <w:rPr>
                <w:sz w:val="20"/>
                <w:szCs w:val="20"/>
                <w:color w:val="auto"/>
              </w:rPr>
            </w:pPr>
            <w:r>
              <w:rPr>
                <w:rFonts w:ascii="Arial" w:cs="Arial" w:eastAsia="Arial" w:hAnsi="Arial"/>
                <w:sz w:val="16"/>
                <w:szCs w:val="16"/>
                <w:color w:val="auto"/>
              </w:rPr>
              <w:t>Impairment</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577</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91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w:t>
            </w: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9180" w:type="dxa"/>
            <w:vAlign w:val="bottom"/>
            <w:tcBorders>
              <w:bottom w:val="single" w:sz="8" w:color="003A70"/>
            </w:tcBorders>
          </w:tcPr>
          <w:p>
            <w:pPr>
              <w:ind w:left="160"/>
              <w:spacing w:after="0" w:line="183" w:lineRule="exact"/>
              <w:rPr>
                <w:sz w:val="20"/>
                <w:szCs w:val="20"/>
                <w:color w:val="auto"/>
              </w:rPr>
            </w:pPr>
            <w:r>
              <w:rPr>
                <w:rFonts w:ascii="Arial" w:cs="Arial" w:eastAsia="Arial" w:hAnsi="Arial"/>
                <w:sz w:val="14"/>
                <w:szCs w:val="14"/>
                <w:color w:val="auto"/>
              </w:rPr>
              <w:t>Adjusted EBITDA</w:t>
            </w:r>
            <w:r>
              <w:rPr>
                <w:rFonts w:ascii="Arial" w:cs="Arial" w:eastAsia="Arial" w:hAnsi="Arial"/>
                <w:sz w:val="21"/>
                <w:szCs w:val="21"/>
                <w:color w:val="auto"/>
                <w:vertAlign w:val="superscript"/>
              </w:rPr>
              <w:t>(1)</w:t>
            </w:r>
          </w:p>
        </w:tc>
        <w:tc>
          <w:tcPr>
            <w:tcW w:w="680" w:type="dxa"/>
            <w:vAlign w:val="bottom"/>
            <w:tcBorders>
              <w:bottom w:val="single" w:sz="8" w:color="003A70"/>
            </w:tcBorders>
          </w:tcPr>
          <w:p>
            <w:pPr>
              <w:jc w:val="right"/>
              <w:ind w:right="60"/>
              <w:spacing w:after="0" w:line="183" w:lineRule="exact"/>
              <w:rPr>
                <w:sz w:val="20"/>
                <w:szCs w:val="20"/>
                <w:color w:val="auto"/>
              </w:rPr>
            </w:pPr>
            <w:r>
              <w:rPr>
                <w:rFonts w:ascii="Arial" w:cs="Arial" w:eastAsia="Arial" w:hAnsi="Arial"/>
                <w:sz w:val="16"/>
                <w:szCs w:val="16"/>
                <w:color w:val="auto"/>
              </w:rPr>
              <w:t>$ 751</w:t>
            </w:r>
          </w:p>
        </w:tc>
        <w:tc>
          <w:tcPr>
            <w:tcW w:w="640" w:type="dxa"/>
            <w:vAlign w:val="bottom"/>
            <w:tcBorders>
              <w:bottom w:val="single" w:sz="8" w:color="003A70"/>
            </w:tcBorders>
          </w:tcPr>
          <w:p>
            <w:pPr>
              <w:jc w:val="right"/>
              <w:ind w:right="99"/>
              <w:spacing w:after="0" w:line="183" w:lineRule="exact"/>
              <w:rPr>
                <w:sz w:val="20"/>
                <w:szCs w:val="20"/>
                <w:color w:val="auto"/>
              </w:rPr>
            </w:pPr>
            <w:r>
              <w:rPr>
                <w:rFonts w:ascii="Arial" w:cs="Arial" w:eastAsia="Arial" w:hAnsi="Arial"/>
                <w:sz w:val="16"/>
                <w:szCs w:val="16"/>
                <w:color w:val="auto"/>
              </w:rPr>
              <w:t>$ 736</w:t>
            </w:r>
          </w:p>
        </w:tc>
        <w:tc>
          <w:tcPr>
            <w:tcW w:w="520" w:type="dxa"/>
            <w:vAlign w:val="bottom"/>
            <w:tcBorders>
              <w:bottom w:val="single" w:sz="8" w:color="003A70"/>
            </w:tcBorders>
          </w:tcPr>
          <w:p>
            <w:pPr>
              <w:jc w:val="right"/>
              <w:ind w:right="39"/>
              <w:spacing w:after="0" w:line="183" w:lineRule="exact"/>
              <w:rPr>
                <w:sz w:val="20"/>
                <w:szCs w:val="20"/>
                <w:color w:val="auto"/>
              </w:rPr>
            </w:pPr>
            <w:r>
              <w:rPr>
                <w:rFonts w:ascii="Arial" w:cs="Arial" w:eastAsia="Arial" w:hAnsi="Arial"/>
                <w:sz w:val="16"/>
                <w:szCs w:val="16"/>
                <w:color w:val="auto"/>
                <w:w w:val="94"/>
              </w:rPr>
              <w:t>$ 761</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440" w:hanging="324"/>
        <w:spacing w:after="0"/>
        <w:tabs>
          <w:tab w:leader="none" w:pos="440" w:val="left"/>
        </w:tabs>
        <w:numPr>
          <w:ilvl w:val="0"/>
          <w:numId w:val="130"/>
        </w:numPr>
        <w:rPr>
          <w:rFonts w:ascii="Arial" w:cs="Arial" w:eastAsia="Arial" w:hAnsi="Arial"/>
          <w:sz w:val="22"/>
          <w:szCs w:val="22"/>
          <w:color w:val="auto"/>
          <w:vertAlign w:val="superscript"/>
        </w:rPr>
      </w:pPr>
      <w:r>
        <w:rPr>
          <w:rFonts w:ascii="Arial" w:cs="Arial" w:eastAsia="Arial" w:hAnsi="Arial"/>
          <w:sz w:val="14"/>
          <w:szCs w:val="14"/>
          <w:color w:val="auto"/>
        </w:rPr>
        <w:t>Prior year amounts have been reclassified to conform with our current year presentation. Please see “Non-GAAP Financial Measures” for additional information.</w:t>
      </w:r>
    </w:p>
    <w:p>
      <w:pPr>
        <w:spacing w:after="0" w:line="116" w:lineRule="exact"/>
        <w:rPr>
          <w:sz w:val="20"/>
          <w:szCs w:val="20"/>
          <w:color w:val="auto"/>
        </w:rPr>
      </w:pPr>
    </w:p>
    <w:p>
      <w:pPr>
        <w:ind w:left="120"/>
        <w:spacing w:after="0"/>
        <w:tabs>
          <w:tab w:leader="none" w:pos="534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003A70"/>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54"/>
          <w:szCs w:val="54"/>
          <w:b w:val="1"/>
          <w:b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-356235</wp:posOffset>
            </wp:positionV>
            <wp:extent cx="85725" cy="4457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725" cy="44577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2020 Equity Incentive Plan</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As Amended and Restated Effective May 15, 2026</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8720" w:type="dxa"/>
            <w:vAlign w:val="bottom"/>
            <w:gridSpan w:val="22"/>
          </w:tcPr>
          <w:p>
            <w:pPr>
              <w:spacing w:after="0"/>
              <w:rPr>
                <w:sz w:val="20"/>
                <w:szCs w:val="20"/>
                <w:color w:val="auto"/>
              </w:rPr>
            </w:pPr>
            <w:r>
              <w:rPr>
                <w:rFonts w:ascii="Arial" w:cs="Arial" w:eastAsia="Arial" w:hAnsi="Arial"/>
                <w:sz w:val="17"/>
                <w:szCs w:val="17"/>
                <w:color w:val="0000EE"/>
              </w:rPr>
              <w:t>Article 1. Establishment, Objectives, and Duration</w:t>
            </w:r>
          </w:p>
        </w:tc>
        <w:tc>
          <w:tcPr>
            <w:tcW w:w="2180" w:type="dxa"/>
            <w:vAlign w:val="bottom"/>
          </w:tcPr>
          <w:p>
            <w:pPr>
              <w:jc w:val="right"/>
              <w:spacing w:after="0"/>
              <w:rPr>
                <w:sz w:val="20"/>
                <w:szCs w:val="20"/>
                <w:color w:val="auto"/>
              </w:rPr>
            </w:pPr>
            <w:r>
              <w:rPr>
                <w:rFonts w:ascii="Arial" w:cs="Arial" w:eastAsia="Arial" w:hAnsi="Arial"/>
                <w:sz w:val="17"/>
                <w:szCs w:val="17"/>
                <w:color w:val="auto"/>
              </w:rPr>
              <w:t>B-2</w:t>
            </w:r>
          </w:p>
        </w:tc>
        <w:tc>
          <w:tcPr>
            <w:tcW w:w="0" w:type="dxa"/>
            <w:vAlign w:val="bottom"/>
          </w:tcPr>
          <w:p>
            <w:pPr>
              <w:spacing w:after="0"/>
              <w:rPr>
                <w:sz w:val="1"/>
                <w:szCs w:val="1"/>
                <w:color w:val="auto"/>
              </w:rPr>
            </w:pPr>
          </w:p>
        </w:tc>
      </w:tr>
      <w:tr>
        <w:trPr>
          <w:trHeight w:val="169"/>
        </w:trPr>
        <w:tc>
          <w:tcPr>
            <w:tcW w:w="3740" w:type="dxa"/>
            <w:vAlign w:val="bottom"/>
            <w:tcBorders>
              <w:top w:val="single" w:sz="8" w:color="0000EE"/>
            </w:tcBorders>
            <w:gridSpan w:val="19"/>
          </w:tcPr>
          <w:p>
            <w:pPr>
              <w:spacing w:after="0" w:line="169" w:lineRule="exact"/>
              <w:rPr>
                <w:sz w:val="20"/>
                <w:szCs w:val="20"/>
                <w:color w:val="auto"/>
              </w:rPr>
            </w:pPr>
            <w:r>
              <w:rPr>
                <w:rFonts w:ascii="Arial" w:cs="Arial" w:eastAsia="Arial" w:hAnsi="Arial"/>
                <w:sz w:val="17"/>
                <w:szCs w:val="17"/>
                <w:color w:val="0000EE"/>
              </w:rPr>
              <w:t>Article 2. Definitions</w:t>
            </w:r>
          </w:p>
        </w:tc>
        <w:tc>
          <w:tcPr>
            <w:tcW w:w="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180" w:type="dxa"/>
            <w:vAlign w:val="bottom"/>
          </w:tcPr>
          <w:p>
            <w:pPr>
              <w:jc w:val="right"/>
              <w:spacing w:after="0" w:line="169" w:lineRule="exact"/>
              <w:rPr>
                <w:sz w:val="20"/>
                <w:szCs w:val="20"/>
                <w:color w:val="auto"/>
              </w:rPr>
            </w:pPr>
            <w:r>
              <w:rPr>
                <w:rFonts w:ascii="Arial" w:cs="Arial" w:eastAsia="Arial" w:hAnsi="Arial"/>
                <w:sz w:val="17"/>
                <w:szCs w:val="17"/>
                <w:color w:val="auto"/>
              </w:rPr>
              <w:t>B-2</w:t>
            </w:r>
          </w:p>
        </w:tc>
        <w:tc>
          <w:tcPr>
            <w:tcW w:w="0" w:type="dxa"/>
            <w:vAlign w:val="bottom"/>
          </w:tcPr>
          <w:p>
            <w:pPr>
              <w:spacing w:after="0"/>
              <w:rPr>
                <w:sz w:val="1"/>
                <w:szCs w:val="1"/>
                <w:color w:val="auto"/>
              </w:rPr>
            </w:pPr>
          </w:p>
        </w:tc>
      </w:tr>
      <w:tr>
        <w:trPr>
          <w:trHeight w:val="20"/>
        </w:trPr>
        <w:tc>
          <w:tcPr>
            <w:tcW w:w="15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8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B-4</w:t>
            </w:r>
          </w:p>
        </w:tc>
        <w:tc>
          <w:tcPr>
            <w:tcW w:w="0" w:type="dxa"/>
            <w:vAlign w:val="bottom"/>
          </w:tcPr>
          <w:p>
            <w:pPr>
              <w:spacing w:after="0" w:line="20" w:lineRule="exact"/>
              <w:rPr>
                <w:sz w:val="1"/>
                <w:szCs w:val="1"/>
                <w:color w:val="auto"/>
              </w:rPr>
            </w:pPr>
          </w:p>
        </w:tc>
      </w:tr>
      <w:tr>
        <w:trPr>
          <w:trHeight w:val="169"/>
        </w:trPr>
        <w:tc>
          <w:tcPr>
            <w:tcW w:w="8720" w:type="dxa"/>
            <w:vAlign w:val="bottom"/>
            <w:gridSpan w:val="22"/>
          </w:tcPr>
          <w:p>
            <w:pPr>
              <w:spacing w:after="0" w:line="169" w:lineRule="exact"/>
              <w:rPr>
                <w:sz w:val="20"/>
                <w:szCs w:val="20"/>
                <w:color w:val="auto"/>
              </w:rPr>
            </w:pPr>
            <w:r>
              <w:rPr>
                <w:rFonts w:ascii="Arial" w:cs="Arial" w:eastAsia="Arial" w:hAnsi="Arial"/>
                <w:sz w:val="17"/>
                <w:szCs w:val="17"/>
                <w:color w:val="0000EE"/>
              </w:rPr>
              <w:t>Article 3. Administration</w:t>
            </w: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00" w:type="dxa"/>
            <w:vAlign w:val="bottom"/>
            <w:tcBorders>
              <w:top w:val="single" w:sz="8" w:color="0000EE"/>
            </w:tcBorders>
            <w:gridSpan w:val="6"/>
          </w:tcPr>
          <w:p>
            <w:pPr>
              <w:spacing w:after="0" w:line="169" w:lineRule="exact"/>
              <w:rPr>
                <w:sz w:val="20"/>
                <w:szCs w:val="20"/>
                <w:color w:val="auto"/>
              </w:rPr>
            </w:pPr>
            <w:r>
              <w:rPr>
                <w:rFonts w:ascii="Arial" w:cs="Arial" w:eastAsia="Arial" w:hAnsi="Arial"/>
                <w:sz w:val="17"/>
                <w:szCs w:val="17"/>
                <w:color w:val="0000EE"/>
                <w:w w:val="95"/>
              </w:rPr>
              <w:t>Article 4. Shares Subject</w:t>
            </w:r>
          </w:p>
        </w:tc>
        <w:tc>
          <w:tcPr>
            <w:tcW w:w="6920" w:type="dxa"/>
            <w:vAlign w:val="bottom"/>
            <w:gridSpan w:val="16"/>
          </w:tcPr>
          <w:p>
            <w:pPr>
              <w:ind w:left="120"/>
              <w:spacing w:after="0" w:line="169" w:lineRule="exact"/>
              <w:rPr>
                <w:sz w:val="20"/>
                <w:szCs w:val="20"/>
                <w:color w:val="auto"/>
              </w:rPr>
            </w:pPr>
            <w:r>
              <w:rPr>
                <w:rFonts w:ascii="Arial" w:cs="Arial" w:eastAsia="Arial" w:hAnsi="Arial"/>
                <w:sz w:val="17"/>
                <w:szCs w:val="17"/>
                <w:color w:val="0000EE"/>
              </w:rPr>
              <w:t>to the Plan</w:t>
            </w:r>
          </w:p>
        </w:tc>
        <w:tc>
          <w:tcPr>
            <w:tcW w:w="2180" w:type="dxa"/>
            <w:vAlign w:val="bottom"/>
          </w:tcPr>
          <w:p>
            <w:pPr>
              <w:jc w:val="right"/>
              <w:spacing w:after="0" w:line="169" w:lineRule="exact"/>
              <w:rPr>
                <w:sz w:val="20"/>
                <w:szCs w:val="20"/>
                <w:color w:val="auto"/>
              </w:rPr>
            </w:pPr>
            <w:r>
              <w:rPr>
                <w:rFonts w:ascii="Arial" w:cs="Arial" w:eastAsia="Arial" w:hAnsi="Arial"/>
                <w:sz w:val="17"/>
                <w:szCs w:val="17"/>
                <w:color w:val="auto"/>
              </w:rPr>
              <w:t>B-5</w:t>
            </w:r>
          </w:p>
        </w:tc>
        <w:tc>
          <w:tcPr>
            <w:tcW w:w="0" w:type="dxa"/>
            <w:vAlign w:val="bottom"/>
          </w:tcPr>
          <w:p>
            <w:pPr>
              <w:spacing w:after="0"/>
              <w:rPr>
                <w:sz w:val="1"/>
                <w:szCs w:val="1"/>
                <w:color w:val="auto"/>
              </w:rPr>
            </w:pPr>
          </w:p>
        </w:tc>
      </w:tr>
      <w:tr>
        <w:trPr>
          <w:trHeight w:val="169"/>
        </w:trPr>
        <w:tc>
          <w:tcPr>
            <w:tcW w:w="2740" w:type="dxa"/>
            <w:vAlign w:val="bottom"/>
            <w:tcBorders>
              <w:top w:val="single" w:sz="8" w:color="0000EE"/>
            </w:tcBorders>
            <w:gridSpan w:val="16"/>
          </w:tcPr>
          <w:p>
            <w:pPr>
              <w:spacing w:after="0" w:line="169" w:lineRule="exact"/>
              <w:rPr>
                <w:sz w:val="20"/>
                <w:szCs w:val="20"/>
                <w:color w:val="auto"/>
              </w:rPr>
            </w:pPr>
            <w:r>
              <w:rPr>
                <w:rFonts w:ascii="Arial" w:cs="Arial" w:eastAsia="Arial" w:hAnsi="Arial"/>
                <w:sz w:val="17"/>
                <w:szCs w:val="17"/>
                <w:color w:val="0000EE"/>
              </w:rPr>
              <w:t>Article 5. Eligibility and Participation</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2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180" w:type="dxa"/>
            <w:vAlign w:val="bottom"/>
          </w:tcPr>
          <w:p>
            <w:pPr>
              <w:jc w:val="right"/>
              <w:spacing w:after="0" w:line="169" w:lineRule="exact"/>
              <w:rPr>
                <w:sz w:val="20"/>
                <w:szCs w:val="20"/>
                <w:color w:val="auto"/>
              </w:rPr>
            </w:pPr>
            <w:r>
              <w:rPr>
                <w:rFonts w:ascii="Arial" w:cs="Arial" w:eastAsia="Arial" w:hAnsi="Arial"/>
                <w:sz w:val="17"/>
                <w:szCs w:val="17"/>
                <w:color w:val="auto"/>
              </w:rPr>
              <w:t>B-6</w:t>
            </w:r>
          </w:p>
        </w:tc>
        <w:tc>
          <w:tcPr>
            <w:tcW w:w="0" w:type="dxa"/>
            <w:vAlign w:val="bottom"/>
          </w:tcPr>
          <w:p>
            <w:pPr>
              <w:spacing w:after="0"/>
              <w:rPr>
                <w:sz w:val="1"/>
                <w:szCs w:val="1"/>
                <w:color w:val="auto"/>
              </w:rPr>
            </w:pPr>
          </w:p>
        </w:tc>
      </w:tr>
      <w:tr>
        <w:trPr>
          <w:trHeight w:val="169"/>
        </w:trPr>
        <w:tc>
          <w:tcPr>
            <w:tcW w:w="680" w:type="dxa"/>
            <w:vAlign w:val="bottom"/>
            <w:tcBorders>
              <w:top w:val="single" w:sz="8" w:color="0000EE"/>
            </w:tcBorders>
          </w:tcPr>
          <w:p>
            <w:pPr>
              <w:spacing w:after="0" w:line="169" w:lineRule="exact"/>
              <w:rPr>
                <w:sz w:val="20"/>
                <w:szCs w:val="20"/>
                <w:color w:val="auto"/>
              </w:rPr>
            </w:pPr>
            <w:r>
              <w:rPr>
                <w:rFonts w:ascii="Arial" w:cs="Arial" w:eastAsia="Arial" w:hAnsi="Arial"/>
                <w:sz w:val="17"/>
                <w:szCs w:val="17"/>
                <w:color w:val="0000EE"/>
                <w:w w:val="99"/>
              </w:rPr>
              <w:t>Article 6.</w:t>
            </w:r>
          </w:p>
        </w:tc>
        <w:tc>
          <w:tcPr>
            <w:tcW w:w="2020" w:type="dxa"/>
            <w:vAlign w:val="bottom"/>
            <w:tcBorders>
              <w:top w:val="single" w:sz="8" w:color="0000EE"/>
            </w:tcBorders>
            <w:gridSpan w:val="14"/>
          </w:tcPr>
          <w:p>
            <w:pPr>
              <w:ind w:left="20"/>
              <w:spacing w:after="0" w:line="169" w:lineRule="exact"/>
              <w:rPr>
                <w:sz w:val="20"/>
                <w:szCs w:val="20"/>
                <w:color w:val="auto"/>
              </w:rPr>
            </w:pPr>
            <w:r>
              <w:rPr>
                <w:rFonts w:ascii="Arial" w:cs="Arial" w:eastAsia="Arial" w:hAnsi="Arial"/>
                <w:sz w:val="17"/>
                <w:szCs w:val="17"/>
                <w:color w:val="0000EE"/>
              </w:rPr>
              <w:t>SARs and Stock Options</w:t>
            </w:r>
          </w:p>
        </w:tc>
        <w:tc>
          <w:tcPr>
            <w:tcW w:w="10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2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180" w:type="dxa"/>
            <w:vAlign w:val="bottom"/>
          </w:tcPr>
          <w:p>
            <w:pPr>
              <w:jc w:val="right"/>
              <w:spacing w:after="0" w:line="169" w:lineRule="exact"/>
              <w:rPr>
                <w:sz w:val="20"/>
                <w:szCs w:val="20"/>
                <w:color w:val="auto"/>
              </w:rPr>
            </w:pPr>
            <w:r>
              <w:rPr>
                <w:rFonts w:ascii="Arial" w:cs="Arial" w:eastAsia="Arial" w:hAnsi="Arial"/>
                <w:sz w:val="17"/>
                <w:szCs w:val="17"/>
                <w:color w:val="auto"/>
              </w:rPr>
              <w:t>B-6</w:t>
            </w:r>
          </w:p>
        </w:tc>
        <w:tc>
          <w:tcPr>
            <w:tcW w:w="0" w:type="dxa"/>
            <w:vAlign w:val="bottom"/>
          </w:tcPr>
          <w:p>
            <w:pPr>
              <w:spacing w:after="0"/>
              <w:rPr>
                <w:sz w:val="1"/>
                <w:szCs w:val="1"/>
                <w:color w:val="auto"/>
              </w:rPr>
            </w:pPr>
          </w:p>
        </w:tc>
      </w:tr>
      <w:tr>
        <w:trPr>
          <w:trHeight w:val="169"/>
        </w:trPr>
        <w:tc>
          <w:tcPr>
            <w:tcW w:w="680" w:type="dxa"/>
            <w:vAlign w:val="bottom"/>
            <w:tcBorders>
              <w:top w:val="single" w:sz="8" w:color="0000EE"/>
            </w:tcBorders>
          </w:tcPr>
          <w:p>
            <w:pPr>
              <w:spacing w:after="0" w:line="169" w:lineRule="exact"/>
              <w:rPr>
                <w:sz w:val="20"/>
                <w:szCs w:val="20"/>
                <w:color w:val="auto"/>
              </w:rPr>
            </w:pPr>
            <w:r>
              <w:rPr>
                <w:rFonts w:ascii="Arial" w:cs="Arial" w:eastAsia="Arial" w:hAnsi="Arial"/>
                <w:sz w:val="17"/>
                <w:szCs w:val="17"/>
                <w:color w:val="0000EE"/>
                <w:w w:val="99"/>
              </w:rPr>
              <w:t>Article 7.</w:t>
            </w:r>
          </w:p>
        </w:tc>
        <w:tc>
          <w:tcPr>
            <w:tcW w:w="1920" w:type="dxa"/>
            <w:vAlign w:val="bottom"/>
            <w:tcBorders>
              <w:top w:val="single" w:sz="8" w:color="0000EE"/>
            </w:tcBorders>
            <w:gridSpan w:val="13"/>
          </w:tcPr>
          <w:p>
            <w:pPr>
              <w:ind w:left="20"/>
              <w:spacing w:after="0" w:line="169" w:lineRule="exact"/>
              <w:rPr>
                <w:sz w:val="20"/>
                <w:szCs w:val="20"/>
                <w:color w:val="auto"/>
              </w:rPr>
            </w:pPr>
            <w:r>
              <w:rPr>
                <w:rFonts w:ascii="Arial" w:cs="Arial" w:eastAsia="Arial" w:hAnsi="Arial"/>
                <w:sz w:val="17"/>
                <w:szCs w:val="17"/>
                <w:color w:val="0000EE"/>
              </w:rPr>
              <w:t>Restricted Stock</w:t>
            </w:r>
          </w:p>
        </w:tc>
        <w:tc>
          <w:tcPr>
            <w:tcW w:w="200" w:type="dxa"/>
            <w:vAlign w:val="bottom"/>
            <w:gridSpan w:val="3"/>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2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180" w:type="dxa"/>
            <w:vAlign w:val="bottom"/>
          </w:tcPr>
          <w:p>
            <w:pPr>
              <w:jc w:val="right"/>
              <w:spacing w:after="0" w:line="169" w:lineRule="exact"/>
              <w:rPr>
                <w:sz w:val="20"/>
                <w:szCs w:val="20"/>
                <w:color w:val="auto"/>
              </w:rPr>
            </w:pPr>
            <w:r>
              <w:rPr>
                <w:rFonts w:ascii="Arial" w:cs="Arial" w:eastAsia="Arial" w:hAnsi="Arial"/>
                <w:sz w:val="17"/>
                <w:szCs w:val="17"/>
                <w:color w:val="auto"/>
              </w:rPr>
              <w:t>B-7</w:t>
            </w:r>
          </w:p>
        </w:tc>
        <w:tc>
          <w:tcPr>
            <w:tcW w:w="0" w:type="dxa"/>
            <w:vAlign w:val="bottom"/>
          </w:tcPr>
          <w:p>
            <w:pPr>
              <w:spacing w:after="0"/>
              <w:rPr>
                <w:sz w:val="1"/>
                <w:szCs w:val="1"/>
                <w:color w:val="auto"/>
              </w:rPr>
            </w:pPr>
          </w:p>
        </w:tc>
      </w:tr>
      <w:tr>
        <w:trPr>
          <w:trHeight w:val="169"/>
        </w:trPr>
        <w:tc>
          <w:tcPr>
            <w:tcW w:w="680" w:type="dxa"/>
            <w:vAlign w:val="bottom"/>
            <w:tcBorders>
              <w:top w:val="single" w:sz="8" w:color="0000EE"/>
            </w:tcBorders>
          </w:tcPr>
          <w:p>
            <w:pPr>
              <w:spacing w:after="0" w:line="169" w:lineRule="exact"/>
              <w:rPr>
                <w:sz w:val="20"/>
                <w:szCs w:val="20"/>
                <w:color w:val="auto"/>
              </w:rPr>
            </w:pPr>
            <w:r>
              <w:rPr>
                <w:rFonts w:ascii="Arial" w:cs="Arial" w:eastAsia="Arial" w:hAnsi="Arial"/>
                <w:sz w:val="17"/>
                <w:szCs w:val="17"/>
                <w:color w:val="0000EE"/>
                <w:w w:val="99"/>
              </w:rPr>
              <w:t>Article 8.</w:t>
            </w:r>
          </w:p>
        </w:tc>
        <w:tc>
          <w:tcPr>
            <w:tcW w:w="1280" w:type="dxa"/>
            <w:vAlign w:val="bottom"/>
            <w:tcBorders>
              <w:top w:val="single" w:sz="8" w:color="0000EE"/>
            </w:tcBorders>
            <w:gridSpan w:val="6"/>
          </w:tcPr>
          <w:p>
            <w:pPr>
              <w:ind w:left="20"/>
              <w:spacing w:after="0" w:line="169" w:lineRule="exact"/>
              <w:rPr>
                <w:sz w:val="20"/>
                <w:szCs w:val="20"/>
                <w:color w:val="auto"/>
              </w:rPr>
            </w:pPr>
            <w:r>
              <w:rPr>
                <w:rFonts w:ascii="Arial" w:cs="Arial" w:eastAsia="Arial" w:hAnsi="Arial"/>
                <w:sz w:val="17"/>
                <w:szCs w:val="17"/>
                <w:color w:val="0000EE"/>
              </w:rPr>
              <w:t>Restricted Stock</w:t>
            </w:r>
          </w:p>
        </w:tc>
        <w:tc>
          <w:tcPr>
            <w:tcW w:w="20" w:type="dxa"/>
            <w:vAlign w:val="bottom"/>
          </w:tcPr>
          <w:p>
            <w:pPr>
              <w:spacing w:after="0"/>
              <w:rPr>
                <w:sz w:val="14"/>
                <w:szCs w:val="14"/>
                <w:color w:val="auto"/>
              </w:rPr>
            </w:pPr>
          </w:p>
        </w:tc>
        <w:tc>
          <w:tcPr>
            <w:tcW w:w="6740" w:type="dxa"/>
            <w:vAlign w:val="bottom"/>
            <w:gridSpan w:val="14"/>
          </w:tcPr>
          <w:p>
            <w:pPr>
              <w:ind w:left="20"/>
              <w:spacing w:after="0" w:line="169" w:lineRule="exact"/>
              <w:rPr>
                <w:sz w:val="20"/>
                <w:szCs w:val="20"/>
                <w:color w:val="auto"/>
              </w:rPr>
            </w:pPr>
            <w:r>
              <w:rPr>
                <w:rFonts w:ascii="Arial" w:cs="Arial" w:eastAsia="Arial" w:hAnsi="Arial"/>
                <w:sz w:val="17"/>
                <w:szCs w:val="17"/>
                <w:color w:val="0000EE"/>
              </w:rPr>
              <w:t>Units</w:t>
            </w:r>
          </w:p>
        </w:tc>
        <w:tc>
          <w:tcPr>
            <w:tcW w:w="2180" w:type="dxa"/>
            <w:vAlign w:val="bottom"/>
          </w:tcPr>
          <w:p>
            <w:pPr>
              <w:jc w:val="right"/>
              <w:spacing w:after="0" w:line="169" w:lineRule="exact"/>
              <w:rPr>
                <w:sz w:val="20"/>
                <w:szCs w:val="20"/>
                <w:color w:val="auto"/>
              </w:rPr>
            </w:pPr>
            <w:r>
              <w:rPr>
                <w:rFonts w:ascii="Arial" w:cs="Arial" w:eastAsia="Arial" w:hAnsi="Arial"/>
                <w:sz w:val="17"/>
                <w:szCs w:val="17"/>
                <w:color w:val="auto"/>
              </w:rPr>
              <w:t>B-8</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8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B-8</w:t>
            </w: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line="169" w:lineRule="exact"/>
              <w:rPr>
                <w:sz w:val="20"/>
                <w:szCs w:val="20"/>
                <w:color w:val="auto"/>
              </w:rPr>
            </w:pPr>
            <w:r>
              <w:rPr>
                <w:rFonts w:ascii="Arial" w:cs="Arial" w:eastAsia="Arial" w:hAnsi="Arial"/>
                <w:sz w:val="17"/>
                <w:szCs w:val="17"/>
                <w:color w:val="0000EE"/>
                <w:w w:val="99"/>
              </w:rPr>
              <w:t>Article 9.</w:t>
            </w:r>
          </w:p>
        </w:tc>
        <w:tc>
          <w:tcPr>
            <w:tcW w:w="8040" w:type="dxa"/>
            <w:vAlign w:val="bottom"/>
            <w:gridSpan w:val="21"/>
          </w:tcPr>
          <w:p>
            <w:pPr>
              <w:ind w:left="20"/>
              <w:spacing w:after="0" w:line="169" w:lineRule="exact"/>
              <w:rPr>
                <w:sz w:val="20"/>
                <w:szCs w:val="20"/>
                <w:color w:val="auto"/>
              </w:rPr>
            </w:pPr>
            <w:r>
              <w:rPr>
                <w:rFonts w:ascii="Arial" w:cs="Arial" w:eastAsia="Arial" w:hAnsi="Arial"/>
                <w:sz w:val="17"/>
                <w:szCs w:val="17"/>
                <w:color w:val="0000EE"/>
              </w:rPr>
              <w:t>Other Share-Based Awards</w:t>
            </w: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0" w:type="dxa"/>
            <w:vAlign w:val="bottom"/>
            <w:tcBorders>
              <w:top w:val="single" w:sz="8" w:color="0000EE"/>
            </w:tcBorders>
            <w:gridSpan w:val="17"/>
          </w:tcPr>
          <w:p>
            <w:pPr>
              <w:spacing w:after="0" w:line="169" w:lineRule="exact"/>
              <w:rPr>
                <w:sz w:val="20"/>
                <w:szCs w:val="20"/>
                <w:color w:val="auto"/>
              </w:rPr>
            </w:pPr>
            <w:r>
              <w:rPr>
                <w:rFonts w:ascii="Arial" w:cs="Arial" w:eastAsia="Arial" w:hAnsi="Arial"/>
                <w:sz w:val="17"/>
                <w:szCs w:val="17"/>
                <w:color w:val="0000EE"/>
              </w:rPr>
              <w:t>Article 10. Directors’ Share Awards,</w:t>
            </w:r>
          </w:p>
        </w:tc>
        <w:tc>
          <w:tcPr>
            <w:tcW w:w="5920" w:type="dxa"/>
            <w:vAlign w:val="bottom"/>
            <w:gridSpan w:val="5"/>
          </w:tcPr>
          <w:p>
            <w:pPr>
              <w:spacing w:after="0" w:line="169" w:lineRule="exact"/>
              <w:rPr>
                <w:sz w:val="20"/>
                <w:szCs w:val="20"/>
                <w:color w:val="auto"/>
              </w:rPr>
            </w:pPr>
            <w:r>
              <w:rPr>
                <w:rFonts w:ascii="Arial" w:cs="Arial" w:eastAsia="Arial" w:hAnsi="Arial"/>
                <w:sz w:val="17"/>
                <w:szCs w:val="17"/>
                <w:color w:val="0000EE"/>
              </w:rPr>
              <w:t>Fee Deferral Elections, and Director SARs and Options</w:t>
            </w:r>
          </w:p>
        </w:tc>
        <w:tc>
          <w:tcPr>
            <w:tcW w:w="2180" w:type="dxa"/>
            <w:vAlign w:val="bottom"/>
          </w:tcPr>
          <w:p>
            <w:pPr>
              <w:jc w:val="right"/>
              <w:spacing w:after="0" w:line="169" w:lineRule="exact"/>
              <w:rPr>
                <w:sz w:val="20"/>
                <w:szCs w:val="20"/>
                <w:color w:val="auto"/>
              </w:rPr>
            </w:pPr>
            <w:r>
              <w:rPr>
                <w:rFonts w:ascii="Arial" w:cs="Arial" w:eastAsia="Arial" w:hAnsi="Arial"/>
                <w:sz w:val="17"/>
                <w:szCs w:val="17"/>
                <w:color w:val="auto"/>
              </w:rPr>
              <w:t>B-9</w:t>
            </w:r>
          </w:p>
        </w:tc>
        <w:tc>
          <w:tcPr>
            <w:tcW w:w="0" w:type="dxa"/>
            <w:vAlign w:val="bottom"/>
          </w:tcPr>
          <w:p>
            <w:pPr>
              <w:spacing w:after="0"/>
              <w:rPr>
                <w:sz w:val="1"/>
                <w:szCs w:val="1"/>
                <w:color w:val="auto"/>
              </w:rPr>
            </w:pPr>
          </w:p>
        </w:tc>
      </w:tr>
      <w:tr>
        <w:trPr>
          <w:trHeight w:val="169"/>
        </w:trPr>
        <w:tc>
          <w:tcPr>
            <w:tcW w:w="6900" w:type="dxa"/>
            <w:vAlign w:val="bottom"/>
            <w:tcBorders>
              <w:top w:val="single" w:sz="8" w:color="0000EE"/>
            </w:tcBorders>
            <w:gridSpan w:val="21"/>
          </w:tcPr>
          <w:p>
            <w:pPr>
              <w:spacing w:after="0" w:line="169" w:lineRule="exact"/>
              <w:rPr>
                <w:sz w:val="20"/>
                <w:szCs w:val="20"/>
                <w:color w:val="auto"/>
              </w:rPr>
            </w:pPr>
            <w:r>
              <w:rPr>
                <w:rFonts w:ascii="Arial" w:cs="Arial" w:eastAsia="Arial" w:hAnsi="Arial"/>
                <w:sz w:val="17"/>
                <w:szCs w:val="17"/>
                <w:color w:val="0000EE"/>
              </w:rPr>
              <w:t>Article 11. Beneficiary Designation</w:t>
            </w:r>
          </w:p>
        </w:tc>
        <w:tc>
          <w:tcPr>
            <w:tcW w:w="1820" w:type="dxa"/>
            <w:vAlign w:val="bottom"/>
          </w:tcPr>
          <w:p>
            <w:pPr>
              <w:spacing w:after="0"/>
              <w:rPr>
                <w:sz w:val="14"/>
                <w:szCs w:val="14"/>
                <w:color w:val="auto"/>
              </w:rPr>
            </w:pPr>
          </w:p>
        </w:tc>
        <w:tc>
          <w:tcPr>
            <w:tcW w:w="2180" w:type="dxa"/>
            <w:vAlign w:val="bottom"/>
          </w:tcPr>
          <w:p>
            <w:pPr>
              <w:jc w:val="right"/>
              <w:spacing w:after="0" w:line="169" w:lineRule="exact"/>
              <w:rPr>
                <w:sz w:val="20"/>
                <w:szCs w:val="20"/>
                <w:color w:val="auto"/>
              </w:rPr>
            </w:pPr>
            <w:r>
              <w:rPr>
                <w:rFonts w:ascii="Arial" w:cs="Arial" w:eastAsia="Arial" w:hAnsi="Arial"/>
                <w:sz w:val="17"/>
                <w:szCs w:val="17"/>
                <w:color w:val="auto"/>
              </w:rPr>
              <w:t>B-10</w:t>
            </w:r>
          </w:p>
        </w:tc>
        <w:tc>
          <w:tcPr>
            <w:tcW w:w="0" w:type="dxa"/>
            <w:vAlign w:val="bottom"/>
          </w:tcPr>
          <w:p>
            <w:pPr>
              <w:spacing w:after="0"/>
              <w:rPr>
                <w:sz w:val="1"/>
                <w:szCs w:val="1"/>
                <w:color w:val="auto"/>
              </w:rPr>
            </w:pPr>
          </w:p>
        </w:tc>
      </w:tr>
      <w:tr>
        <w:trPr>
          <w:trHeight w:val="169"/>
        </w:trPr>
        <w:tc>
          <w:tcPr>
            <w:tcW w:w="2580" w:type="dxa"/>
            <w:vAlign w:val="bottom"/>
            <w:tcBorders>
              <w:top w:val="single" w:sz="8" w:color="0000EE"/>
            </w:tcBorders>
            <w:gridSpan w:val="13"/>
          </w:tcPr>
          <w:p>
            <w:pPr>
              <w:spacing w:after="0" w:line="169" w:lineRule="exact"/>
              <w:rPr>
                <w:sz w:val="20"/>
                <w:szCs w:val="20"/>
                <w:color w:val="auto"/>
              </w:rPr>
            </w:pPr>
            <w:r>
              <w:rPr>
                <w:rFonts w:ascii="Arial" w:cs="Arial" w:eastAsia="Arial" w:hAnsi="Arial"/>
                <w:sz w:val="17"/>
                <w:szCs w:val="17"/>
                <w:color w:val="0000EE"/>
              </w:rPr>
              <w:t>Article 12. Change in Control</w:t>
            </w:r>
          </w:p>
        </w:tc>
        <w:tc>
          <w:tcPr>
            <w:tcW w:w="820" w:type="dxa"/>
            <w:vAlign w:val="bottom"/>
            <w:gridSpan w:val="5"/>
          </w:tcPr>
          <w:p>
            <w:pPr>
              <w:spacing w:after="0"/>
              <w:rPr>
                <w:sz w:val="14"/>
                <w:szCs w:val="14"/>
                <w:color w:val="auto"/>
              </w:rPr>
            </w:pPr>
          </w:p>
        </w:tc>
        <w:tc>
          <w:tcPr>
            <w:tcW w:w="640" w:type="dxa"/>
            <w:vAlign w:val="bottom"/>
            <w:gridSpan w:val="2"/>
          </w:tcPr>
          <w:p>
            <w:pPr>
              <w:spacing w:after="0"/>
              <w:rPr>
                <w:sz w:val="14"/>
                <w:szCs w:val="14"/>
                <w:color w:val="auto"/>
              </w:rPr>
            </w:pPr>
          </w:p>
        </w:tc>
        <w:tc>
          <w:tcPr>
            <w:tcW w:w="4680" w:type="dxa"/>
            <w:vAlign w:val="bottom"/>
            <w:gridSpan w:val="2"/>
          </w:tcPr>
          <w:p>
            <w:pPr>
              <w:spacing w:after="0"/>
              <w:rPr>
                <w:sz w:val="14"/>
                <w:szCs w:val="14"/>
                <w:color w:val="auto"/>
              </w:rPr>
            </w:pPr>
          </w:p>
        </w:tc>
        <w:tc>
          <w:tcPr>
            <w:tcW w:w="2180" w:type="dxa"/>
            <w:vAlign w:val="bottom"/>
          </w:tcPr>
          <w:p>
            <w:pPr>
              <w:jc w:val="right"/>
              <w:spacing w:after="0" w:line="169" w:lineRule="exact"/>
              <w:rPr>
                <w:sz w:val="20"/>
                <w:szCs w:val="20"/>
                <w:color w:val="auto"/>
              </w:rPr>
            </w:pPr>
            <w:r>
              <w:rPr>
                <w:rFonts w:ascii="Arial" w:cs="Arial" w:eastAsia="Arial" w:hAnsi="Arial"/>
                <w:sz w:val="17"/>
                <w:szCs w:val="17"/>
                <w:color w:val="auto"/>
              </w:rPr>
              <w:t>B-10</w:t>
            </w:r>
          </w:p>
        </w:tc>
        <w:tc>
          <w:tcPr>
            <w:tcW w:w="0" w:type="dxa"/>
            <w:vAlign w:val="bottom"/>
          </w:tcPr>
          <w:p>
            <w:pPr>
              <w:spacing w:after="0"/>
              <w:rPr>
                <w:sz w:val="1"/>
                <w:szCs w:val="1"/>
                <w:color w:val="auto"/>
              </w:rPr>
            </w:pPr>
          </w:p>
        </w:tc>
      </w:tr>
      <w:tr>
        <w:trPr>
          <w:trHeight w:val="20"/>
        </w:trPr>
        <w:tc>
          <w:tcPr>
            <w:tcW w:w="1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18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B-12</w:t>
            </w: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0000EE"/>
            </w:tcBorders>
            <w:gridSpan w:val="12"/>
          </w:tcPr>
          <w:p>
            <w:pPr>
              <w:spacing w:after="0" w:line="169" w:lineRule="exact"/>
              <w:rPr>
                <w:sz w:val="20"/>
                <w:szCs w:val="20"/>
                <w:color w:val="auto"/>
              </w:rPr>
            </w:pPr>
            <w:r>
              <w:rPr>
                <w:rFonts w:ascii="Arial" w:cs="Arial" w:eastAsia="Arial" w:hAnsi="Arial"/>
                <w:sz w:val="17"/>
                <w:szCs w:val="17"/>
                <w:color w:val="0000EE"/>
                <w:w w:val="99"/>
              </w:rPr>
              <w:t>Article 13. Rights of Participants</w:t>
            </w:r>
          </w:p>
        </w:tc>
        <w:tc>
          <w:tcPr>
            <w:tcW w:w="6300" w:type="dxa"/>
            <w:vAlign w:val="bottom"/>
            <w:gridSpan w:val="10"/>
          </w:tcPr>
          <w:p>
            <w:pPr>
              <w:spacing w:after="0"/>
              <w:rPr>
                <w:sz w:val="14"/>
                <w:szCs w:val="14"/>
                <w:color w:val="auto"/>
              </w:rPr>
            </w:pP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720" w:type="dxa"/>
            <w:vAlign w:val="bottom"/>
            <w:gridSpan w:val="22"/>
          </w:tcPr>
          <w:p>
            <w:pPr>
              <w:spacing w:after="0" w:line="169" w:lineRule="exact"/>
              <w:rPr>
                <w:sz w:val="20"/>
                <w:szCs w:val="20"/>
                <w:color w:val="auto"/>
              </w:rPr>
            </w:pPr>
            <w:r>
              <w:rPr>
                <w:rFonts w:ascii="Arial" w:cs="Arial" w:eastAsia="Arial" w:hAnsi="Arial"/>
                <w:sz w:val="17"/>
                <w:szCs w:val="17"/>
                <w:color w:val="0000EE"/>
              </w:rPr>
              <w:t>Article 14. Amendment, Modification, and Termination</w:t>
            </w:r>
          </w:p>
        </w:tc>
        <w:tc>
          <w:tcPr>
            <w:tcW w:w="2180" w:type="dxa"/>
            <w:vAlign w:val="bottom"/>
          </w:tcPr>
          <w:p>
            <w:pPr>
              <w:jc w:val="right"/>
              <w:spacing w:after="0" w:line="169" w:lineRule="exact"/>
              <w:rPr>
                <w:sz w:val="20"/>
                <w:szCs w:val="20"/>
                <w:color w:val="auto"/>
              </w:rPr>
            </w:pPr>
            <w:r>
              <w:rPr>
                <w:rFonts w:ascii="Arial" w:cs="Arial" w:eastAsia="Arial" w:hAnsi="Arial"/>
                <w:sz w:val="17"/>
                <w:szCs w:val="17"/>
                <w:color w:val="auto"/>
              </w:rPr>
              <w:t>B-12</w:t>
            </w:r>
          </w:p>
        </w:tc>
        <w:tc>
          <w:tcPr>
            <w:tcW w:w="0" w:type="dxa"/>
            <w:vAlign w:val="bottom"/>
          </w:tcPr>
          <w:p>
            <w:pPr>
              <w:spacing w:after="0"/>
              <w:rPr>
                <w:sz w:val="1"/>
                <w:szCs w:val="1"/>
                <w:color w:val="auto"/>
              </w:rPr>
            </w:pPr>
          </w:p>
        </w:tc>
      </w:tr>
      <w:tr>
        <w:trPr>
          <w:trHeight w:val="169"/>
        </w:trPr>
        <w:tc>
          <w:tcPr>
            <w:tcW w:w="4040" w:type="dxa"/>
            <w:vAlign w:val="bottom"/>
            <w:tcBorders>
              <w:top w:val="single" w:sz="8" w:color="0000EE"/>
            </w:tcBorders>
            <w:gridSpan w:val="20"/>
          </w:tcPr>
          <w:p>
            <w:pPr>
              <w:spacing w:after="0" w:line="169" w:lineRule="exact"/>
              <w:rPr>
                <w:sz w:val="20"/>
                <w:szCs w:val="20"/>
                <w:color w:val="auto"/>
              </w:rPr>
            </w:pPr>
            <w:r>
              <w:rPr>
                <w:rFonts w:ascii="Arial" w:cs="Arial" w:eastAsia="Arial" w:hAnsi="Arial"/>
                <w:sz w:val="17"/>
                <w:szCs w:val="17"/>
                <w:color w:val="0000EE"/>
              </w:rPr>
              <w:t>Article 15. Withholding</w:t>
            </w:r>
          </w:p>
        </w:tc>
        <w:tc>
          <w:tcPr>
            <w:tcW w:w="4680" w:type="dxa"/>
            <w:vAlign w:val="bottom"/>
            <w:gridSpan w:val="2"/>
          </w:tcPr>
          <w:p>
            <w:pPr>
              <w:spacing w:after="0"/>
              <w:rPr>
                <w:sz w:val="14"/>
                <w:szCs w:val="14"/>
                <w:color w:val="auto"/>
              </w:rPr>
            </w:pPr>
          </w:p>
        </w:tc>
        <w:tc>
          <w:tcPr>
            <w:tcW w:w="2180" w:type="dxa"/>
            <w:vAlign w:val="bottom"/>
          </w:tcPr>
          <w:p>
            <w:pPr>
              <w:jc w:val="right"/>
              <w:spacing w:after="0" w:line="169" w:lineRule="exact"/>
              <w:rPr>
                <w:sz w:val="20"/>
                <w:szCs w:val="20"/>
                <w:color w:val="auto"/>
              </w:rPr>
            </w:pPr>
            <w:r>
              <w:rPr>
                <w:rFonts w:ascii="Arial" w:cs="Arial" w:eastAsia="Arial" w:hAnsi="Arial"/>
                <w:sz w:val="17"/>
                <w:szCs w:val="17"/>
                <w:color w:val="auto"/>
              </w:rPr>
              <w:t>B-12</w:t>
            </w:r>
          </w:p>
        </w:tc>
        <w:tc>
          <w:tcPr>
            <w:tcW w:w="0" w:type="dxa"/>
            <w:vAlign w:val="bottom"/>
          </w:tcPr>
          <w:p>
            <w:pPr>
              <w:spacing w:after="0"/>
              <w:rPr>
                <w:sz w:val="1"/>
                <w:szCs w:val="1"/>
                <w:color w:val="auto"/>
              </w:rPr>
            </w:pPr>
          </w:p>
        </w:tc>
      </w:tr>
      <w:tr>
        <w:trPr>
          <w:trHeight w:val="169"/>
        </w:trPr>
        <w:tc>
          <w:tcPr>
            <w:tcW w:w="780" w:type="dxa"/>
            <w:vAlign w:val="bottom"/>
            <w:tcBorders>
              <w:top w:val="single" w:sz="8" w:color="0000EE"/>
              <w:bottom w:val="single" w:sz="8" w:color="0000EE"/>
            </w:tcBorders>
            <w:gridSpan w:val="2"/>
          </w:tcPr>
          <w:p>
            <w:pPr>
              <w:spacing w:after="0" w:line="169" w:lineRule="exact"/>
              <w:rPr>
                <w:sz w:val="20"/>
                <w:szCs w:val="20"/>
                <w:color w:val="auto"/>
              </w:rPr>
            </w:pPr>
            <w:r>
              <w:rPr>
                <w:rFonts w:ascii="Arial" w:cs="Arial" w:eastAsia="Arial" w:hAnsi="Arial"/>
                <w:sz w:val="17"/>
                <w:szCs w:val="17"/>
                <w:color w:val="0000EE"/>
              </w:rPr>
              <w:t>Article 16.</w:t>
            </w:r>
          </w:p>
        </w:tc>
        <w:tc>
          <w:tcPr>
            <w:tcW w:w="920" w:type="dxa"/>
            <w:vAlign w:val="bottom"/>
            <w:tcBorders>
              <w:top w:val="single" w:sz="8" w:color="0000EE"/>
              <w:bottom w:val="single" w:sz="8" w:color="0000EE"/>
            </w:tcBorders>
            <w:gridSpan w:val="3"/>
          </w:tcPr>
          <w:p>
            <w:pPr>
              <w:ind w:left="20"/>
              <w:spacing w:after="0" w:line="169" w:lineRule="exact"/>
              <w:rPr>
                <w:sz w:val="20"/>
                <w:szCs w:val="20"/>
                <w:color w:val="auto"/>
              </w:rPr>
            </w:pPr>
            <w:r>
              <w:rPr>
                <w:rFonts w:ascii="Arial" w:cs="Arial" w:eastAsia="Arial" w:hAnsi="Arial"/>
                <w:sz w:val="17"/>
                <w:szCs w:val="17"/>
                <w:color w:val="0000EE"/>
                <w:w w:val="76"/>
              </w:rPr>
              <w:t>Indemnification</w:t>
            </w:r>
          </w:p>
        </w:tc>
        <w:tc>
          <w:tcPr>
            <w:tcW w:w="280" w:type="dxa"/>
            <w:vAlign w:val="bottom"/>
            <w:tcBorders>
              <w:bottom w:val="single" w:sz="8" w:color="0000EE"/>
            </w:tcBorders>
            <w:gridSpan w:val="3"/>
          </w:tcPr>
          <w:p>
            <w:pPr>
              <w:spacing w:after="0"/>
              <w:rPr>
                <w:sz w:val="14"/>
                <w:szCs w:val="14"/>
                <w:color w:val="auto"/>
              </w:rPr>
            </w:pPr>
          </w:p>
        </w:tc>
        <w:tc>
          <w:tcPr>
            <w:tcW w:w="300" w:type="dxa"/>
            <w:vAlign w:val="bottom"/>
            <w:gridSpan w:val="2"/>
          </w:tcPr>
          <w:p>
            <w:pPr>
              <w:spacing w:after="0"/>
              <w:rPr>
                <w:sz w:val="14"/>
                <w:szCs w:val="14"/>
                <w:color w:val="auto"/>
              </w:rPr>
            </w:pPr>
          </w:p>
        </w:tc>
        <w:tc>
          <w:tcPr>
            <w:tcW w:w="1120" w:type="dxa"/>
            <w:vAlign w:val="bottom"/>
            <w:gridSpan w:val="8"/>
          </w:tcPr>
          <w:p>
            <w:pPr>
              <w:spacing w:after="0"/>
              <w:rPr>
                <w:sz w:val="14"/>
                <w:szCs w:val="14"/>
                <w:color w:val="auto"/>
              </w:rPr>
            </w:pPr>
          </w:p>
        </w:tc>
        <w:tc>
          <w:tcPr>
            <w:tcW w:w="5320" w:type="dxa"/>
            <w:vAlign w:val="bottom"/>
            <w:gridSpan w:val="4"/>
          </w:tcPr>
          <w:p>
            <w:pPr>
              <w:spacing w:after="0"/>
              <w:rPr>
                <w:sz w:val="14"/>
                <w:szCs w:val="14"/>
                <w:color w:val="auto"/>
              </w:rPr>
            </w:pPr>
          </w:p>
        </w:tc>
        <w:tc>
          <w:tcPr>
            <w:tcW w:w="2180" w:type="dxa"/>
            <w:vAlign w:val="bottom"/>
          </w:tcPr>
          <w:p>
            <w:pPr>
              <w:jc w:val="right"/>
              <w:spacing w:after="0" w:line="169" w:lineRule="exact"/>
              <w:rPr>
                <w:sz w:val="20"/>
                <w:szCs w:val="20"/>
                <w:color w:val="auto"/>
              </w:rPr>
            </w:pPr>
            <w:r>
              <w:rPr>
                <w:rFonts w:ascii="Arial" w:cs="Arial" w:eastAsia="Arial" w:hAnsi="Arial"/>
                <w:sz w:val="17"/>
                <w:szCs w:val="17"/>
                <w:color w:val="auto"/>
              </w:rPr>
              <w:t>B-12</w:t>
            </w:r>
          </w:p>
        </w:tc>
        <w:tc>
          <w:tcPr>
            <w:tcW w:w="0" w:type="dxa"/>
            <w:vAlign w:val="bottom"/>
          </w:tcPr>
          <w:p>
            <w:pPr>
              <w:spacing w:after="0"/>
              <w:rPr>
                <w:sz w:val="1"/>
                <w:szCs w:val="1"/>
                <w:color w:val="auto"/>
              </w:rPr>
            </w:pPr>
          </w:p>
        </w:tc>
      </w:tr>
      <w:tr>
        <w:trPr>
          <w:trHeight w:val="169"/>
        </w:trPr>
        <w:tc>
          <w:tcPr>
            <w:tcW w:w="780" w:type="dxa"/>
            <w:vAlign w:val="bottom"/>
            <w:gridSpan w:val="2"/>
          </w:tcPr>
          <w:p>
            <w:pPr>
              <w:spacing w:after="0" w:line="169" w:lineRule="exact"/>
              <w:rPr>
                <w:sz w:val="20"/>
                <w:szCs w:val="20"/>
                <w:color w:val="auto"/>
              </w:rPr>
            </w:pPr>
            <w:r>
              <w:rPr>
                <w:rFonts w:ascii="Arial" w:cs="Arial" w:eastAsia="Arial" w:hAnsi="Arial"/>
                <w:sz w:val="17"/>
                <w:szCs w:val="17"/>
                <w:color w:val="0000EE"/>
              </w:rPr>
              <w:t>Article 17.</w:t>
            </w:r>
          </w:p>
        </w:tc>
        <w:tc>
          <w:tcPr>
            <w:tcW w:w="1200" w:type="dxa"/>
            <w:vAlign w:val="bottom"/>
            <w:gridSpan w:val="6"/>
          </w:tcPr>
          <w:p>
            <w:pPr>
              <w:ind w:left="20"/>
              <w:spacing w:after="0" w:line="169" w:lineRule="exact"/>
              <w:rPr>
                <w:sz w:val="20"/>
                <w:szCs w:val="20"/>
                <w:color w:val="auto"/>
              </w:rPr>
            </w:pPr>
            <w:r>
              <w:rPr>
                <w:rFonts w:ascii="Arial" w:cs="Arial" w:eastAsia="Arial" w:hAnsi="Arial"/>
                <w:sz w:val="17"/>
                <w:szCs w:val="17"/>
                <w:color w:val="0000EE"/>
              </w:rPr>
              <w:t>Code Section</w:t>
            </w:r>
          </w:p>
        </w:tc>
        <w:tc>
          <w:tcPr>
            <w:tcW w:w="6740" w:type="dxa"/>
            <w:vAlign w:val="bottom"/>
            <w:gridSpan w:val="14"/>
          </w:tcPr>
          <w:p>
            <w:pPr>
              <w:spacing w:after="0" w:line="169" w:lineRule="exact"/>
              <w:rPr>
                <w:sz w:val="20"/>
                <w:szCs w:val="20"/>
                <w:color w:val="auto"/>
              </w:rPr>
            </w:pPr>
            <w:r>
              <w:rPr>
                <w:rFonts w:ascii="Arial" w:cs="Arial" w:eastAsia="Arial" w:hAnsi="Arial"/>
                <w:sz w:val="17"/>
                <w:szCs w:val="17"/>
                <w:color w:val="0000EE"/>
              </w:rPr>
              <w:t>409A</w:t>
            </w:r>
          </w:p>
        </w:tc>
        <w:tc>
          <w:tcPr>
            <w:tcW w:w="2180" w:type="dxa"/>
            <w:vAlign w:val="bottom"/>
          </w:tcPr>
          <w:p>
            <w:pPr>
              <w:jc w:val="right"/>
              <w:spacing w:after="0" w:line="169" w:lineRule="exact"/>
              <w:rPr>
                <w:sz w:val="20"/>
                <w:szCs w:val="20"/>
                <w:color w:val="auto"/>
              </w:rPr>
            </w:pPr>
            <w:r>
              <w:rPr>
                <w:rFonts w:ascii="Arial" w:cs="Arial" w:eastAsia="Arial" w:hAnsi="Arial"/>
                <w:sz w:val="17"/>
                <w:szCs w:val="17"/>
                <w:color w:val="auto"/>
              </w:rPr>
              <w:t>B-13</w:t>
            </w:r>
          </w:p>
        </w:tc>
        <w:tc>
          <w:tcPr>
            <w:tcW w:w="0" w:type="dxa"/>
            <w:vAlign w:val="bottom"/>
          </w:tcPr>
          <w:p>
            <w:pPr>
              <w:spacing w:after="0"/>
              <w:rPr>
                <w:sz w:val="1"/>
                <w:szCs w:val="1"/>
                <w:color w:val="auto"/>
              </w:rPr>
            </w:pPr>
          </w:p>
        </w:tc>
      </w:tr>
      <w:tr>
        <w:trPr>
          <w:trHeight w:val="169"/>
        </w:trPr>
        <w:tc>
          <w:tcPr>
            <w:tcW w:w="78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7"/>
                <w:szCs w:val="17"/>
                <w:color w:val="0000EE"/>
              </w:rPr>
              <w:t>Article 18.</w:t>
            </w:r>
          </w:p>
        </w:tc>
        <w:tc>
          <w:tcPr>
            <w:tcW w:w="1500" w:type="dxa"/>
            <w:vAlign w:val="bottom"/>
            <w:tcBorders>
              <w:top w:val="single" w:sz="8" w:color="0000EE"/>
            </w:tcBorders>
            <w:gridSpan w:val="8"/>
          </w:tcPr>
          <w:p>
            <w:pPr>
              <w:ind w:left="20"/>
              <w:spacing w:after="0" w:line="169" w:lineRule="exact"/>
              <w:rPr>
                <w:sz w:val="20"/>
                <w:szCs w:val="20"/>
                <w:color w:val="auto"/>
              </w:rPr>
            </w:pPr>
            <w:r>
              <w:rPr>
                <w:rFonts w:ascii="Arial" w:cs="Arial" w:eastAsia="Arial" w:hAnsi="Arial"/>
                <w:sz w:val="17"/>
                <w:szCs w:val="17"/>
                <w:color w:val="0000EE"/>
              </w:rPr>
              <w:t>Successors</w:t>
            </w:r>
          </w:p>
        </w:tc>
        <w:tc>
          <w:tcPr>
            <w:tcW w:w="1120" w:type="dxa"/>
            <w:vAlign w:val="bottom"/>
            <w:gridSpan w:val="8"/>
          </w:tcPr>
          <w:p>
            <w:pPr>
              <w:spacing w:after="0"/>
              <w:rPr>
                <w:sz w:val="14"/>
                <w:szCs w:val="14"/>
                <w:color w:val="auto"/>
              </w:rPr>
            </w:pPr>
          </w:p>
        </w:tc>
        <w:tc>
          <w:tcPr>
            <w:tcW w:w="5320" w:type="dxa"/>
            <w:vAlign w:val="bottom"/>
            <w:gridSpan w:val="4"/>
          </w:tcPr>
          <w:p>
            <w:pPr>
              <w:spacing w:after="0"/>
              <w:rPr>
                <w:sz w:val="14"/>
                <w:szCs w:val="14"/>
                <w:color w:val="auto"/>
              </w:rPr>
            </w:pPr>
          </w:p>
        </w:tc>
        <w:tc>
          <w:tcPr>
            <w:tcW w:w="2180" w:type="dxa"/>
            <w:vAlign w:val="bottom"/>
          </w:tcPr>
          <w:p>
            <w:pPr>
              <w:jc w:val="right"/>
              <w:spacing w:after="0" w:line="169" w:lineRule="exact"/>
              <w:rPr>
                <w:sz w:val="20"/>
                <w:szCs w:val="20"/>
                <w:color w:val="auto"/>
              </w:rPr>
            </w:pPr>
            <w:r>
              <w:rPr>
                <w:rFonts w:ascii="Arial" w:cs="Arial" w:eastAsia="Arial" w:hAnsi="Arial"/>
                <w:sz w:val="17"/>
                <w:szCs w:val="17"/>
                <w:color w:val="auto"/>
              </w:rPr>
              <w:t>B-13</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720" w:type="dxa"/>
            <w:vAlign w:val="bottom"/>
            <w:gridSpan w:val="14"/>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218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B-13</w:t>
            </w:r>
          </w:p>
        </w:tc>
        <w:tc>
          <w:tcPr>
            <w:tcW w:w="0" w:type="dxa"/>
            <w:vAlign w:val="bottom"/>
          </w:tcPr>
          <w:p>
            <w:pPr>
              <w:spacing w:after="0" w:line="20" w:lineRule="exact"/>
              <w:rPr>
                <w:sz w:val="1"/>
                <w:szCs w:val="1"/>
                <w:color w:val="auto"/>
              </w:rPr>
            </w:pPr>
          </w:p>
        </w:tc>
      </w:tr>
      <w:tr>
        <w:trPr>
          <w:trHeight w:val="169"/>
        </w:trPr>
        <w:tc>
          <w:tcPr>
            <w:tcW w:w="780" w:type="dxa"/>
            <w:vAlign w:val="bottom"/>
            <w:gridSpan w:val="2"/>
          </w:tcPr>
          <w:p>
            <w:pPr>
              <w:spacing w:after="0" w:line="169" w:lineRule="exact"/>
              <w:rPr>
                <w:sz w:val="20"/>
                <w:szCs w:val="20"/>
                <w:color w:val="auto"/>
              </w:rPr>
            </w:pPr>
            <w:r>
              <w:rPr>
                <w:rFonts w:ascii="Arial" w:cs="Arial" w:eastAsia="Arial" w:hAnsi="Arial"/>
                <w:sz w:val="17"/>
                <w:szCs w:val="17"/>
                <w:color w:val="0000EE"/>
              </w:rPr>
              <w:t>Article 19.</w:t>
            </w:r>
          </w:p>
        </w:tc>
        <w:tc>
          <w:tcPr>
            <w:tcW w:w="7940" w:type="dxa"/>
            <w:vAlign w:val="bottom"/>
            <w:gridSpan w:val="20"/>
          </w:tcPr>
          <w:p>
            <w:pPr>
              <w:ind w:left="20"/>
              <w:spacing w:after="0" w:line="169" w:lineRule="exact"/>
              <w:rPr>
                <w:sz w:val="20"/>
                <w:szCs w:val="20"/>
                <w:color w:val="auto"/>
              </w:rPr>
            </w:pPr>
            <w:r>
              <w:rPr>
                <w:rFonts w:ascii="Arial" w:cs="Arial" w:eastAsia="Arial" w:hAnsi="Arial"/>
                <w:sz w:val="17"/>
                <w:szCs w:val="17"/>
                <w:color w:val="0000EE"/>
              </w:rPr>
              <w:t>Legal Construction; Miscellaneous</w:t>
            </w: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u w:val="single" w:color="auto"/>
          <w:color w:val="auto"/>
        </w:rPr>
        <w:t>PREAMBLE</w:t>
      </w:r>
    </w:p>
    <w:p>
      <w:pPr>
        <w:spacing w:after="0" w:line="110"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16"/>
          <w:szCs w:val="16"/>
          <w:color w:val="auto"/>
        </w:rPr>
        <w:t>Marriott Vacations Worldwide Corporation has established the Marriott Vacations Worldwide Corporation 2020 Equity Incentive Plan, which shall become effective on the Effective Date and shall remain in effect for the period set forth in Article 1.4 hereof. The Plan is amended and restated effective May 15, 2026, subject to approval by the Company’s stockholders.</w:t>
      </w:r>
    </w:p>
    <w:p>
      <w:pPr>
        <w:spacing w:after="0" w:line="105" w:lineRule="exact"/>
        <w:rPr>
          <w:sz w:val="20"/>
          <w:szCs w:val="20"/>
          <w:color w:val="auto"/>
        </w:rPr>
      </w:pPr>
    </w:p>
    <w:p>
      <w:pPr>
        <w:ind w:left="120"/>
        <w:spacing w:after="0"/>
        <w:tabs>
          <w:tab w:leader="none" w:pos="534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003A70"/>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2020 EQUITY INCENTIVE PLAN</w:t>
      </w:r>
    </w:p>
    <w:p>
      <w:pPr>
        <w:jc w:val="center"/>
        <w:ind w:right="-119"/>
        <w:spacing w:after="0"/>
        <w:rPr>
          <w:sz w:val="20"/>
          <w:szCs w:val="20"/>
          <w:color w:val="auto"/>
        </w:rPr>
      </w:pPr>
      <w:r>
        <w:rPr>
          <w:rFonts w:ascii="Arial" w:cs="Arial" w:eastAsia="Arial" w:hAnsi="Arial"/>
          <w:sz w:val="17"/>
          <w:szCs w:val="17"/>
          <w:b w:val="1"/>
          <w:bCs w:val="1"/>
          <w:color w:val="auto"/>
        </w:rPr>
        <w:t>As Amended and Restated Effective May 15, 2026</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1     Establishment, Objectives, and Duration</w:t>
      </w:r>
    </w:p>
    <w:p>
      <w:pPr>
        <w:spacing w:after="0" w:line="123" w:lineRule="exact"/>
        <w:rPr>
          <w:sz w:val="20"/>
          <w:szCs w:val="20"/>
          <w:color w:val="auto"/>
        </w:rPr>
      </w:pPr>
    </w:p>
    <w:p>
      <w:pPr>
        <w:ind w:left="540" w:right="20" w:hanging="431"/>
        <w:spacing w:after="0" w:line="259" w:lineRule="auto"/>
        <w:tabs>
          <w:tab w:leader="none" w:pos="520" w:val="left"/>
        </w:tabs>
        <w:rPr>
          <w:sz w:val="20"/>
          <w:szCs w:val="20"/>
          <w:color w:val="auto"/>
        </w:rPr>
      </w:pPr>
      <w:r>
        <w:rPr>
          <w:rFonts w:ascii="Arial" w:cs="Arial" w:eastAsia="Arial" w:hAnsi="Arial"/>
          <w:sz w:val="16"/>
          <w:szCs w:val="16"/>
          <w:b w:val="1"/>
          <w:bCs w:val="1"/>
          <w:color w:val="auto"/>
        </w:rPr>
        <w:t>1.1</w:t>
        <w:tab/>
        <w:t xml:space="preserve">Establishment of the Plan. </w:t>
      </w:r>
      <w:r>
        <w:rPr>
          <w:rFonts w:ascii="Arial" w:cs="Arial" w:eastAsia="Arial" w:hAnsi="Arial"/>
          <w:sz w:val="16"/>
          <w:szCs w:val="16"/>
          <w:color w:val="auto"/>
        </w:rPr>
        <w:t>Marriott Vacations Worldwide Corporation, a Delaware corporation, hereby establishes an incentive compensation plan</w:t>
      </w:r>
      <w:r>
        <w:rPr>
          <w:rFonts w:ascii="Arial" w:cs="Arial" w:eastAsia="Arial" w:hAnsi="Arial"/>
          <w:sz w:val="16"/>
          <w:szCs w:val="16"/>
          <w:b w:val="1"/>
          <w:bCs w:val="1"/>
          <w:color w:val="auto"/>
        </w:rPr>
        <w:t xml:space="preserve"> </w:t>
      </w:r>
      <w:r>
        <w:rPr>
          <w:rFonts w:ascii="Arial" w:cs="Arial" w:eastAsia="Arial" w:hAnsi="Arial"/>
          <w:sz w:val="16"/>
          <w:szCs w:val="16"/>
          <w:color w:val="auto"/>
        </w:rPr>
        <w:t>to be known as the Marriott Vacations Worldwide Corporation 2020 Equity Incentive Plan, as set forth in this document, as amended and restated effective May 15, 2026 (the “Second Restatement Effective Date”). The Plan was most previously amended and restated effective May 10, 2024 (the “First Restatement Effective Date”).</w:t>
      </w:r>
    </w:p>
    <w:p>
      <w:pPr>
        <w:spacing w:after="0" w:line="83" w:lineRule="exact"/>
        <w:rPr>
          <w:sz w:val="20"/>
          <w:szCs w:val="20"/>
          <w:color w:val="auto"/>
        </w:rPr>
      </w:pPr>
    </w:p>
    <w:p>
      <w:pPr>
        <w:ind w:left="540" w:right="40" w:hanging="431"/>
        <w:spacing w:after="0" w:line="259" w:lineRule="auto"/>
        <w:tabs>
          <w:tab w:leader="none" w:pos="520" w:val="left"/>
        </w:tabs>
        <w:rPr>
          <w:sz w:val="20"/>
          <w:szCs w:val="20"/>
          <w:color w:val="auto"/>
        </w:rPr>
      </w:pPr>
      <w:r>
        <w:rPr>
          <w:rFonts w:ascii="Arial" w:cs="Arial" w:eastAsia="Arial" w:hAnsi="Arial"/>
          <w:sz w:val="16"/>
          <w:szCs w:val="16"/>
          <w:b w:val="1"/>
          <w:bCs w:val="1"/>
          <w:color w:val="auto"/>
        </w:rPr>
        <w:t>1.2</w:t>
        <w:tab/>
        <w:t xml:space="preserve">Purpose of the Plan. </w:t>
      </w:r>
      <w:r>
        <w:rPr>
          <w:rFonts w:ascii="Arial" w:cs="Arial" w:eastAsia="Arial" w:hAnsi="Arial"/>
          <w:sz w:val="16"/>
          <w:szCs w:val="16"/>
          <w:color w:val="auto"/>
        </w:rPr>
        <w:t>The purpose of the Plan is to promote and enhance the long-term growth of the Company by aligning the personal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of Employees and Non-Employee Directors to those of Company stockholders and allowing such Employees and Non-Employee Directors to participate in the growth, development and financial success of the Company. The Plan is further intended to provide flexibility to the Company in its ability to motivate, attract, and retain the services of key individuals.</w:t>
      </w:r>
    </w:p>
    <w:p>
      <w:pPr>
        <w:spacing w:after="0" w:line="83" w:lineRule="exact"/>
        <w:rPr>
          <w:sz w:val="20"/>
          <w:szCs w:val="20"/>
          <w:color w:val="auto"/>
        </w:rPr>
      </w:pPr>
    </w:p>
    <w:p>
      <w:pPr>
        <w:ind w:left="540" w:right="180" w:hanging="431"/>
        <w:spacing w:after="0" w:line="256" w:lineRule="auto"/>
        <w:tabs>
          <w:tab w:leader="none" w:pos="520" w:val="left"/>
        </w:tabs>
        <w:rPr>
          <w:sz w:val="20"/>
          <w:szCs w:val="20"/>
          <w:color w:val="auto"/>
        </w:rPr>
      </w:pPr>
      <w:r>
        <w:rPr>
          <w:rFonts w:ascii="Arial" w:cs="Arial" w:eastAsia="Arial" w:hAnsi="Arial"/>
          <w:sz w:val="16"/>
          <w:szCs w:val="16"/>
          <w:b w:val="1"/>
          <w:bCs w:val="1"/>
          <w:color w:val="auto"/>
        </w:rPr>
        <w:t>1.3</w:t>
        <w:tab/>
        <w:t xml:space="preserve">History. </w:t>
      </w:r>
      <w:r>
        <w:rPr>
          <w:rFonts w:ascii="Arial" w:cs="Arial" w:eastAsia="Arial" w:hAnsi="Arial"/>
          <w:sz w:val="16"/>
          <w:szCs w:val="16"/>
          <w:color w:val="auto"/>
        </w:rPr>
        <w:t>Prior to the Effective Date, the Company had in effect the Marriott Vacations Worldwide Corporation Stock and Cash Incentive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“Prior Marriott Plan”) and the Amended and Restated Interval Leisure Group, Inc. 2013 Stock and Incentive Compensation Plan (together with the Prior Marriott Plan, the “Prior Plans”). Upon stockholder approval of this Plan in 2020, the Prior Plans terminated and no new awards have been granted under the Prior Plans, although awards granted under the Prior Plans and still outstanding will continue to be subject to all terms and conditions of the Prior Plans.</w:t>
      </w:r>
    </w:p>
    <w:p>
      <w:pPr>
        <w:spacing w:after="0" w:line="85" w:lineRule="exact"/>
        <w:rPr>
          <w:sz w:val="20"/>
          <w:szCs w:val="20"/>
          <w:color w:val="auto"/>
        </w:rPr>
      </w:pPr>
    </w:p>
    <w:p>
      <w:pPr>
        <w:jc w:val="center"/>
        <w:ind w:right="60"/>
        <w:spacing w:after="0"/>
        <w:tabs>
          <w:tab w:leader="none" w:pos="180" w:val="left"/>
        </w:tabs>
        <w:rPr>
          <w:sz w:val="20"/>
          <w:szCs w:val="20"/>
          <w:color w:val="auto"/>
        </w:rPr>
      </w:pPr>
      <w:r>
        <w:rPr>
          <w:rFonts w:ascii="Arial" w:cs="Arial" w:eastAsia="Arial" w:hAnsi="Arial"/>
          <w:sz w:val="16"/>
          <w:szCs w:val="16"/>
          <w:b w:val="1"/>
          <w:bCs w:val="1"/>
          <w:color w:val="auto"/>
        </w:rPr>
        <w:t>1.4</w:t>
        <w:tab/>
        <w:t xml:space="preserve">Duration of the Plan. </w:t>
      </w:r>
      <w:r>
        <w:rPr>
          <w:rFonts w:ascii="Arial" w:cs="Arial" w:eastAsia="Arial" w:hAnsi="Arial"/>
          <w:sz w:val="16"/>
          <w:szCs w:val="16"/>
          <w:color w:val="auto"/>
        </w:rPr>
        <w:t>The Plan commenced on the Effective Date. The Plan shall remain in effect, subject to the right of the Board of Directors to</w:t>
      </w:r>
    </w:p>
    <w:p>
      <w:pPr>
        <w:spacing w:after="0" w:line="21" w:lineRule="exact"/>
        <w:rPr>
          <w:sz w:val="20"/>
          <w:szCs w:val="20"/>
          <w:color w:val="auto"/>
        </w:rPr>
      </w:pPr>
    </w:p>
    <w:p>
      <w:pPr>
        <w:ind w:left="540" w:right="360"/>
        <w:spacing w:after="0" w:line="256" w:lineRule="auto"/>
        <w:rPr>
          <w:sz w:val="20"/>
          <w:szCs w:val="20"/>
          <w:color w:val="auto"/>
        </w:rPr>
      </w:pPr>
      <w:r>
        <w:rPr>
          <w:rFonts w:ascii="Arial" w:cs="Arial" w:eastAsia="Arial" w:hAnsi="Arial"/>
          <w:sz w:val="16"/>
          <w:szCs w:val="16"/>
          <w:color w:val="auto"/>
        </w:rPr>
        <w:t>terminate the Plan at any time pursuant to Article 14 hereof, until the earlier of the date all Shares subject to it shall have been purchased or acquired according to the Plan’s provisions or the 10th anniversary of the Second Restatement Effective Date, provided the stockholders of the Company have approved the Plan as restated.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2     Definitions</w:t>
      </w:r>
    </w:p>
    <w:p>
      <w:pPr>
        <w:spacing w:after="0" w:line="110"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Whenever used in the Plan, the following terms shall have the meanings set forth below, and when the meaning is intended, the initial letter of the word shall be capitalized:</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“Annual Meeting” </w:t>
      </w:r>
      <w:r>
        <w:rPr>
          <w:rFonts w:ascii="Arial" w:cs="Arial" w:eastAsia="Arial" w:hAnsi="Arial"/>
          <w:sz w:val="16"/>
          <w:szCs w:val="16"/>
          <w:color w:val="auto"/>
        </w:rPr>
        <w:t>means the annual meeting of the stockholders of the Company at which Directors are elected.</w:t>
      </w:r>
    </w:p>
    <w:p>
      <w:pPr>
        <w:spacing w:after="0" w:line="113" w:lineRule="exact"/>
        <w:rPr>
          <w:sz w:val="20"/>
          <w:szCs w:val="20"/>
          <w:color w:val="auto"/>
        </w:rPr>
      </w:pPr>
    </w:p>
    <w:p>
      <w:pPr>
        <w:jc w:val="both"/>
        <w:ind w:left="120" w:right="60" w:firstLine="551"/>
        <w:spacing w:after="0" w:line="259" w:lineRule="auto"/>
        <w:rPr>
          <w:sz w:val="20"/>
          <w:szCs w:val="20"/>
          <w:color w:val="auto"/>
        </w:rPr>
      </w:pPr>
      <w:r>
        <w:rPr>
          <w:rFonts w:ascii="Arial" w:cs="Arial" w:eastAsia="Arial" w:hAnsi="Arial"/>
          <w:sz w:val="16"/>
          <w:szCs w:val="16"/>
          <w:b w:val="1"/>
          <w:bCs w:val="1"/>
          <w:color w:val="auto"/>
        </w:rPr>
        <w:t>2.2.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“Approved Retiree” </w:t>
      </w:r>
      <w:r>
        <w:rPr>
          <w:rFonts w:ascii="Arial" w:cs="Arial" w:eastAsia="Arial" w:hAnsi="Arial"/>
          <w:sz w:val="16"/>
          <w:szCs w:val="16"/>
          <w:color w:val="auto"/>
        </w:rPr>
        <w:t>means, unless otherwise specified in an Award Agreement, any awardee of an Award who (i) terminates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by reason of a Disability, or (ii) (A) retires from employment with the Company with the specific approval of the Committee on or after such date on which the awardee has attained age fifty-five (55) and completed ten (10) Years of Service, and (B) if so required by the Company, has entered into and has not breached an agreement to refrain from Engaging in Competition in form and substance satisfactory to the Committee.</w:t>
      </w:r>
    </w:p>
    <w:p>
      <w:pPr>
        <w:spacing w:after="0" w:line="70" w:lineRule="exact"/>
        <w:rPr>
          <w:sz w:val="20"/>
          <w:szCs w:val="20"/>
          <w:color w:val="auto"/>
        </w:rPr>
      </w:pPr>
    </w:p>
    <w:p>
      <w:pPr>
        <w:ind w:left="120" w:right="720" w:firstLine="551"/>
        <w:spacing w:after="0" w:line="286" w:lineRule="auto"/>
        <w:rPr>
          <w:sz w:val="20"/>
          <w:szCs w:val="20"/>
          <w:color w:val="auto"/>
        </w:rPr>
      </w:pPr>
      <w:r>
        <w:rPr>
          <w:rFonts w:ascii="Arial" w:cs="Arial" w:eastAsia="Arial" w:hAnsi="Arial"/>
          <w:sz w:val="16"/>
          <w:szCs w:val="16"/>
          <w:b w:val="1"/>
          <w:bCs w:val="1"/>
          <w:color w:val="auto"/>
        </w:rPr>
        <w:t>2.3.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“Award” </w:t>
      </w:r>
      <w:r>
        <w:rPr>
          <w:rFonts w:ascii="Arial" w:cs="Arial" w:eastAsia="Arial" w:hAnsi="Arial"/>
          <w:sz w:val="16"/>
          <w:szCs w:val="16"/>
          <w:color w:val="auto"/>
        </w:rPr>
        <w:t>means, individually or collectively, a grant under this Plan of SARs, Nonqualified Stock Options, Incentive Stock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RSUs, Other Share-Based Awards, Non-Employee Director Share Awards, Stock Units, Director SARs and Director Options.</w:t>
      </w:r>
    </w:p>
    <w:p>
      <w:pPr>
        <w:spacing w:after="0" w:line="48" w:lineRule="exact"/>
        <w:rPr>
          <w:sz w:val="20"/>
          <w:szCs w:val="20"/>
          <w:color w:val="auto"/>
        </w:rPr>
      </w:pPr>
    </w:p>
    <w:p>
      <w:pPr>
        <w:ind w:left="120" w:right="580" w:firstLine="551"/>
        <w:spacing w:after="0" w:line="286" w:lineRule="auto"/>
        <w:rPr>
          <w:sz w:val="20"/>
          <w:szCs w:val="20"/>
          <w:color w:val="auto"/>
        </w:rPr>
      </w:pPr>
      <w:r>
        <w:rPr>
          <w:rFonts w:ascii="Arial" w:cs="Arial" w:eastAsia="Arial" w:hAnsi="Arial"/>
          <w:sz w:val="16"/>
          <w:szCs w:val="16"/>
          <w:b w:val="1"/>
          <w:bCs w:val="1"/>
          <w:color w:val="auto"/>
        </w:rPr>
        <w:t>2.4.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“Award Agreement” </w:t>
      </w:r>
      <w:r>
        <w:rPr>
          <w:rFonts w:ascii="Arial" w:cs="Arial" w:eastAsia="Arial" w:hAnsi="Arial"/>
          <w:sz w:val="16"/>
          <w:szCs w:val="16"/>
          <w:color w:val="auto"/>
        </w:rPr>
        <w:t>means an agreement entered into by the Company and each Participant setting forth the terms and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to an Award granted under this Plan.</w:t>
      </w:r>
    </w:p>
    <w:p>
      <w:pPr>
        <w:spacing w:after="0" w:line="48" w:lineRule="exact"/>
        <w:rPr>
          <w:sz w:val="20"/>
          <w:szCs w:val="20"/>
          <w:color w:val="auto"/>
        </w:rPr>
      </w:pPr>
    </w:p>
    <w:p>
      <w:pPr>
        <w:ind w:left="120" w:right="340" w:firstLine="551"/>
        <w:spacing w:after="0" w:line="286" w:lineRule="auto"/>
        <w:rPr>
          <w:sz w:val="20"/>
          <w:szCs w:val="20"/>
          <w:color w:val="auto"/>
        </w:rPr>
      </w:pPr>
      <w:r>
        <w:rPr>
          <w:rFonts w:ascii="Arial" w:cs="Arial" w:eastAsia="Arial" w:hAnsi="Arial"/>
          <w:sz w:val="16"/>
          <w:szCs w:val="16"/>
          <w:b w:val="1"/>
          <w:bCs w:val="1"/>
          <w:color w:val="auto"/>
        </w:rPr>
        <w:t>2.5.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“Beneficial Owner” or “Beneficial Ownership” </w:t>
      </w:r>
      <w:r>
        <w:rPr>
          <w:rFonts w:ascii="Arial" w:cs="Arial" w:eastAsia="Arial" w:hAnsi="Arial"/>
          <w:sz w:val="16"/>
          <w:szCs w:val="16"/>
          <w:color w:val="auto"/>
        </w:rPr>
        <w:t>shall have the meaning ascribed to such term in Rule 13d-3 of the General Rules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under the Exchange Act.</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“Beneficiary” </w:t>
      </w:r>
      <w:r>
        <w:rPr>
          <w:rFonts w:ascii="Arial" w:cs="Arial" w:eastAsia="Arial" w:hAnsi="Arial"/>
          <w:sz w:val="16"/>
          <w:szCs w:val="16"/>
          <w:color w:val="auto"/>
        </w:rPr>
        <w:t>means the person or persons designated pursuant to Article 11 hereof.</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2.7.</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“Board” or “Board of Directors” </w:t>
      </w:r>
      <w:r>
        <w:rPr>
          <w:rFonts w:ascii="Arial" w:cs="Arial" w:eastAsia="Arial" w:hAnsi="Arial"/>
          <w:sz w:val="16"/>
          <w:szCs w:val="16"/>
          <w:color w:val="auto"/>
        </w:rPr>
        <w:t>means the Board of Directors of the Company.</w:t>
      </w:r>
    </w:p>
    <w:p>
      <w:pPr>
        <w:spacing w:after="0" w:line="113" w:lineRule="exact"/>
        <w:rPr>
          <w:sz w:val="20"/>
          <w:szCs w:val="20"/>
          <w:color w:val="auto"/>
        </w:rPr>
      </w:pPr>
    </w:p>
    <w:p>
      <w:pPr>
        <w:ind w:left="120" w:right="140" w:firstLine="551"/>
        <w:spacing w:after="0" w:line="259" w:lineRule="auto"/>
        <w:rPr>
          <w:sz w:val="20"/>
          <w:szCs w:val="20"/>
          <w:color w:val="auto"/>
        </w:rPr>
      </w:pPr>
      <w:r>
        <w:rPr>
          <w:rFonts w:ascii="Arial" w:cs="Arial" w:eastAsia="Arial" w:hAnsi="Arial"/>
          <w:sz w:val="16"/>
          <w:szCs w:val="16"/>
          <w:b w:val="1"/>
          <w:bCs w:val="1"/>
          <w:color w:val="auto"/>
        </w:rPr>
        <w:t>2.8.</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“Change in Control Price per Share” </w:t>
      </w:r>
      <w:r>
        <w:rPr>
          <w:rFonts w:ascii="Arial" w:cs="Arial" w:eastAsia="Arial" w:hAnsi="Arial"/>
          <w:sz w:val="16"/>
          <w:szCs w:val="16"/>
          <w:color w:val="auto"/>
        </w:rPr>
        <w:t>means (a) in the case of a Change in Control in which consideration is paid to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through a tender offer or otherwise, the price paid per Share to such stockholders as determined by the Committee in its Discretion and (b) in the case of a Change in Control in which consideration is not paid to the general stockholders of the Company, such as a sale of all or substantially all of the Company’s assets, the value of the consideration on a per Share basis as determined by the Committee in its Discretion.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2.9.</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“Code” </w:t>
      </w:r>
      <w:r>
        <w:rPr>
          <w:rFonts w:ascii="Arial" w:cs="Arial" w:eastAsia="Arial" w:hAnsi="Arial"/>
          <w:sz w:val="16"/>
          <w:szCs w:val="16"/>
          <w:color w:val="auto"/>
        </w:rPr>
        <w:t>means the Internal Revenue Code of 1986, as amended from time to time.</w:t>
      </w:r>
    </w:p>
    <w:p>
      <w:pPr>
        <w:spacing w:after="0" w:line="113" w:lineRule="exact"/>
        <w:rPr>
          <w:sz w:val="20"/>
          <w:szCs w:val="20"/>
          <w:color w:val="auto"/>
        </w:rPr>
      </w:pPr>
    </w:p>
    <w:p>
      <w:pPr>
        <w:ind w:left="120" w:right="740" w:firstLine="551"/>
        <w:spacing w:after="0" w:line="286" w:lineRule="auto"/>
        <w:rPr>
          <w:sz w:val="20"/>
          <w:szCs w:val="20"/>
          <w:color w:val="auto"/>
        </w:rPr>
      </w:pPr>
      <w:r>
        <w:rPr>
          <w:rFonts w:ascii="Arial" w:cs="Arial" w:eastAsia="Arial" w:hAnsi="Arial"/>
          <w:sz w:val="16"/>
          <w:szCs w:val="16"/>
          <w:b w:val="1"/>
          <w:bCs w:val="1"/>
          <w:color w:val="auto"/>
        </w:rPr>
        <w:t>2.10.</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“Committee” </w:t>
      </w:r>
      <w:r>
        <w:rPr>
          <w:rFonts w:ascii="Arial" w:cs="Arial" w:eastAsia="Arial" w:hAnsi="Arial"/>
          <w:sz w:val="16"/>
          <w:szCs w:val="16"/>
          <w:color w:val="auto"/>
        </w:rPr>
        <w:t>means the Compensation Policy Committee of the Board, as specified in Article 3 hereof, or such other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by the Board to administer the Plan with respect to grants of Awards.</w:t>
      </w:r>
    </w:p>
    <w:p>
      <w:pPr>
        <w:spacing w:after="0" w:line="48" w:lineRule="exact"/>
        <w:rPr>
          <w:sz w:val="20"/>
          <w:szCs w:val="20"/>
          <w:color w:val="auto"/>
        </w:rPr>
      </w:pPr>
    </w:p>
    <w:p>
      <w:pPr>
        <w:ind w:left="120" w:right="520" w:firstLine="551"/>
        <w:spacing w:after="0" w:line="286" w:lineRule="auto"/>
        <w:rPr>
          <w:sz w:val="20"/>
          <w:szCs w:val="20"/>
          <w:color w:val="auto"/>
        </w:rPr>
      </w:pPr>
      <w:r>
        <w:rPr>
          <w:rFonts w:ascii="Arial" w:cs="Arial" w:eastAsia="Arial" w:hAnsi="Arial"/>
          <w:sz w:val="16"/>
          <w:szCs w:val="16"/>
          <w:b w:val="1"/>
          <w:bCs w:val="1"/>
          <w:color w:val="auto"/>
        </w:rPr>
        <w:t>2.11.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“Company” </w:t>
      </w:r>
      <w:r>
        <w:rPr>
          <w:rFonts w:ascii="Arial" w:cs="Arial" w:eastAsia="Arial" w:hAnsi="Arial"/>
          <w:sz w:val="16"/>
          <w:szCs w:val="16"/>
          <w:color w:val="auto"/>
        </w:rPr>
        <w:t>means Marriott Vacations Worldwide Corporation, together with any and all Subsidiaries, and any successor thereto 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Article 18 hereof.</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2.12.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“Director” </w:t>
      </w:r>
      <w:r>
        <w:rPr>
          <w:rFonts w:ascii="Arial" w:cs="Arial" w:eastAsia="Arial" w:hAnsi="Arial"/>
          <w:sz w:val="16"/>
          <w:szCs w:val="16"/>
          <w:color w:val="auto"/>
        </w:rPr>
        <w:t>means any member of the Board.</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2.13.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“Director SAR” and “Director Option” </w:t>
      </w:r>
      <w:r>
        <w:rPr>
          <w:rFonts w:ascii="Arial" w:cs="Arial" w:eastAsia="Arial" w:hAnsi="Arial"/>
          <w:sz w:val="16"/>
          <w:szCs w:val="16"/>
          <w:color w:val="auto"/>
        </w:rPr>
        <w:t>mean, respectively, a SAR and a Nonqualified Stock Option as described in Article 10 hereof.</w:t>
      </w:r>
    </w:p>
    <w:p>
      <w:pPr>
        <w:spacing w:after="0" w:line="113" w:lineRule="exact"/>
        <w:rPr>
          <w:sz w:val="20"/>
          <w:szCs w:val="20"/>
          <w:color w:val="auto"/>
        </w:rPr>
      </w:pPr>
    </w:p>
    <w:p>
      <w:pPr>
        <w:ind w:left="120" w:right="400" w:firstLine="551"/>
        <w:spacing w:after="0" w:line="266" w:lineRule="auto"/>
        <w:rPr>
          <w:sz w:val="20"/>
          <w:szCs w:val="20"/>
          <w:color w:val="auto"/>
        </w:rPr>
      </w:pPr>
      <w:r>
        <w:rPr>
          <w:rFonts w:ascii="Arial" w:cs="Arial" w:eastAsia="Arial" w:hAnsi="Arial"/>
          <w:sz w:val="16"/>
          <w:szCs w:val="16"/>
          <w:b w:val="1"/>
          <w:bCs w:val="1"/>
          <w:color w:val="auto"/>
        </w:rPr>
        <w:t>2.14.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“Disability” </w:t>
      </w:r>
      <w:r>
        <w:rPr>
          <w:rFonts w:ascii="Arial" w:cs="Arial" w:eastAsia="Arial" w:hAnsi="Arial"/>
          <w:sz w:val="16"/>
          <w:szCs w:val="16"/>
          <w:color w:val="auto"/>
        </w:rPr>
        <w:t>means a permanent and total disability, within the meaning of Code Section 22(e)(3), as determined by the Committee in</w:t>
      </w:r>
      <w:r>
        <w:rPr>
          <w:rFonts w:ascii="Arial" w:cs="Arial" w:eastAsia="Arial" w:hAnsi="Arial"/>
          <w:sz w:val="16"/>
          <w:szCs w:val="16"/>
          <w:b w:val="1"/>
          <w:bCs w:val="1"/>
          <w:color w:val="auto"/>
        </w:rPr>
        <w:t xml:space="preserve"> </w:t>
      </w:r>
      <w:r>
        <w:rPr>
          <w:rFonts w:ascii="Arial" w:cs="Arial" w:eastAsia="Arial" w:hAnsi="Arial"/>
          <w:sz w:val="16"/>
          <w:szCs w:val="16"/>
          <w:color w:val="auto"/>
        </w:rPr>
        <w:t>good faith, upon receipt of sufficient competent medical advice from one or more individuals, selected by or satisfactory to the Committee, who are qualified to give professional medical advice.</w:t>
      </w:r>
    </w:p>
    <w:p>
      <w:pPr>
        <w:spacing w:after="0" w:line="105" w:lineRule="exact"/>
        <w:rPr>
          <w:sz w:val="20"/>
          <w:szCs w:val="20"/>
          <w:color w:val="auto"/>
        </w:rPr>
      </w:pPr>
    </w:p>
    <w:p>
      <w:pPr>
        <w:ind w:left="120"/>
        <w:spacing w:after="0"/>
        <w:tabs>
          <w:tab w:leader="none" w:pos="5340" w:val="left"/>
          <w:tab w:leader="none" w:pos="7820" w:val="left"/>
        </w:tabs>
        <w:rPr>
          <w:sz w:val="20"/>
          <w:szCs w:val="20"/>
          <w:color w:val="auto"/>
        </w:rPr>
      </w:pPr>
      <w:r>
        <w:rPr>
          <w:rFonts w:ascii="Arial" w:cs="Arial" w:eastAsia="Arial" w:hAnsi="Arial"/>
          <w:sz w:val="11"/>
          <w:szCs w:val="11"/>
          <w:b w:val="1"/>
          <w:bCs w:val="1"/>
          <w:color w:val="003A70"/>
        </w:rPr>
        <w:t>B-2</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right="240" w:firstLine="551"/>
        <w:spacing w:after="0" w:line="286" w:lineRule="auto"/>
        <w:rPr>
          <w:sz w:val="20"/>
          <w:szCs w:val="20"/>
          <w:color w:val="auto"/>
        </w:rPr>
      </w:pPr>
      <w:r>
        <w:rPr>
          <w:rFonts w:ascii="Arial" w:cs="Arial" w:eastAsia="Arial" w:hAnsi="Arial"/>
          <w:sz w:val="16"/>
          <w:szCs w:val="16"/>
          <w:b w:val="1"/>
          <w:bCs w:val="1"/>
          <w:color w:val="auto"/>
        </w:rPr>
        <w:t>2.15.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“Discretion” </w:t>
      </w:r>
      <w:r>
        <w:rPr>
          <w:rFonts w:ascii="Arial" w:cs="Arial" w:eastAsia="Arial" w:hAnsi="Arial"/>
          <w:sz w:val="16"/>
          <w:szCs w:val="16"/>
          <w:color w:val="auto"/>
        </w:rPr>
        <w:t>as used in the Plan and any Award Agreement means the sole and complete discretion of the Committee or the Board, as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unless another definition is set forth in an Award Agreement.</w:t>
      </w:r>
    </w:p>
    <w:p>
      <w:pPr>
        <w:spacing w:after="0" w:line="48" w:lineRule="exact"/>
        <w:rPr>
          <w:sz w:val="20"/>
          <w:szCs w:val="20"/>
          <w:color w:val="auto"/>
        </w:rPr>
      </w:pPr>
    </w:p>
    <w:p>
      <w:pPr>
        <w:ind w:left="120" w:right="120" w:firstLine="551"/>
        <w:spacing w:after="0" w:line="286" w:lineRule="auto"/>
        <w:rPr>
          <w:sz w:val="20"/>
          <w:szCs w:val="20"/>
          <w:color w:val="auto"/>
        </w:rPr>
      </w:pPr>
      <w:r>
        <w:rPr>
          <w:rFonts w:ascii="Arial" w:cs="Arial" w:eastAsia="Arial" w:hAnsi="Arial"/>
          <w:sz w:val="16"/>
          <w:szCs w:val="16"/>
          <w:b w:val="1"/>
          <w:bCs w:val="1"/>
          <w:color w:val="auto"/>
        </w:rPr>
        <w:t>2.16.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“Effective Date” </w:t>
      </w:r>
      <w:r>
        <w:rPr>
          <w:rFonts w:ascii="Arial" w:cs="Arial" w:eastAsia="Arial" w:hAnsi="Arial"/>
          <w:sz w:val="16"/>
          <w:szCs w:val="16"/>
          <w:color w:val="auto"/>
        </w:rPr>
        <w:t>means the date of the 2020 Annual Meeting, subject to the approval of the Plan by the Company’s stockholders at such</w:t>
      </w:r>
      <w:r>
        <w:rPr>
          <w:rFonts w:ascii="Arial" w:cs="Arial" w:eastAsia="Arial" w:hAnsi="Arial"/>
          <w:sz w:val="16"/>
          <w:szCs w:val="16"/>
          <w:b w:val="1"/>
          <w:bCs w:val="1"/>
          <w:color w:val="auto"/>
        </w:rPr>
        <w:t xml:space="preserve"> </w:t>
      </w:r>
      <w:r>
        <w:rPr>
          <w:rFonts w:ascii="Arial" w:cs="Arial" w:eastAsia="Arial" w:hAnsi="Arial"/>
          <w:sz w:val="16"/>
          <w:szCs w:val="16"/>
          <w:color w:val="auto"/>
        </w:rPr>
        <w:t>meeting.</w:t>
      </w:r>
    </w:p>
    <w:p>
      <w:pPr>
        <w:spacing w:after="0" w:line="48" w:lineRule="exact"/>
        <w:rPr>
          <w:sz w:val="20"/>
          <w:szCs w:val="20"/>
          <w:color w:val="auto"/>
        </w:rPr>
      </w:pPr>
    </w:p>
    <w:p>
      <w:pPr>
        <w:ind w:left="120" w:right="80" w:firstLine="551"/>
        <w:spacing w:after="0" w:line="259" w:lineRule="auto"/>
        <w:rPr>
          <w:sz w:val="20"/>
          <w:szCs w:val="20"/>
          <w:color w:val="auto"/>
        </w:rPr>
      </w:pPr>
      <w:r>
        <w:rPr>
          <w:rFonts w:ascii="Arial" w:cs="Arial" w:eastAsia="Arial" w:hAnsi="Arial"/>
          <w:sz w:val="16"/>
          <w:szCs w:val="16"/>
          <w:b w:val="1"/>
          <w:bCs w:val="1"/>
          <w:color w:val="auto"/>
        </w:rPr>
        <w:t>2.17.</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“Employee” </w:t>
      </w:r>
      <w:r>
        <w:rPr>
          <w:rFonts w:ascii="Arial" w:cs="Arial" w:eastAsia="Arial" w:hAnsi="Arial"/>
          <w:sz w:val="16"/>
          <w:szCs w:val="16"/>
          <w:color w:val="auto"/>
        </w:rPr>
        <w:t>means any individual who is, or will become, an active, non-union employee of the Company. Any Employee who, 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of the Company, and on the written assignment of the Company specifically referencing this provision of the Plan, becomes an employee of another employer shall continue to be treated as an Employee for all purposes hereunder during the period of such assignment. Non-Employee Directors shall not be considered Employees under this Plan.</w:t>
      </w:r>
    </w:p>
    <w:p>
      <w:pPr>
        <w:spacing w:after="0" w:line="70" w:lineRule="exact"/>
        <w:rPr>
          <w:sz w:val="20"/>
          <w:szCs w:val="20"/>
          <w:color w:val="auto"/>
        </w:rPr>
      </w:pPr>
    </w:p>
    <w:p>
      <w:pPr>
        <w:ind w:left="120" w:right="60" w:firstLine="551"/>
        <w:spacing w:after="0" w:line="256" w:lineRule="auto"/>
        <w:rPr>
          <w:sz w:val="20"/>
          <w:szCs w:val="20"/>
          <w:color w:val="auto"/>
        </w:rPr>
      </w:pPr>
      <w:r>
        <w:rPr>
          <w:rFonts w:ascii="Arial" w:cs="Arial" w:eastAsia="Arial" w:hAnsi="Arial"/>
          <w:sz w:val="16"/>
          <w:szCs w:val="16"/>
          <w:b w:val="1"/>
          <w:bCs w:val="1"/>
          <w:color w:val="auto"/>
        </w:rPr>
        <w:t>2.18.</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“Engaging in Competition” </w:t>
      </w:r>
      <w:r>
        <w:rPr>
          <w:rFonts w:ascii="Arial" w:cs="Arial" w:eastAsia="Arial" w:hAnsi="Arial"/>
          <w:sz w:val="16"/>
          <w:szCs w:val="16"/>
          <w:color w:val="auto"/>
        </w:rPr>
        <w:t>means, except as prohibited by applicable law, (a) engaging, individually or as an employee, consultant,</w:t>
      </w:r>
      <w:r>
        <w:rPr>
          <w:rFonts w:ascii="Arial" w:cs="Arial" w:eastAsia="Arial" w:hAnsi="Arial"/>
          <w:sz w:val="16"/>
          <w:szCs w:val="16"/>
          <w:b w:val="1"/>
          <w:bCs w:val="1"/>
          <w:color w:val="auto"/>
        </w:rPr>
        <w:t xml:space="preserve"> </w:t>
      </w:r>
      <w:r>
        <w:rPr>
          <w:rFonts w:ascii="Arial" w:cs="Arial" w:eastAsia="Arial" w:hAnsi="Arial"/>
          <w:sz w:val="16"/>
          <w:szCs w:val="16"/>
          <w:color w:val="auto"/>
        </w:rPr>
        <w:t>owner (more than five percent (5%)) or agent of any entity, in or on behalf of any business engaged in significant competition (or that transacts or cooperates with another business in activities of significant competition) with any business operated by the Company or with interests adverse to those of the Company; (b) soliciting and hiring a key employee of the Company in another business, whether or not in significant competition with any business operated by the Company; or (c) using or disclosing confidential or proprietary information, in each case, without the approval of the Company.</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2.19.</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“Exchange Act” </w:t>
      </w:r>
      <w:r>
        <w:rPr>
          <w:rFonts w:ascii="Arial" w:cs="Arial" w:eastAsia="Arial" w:hAnsi="Arial"/>
          <w:sz w:val="16"/>
          <w:szCs w:val="16"/>
          <w:color w:val="auto"/>
        </w:rPr>
        <w:t>means the Securities Exchange Act of 1934, as amended from time to time, or any successor act thereto.</w:t>
      </w:r>
    </w:p>
    <w:p>
      <w:pPr>
        <w:spacing w:after="0" w:line="113" w:lineRule="exact"/>
        <w:rPr>
          <w:sz w:val="20"/>
          <w:szCs w:val="20"/>
          <w:color w:val="auto"/>
        </w:rPr>
      </w:pPr>
    </w:p>
    <w:p>
      <w:pPr>
        <w:ind w:left="120" w:right="20" w:firstLine="551"/>
        <w:spacing w:after="0" w:line="286" w:lineRule="auto"/>
        <w:rPr>
          <w:sz w:val="20"/>
          <w:szCs w:val="20"/>
          <w:color w:val="auto"/>
        </w:rPr>
      </w:pPr>
      <w:r>
        <w:rPr>
          <w:rFonts w:ascii="Arial" w:cs="Arial" w:eastAsia="Arial" w:hAnsi="Arial"/>
          <w:sz w:val="16"/>
          <w:szCs w:val="16"/>
          <w:b w:val="1"/>
          <w:bCs w:val="1"/>
          <w:color w:val="auto"/>
        </w:rPr>
        <w:t>2.20.</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“Exercise Price” </w:t>
      </w:r>
      <w:r>
        <w:rPr>
          <w:rFonts w:ascii="Arial" w:cs="Arial" w:eastAsia="Arial" w:hAnsi="Arial"/>
          <w:sz w:val="16"/>
          <w:szCs w:val="16"/>
          <w:color w:val="auto"/>
        </w:rPr>
        <w:t>means the price at which a Share may be purchased by a Participant pursuant to an Option or the base price from which</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in Shares is measured under a SAR.</w:t>
      </w:r>
    </w:p>
    <w:p>
      <w:pPr>
        <w:spacing w:after="0" w:line="48" w:lineRule="exact"/>
        <w:rPr>
          <w:sz w:val="20"/>
          <w:szCs w:val="20"/>
          <w:color w:val="auto"/>
        </w:rPr>
      </w:pPr>
    </w:p>
    <w:p>
      <w:pPr>
        <w:ind w:left="120" w:right="20" w:firstLine="551"/>
        <w:spacing w:after="0" w:line="252" w:lineRule="auto"/>
        <w:rPr>
          <w:sz w:val="20"/>
          <w:szCs w:val="20"/>
          <w:color w:val="auto"/>
        </w:rPr>
      </w:pPr>
      <w:r>
        <w:rPr>
          <w:rFonts w:ascii="Arial" w:cs="Arial" w:eastAsia="Arial" w:hAnsi="Arial"/>
          <w:sz w:val="16"/>
          <w:szCs w:val="16"/>
          <w:b w:val="1"/>
          <w:bCs w:val="1"/>
          <w:color w:val="auto"/>
        </w:rPr>
        <w:t>2.21.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“Fair Market Value” </w:t>
      </w:r>
      <w:r>
        <w:rPr>
          <w:rFonts w:ascii="Arial" w:cs="Arial" w:eastAsia="Arial" w:hAnsi="Arial"/>
          <w:sz w:val="16"/>
          <w:szCs w:val="16"/>
          <w:color w:val="auto"/>
        </w:rPr>
        <w:t>means the average of the highest and lowest quoted selling prices for the Shares on the relevant date, or (if there</w:t>
      </w:r>
      <w:r>
        <w:rPr>
          <w:rFonts w:ascii="Arial" w:cs="Arial" w:eastAsia="Arial" w:hAnsi="Arial"/>
          <w:sz w:val="16"/>
          <w:szCs w:val="16"/>
          <w:b w:val="1"/>
          <w:bCs w:val="1"/>
          <w:color w:val="auto"/>
        </w:rPr>
        <w:t xml:space="preserve"> </w:t>
      </w:r>
      <w:r>
        <w:rPr>
          <w:rFonts w:ascii="Arial" w:cs="Arial" w:eastAsia="Arial" w:hAnsi="Arial"/>
          <w:sz w:val="16"/>
          <w:szCs w:val="16"/>
          <w:color w:val="auto"/>
        </w:rPr>
        <w:t>were no sales on such date) the average so computed on the nearest day before or the nearest day after the relevant date, as reported in The Wall Street Journal or a similar publication selected by the Committee. Notwithstanding the foregoing, the Committee may use any alternative definition of Fair Market Value that it determines should be used in connection with the grant, exercise, vesting, settlement, payment or taxation of any Award. Such alternative definition may include a price that is based on the opening, high, low, closing or average sale prices of the Shares on the applicable stock exchange on the given date, the trading day preceding the given date, the trading day next succeeding the given date, or over an average of trading days, or if the Shares are not listed on any national securities exchange, such other definition as determined by the Committee. Further, if an actual sale of a Share occurs on the market, then the Committee may consider the sale price to be the Fair Market Value of such Share.</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2.22.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“Fee Deferral Election” </w:t>
      </w:r>
      <w:r>
        <w:rPr>
          <w:rFonts w:ascii="Arial" w:cs="Arial" w:eastAsia="Arial" w:hAnsi="Arial"/>
          <w:sz w:val="16"/>
          <w:szCs w:val="16"/>
          <w:color w:val="auto"/>
        </w:rPr>
        <w:t>means an election made by a Non-Employee Director to defer the receipt of Fees, as described in Article 10.3</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hereof.</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2.23.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“Fees” </w:t>
      </w:r>
      <w:r>
        <w:rPr>
          <w:rFonts w:ascii="Arial" w:cs="Arial" w:eastAsia="Arial" w:hAnsi="Arial"/>
          <w:sz w:val="16"/>
          <w:szCs w:val="16"/>
          <w:color w:val="auto"/>
        </w:rPr>
        <w:t>means all or part of any retainer and/or fees payable to a Non-Employee Director in his or her capacity as such.</w:t>
      </w:r>
    </w:p>
    <w:p>
      <w:pPr>
        <w:spacing w:after="0" w:line="113" w:lineRule="exact"/>
        <w:rPr>
          <w:sz w:val="20"/>
          <w:szCs w:val="20"/>
          <w:color w:val="auto"/>
        </w:rPr>
      </w:pPr>
    </w:p>
    <w:p>
      <w:pPr>
        <w:ind w:left="120" w:right="520" w:firstLine="551"/>
        <w:spacing w:after="0" w:line="286" w:lineRule="auto"/>
        <w:rPr>
          <w:sz w:val="20"/>
          <w:szCs w:val="20"/>
          <w:color w:val="auto"/>
        </w:rPr>
      </w:pPr>
      <w:r>
        <w:rPr>
          <w:rFonts w:ascii="Arial" w:cs="Arial" w:eastAsia="Arial" w:hAnsi="Arial"/>
          <w:sz w:val="16"/>
          <w:szCs w:val="16"/>
          <w:b w:val="1"/>
          <w:bCs w:val="1"/>
          <w:color w:val="auto"/>
        </w:rPr>
        <w:t>2.24.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“Incentive Stock Option” or “ISO” </w:t>
      </w:r>
      <w:r>
        <w:rPr>
          <w:rFonts w:ascii="Arial" w:cs="Arial" w:eastAsia="Arial" w:hAnsi="Arial"/>
          <w:sz w:val="16"/>
          <w:szCs w:val="16"/>
          <w:color w:val="auto"/>
        </w:rPr>
        <w:t>means an option to purchase Shares granted under Article 6 hereof, which is designated as an</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Stock Option and which is intended to meet the requirements of Code Section 422.</w:t>
      </w:r>
    </w:p>
    <w:p>
      <w:pPr>
        <w:spacing w:after="0" w:line="48" w:lineRule="exact"/>
        <w:rPr>
          <w:sz w:val="20"/>
          <w:szCs w:val="20"/>
          <w:color w:val="auto"/>
        </w:rPr>
      </w:pPr>
    </w:p>
    <w:p>
      <w:pPr>
        <w:ind w:left="120" w:right="220" w:firstLine="551"/>
        <w:spacing w:after="0" w:line="266" w:lineRule="auto"/>
        <w:rPr>
          <w:sz w:val="20"/>
          <w:szCs w:val="20"/>
          <w:color w:val="auto"/>
        </w:rPr>
      </w:pPr>
      <w:r>
        <w:rPr>
          <w:rFonts w:ascii="Arial" w:cs="Arial" w:eastAsia="Arial" w:hAnsi="Arial"/>
          <w:sz w:val="16"/>
          <w:szCs w:val="16"/>
          <w:b w:val="1"/>
          <w:bCs w:val="1"/>
          <w:color w:val="auto"/>
        </w:rPr>
        <w:t>2.25.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“Insider” </w:t>
      </w:r>
      <w:r>
        <w:rPr>
          <w:rFonts w:ascii="Arial" w:cs="Arial" w:eastAsia="Arial" w:hAnsi="Arial"/>
          <w:sz w:val="16"/>
          <w:szCs w:val="16"/>
          <w:color w:val="auto"/>
        </w:rPr>
        <w:t>means an individual who is, on the relevant date, an officer, Director or more than ten percent (10%) beneficial owner of any</w:t>
      </w:r>
      <w:r>
        <w:rPr>
          <w:rFonts w:ascii="Arial" w:cs="Arial" w:eastAsia="Arial" w:hAnsi="Arial"/>
          <w:sz w:val="16"/>
          <w:szCs w:val="16"/>
          <w:b w:val="1"/>
          <w:bCs w:val="1"/>
          <w:color w:val="auto"/>
        </w:rPr>
        <w:t xml:space="preserve"> </w:t>
      </w:r>
      <w:r>
        <w:rPr>
          <w:rFonts w:ascii="Arial" w:cs="Arial" w:eastAsia="Arial" w:hAnsi="Arial"/>
          <w:sz w:val="16"/>
          <w:szCs w:val="16"/>
          <w:color w:val="auto"/>
        </w:rPr>
        <w:t>class of the Company’s equity securities that is registered pursuant to Section 12 of the Exchange Act, all as defined under Section 16 of the Exchange Act.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2.26.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“Non-Employee Director” </w:t>
      </w:r>
      <w:r>
        <w:rPr>
          <w:rFonts w:ascii="Arial" w:cs="Arial" w:eastAsia="Arial" w:hAnsi="Arial"/>
          <w:sz w:val="16"/>
          <w:szCs w:val="16"/>
          <w:color w:val="auto"/>
        </w:rPr>
        <w:t>means a Director who is not an Employee of the Company.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2.27.</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“Non-Employee Director Share Award” </w:t>
      </w:r>
      <w:r>
        <w:rPr>
          <w:rFonts w:ascii="Arial" w:cs="Arial" w:eastAsia="Arial" w:hAnsi="Arial"/>
          <w:sz w:val="16"/>
          <w:szCs w:val="16"/>
          <w:color w:val="auto"/>
        </w:rPr>
        <w:t>shall mean an award of Shares to a Non-Employee Director, as described in Article 10.2 hereof.</w:t>
      </w:r>
    </w:p>
    <w:p>
      <w:pPr>
        <w:spacing w:after="0" w:line="113" w:lineRule="exact"/>
        <w:rPr>
          <w:sz w:val="20"/>
          <w:szCs w:val="20"/>
          <w:color w:val="auto"/>
        </w:rPr>
      </w:pPr>
    </w:p>
    <w:p>
      <w:pPr>
        <w:ind w:left="120" w:right="120" w:firstLine="551"/>
        <w:spacing w:after="0" w:line="286" w:lineRule="auto"/>
        <w:rPr>
          <w:sz w:val="20"/>
          <w:szCs w:val="20"/>
          <w:color w:val="auto"/>
        </w:rPr>
      </w:pPr>
      <w:r>
        <w:rPr>
          <w:rFonts w:ascii="Arial" w:cs="Arial" w:eastAsia="Arial" w:hAnsi="Arial"/>
          <w:sz w:val="16"/>
          <w:szCs w:val="16"/>
          <w:b w:val="1"/>
          <w:bCs w:val="1"/>
          <w:color w:val="auto"/>
        </w:rPr>
        <w:t>2.28.</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“Nonqualified Stock Option” or “NQSO” </w:t>
      </w:r>
      <w:r>
        <w:rPr>
          <w:rFonts w:ascii="Arial" w:cs="Arial" w:eastAsia="Arial" w:hAnsi="Arial"/>
          <w:sz w:val="16"/>
          <w:szCs w:val="16"/>
          <w:color w:val="auto"/>
        </w:rPr>
        <w:t>means an option to purchase Shares granted under Article 6 hereof and which is not intended</w:t>
      </w:r>
      <w:r>
        <w:rPr>
          <w:rFonts w:ascii="Arial" w:cs="Arial" w:eastAsia="Arial" w:hAnsi="Arial"/>
          <w:sz w:val="16"/>
          <w:szCs w:val="16"/>
          <w:b w:val="1"/>
          <w:bCs w:val="1"/>
          <w:color w:val="auto"/>
        </w:rPr>
        <w:t xml:space="preserve"> </w:t>
      </w:r>
      <w:r>
        <w:rPr>
          <w:rFonts w:ascii="Arial" w:cs="Arial" w:eastAsia="Arial" w:hAnsi="Arial"/>
          <w:sz w:val="16"/>
          <w:szCs w:val="16"/>
          <w:color w:val="auto"/>
        </w:rPr>
        <w:t>to meet the requirements of Code Section 422.</w:t>
      </w:r>
    </w:p>
    <w:p>
      <w:pPr>
        <w:spacing w:after="0" w:line="48" w:lineRule="exact"/>
        <w:rPr>
          <w:sz w:val="20"/>
          <w:szCs w:val="20"/>
          <w:color w:val="auto"/>
        </w:rPr>
      </w:pPr>
    </w:p>
    <w:p>
      <w:pPr>
        <w:ind w:left="120" w:right="560" w:firstLine="551"/>
        <w:spacing w:after="0" w:line="286" w:lineRule="auto"/>
        <w:rPr>
          <w:sz w:val="20"/>
          <w:szCs w:val="20"/>
          <w:color w:val="auto"/>
        </w:rPr>
      </w:pPr>
      <w:r>
        <w:rPr>
          <w:rFonts w:ascii="Arial" w:cs="Arial" w:eastAsia="Arial" w:hAnsi="Arial"/>
          <w:sz w:val="16"/>
          <w:szCs w:val="16"/>
          <w:b w:val="1"/>
          <w:bCs w:val="1"/>
          <w:color w:val="auto"/>
        </w:rPr>
        <w:t>2.29.</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“Option” </w:t>
      </w:r>
      <w:r>
        <w:rPr>
          <w:rFonts w:ascii="Arial" w:cs="Arial" w:eastAsia="Arial" w:hAnsi="Arial"/>
          <w:sz w:val="16"/>
          <w:szCs w:val="16"/>
          <w:color w:val="auto"/>
        </w:rPr>
        <w:t>means an Incentive Stock Option or a Nonqualified Stock Option, as described in Article 6 hereof, or a Director Option as</w:t>
      </w:r>
      <w:r>
        <w:rPr>
          <w:rFonts w:ascii="Arial" w:cs="Arial" w:eastAsia="Arial" w:hAnsi="Arial"/>
          <w:sz w:val="16"/>
          <w:szCs w:val="16"/>
          <w:b w:val="1"/>
          <w:bCs w:val="1"/>
          <w:color w:val="auto"/>
        </w:rPr>
        <w:t xml:space="preserve"> </w:t>
      </w:r>
      <w:r>
        <w:rPr>
          <w:rFonts w:ascii="Arial" w:cs="Arial" w:eastAsia="Arial" w:hAnsi="Arial"/>
          <w:sz w:val="16"/>
          <w:szCs w:val="16"/>
          <w:color w:val="auto"/>
        </w:rPr>
        <w:t>described in Article 10 hereof.</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2.30.</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“Other Share-Based Award” </w:t>
      </w:r>
      <w:r>
        <w:rPr>
          <w:rFonts w:ascii="Arial" w:cs="Arial" w:eastAsia="Arial" w:hAnsi="Arial"/>
          <w:sz w:val="16"/>
          <w:szCs w:val="16"/>
          <w:color w:val="auto"/>
        </w:rPr>
        <w:t>means an Other Share-Based Award, as described in Article 9 hereof.</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2.31.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“Participant” </w:t>
      </w:r>
      <w:r>
        <w:rPr>
          <w:rFonts w:ascii="Arial" w:cs="Arial" w:eastAsia="Arial" w:hAnsi="Arial"/>
          <w:sz w:val="16"/>
          <w:szCs w:val="16"/>
          <w:color w:val="auto"/>
        </w:rPr>
        <w:t>means an individual who has an outstanding Award granted under the Plan.</w:t>
      </w:r>
    </w:p>
    <w:p>
      <w:pPr>
        <w:spacing w:after="0" w:line="113" w:lineRule="exact"/>
        <w:rPr>
          <w:sz w:val="20"/>
          <w:szCs w:val="20"/>
          <w:color w:val="auto"/>
        </w:rPr>
      </w:pPr>
    </w:p>
    <w:p>
      <w:pPr>
        <w:ind w:left="120" w:right="160" w:firstLine="551"/>
        <w:spacing w:after="0" w:line="266" w:lineRule="auto"/>
        <w:rPr>
          <w:sz w:val="20"/>
          <w:szCs w:val="20"/>
          <w:color w:val="auto"/>
        </w:rPr>
      </w:pPr>
      <w:r>
        <w:rPr>
          <w:rFonts w:ascii="Arial" w:cs="Arial" w:eastAsia="Arial" w:hAnsi="Arial"/>
          <w:sz w:val="16"/>
          <w:szCs w:val="16"/>
          <w:b w:val="1"/>
          <w:bCs w:val="1"/>
          <w:color w:val="auto"/>
        </w:rPr>
        <w:t>2.32.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“Period of Restriction” </w:t>
      </w:r>
      <w:r>
        <w:rPr>
          <w:rFonts w:ascii="Arial" w:cs="Arial" w:eastAsia="Arial" w:hAnsi="Arial"/>
          <w:sz w:val="16"/>
          <w:szCs w:val="16"/>
          <w:color w:val="auto"/>
        </w:rPr>
        <w:t>means the period during which the transfer of Shares of Restricted Stock is limited in some way (based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passage of time, the achievement of performance objectives, or upon the occurrence of other events as determined by the Committee, in its Discretion), and the Shares are subject to a substantial risk of forfeiture, as provided in Article 7 hereof.</w:t>
      </w:r>
    </w:p>
    <w:p>
      <w:pPr>
        <w:spacing w:after="0" w:line="63" w:lineRule="exact"/>
        <w:rPr>
          <w:sz w:val="20"/>
          <w:szCs w:val="20"/>
          <w:color w:val="auto"/>
        </w:rPr>
      </w:pPr>
    </w:p>
    <w:p>
      <w:pPr>
        <w:ind w:left="120" w:right="440" w:firstLine="551"/>
        <w:spacing w:after="0" w:line="286" w:lineRule="auto"/>
        <w:rPr>
          <w:sz w:val="20"/>
          <w:szCs w:val="20"/>
          <w:color w:val="auto"/>
        </w:rPr>
      </w:pPr>
      <w:r>
        <w:rPr>
          <w:rFonts w:ascii="Arial" w:cs="Arial" w:eastAsia="Arial" w:hAnsi="Arial"/>
          <w:sz w:val="16"/>
          <w:szCs w:val="16"/>
          <w:b w:val="1"/>
          <w:bCs w:val="1"/>
          <w:color w:val="auto"/>
        </w:rPr>
        <w:t>2.33.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“Person” </w:t>
      </w:r>
      <w:r>
        <w:rPr>
          <w:rFonts w:ascii="Arial" w:cs="Arial" w:eastAsia="Arial" w:hAnsi="Arial"/>
          <w:sz w:val="16"/>
          <w:szCs w:val="16"/>
          <w:color w:val="auto"/>
        </w:rPr>
        <w:t>shall have the meaning ascribed to such term in Section 3(a)(9) of the Exchange Act and used in Sections 13(d) and 14(d)</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including a “group” as defined in Section 13(d) thereof.</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2.34.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“Plan” </w:t>
      </w:r>
      <w:r>
        <w:rPr>
          <w:rFonts w:ascii="Arial" w:cs="Arial" w:eastAsia="Arial" w:hAnsi="Arial"/>
          <w:sz w:val="16"/>
          <w:szCs w:val="16"/>
          <w:color w:val="auto"/>
        </w:rPr>
        <w:t>means this Marriott Vacations Worldwide Corporation 2020 Equity Incentive Plan.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2.35.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“Restricted Stock” </w:t>
      </w:r>
      <w:r>
        <w:rPr>
          <w:rFonts w:ascii="Arial" w:cs="Arial" w:eastAsia="Arial" w:hAnsi="Arial"/>
          <w:sz w:val="16"/>
          <w:szCs w:val="16"/>
          <w:color w:val="auto"/>
        </w:rPr>
        <w:t>means an Award of Shares granted to a Participant pursuant to Article 7 hereof.</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2.36.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“RSU” </w:t>
      </w:r>
      <w:r>
        <w:rPr>
          <w:rFonts w:ascii="Arial" w:cs="Arial" w:eastAsia="Arial" w:hAnsi="Arial"/>
          <w:sz w:val="16"/>
          <w:szCs w:val="16"/>
          <w:color w:val="auto"/>
        </w:rPr>
        <w:t>means a restricted stock unit Award granted to a Participant pursuant to Article 8 hereof.</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2.37.</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“Shares” </w:t>
      </w:r>
      <w:r>
        <w:rPr>
          <w:rFonts w:ascii="Arial" w:cs="Arial" w:eastAsia="Arial" w:hAnsi="Arial"/>
          <w:sz w:val="16"/>
          <w:szCs w:val="16"/>
          <w:color w:val="auto"/>
        </w:rPr>
        <w:t>means shares of common stock of the Company or of any successor company adopting this Plan.</w:t>
      </w:r>
    </w:p>
    <w:p>
      <w:pPr>
        <w:spacing w:after="0" w:line="154" w:lineRule="exact"/>
        <w:rPr>
          <w:sz w:val="20"/>
          <w:szCs w:val="20"/>
          <w:color w:val="auto"/>
        </w:rPr>
      </w:pPr>
    </w:p>
    <w:p>
      <w:pPr>
        <w:ind w:left="120"/>
        <w:spacing w:after="0"/>
        <w:tabs>
          <w:tab w:leader="none" w:pos="534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003A70"/>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8" w:lineRule="exact"/>
        <w:rPr>
          <w:sz w:val="20"/>
          <w:szCs w:val="20"/>
          <w:color w:val="auto"/>
        </w:rPr>
      </w:pPr>
    </w:p>
    <w:p>
      <w:pPr>
        <w:ind w:left="120" w:right="220" w:firstLine="551"/>
        <w:spacing w:after="0" w:line="286" w:lineRule="auto"/>
        <w:rPr>
          <w:sz w:val="20"/>
          <w:szCs w:val="20"/>
          <w:color w:val="auto"/>
        </w:rPr>
      </w:pPr>
      <w:r>
        <w:rPr>
          <w:rFonts w:ascii="Arial" w:cs="Arial" w:eastAsia="Arial" w:hAnsi="Arial"/>
          <w:sz w:val="16"/>
          <w:szCs w:val="16"/>
          <w:b w:val="1"/>
          <w:bCs w:val="1"/>
          <w:color w:val="auto"/>
        </w:rPr>
        <w:t>2.38.</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“SAR” </w:t>
      </w:r>
      <w:r>
        <w:rPr>
          <w:rFonts w:ascii="Arial" w:cs="Arial" w:eastAsia="Arial" w:hAnsi="Arial"/>
          <w:sz w:val="16"/>
          <w:szCs w:val="16"/>
          <w:color w:val="auto"/>
        </w:rPr>
        <w:t>means a stock appreciation right as described in Article 6 hereof, or a Director SAR as described in Article 10 hereof,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be settled in Shares or cash as provided in the pertinent Award Agreement.</w:t>
      </w:r>
    </w:p>
    <w:p>
      <w:pPr>
        <w:spacing w:after="0" w:line="48" w:lineRule="exact"/>
        <w:rPr>
          <w:sz w:val="20"/>
          <w:szCs w:val="20"/>
          <w:color w:val="auto"/>
        </w:rPr>
      </w:pPr>
    </w:p>
    <w:p>
      <w:pPr>
        <w:ind w:left="120" w:right="420" w:firstLine="551"/>
        <w:spacing w:after="0" w:line="286" w:lineRule="auto"/>
        <w:rPr>
          <w:sz w:val="20"/>
          <w:szCs w:val="20"/>
          <w:color w:val="auto"/>
        </w:rPr>
      </w:pPr>
      <w:r>
        <w:rPr>
          <w:rFonts w:ascii="Arial" w:cs="Arial" w:eastAsia="Arial" w:hAnsi="Arial"/>
          <w:sz w:val="16"/>
          <w:szCs w:val="16"/>
          <w:b w:val="1"/>
          <w:bCs w:val="1"/>
          <w:color w:val="auto"/>
        </w:rPr>
        <w:t>2.39.</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“Stock Units” </w:t>
      </w:r>
      <w:r>
        <w:rPr>
          <w:rFonts w:ascii="Arial" w:cs="Arial" w:eastAsia="Arial" w:hAnsi="Arial"/>
          <w:sz w:val="16"/>
          <w:szCs w:val="16"/>
          <w:color w:val="auto"/>
        </w:rPr>
        <w:t>means the credits to a Non-Employee Director’s Stock Unit Account, each of which represents the right to receive one</w:t>
      </w:r>
      <w:r>
        <w:rPr>
          <w:rFonts w:ascii="Arial" w:cs="Arial" w:eastAsia="Arial" w:hAnsi="Arial"/>
          <w:sz w:val="16"/>
          <w:szCs w:val="16"/>
          <w:b w:val="1"/>
          <w:bCs w:val="1"/>
          <w:color w:val="auto"/>
        </w:rPr>
        <w:t xml:space="preserve"> </w:t>
      </w:r>
      <w:r>
        <w:rPr>
          <w:rFonts w:ascii="Arial" w:cs="Arial" w:eastAsia="Arial" w:hAnsi="Arial"/>
          <w:sz w:val="16"/>
          <w:szCs w:val="16"/>
          <w:color w:val="auto"/>
        </w:rPr>
        <w:t>Share upon settlement of the Stock Unit Account.</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2.40.</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“Stock Unit Account” </w:t>
      </w:r>
      <w:r>
        <w:rPr>
          <w:rFonts w:ascii="Arial" w:cs="Arial" w:eastAsia="Arial" w:hAnsi="Arial"/>
          <w:sz w:val="16"/>
          <w:szCs w:val="16"/>
          <w:color w:val="auto"/>
        </w:rPr>
        <w:t>means the bookkeeping account established by the Company pursuant to Article 10.3.</w:t>
      </w:r>
    </w:p>
    <w:p>
      <w:pPr>
        <w:spacing w:after="0" w:line="113" w:lineRule="exact"/>
        <w:rPr>
          <w:sz w:val="20"/>
          <w:szCs w:val="20"/>
          <w:color w:val="auto"/>
        </w:rPr>
      </w:pPr>
    </w:p>
    <w:p>
      <w:pPr>
        <w:ind w:left="120" w:right="300" w:firstLine="551"/>
        <w:spacing w:after="0" w:line="266" w:lineRule="auto"/>
        <w:rPr>
          <w:sz w:val="20"/>
          <w:szCs w:val="20"/>
          <w:color w:val="auto"/>
        </w:rPr>
      </w:pPr>
      <w:r>
        <w:rPr>
          <w:rFonts w:ascii="Arial" w:cs="Arial" w:eastAsia="Arial" w:hAnsi="Arial"/>
          <w:sz w:val="16"/>
          <w:szCs w:val="16"/>
          <w:b w:val="1"/>
          <w:bCs w:val="1"/>
          <w:color w:val="auto"/>
        </w:rPr>
        <w:t>2.41.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“Subsidiary” </w:t>
      </w:r>
      <w:r>
        <w:rPr>
          <w:rFonts w:ascii="Arial" w:cs="Arial" w:eastAsia="Arial" w:hAnsi="Arial"/>
          <w:sz w:val="16"/>
          <w:szCs w:val="16"/>
          <w:color w:val="auto"/>
        </w:rPr>
        <w:t>means any corporation, partnership, joint venture, trust or other entity in which the Company has a controlling interest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Treasury Regulation Section 1.414(c)-2(b)(2), except that the threshold interest shall be “more than fifty percent (50%)” instead of “at least eighty percent (80%).”</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2.42.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“Termination of Service” </w:t>
      </w:r>
      <w:r>
        <w:rPr>
          <w:rFonts w:ascii="Arial" w:cs="Arial" w:eastAsia="Arial" w:hAnsi="Arial"/>
          <w:sz w:val="16"/>
          <w:szCs w:val="16"/>
          <w:color w:val="auto"/>
        </w:rPr>
        <w:t>means termination of service as a Non-Employee Director in any of the following circumstances: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Where the Non-Employee Director voluntarily resigns or retires;</w:t>
      </w:r>
    </w:p>
    <w:p>
      <w:pPr>
        <w:spacing w:after="0" w:line="113" w:lineRule="exact"/>
        <w:rPr>
          <w:sz w:val="20"/>
          <w:szCs w:val="20"/>
          <w:color w:val="auto"/>
        </w:rPr>
      </w:pPr>
    </w:p>
    <w:p>
      <w:pPr>
        <w:ind w:left="120" w:right="280" w:firstLine="551"/>
        <w:spacing w:after="0" w:line="286" w:lineRule="auto"/>
        <w:rPr>
          <w:sz w:val="20"/>
          <w:szCs w:val="20"/>
          <w:color w:val="auto"/>
        </w:rPr>
      </w:pPr>
      <w:r>
        <w:rPr>
          <w:rFonts w:ascii="Arial" w:cs="Arial" w:eastAsia="Arial" w:hAnsi="Arial"/>
          <w:sz w:val="16"/>
          <w:szCs w:val="16"/>
          <w:color w:val="auto"/>
        </w:rPr>
        <w:t>(b)    Where the Non-Employee Director is not re-elected (or elected in the case of an appointed Non-Employee Director) to the Board by the stockholders;</w:t>
      </w:r>
    </w:p>
    <w:p>
      <w:pPr>
        <w:spacing w:after="0" w:line="48" w:lineRule="exact"/>
        <w:rPr>
          <w:sz w:val="20"/>
          <w:szCs w:val="20"/>
          <w:color w:val="auto"/>
        </w:rPr>
      </w:pPr>
    </w:p>
    <w:p>
      <w:pPr>
        <w:ind w:left="660" w:right="3420"/>
        <w:spacing w:after="0" w:line="387" w:lineRule="auto"/>
        <w:rPr>
          <w:sz w:val="20"/>
          <w:szCs w:val="20"/>
          <w:color w:val="auto"/>
        </w:rPr>
      </w:pPr>
      <w:r>
        <w:rPr>
          <w:rFonts w:ascii="Arial" w:cs="Arial" w:eastAsia="Arial" w:hAnsi="Arial"/>
          <w:sz w:val="16"/>
          <w:szCs w:val="16"/>
          <w:color w:val="auto"/>
        </w:rPr>
        <w:t>(c)    Where the Non-Employee Director ceases to perform services on account of a Disability; or (d)    Where the Non-Employee Director dies.</w:t>
      </w:r>
    </w:p>
    <w:p>
      <w:pPr>
        <w:spacing w:after="0" w:line="1" w:lineRule="exact"/>
        <w:rPr>
          <w:sz w:val="20"/>
          <w:szCs w:val="20"/>
          <w:color w:val="auto"/>
        </w:rPr>
      </w:pPr>
    </w:p>
    <w:p>
      <w:pPr>
        <w:ind w:left="120" w:right="200" w:firstLine="551"/>
        <w:spacing w:after="0" w:line="286" w:lineRule="auto"/>
        <w:rPr>
          <w:sz w:val="20"/>
          <w:szCs w:val="20"/>
          <w:color w:val="auto"/>
        </w:rPr>
      </w:pPr>
      <w:r>
        <w:rPr>
          <w:rFonts w:ascii="Arial" w:cs="Arial" w:eastAsia="Arial" w:hAnsi="Arial"/>
          <w:sz w:val="16"/>
          <w:szCs w:val="16"/>
          <w:color w:val="auto"/>
        </w:rPr>
        <w:t>With respect to any Award that is or becomes subject to Section 409A of the Code, Termination of Service shall not include any event that is not within the meaning of “separation from service” as set forth in Treasury Regulation Section 1.409A-1(h).</w:t>
      </w:r>
    </w:p>
    <w:p>
      <w:pPr>
        <w:spacing w:after="0" w:line="48" w:lineRule="exact"/>
        <w:rPr>
          <w:sz w:val="20"/>
          <w:szCs w:val="20"/>
          <w:color w:val="auto"/>
        </w:rPr>
      </w:pPr>
    </w:p>
    <w:p>
      <w:pPr>
        <w:ind w:left="120" w:right="40" w:firstLine="551"/>
        <w:spacing w:after="0" w:line="286" w:lineRule="auto"/>
        <w:rPr>
          <w:sz w:val="20"/>
          <w:szCs w:val="20"/>
          <w:color w:val="auto"/>
        </w:rPr>
      </w:pPr>
      <w:r>
        <w:rPr>
          <w:rFonts w:ascii="Arial" w:cs="Arial" w:eastAsia="Arial" w:hAnsi="Arial"/>
          <w:sz w:val="16"/>
          <w:szCs w:val="16"/>
          <w:b w:val="1"/>
          <w:bCs w:val="1"/>
          <w:color w:val="auto"/>
        </w:rPr>
        <w:t>2.43.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“Year of Service” </w:t>
      </w:r>
      <w:r>
        <w:rPr>
          <w:rFonts w:ascii="Arial" w:cs="Arial" w:eastAsia="Arial" w:hAnsi="Arial"/>
          <w:sz w:val="16"/>
          <w:szCs w:val="16"/>
          <w:color w:val="auto"/>
        </w:rPr>
        <w:t>means a period of twelve (12) consecutive calendar months during which an Employee is employed by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predecessor thereto as determined by the Committee.</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3     Administration</w:t>
      </w:r>
    </w:p>
    <w:p>
      <w:pPr>
        <w:spacing w:after="0" w:line="110" w:lineRule="exact"/>
        <w:rPr>
          <w:sz w:val="20"/>
          <w:szCs w:val="20"/>
          <w:color w:val="auto"/>
        </w:rPr>
      </w:pPr>
    </w:p>
    <w:p>
      <w:pPr>
        <w:ind w:left="120" w:right="40" w:firstLine="551"/>
        <w:spacing w:after="0" w:line="256" w:lineRule="auto"/>
        <w:rPr>
          <w:sz w:val="20"/>
          <w:szCs w:val="20"/>
          <w:color w:val="auto"/>
        </w:rPr>
      </w:pPr>
      <w:r>
        <w:rPr>
          <w:rFonts w:ascii="Arial" w:cs="Arial" w:eastAsia="Arial" w:hAnsi="Arial"/>
          <w:sz w:val="16"/>
          <w:szCs w:val="16"/>
          <w:b w:val="1"/>
          <w:bCs w:val="1"/>
          <w:color w:val="auto"/>
        </w:rPr>
        <w:t>3.1</w:t>
      </w:r>
      <w:r>
        <w:rPr>
          <w:rFonts w:ascii="Arial" w:cs="Arial" w:eastAsia="Arial" w:hAnsi="Arial"/>
          <w:sz w:val="16"/>
          <w:szCs w:val="16"/>
          <w:color w:val="auto"/>
        </w:rPr>
        <w:t xml:space="preserve">    The Committee. The Plan shall be administered by the Committee. The members of the Committee shall be appointed from time to time by,</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serve at the discretion of, the Board of Directors. Any power of the Committee may also be exercised by the Board, except to the extent that the grant or exercise of such authority would cause any Award or transaction to become subject to (or lose an exemption under) the short-swing profit recovery provisions of Section 16 of the Exchange Act. To the extent that any permitted action taken by the Board conflicts with action taken by the Committee, the Board action shall control.</w:t>
      </w:r>
    </w:p>
    <w:p>
      <w:pPr>
        <w:spacing w:after="0" w:line="72" w:lineRule="exact"/>
        <w:rPr>
          <w:sz w:val="20"/>
          <w:szCs w:val="20"/>
          <w:color w:val="auto"/>
        </w:rPr>
      </w:pPr>
    </w:p>
    <w:p>
      <w:pPr>
        <w:ind w:left="120" w:right="20" w:firstLine="551"/>
        <w:spacing w:after="0" w:line="250" w:lineRule="auto"/>
        <w:rPr>
          <w:sz w:val="20"/>
          <w:szCs w:val="20"/>
          <w:color w:val="auto"/>
        </w:rPr>
      </w:pPr>
      <w:r>
        <w:rPr>
          <w:rFonts w:ascii="Arial" w:cs="Arial" w:eastAsia="Arial" w:hAnsi="Arial"/>
          <w:sz w:val="16"/>
          <w:szCs w:val="16"/>
          <w:b w:val="1"/>
          <w:bCs w:val="1"/>
          <w:color w:val="auto"/>
        </w:rPr>
        <w:t>3.2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Authority of the Committee. </w:t>
      </w:r>
      <w:r>
        <w:rPr>
          <w:rFonts w:ascii="Arial" w:cs="Arial" w:eastAsia="Arial" w:hAnsi="Arial"/>
          <w:sz w:val="16"/>
          <w:szCs w:val="16"/>
          <w:color w:val="auto"/>
        </w:rPr>
        <w:t>Except as limited by law or by the Articles of Incorporation or Bylaws of the Company, and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hereof, the Committee shall have full power to select Employees and Non-Employee Directors who shall participate in the Plan;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subject to the provisions of Article 14 hereof, amend the terms and conditions of any outstanding Award to the extent such terms and conditions are within the discretion of the Committee as provided in the Plan; and approve corrections in the documentation or administration of any Award. Further, the Committee shall make all other determinations that may be necessary or advisable for the administration of the Plan. The Committee’s determinations under the Plan (including without limitation, determinations of the persons to receive Awards, the form, amount and timing of such Awards, the terms and provisions of such Awards and the Award Agreements evidencing such Awards) need not be uniform and may be made by the Committee selectively among persons who receive, or are eligible to receive, Awards under the Plan, whether or not such persons are similarly situated. As permitted by law, the Committee may delegate its authority under the Plan to a Director or Employee.</w:t>
      </w:r>
    </w:p>
    <w:p>
      <w:pPr>
        <w:spacing w:after="0" w:line="79" w:lineRule="exact"/>
        <w:rPr>
          <w:sz w:val="20"/>
          <w:szCs w:val="20"/>
          <w:color w:val="auto"/>
        </w:rPr>
      </w:pPr>
    </w:p>
    <w:p>
      <w:pPr>
        <w:ind w:left="120" w:right="20" w:firstLine="551"/>
        <w:spacing w:after="0" w:line="249" w:lineRule="auto"/>
        <w:rPr>
          <w:sz w:val="20"/>
          <w:szCs w:val="20"/>
          <w:color w:val="auto"/>
        </w:rPr>
      </w:pPr>
      <w:r>
        <w:rPr>
          <w:rFonts w:ascii="Arial" w:cs="Arial" w:eastAsia="Arial" w:hAnsi="Arial"/>
          <w:sz w:val="16"/>
          <w:szCs w:val="16"/>
          <w:b w:val="1"/>
          <w:bCs w:val="1"/>
          <w:color w:val="auto"/>
        </w:rPr>
        <w:t>3.3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Delegation. </w:t>
      </w:r>
      <w:r>
        <w:rPr>
          <w:rFonts w:ascii="Arial" w:cs="Arial" w:eastAsia="Arial" w:hAnsi="Arial"/>
          <w:sz w:val="16"/>
          <w:szCs w:val="16"/>
          <w:color w:val="auto"/>
        </w:rPr>
        <w:t>The Committee may delegate to one or more separate committees (any such committee a “Subcommittee”) composed of one</w:t>
      </w:r>
      <w:r>
        <w:rPr>
          <w:rFonts w:ascii="Arial" w:cs="Arial" w:eastAsia="Arial" w:hAnsi="Arial"/>
          <w:sz w:val="16"/>
          <w:szCs w:val="16"/>
          <w:b w:val="1"/>
          <w:bCs w:val="1"/>
          <w:color w:val="auto"/>
        </w:rPr>
        <w:t xml:space="preserve"> </w:t>
      </w:r>
      <w:r>
        <w:rPr>
          <w:rFonts w:ascii="Arial" w:cs="Arial" w:eastAsia="Arial" w:hAnsi="Arial"/>
          <w:sz w:val="16"/>
          <w:szCs w:val="16"/>
          <w:color w:val="auto"/>
        </w:rPr>
        <w:t>or more Directors (who may but need not be members of the Committee) the ability to grant Awards and take the other actions described in Article 3.2 hereof with respect to Participants who are not executive officers, and such actions shall be treated for all purposes as if taken by the Committee. The Committee may delegate to a Subcommittee of one or more officers of the Company the ability to grant Awards and take the other actions described in Article 3.2 hereof with respect to Participants (other than any such officers themselves) who are not Directors or executive officers or otherwise subject to Section 16 of the Exchange Act, provided, however, that the resolution so authorizing such officer(s) shall specify the total number of rights or options such Subcommittee may so award, and such actions shall be treated for all purposes as if taken by the Committee. Any action by any such Subcommittee within the scope of such delegation shall be deemed for all purposes to have been taken by the Committee, and references in this Plan to the Committee shall include any such Subcommittee. The Committee may delegate the day to day administration of the Plan to an officer or officers of the Company, or one or more agents, and such administrator(s) may have the authority to execute and distribute agreements or other documents evidencing or relating to Awards granted by the Committee under the Plan, to maintain records relating to the grant, vesting, exercise, forfeiture or expiration of Awards, to process or oversee the issuance of Shares upon the exercise, vesting and/or settlement of an Award, to interpret the terms of Awards and to take such other actions as the Committee may specify. Any action by any such administrator within the scope of its delegation shall be deemed for all purposes to have been taken by the Committee and references in the Plan to the Committee shall include any such administrator, provided that the actions and interpretations of any such administrator shall be subject to review and approval, disapproval or modification by the Committee.</w:t>
      </w:r>
    </w:p>
    <w:p>
      <w:pPr>
        <w:spacing w:after="0" w:line="80" w:lineRule="exact"/>
        <w:rPr>
          <w:sz w:val="20"/>
          <w:szCs w:val="20"/>
          <w:color w:val="auto"/>
        </w:rPr>
      </w:pPr>
    </w:p>
    <w:p>
      <w:pPr>
        <w:ind w:left="120" w:right="80" w:firstLine="551"/>
        <w:spacing w:after="0" w:line="286" w:lineRule="auto"/>
        <w:rPr>
          <w:sz w:val="20"/>
          <w:szCs w:val="20"/>
          <w:color w:val="auto"/>
        </w:rPr>
      </w:pPr>
      <w:r>
        <w:rPr>
          <w:rFonts w:ascii="Arial" w:cs="Arial" w:eastAsia="Arial" w:hAnsi="Arial"/>
          <w:sz w:val="16"/>
          <w:szCs w:val="16"/>
          <w:b w:val="1"/>
          <w:bCs w:val="1"/>
          <w:color w:val="auto"/>
        </w:rPr>
        <w:t>3.4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Decisions Binding. </w:t>
      </w:r>
      <w:r>
        <w:rPr>
          <w:rFonts w:ascii="Arial" w:cs="Arial" w:eastAsia="Arial" w:hAnsi="Arial"/>
          <w:sz w:val="16"/>
          <w:szCs w:val="16"/>
          <w:color w:val="auto"/>
        </w:rPr>
        <w:t>All determinations and decisions made by the Committee or its designee pursuant to the provisions of the Plan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orders and resolutions of the Board shall be final, conclusive and binding on all parties.</w:t>
      </w:r>
    </w:p>
    <w:p>
      <w:pPr>
        <w:spacing w:after="0" w:line="89" w:lineRule="exact"/>
        <w:rPr>
          <w:sz w:val="20"/>
          <w:szCs w:val="20"/>
          <w:color w:val="auto"/>
        </w:rPr>
      </w:pPr>
    </w:p>
    <w:p>
      <w:pPr>
        <w:ind w:left="120"/>
        <w:spacing w:after="0"/>
        <w:tabs>
          <w:tab w:leader="none" w:pos="5340" w:val="left"/>
          <w:tab w:leader="none" w:pos="7820" w:val="left"/>
        </w:tabs>
        <w:rPr>
          <w:sz w:val="20"/>
          <w:szCs w:val="20"/>
          <w:color w:val="auto"/>
        </w:rPr>
      </w:pPr>
      <w:r>
        <w:rPr>
          <w:rFonts w:ascii="Arial" w:cs="Arial" w:eastAsia="Arial" w:hAnsi="Arial"/>
          <w:sz w:val="11"/>
          <w:szCs w:val="11"/>
          <w:b w:val="1"/>
          <w:bCs w:val="1"/>
          <w:color w:val="003A70"/>
        </w:rPr>
        <w:t>B-4</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720" w:firstLine="551"/>
        <w:spacing w:after="0" w:line="286" w:lineRule="auto"/>
        <w:rPr>
          <w:sz w:val="20"/>
          <w:szCs w:val="20"/>
          <w:color w:val="auto"/>
        </w:rPr>
      </w:pPr>
      <w:r>
        <w:rPr>
          <w:rFonts w:ascii="Arial" w:cs="Arial" w:eastAsia="Arial" w:hAnsi="Arial"/>
          <w:sz w:val="16"/>
          <w:szCs w:val="16"/>
          <w:b w:val="1"/>
          <w:bCs w:val="1"/>
          <w:color w:val="auto"/>
        </w:rPr>
        <w:t>3.5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Unanimous Consent in Lieu of Meeting. </w:t>
      </w:r>
      <w:r>
        <w:rPr>
          <w:rFonts w:ascii="Arial" w:cs="Arial" w:eastAsia="Arial" w:hAnsi="Arial"/>
          <w:sz w:val="16"/>
          <w:szCs w:val="16"/>
          <w:color w:val="auto"/>
        </w:rPr>
        <w:t>A memorandum signed by all members of the Committee shall constitute the act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without the necessity in such event to hold a meeting.</w:t>
      </w:r>
    </w:p>
    <w:p>
      <w:pPr>
        <w:spacing w:after="0" w:line="48"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6"/>
          <w:szCs w:val="16"/>
          <w:b w:val="1"/>
          <w:bCs w:val="1"/>
          <w:color w:val="auto"/>
        </w:rPr>
        <w:t>3.6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Serious Misconduct. </w:t>
      </w:r>
      <w:r>
        <w:rPr>
          <w:rFonts w:ascii="Arial" w:cs="Arial" w:eastAsia="Arial" w:hAnsi="Arial"/>
          <w:sz w:val="16"/>
          <w:szCs w:val="16"/>
          <w:color w:val="auto"/>
        </w:rPr>
        <w:t>Notwithstanding anything to the contrary in the Plan or any Award Agreement, if a Participant terminates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for serious misconduct or if the Company determines after a Participant’s termination that the Participant’s employment could have been terminated for serious misconduct had all relevant facts been known by the Company at the time of such termination, including but not limited to engaging in a terminable offense set forth in the applicable associate handbook or any policy of the Company, the Committee may, in its Discretion, refuse or revoke Approved Retiree status or other retirement approval for such Participant, or otherwise determine that such Participant may not receive, vest in or exercise any Awards or otherwise receive Shares thereunder to the extent the Awards are not granted, vested or fully exercised, or Shares are not received, as of such determination.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4     Shares Subject to the Plan</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4.1     Number of Shares.</w:t>
      </w:r>
    </w:p>
    <w:p>
      <w:pPr>
        <w:spacing w:after="0" w:line="113" w:lineRule="exact"/>
        <w:rPr>
          <w:sz w:val="20"/>
          <w:szCs w:val="20"/>
          <w:color w:val="auto"/>
        </w:rPr>
      </w:pPr>
    </w:p>
    <w:p>
      <w:pPr>
        <w:ind w:left="120" w:right="260" w:firstLine="551"/>
        <w:spacing w:after="0" w:line="256" w:lineRule="auto"/>
        <w:rPr>
          <w:sz w:val="20"/>
          <w:szCs w:val="20"/>
          <w:color w:val="auto"/>
        </w:rPr>
      </w:pPr>
      <w:r>
        <w:rPr>
          <w:rFonts w:ascii="Arial" w:cs="Arial" w:eastAsia="Arial" w:hAnsi="Arial"/>
          <w:sz w:val="16"/>
          <w:szCs w:val="16"/>
          <w:b w:val="1"/>
          <w:bCs w:val="1"/>
          <w:color w:val="auto"/>
        </w:rPr>
        <w:t>(a)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Reserve</w:t>
      </w:r>
      <w:r>
        <w:rPr>
          <w:rFonts w:ascii="Arial" w:cs="Arial" w:eastAsia="Arial" w:hAnsi="Arial"/>
          <w:sz w:val="16"/>
          <w:szCs w:val="16"/>
          <w:color w:val="auto"/>
        </w:rPr>
        <w:t>. Subject to Article 4.2 hereof, an aggregate of one million, two hundred and sixty-five thousand (1,265,000) Shares, plus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described in Article 4.1(b), plus on and after the First Restatement Effective Date, an additional one million, two hundred and fifty thousand (1,250,000) Shares, plus on and after the Second Restatement Effective Date, an additional two million, five hundred thousand (2,500,000) Shares (collectively, the “Reserve”), may be issued pursuant to Awards granted under the Plan. All of the Shares reserved for issuance under the Plan may be issued pursuant to ISOs.</w:t>
      </w:r>
    </w:p>
    <w:p>
      <w:pPr>
        <w:spacing w:after="0" w:line="72" w:lineRule="exact"/>
        <w:rPr>
          <w:sz w:val="20"/>
          <w:szCs w:val="20"/>
          <w:color w:val="auto"/>
        </w:rPr>
      </w:pPr>
    </w:p>
    <w:p>
      <w:pPr>
        <w:ind w:left="120" w:right="40" w:firstLine="551"/>
        <w:spacing w:after="0" w:line="254" w:lineRule="auto"/>
        <w:rPr>
          <w:sz w:val="20"/>
          <w:szCs w:val="20"/>
          <w:color w:val="auto"/>
        </w:rPr>
      </w:pPr>
      <w:r>
        <w:rPr>
          <w:rFonts w:ascii="Arial" w:cs="Arial" w:eastAsia="Arial" w:hAnsi="Arial"/>
          <w:sz w:val="16"/>
          <w:szCs w:val="16"/>
          <w:b w:val="1"/>
          <w:bCs w:val="1"/>
          <w:color w:val="auto"/>
        </w:rPr>
        <w:t>(b)</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Prior Plans.</w:t>
      </w:r>
      <w:r>
        <w:rPr>
          <w:rFonts w:ascii="Arial" w:cs="Arial" w:eastAsia="Arial" w:hAnsi="Arial"/>
          <w:sz w:val="16"/>
          <w:szCs w:val="16"/>
          <w:b w:val="1"/>
          <w:bCs w:val="1"/>
          <w:color w:val="auto"/>
        </w:rPr>
        <w:t xml:space="preserve"> </w:t>
      </w:r>
      <w:r>
        <w:rPr>
          <w:rFonts w:ascii="Arial" w:cs="Arial" w:eastAsia="Arial" w:hAnsi="Arial"/>
          <w:sz w:val="16"/>
          <w:szCs w:val="16"/>
          <w:color w:val="auto"/>
        </w:rPr>
        <w:t>The number of Shares which were reserved for issuance under the Prior Marriott Plan but which are not subject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awards under such plan as of the Effective Date shall be considered part of the Reserve under Article 4.1(a). Further, after the Effective Date, if any Shares subject to or underlying awards granted under the Prior Plans would again become available for new grants under the terms of such plans if such plans were still in effect, then those Shares will be added to the Reserve, thereby increasing the number of Shares available for issuance under this Plan as determined under the first sentence of Article 4.1(a). Any such Shares will not be available for future awards under the terms of the Prior Plans, which are terminated as of the Effective Date.</w:t>
      </w:r>
    </w:p>
    <w:p>
      <w:pPr>
        <w:spacing w:after="0" w:line="74" w:lineRule="exact"/>
        <w:rPr>
          <w:sz w:val="20"/>
          <w:szCs w:val="20"/>
          <w:color w:val="auto"/>
        </w:rPr>
      </w:pPr>
    </w:p>
    <w:p>
      <w:pPr>
        <w:ind w:left="120" w:right="220" w:firstLine="551"/>
        <w:spacing w:after="0" w:line="256" w:lineRule="auto"/>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Depletion of Reserve</w:t>
      </w:r>
      <w:r>
        <w:rPr>
          <w:rFonts w:ascii="Arial" w:cs="Arial" w:eastAsia="Arial" w:hAnsi="Arial"/>
          <w:sz w:val="16"/>
          <w:szCs w:val="16"/>
          <w:color w:val="auto"/>
        </w:rPr>
        <w:t>. When an Award is granted, the Reserve shall be depleted by the maximum number of Shares to which the Award</w:t>
      </w:r>
      <w:r>
        <w:rPr>
          <w:rFonts w:ascii="Arial" w:cs="Arial" w:eastAsia="Arial" w:hAnsi="Arial"/>
          <w:sz w:val="16"/>
          <w:szCs w:val="16"/>
          <w:b w:val="1"/>
          <w:bCs w:val="1"/>
          <w:color w:val="auto"/>
        </w:rPr>
        <w:t xml:space="preserve"> </w:t>
      </w:r>
      <w:r>
        <w:rPr>
          <w:rFonts w:ascii="Arial" w:cs="Arial" w:eastAsia="Arial" w:hAnsi="Arial"/>
          <w:sz w:val="16"/>
          <w:szCs w:val="16"/>
          <w:color w:val="auto"/>
        </w:rPr>
        <w:t>relates, except that an Award that is valued in relation to a Share but that may only be settled in cash shall not deplete the Reserve. In addition, if the number of Shares issuable under an Award is increased after the grant date, such as by an amendment to the Award or as a result of converting dividends or dividend equivalent units into additional Shares of Restricted Stock or RSUs subject to the Award, then the Reserve shall be depleted by such increased number of Shares at the time of such increase.</w:t>
      </w:r>
    </w:p>
    <w:p>
      <w:pPr>
        <w:spacing w:after="0" w:line="72" w:lineRule="exact"/>
        <w:rPr>
          <w:sz w:val="20"/>
          <w:szCs w:val="20"/>
          <w:color w:val="auto"/>
        </w:rPr>
      </w:pPr>
    </w:p>
    <w:p>
      <w:pPr>
        <w:ind w:left="120" w:right="20" w:firstLine="551"/>
        <w:spacing w:after="0" w:line="252" w:lineRule="auto"/>
        <w:rPr>
          <w:sz w:val="20"/>
          <w:szCs w:val="20"/>
          <w:color w:val="auto"/>
        </w:rPr>
      </w:pPr>
      <w:r>
        <w:rPr>
          <w:rFonts w:ascii="Arial" w:cs="Arial" w:eastAsia="Arial" w:hAnsi="Arial"/>
          <w:sz w:val="16"/>
          <w:szCs w:val="16"/>
          <w:b w:val="1"/>
          <w:bCs w:val="1"/>
          <w:color w:val="auto"/>
        </w:rPr>
        <w:t>(d)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Replenishment of Reserve</w:t>
      </w:r>
      <w:r>
        <w:rPr>
          <w:rFonts w:ascii="Arial" w:cs="Arial" w:eastAsia="Arial" w:hAnsi="Arial"/>
          <w:sz w:val="16"/>
          <w:szCs w:val="16"/>
          <w:color w:val="auto"/>
        </w:rPr>
        <w:t>. To the extent (i) an Award lapses, expires, terminates or is cancelled without the issuance of Shares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Award; (ii) it is determined during or at the conclusion of the term of an Award that all or some portion of the Shares with respect to which the Award was granted will not be issuable on the basis that the conditions for such issuance will not be satisfied; (iii) Shares are forfeited under an Award; (iv) Shares are tendered or withheld in payment of the exercise price of an Option or as a result of the net settlement in Shares of an outstanding SAR; (v) Shares are tendered or withheld to satisfy federal, state or local tax withholding obligations; or (vi) Shares are issued under any Award and the Company subsequently reacquires them pursuant to rights reserved upon the issuance of the Shares, then such Shares shall be re-credited to the Reserve and may be used for new Awards under the Plan, provided that Shares re-credited to the Reserve pursuant to clause (vi) may not be issued pursuant to ISOs. Notwithstanding the foregoing, in no event shall Shares purchased by the Company using proceeds from Option exercises be re-credited to the Reserve.</w:t>
      </w:r>
    </w:p>
    <w:p>
      <w:pPr>
        <w:spacing w:after="0" w:line="75"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6"/>
          <w:szCs w:val="16"/>
          <w:b w:val="1"/>
          <w:bCs w:val="1"/>
          <w:color w:val="auto"/>
        </w:rPr>
        <w:t>4.2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Adjustments in Authorized Shares and Awards. </w:t>
      </w:r>
      <w:r>
        <w:rPr>
          <w:rFonts w:ascii="Arial" w:cs="Arial" w:eastAsia="Arial" w:hAnsi="Arial"/>
          <w:sz w:val="16"/>
          <w:szCs w:val="16"/>
          <w:color w:val="auto"/>
        </w:rPr>
        <w:t>In the event of any change in corporate capitalization, such as a stock split, reverse</w:t>
      </w:r>
      <w:r>
        <w:rPr>
          <w:rFonts w:ascii="Arial" w:cs="Arial" w:eastAsia="Arial" w:hAnsi="Arial"/>
          <w:sz w:val="16"/>
          <w:szCs w:val="16"/>
          <w:b w:val="1"/>
          <w:bCs w:val="1"/>
          <w:color w:val="auto"/>
        </w:rPr>
        <w:t xml:space="preserve"> </w:t>
      </w:r>
      <w:r>
        <w:rPr>
          <w:rFonts w:ascii="Arial" w:cs="Arial" w:eastAsia="Arial" w:hAnsi="Arial"/>
          <w:sz w:val="16"/>
          <w:szCs w:val="16"/>
          <w:color w:val="auto"/>
        </w:rPr>
        <w:t>stock split, stock dividend, share combination, recapitalization, or similar event affecting the equity capital structure of the Company, or in the event the Shares shall be changed into or exchanged for a different number or class of shares of stock or securities of the Company or of another corporation and/or for cash as a result of a corporate transaction, such as any merger, consolidation, separation, acquisition of property or shares, stock rights offering, spin-off, or other distribution of stock or property of the Company, any reorganization (whether or not such reorganization comes within the definition of such term in Code Section 368) or any partial or complete liquidation of the Company, or in the event the Company shall effect a cash dividend which, on a per Share basis, exceeds ten percent (10%) of the Fair Market Value of a Share at the time the dividend is declared or which the Board determines by resolution is special or extraordinary in nature, or in the event of any similar event affecting the Company, then the Committee shall, in such manner as it may deem equitable to prevent dilution or enlargement of the benefits or potential benefits intended to be made available under Awards or this Plan, adjust (a) the number and class of Shares which thereafter may be delivered under Article 4.1(a), (b) or (c), (b) the number and class of Shares subject to outstanding Awards, (c) the Exercise Price relating to any Award, (d) the performance goals which may be applicable to any outstanding Awards, and (e) any other equitable substitutions or adjustments as may be determined to be appropriate and equitable by the Committee, in its Discretion. Without limiting the preceding sentence, in the case of any such transaction described in the preceding sentence, the adjustments made by the Committee may consist of either (i) making appropriate provision for the protection of outstanding Awards by the substitution on an equitable basis of appropriate equity interests or awards similar to the Awards (or, in the event no such similar equity interests may be identified, a nonqualified deferred compensation account allocation of equivalent value), provided that the substitution neither enlarges nor diminishes the value and rights under the Awards; or (ii) upon written notice to the Participants, providing that Awards will be exercised, distributed, cashed out or exchanged for value, as determined by the Committee, pursuant to such terms and conditions (including the waiver of any existing terms or conditions including but not limited to vesting restrictions or exercise waiting periods) as shall be specified in the notice, provided that any Award that is subject to Code Section 409A must not be exercised, distributed, cashed out or exchanged for value unless, to the extent required for compliance with Code Section 409A, the transaction qualifies as a “change in control event” as described under Code Section 409A(2)(A)(v) or accelerated payment is otherwise permitted by Code Section 409A and the regulations thereunder. Any adjustment of an ISO under clause (i) of the preceding sentence in this paragraph shall be made in such a manner so as not to constitute a “modification” within the meaning of Section 424(h)(3) of the Code.</w:t>
      </w:r>
    </w:p>
    <w:p>
      <w:pPr>
        <w:spacing w:after="0" w:line="124" w:lineRule="exact"/>
        <w:rPr>
          <w:sz w:val="20"/>
          <w:szCs w:val="20"/>
          <w:color w:val="auto"/>
        </w:rPr>
      </w:pPr>
    </w:p>
    <w:p>
      <w:pPr>
        <w:ind w:left="120"/>
        <w:spacing w:after="0"/>
        <w:tabs>
          <w:tab w:leader="none" w:pos="534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003A70"/>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380" w:firstLine="551"/>
        <w:spacing w:after="0" w:line="259" w:lineRule="auto"/>
        <w:rPr>
          <w:sz w:val="20"/>
          <w:szCs w:val="20"/>
          <w:color w:val="auto"/>
        </w:rPr>
      </w:pPr>
      <w:r>
        <w:rPr>
          <w:rFonts w:ascii="Arial" w:cs="Arial" w:eastAsia="Arial" w:hAnsi="Arial"/>
          <w:sz w:val="16"/>
          <w:szCs w:val="16"/>
          <w:color w:val="auto"/>
        </w:rPr>
        <w:t>Notwithstanding the foregoing, in the case of a stock dividend (other than a stock dividend declared in lieu of an ordinary cash dividend) or subdivision or combination of the Shares (including a reverse stock split), if no action is taken by the Committee, adjustments contemplated by this subsection that are proportionate shall nevertheless automatically be made as of the date of such stock dividend or subdivision or combination of the Shares.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5     Eligibility and Participation</w:t>
      </w:r>
    </w:p>
    <w:p>
      <w:pPr>
        <w:spacing w:after="0" w:line="110" w:lineRule="exact"/>
        <w:rPr>
          <w:sz w:val="20"/>
          <w:szCs w:val="20"/>
          <w:color w:val="auto"/>
        </w:rPr>
      </w:pPr>
    </w:p>
    <w:p>
      <w:pPr>
        <w:ind w:left="120" w:right="320" w:firstLine="551"/>
        <w:spacing w:after="0" w:line="286" w:lineRule="auto"/>
        <w:rPr>
          <w:sz w:val="20"/>
          <w:szCs w:val="20"/>
          <w:color w:val="auto"/>
        </w:rPr>
      </w:pPr>
      <w:r>
        <w:rPr>
          <w:rFonts w:ascii="Arial" w:cs="Arial" w:eastAsia="Arial" w:hAnsi="Arial"/>
          <w:sz w:val="16"/>
          <w:szCs w:val="16"/>
          <w:b w:val="1"/>
          <w:bCs w:val="1"/>
          <w:color w:val="auto"/>
        </w:rPr>
        <w:t>5.1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Eligibility. </w:t>
      </w:r>
      <w:r>
        <w:rPr>
          <w:rFonts w:ascii="Arial" w:cs="Arial" w:eastAsia="Arial" w:hAnsi="Arial"/>
          <w:sz w:val="16"/>
          <w:szCs w:val="16"/>
          <w:color w:val="auto"/>
        </w:rPr>
        <w:t>Employees shall be eligible to participate in this Plan with respect to Awards specified in Articles 6 through 9. Non-Employee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shall be eligible to participate in the Plan with respect to Awards specified in Article 10.</w:t>
      </w:r>
    </w:p>
    <w:p>
      <w:pPr>
        <w:spacing w:after="0" w:line="48" w:lineRule="exact"/>
        <w:rPr>
          <w:sz w:val="20"/>
          <w:szCs w:val="20"/>
          <w:color w:val="auto"/>
        </w:rPr>
      </w:pPr>
    </w:p>
    <w:p>
      <w:pPr>
        <w:ind w:left="120" w:right="260" w:firstLine="551"/>
        <w:spacing w:after="0" w:line="286" w:lineRule="auto"/>
        <w:rPr>
          <w:sz w:val="20"/>
          <w:szCs w:val="20"/>
          <w:color w:val="auto"/>
        </w:rPr>
      </w:pPr>
      <w:r>
        <w:rPr>
          <w:rFonts w:ascii="Arial" w:cs="Arial" w:eastAsia="Arial" w:hAnsi="Arial"/>
          <w:sz w:val="16"/>
          <w:szCs w:val="16"/>
          <w:b w:val="1"/>
          <w:bCs w:val="1"/>
          <w:color w:val="auto"/>
        </w:rPr>
        <w:t>5.2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Actual Participation by Employees. </w:t>
      </w:r>
      <w:r>
        <w:rPr>
          <w:rFonts w:ascii="Arial" w:cs="Arial" w:eastAsia="Arial" w:hAnsi="Arial"/>
          <w:sz w:val="16"/>
          <w:szCs w:val="16"/>
          <w:color w:val="auto"/>
        </w:rPr>
        <w:t>Subject to the provisions of the Plan, the Committee may, from time to time, select from all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those to whom Awards shall be granted and shall determine the nature and amount of each Award.</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6     SARs and Stock Options</w:t>
      </w:r>
    </w:p>
    <w:p>
      <w:pPr>
        <w:spacing w:after="0" w:line="110" w:lineRule="exact"/>
        <w:rPr>
          <w:sz w:val="20"/>
          <w:szCs w:val="20"/>
          <w:color w:val="auto"/>
        </w:rPr>
      </w:pPr>
    </w:p>
    <w:p>
      <w:pPr>
        <w:jc w:val="both"/>
        <w:ind w:left="120" w:right="40" w:firstLine="551"/>
        <w:spacing w:after="0" w:line="266" w:lineRule="auto"/>
        <w:rPr>
          <w:sz w:val="20"/>
          <w:szCs w:val="20"/>
          <w:color w:val="auto"/>
        </w:rPr>
      </w:pPr>
      <w:r>
        <w:rPr>
          <w:rFonts w:ascii="Arial" w:cs="Arial" w:eastAsia="Arial" w:hAnsi="Arial"/>
          <w:sz w:val="16"/>
          <w:szCs w:val="16"/>
          <w:b w:val="1"/>
          <w:bCs w:val="1"/>
          <w:color w:val="auto"/>
        </w:rPr>
        <w:t>6.1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Grant of SARs and Options. </w:t>
      </w:r>
      <w:r>
        <w:rPr>
          <w:rFonts w:ascii="Arial" w:cs="Arial" w:eastAsia="Arial" w:hAnsi="Arial"/>
          <w:sz w:val="16"/>
          <w:szCs w:val="16"/>
          <w:color w:val="auto"/>
        </w:rPr>
        <w:t>Subject to the terms and provisions of the Plan, SARs and/or Options may be granted to Employees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number, and upon such terms, and at any time and from time to time as shall be determined by the Committee. No dividends or dividend equivalent rights may be granted with respect to SARs or Options.</w:t>
      </w:r>
    </w:p>
    <w:p>
      <w:pPr>
        <w:spacing w:after="0" w:line="63" w:lineRule="exact"/>
        <w:rPr>
          <w:sz w:val="20"/>
          <w:szCs w:val="20"/>
          <w:color w:val="auto"/>
        </w:rPr>
      </w:pPr>
    </w:p>
    <w:p>
      <w:pPr>
        <w:jc w:val="both"/>
        <w:ind w:left="120" w:right="460" w:firstLine="551"/>
        <w:spacing w:after="0" w:line="259" w:lineRule="auto"/>
        <w:rPr>
          <w:sz w:val="20"/>
          <w:szCs w:val="20"/>
          <w:color w:val="auto"/>
        </w:rPr>
      </w:pPr>
      <w:r>
        <w:rPr>
          <w:rFonts w:ascii="Arial" w:cs="Arial" w:eastAsia="Arial" w:hAnsi="Arial"/>
          <w:sz w:val="16"/>
          <w:szCs w:val="16"/>
          <w:b w:val="1"/>
          <w:bCs w:val="1"/>
          <w:color w:val="auto"/>
        </w:rPr>
        <w:t>6.2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Award Agreement. </w:t>
      </w:r>
      <w:r>
        <w:rPr>
          <w:rFonts w:ascii="Arial" w:cs="Arial" w:eastAsia="Arial" w:hAnsi="Arial"/>
          <w:sz w:val="16"/>
          <w:szCs w:val="16"/>
          <w:color w:val="auto"/>
        </w:rPr>
        <w:t>Each SAR and Option grant shall be evidenced by an Award Agreement that shall specify the Exercise Price, the</w:t>
      </w:r>
      <w:r>
        <w:rPr>
          <w:rFonts w:ascii="Arial" w:cs="Arial" w:eastAsia="Arial" w:hAnsi="Arial"/>
          <w:sz w:val="16"/>
          <w:szCs w:val="16"/>
          <w:b w:val="1"/>
          <w:bCs w:val="1"/>
          <w:color w:val="auto"/>
        </w:rPr>
        <w:t xml:space="preserve"> </w:t>
      </w:r>
      <w:r>
        <w:rPr>
          <w:rFonts w:ascii="Arial" w:cs="Arial" w:eastAsia="Arial" w:hAnsi="Arial"/>
          <w:sz w:val="16"/>
          <w:szCs w:val="16"/>
          <w:color w:val="auto"/>
        </w:rPr>
        <w:t>duration of the Award, the number of Shares to which the Award pertains, and such other provisions as the Committee shall determine. The Award Agreement, if pertaining to an Option, also shall specify whether the Option is intended to be an ISO within the meaning of Code Section 422, or an NQSO whose grant is intended not to fall under the provisions of Code Section 422.</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6.3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Exercise Price. </w:t>
      </w:r>
      <w:r>
        <w:rPr>
          <w:rFonts w:ascii="Arial" w:cs="Arial" w:eastAsia="Arial" w:hAnsi="Arial"/>
          <w:sz w:val="16"/>
          <w:szCs w:val="16"/>
          <w:color w:val="auto"/>
        </w:rPr>
        <w:t>The Exercise Price for each grant of a SAR or an Option under this Article 6 shall be at least equal to one hundred percent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 of the Fair Market Value of a Share on the date the SAR or Option is granted.</w:t>
      </w:r>
    </w:p>
    <w:p>
      <w:pPr>
        <w:spacing w:after="0" w:line="97" w:lineRule="exact"/>
        <w:rPr>
          <w:sz w:val="20"/>
          <w:szCs w:val="20"/>
          <w:color w:val="auto"/>
        </w:rPr>
      </w:pPr>
    </w:p>
    <w:p>
      <w:pPr>
        <w:ind w:left="120" w:right="400" w:firstLine="551"/>
        <w:spacing w:after="0" w:line="286" w:lineRule="auto"/>
        <w:rPr>
          <w:sz w:val="20"/>
          <w:szCs w:val="20"/>
          <w:color w:val="auto"/>
        </w:rPr>
      </w:pPr>
      <w:r>
        <w:rPr>
          <w:rFonts w:ascii="Arial" w:cs="Arial" w:eastAsia="Arial" w:hAnsi="Arial"/>
          <w:sz w:val="16"/>
          <w:szCs w:val="16"/>
          <w:b w:val="1"/>
          <w:bCs w:val="1"/>
          <w:color w:val="auto"/>
        </w:rPr>
        <w:t>6.4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Duration of SARs and Options. </w:t>
      </w:r>
      <w:r>
        <w:rPr>
          <w:rFonts w:ascii="Arial" w:cs="Arial" w:eastAsia="Arial" w:hAnsi="Arial"/>
          <w:sz w:val="16"/>
          <w:szCs w:val="16"/>
          <w:color w:val="auto"/>
        </w:rPr>
        <w:t>Each SAR and Option granted under this Article 6 shall expire at such time as the Committee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at the time of grant; provided, however, that no SAR or Option shall be exercisable later than the tenth (10th) anniversary date of its grant.</w:t>
      </w:r>
    </w:p>
    <w:p>
      <w:pPr>
        <w:spacing w:after="0" w:line="48" w:lineRule="exact"/>
        <w:rPr>
          <w:sz w:val="20"/>
          <w:szCs w:val="20"/>
          <w:color w:val="auto"/>
        </w:rPr>
      </w:pPr>
    </w:p>
    <w:p>
      <w:pPr>
        <w:ind w:left="120" w:right="140" w:firstLine="551"/>
        <w:spacing w:after="0" w:line="286" w:lineRule="auto"/>
        <w:rPr>
          <w:sz w:val="20"/>
          <w:szCs w:val="20"/>
          <w:color w:val="auto"/>
        </w:rPr>
      </w:pPr>
      <w:r>
        <w:rPr>
          <w:rFonts w:ascii="Arial" w:cs="Arial" w:eastAsia="Arial" w:hAnsi="Arial"/>
          <w:sz w:val="16"/>
          <w:szCs w:val="16"/>
          <w:b w:val="1"/>
          <w:bCs w:val="1"/>
          <w:color w:val="auto"/>
        </w:rPr>
        <w:t>6.5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Exercise of SARs and Options. </w:t>
      </w:r>
      <w:r>
        <w:rPr>
          <w:rFonts w:ascii="Arial" w:cs="Arial" w:eastAsia="Arial" w:hAnsi="Arial"/>
          <w:sz w:val="16"/>
          <w:szCs w:val="16"/>
          <w:color w:val="auto"/>
        </w:rPr>
        <w:t>SARs and Options granted under this Article 6 shall be exercisable at such times and be subject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and conditions as the Committee shall in each instance approve, which need not be the same for each grant or for each Participant.</w:t>
      </w:r>
    </w:p>
    <w:p>
      <w:pPr>
        <w:spacing w:after="0" w:line="48" w:lineRule="exact"/>
        <w:rPr>
          <w:sz w:val="20"/>
          <w:szCs w:val="20"/>
          <w:color w:val="auto"/>
        </w:rPr>
      </w:pPr>
    </w:p>
    <w:p>
      <w:pPr>
        <w:ind w:left="120" w:right="40" w:firstLine="551"/>
        <w:spacing w:after="0" w:line="266" w:lineRule="auto"/>
        <w:rPr>
          <w:sz w:val="20"/>
          <w:szCs w:val="20"/>
          <w:color w:val="auto"/>
        </w:rPr>
      </w:pPr>
      <w:r>
        <w:rPr>
          <w:rFonts w:ascii="Arial" w:cs="Arial" w:eastAsia="Arial" w:hAnsi="Arial"/>
          <w:sz w:val="16"/>
          <w:szCs w:val="16"/>
          <w:color w:val="auto"/>
        </w:rPr>
        <w:t>The ability of a Participant to exercise a SAR or an Option is conditioned upon the Participant not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w:t>
      </w:r>
    </w:p>
    <w:p>
      <w:pPr>
        <w:spacing w:after="0" w:line="63" w:lineRule="exact"/>
        <w:rPr>
          <w:sz w:val="20"/>
          <w:szCs w:val="20"/>
          <w:color w:val="auto"/>
        </w:rPr>
      </w:pPr>
    </w:p>
    <w:p>
      <w:pPr>
        <w:ind w:left="120" w:right="160" w:firstLine="551"/>
        <w:spacing w:after="0" w:line="266" w:lineRule="auto"/>
        <w:rPr>
          <w:sz w:val="20"/>
          <w:szCs w:val="20"/>
          <w:color w:val="auto"/>
        </w:rPr>
      </w:pPr>
      <w:r>
        <w:rPr>
          <w:rFonts w:ascii="Arial" w:cs="Arial" w:eastAsia="Arial" w:hAnsi="Arial"/>
          <w:sz w:val="16"/>
          <w:szCs w:val="16"/>
          <w:b w:val="1"/>
          <w:bCs w:val="1"/>
          <w:color w:val="auto"/>
        </w:rPr>
        <w:t>6.6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Notice and Payment</w:t>
      </w:r>
      <w:r>
        <w:rPr>
          <w:rFonts w:ascii="Arial" w:cs="Arial" w:eastAsia="Arial" w:hAnsi="Arial"/>
          <w:sz w:val="16"/>
          <w:szCs w:val="16"/>
          <w:color w:val="auto"/>
        </w:rPr>
        <w:t>. SARs and Options granted under this Article 6 shall be exercised by the delivery of notice of exercise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by such means as the Committee shall approve from time </w:t>
      </w:r>
      <w:r>
        <w:rPr>
          <w:rFonts w:ascii="Arial" w:cs="Arial" w:eastAsia="Arial" w:hAnsi="Arial"/>
          <w:sz w:val="16"/>
          <w:szCs w:val="16"/>
          <w:b w:val="1"/>
          <w:bCs w:val="1"/>
          <w:color w:val="auto"/>
        </w:rPr>
        <w:t>to</w:t>
      </w:r>
      <w:r>
        <w:rPr>
          <w:rFonts w:ascii="Arial" w:cs="Arial" w:eastAsia="Arial" w:hAnsi="Arial"/>
          <w:sz w:val="16"/>
          <w:szCs w:val="16"/>
          <w:color w:val="auto"/>
        </w:rPr>
        <w:t xml:space="preserve"> time, setting forth the number of Shares with respect to which the SAR or Option is to be exercised, accompanied, in the case of Options, by full payment for the Shares.</w:t>
      </w:r>
    </w:p>
    <w:p>
      <w:pPr>
        <w:spacing w:after="0" w:line="63" w:lineRule="exact"/>
        <w:rPr>
          <w:sz w:val="20"/>
          <w:szCs w:val="20"/>
          <w:color w:val="auto"/>
        </w:rPr>
      </w:pPr>
    </w:p>
    <w:p>
      <w:pPr>
        <w:ind w:left="120" w:right="20" w:firstLine="551"/>
        <w:spacing w:after="0" w:line="259" w:lineRule="auto"/>
        <w:rPr>
          <w:sz w:val="20"/>
          <w:szCs w:val="20"/>
          <w:color w:val="auto"/>
        </w:rPr>
      </w:pPr>
      <w:r>
        <w:rPr>
          <w:rFonts w:ascii="Arial" w:cs="Arial" w:eastAsia="Arial" w:hAnsi="Arial"/>
          <w:sz w:val="16"/>
          <w:szCs w:val="16"/>
          <w:color w:val="auto"/>
        </w:rPr>
        <w:t>The Exercise Price upon exercise of any Option shall be payable to the Company in full either: (a) in cash or its equivalent, (b) if permitted in the governing Award Agreement, by withholding of Shares deliverable upon exercise or tendering (either actually or by attestation) previously acquired Shares, in each case having an aggregate Fair Market Value at the time of exercise equal to the total Exercise Price, (c) withholding Shares subject to the Option, or (d) any combination of (a), (b) and (c).</w:t>
      </w:r>
    </w:p>
    <w:p>
      <w:pPr>
        <w:spacing w:after="0" w:line="70" w:lineRule="exact"/>
        <w:rPr>
          <w:sz w:val="20"/>
          <w:szCs w:val="20"/>
          <w:color w:val="auto"/>
        </w:rPr>
      </w:pPr>
    </w:p>
    <w:p>
      <w:pPr>
        <w:ind w:left="120" w:right="200" w:firstLine="551"/>
        <w:spacing w:after="0" w:line="286" w:lineRule="auto"/>
        <w:rPr>
          <w:sz w:val="20"/>
          <w:szCs w:val="20"/>
          <w:color w:val="auto"/>
        </w:rPr>
      </w:pPr>
      <w:r>
        <w:rPr>
          <w:rFonts w:ascii="Arial" w:cs="Arial" w:eastAsia="Arial" w:hAnsi="Arial"/>
          <w:sz w:val="16"/>
          <w:szCs w:val="16"/>
          <w:color w:val="auto"/>
        </w:rPr>
        <w:t>The Committee also may allow cashless exercise as permitted under the Federal Reserve Board’s Regulation T, subject to applicable securities law restrictions, or by any other means which the Committee determines to be consistent with the Plan’s purpose and applicable law.</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 Participant shall dispose of Shares acquired through exercise of an ISO within either (i) two (2) years after the date the Option is granted or</w:t>
      </w:r>
    </w:p>
    <w:p>
      <w:pPr>
        <w:spacing w:after="0" w:line="21" w:lineRule="exact"/>
        <w:rPr>
          <w:sz w:val="20"/>
          <w:szCs w:val="20"/>
          <w:color w:val="auto"/>
        </w:rPr>
      </w:pPr>
    </w:p>
    <w:p>
      <w:pPr>
        <w:ind w:left="120" w:right="40" w:hanging="4"/>
        <w:spacing w:after="0" w:line="252" w:lineRule="auto"/>
        <w:tabs>
          <w:tab w:leader="none" w:pos="34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one (1) year after the date the Option is exercised (i.e., in a disqualifying disposition), such Participant shall notify the Company within seven (7) days of the date of such disqualifying disposition. In addition, if a Participant elects, under Code Section 83, to be taxed at the time an Award of Restricted Stock (or other property subject to such Code section) is made, rather than at the time the Award vests, such Participant shall notify the Company of such election within the time period prescribed by law.</w:t>
      </w:r>
    </w:p>
    <w:p>
      <w:pPr>
        <w:spacing w:after="0" w:line="75" w:lineRule="exact"/>
        <w:rPr>
          <w:sz w:val="20"/>
          <w:szCs w:val="20"/>
          <w:color w:val="auto"/>
        </w:rPr>
      </w:pPr>
    </w:p>
    <w:p>
      <w:pPr>
        <w:ind w:left="120" w:right="20" w:firstLine="551"/>
        <w:spacing w:after="0" w:line="259" w:lineRule="auto"/>
        <w:rPr>
          <w:sz w:val="20"/>
          <w:szCs w:val="20"/>
          <w:color w:val="auto"/>
        </w:rPr>
      </w:pPr>
      <w:r>
        <w:rPr>
          <w:rFonts w:ascii="Arial" w:cs="Arial" w:eastAsia="Arial" w:hAnsi="Arial"/>
          <w:sz w:val="16"/>
          <w:szCs w:val="16"/>
          <w:b w:val="1"/>
          <w:bCs w:val="1"/>
          <w:color w:val="auto"/>
        </w:rPr>
        <w:t>6.7</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Restrictions on Share Transferability. </w:t>
      </w:r>
      <w:r>
        <w:rPr>
          <w:rFonts w:ascii="Arial" w:cs="Arial" w:eastAsia="Arial" w:hAnsi="Arial"/>
          <w:sz w:val="16"/>
          <w:szCs w:val="16"/>
          <w:color w:val="auto"/>
        </w:rPr>
        <w:t>The Committee may impose such restrictions on any Shares acquired pursuant to the exercise of a</w:t>
      </w:r>
      <w:r>
        <w:rPr>
          <w:rFonts w:ascii="Arial" w:cs="Arial" w:eastAsia="Arial" w:hAnsi="Arial"/>
          <w:sz w:val="16"/>
          <w:szCs w:val="16"/>
          <w:b w:val="1"/>
          <w:bCs w:val="1"/>
          <w:color w:val="auto"/>
        </w:rPr>
        <w:t xml:space="preserve"> </w:t>
      </w:r>
      <w:r>
        <w:rPr>
          <w:rFonts w:ascii="Arial" w:cs="Arial" w:eastAsia="Arial" w:hAnsi="Arial"/>
          <w:sz w:val="16"/>
          <w:szCs w:val="16"/>
          <w:color w:val="auto"/>
        </w:rPr>
        <w:t>SAR or an Option granted under this Article 6 as it may deem advisable, including, without limitation, restrictions under applicable Federal securities laws, under the requirements of any stock exchange or market upon which such Shares are then listed or traded, and under any blue sky or state securities laws applicable to such Shares.</w:t>
      </w:r>
    </w:p>
    <w:p>
      <w:pPr>
        <w:spacing w:after="0" w:line="70" w:lineRule="exact"/>
        <w:rPr>
          <w:sz w:val="20"/>
          <w:szCs w:val="20"/>
          <w:color w:val="auto"/>
        </w:rPr>
      </w:pPr>
    </w:p>
    <w:p>
      <w:pPr>
        <w:ind w:left="120" w:right="100" w:firstLine="551"/>
        <w:spacing w:after="0" w:line="251" w:lineRule="auto"/>
        <w:rPr>
          <w:sz w:val="20"/>
          <w:szCs w:val="20"/>
          <w:color w:val="auto"/>
        </w:rPr>
      </w:pPr>
      <w:r>
        <w:rPr>
          <w:rFonts w:ascii="Arial" w:cs="Arial" w:eastAsia="Arial" w:hAnsi="Arial"/>
          <w:sz w:val="16"/>
          <w:szCs w:val="16"/>
          <w:b w:val="1"/>
          <w:bCs w:val="1"/>
          <w:color w:val="auto"/>
        </w:rPr>
        <w:t>6.8</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Termination of Employment or Leave of Absence. </w:t>
      </w:r>
      <w:r>
        <w:rPr>
          <w:rFonts w:ascii="Arial" w:cs="Arial" w:eastAsia="Arial" w:hAnsi="Arial"/>
          <w:sz w:val="16"/>
          <w:szCs w:val="16"/>
          <w:color w:val="auto"/>
        </w:rPr>
        <w:t>Except as otherwise approved by the Committee and set forth in the pertinent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in the event that a Participant who is an Employee has been on leave of absence for a period of greater than twelve (12) consecutive months (except a leave of absence approved by the Board or the Committee, as the case may be), or ceases to be an Employee of the Company or of any Subsidiary for any reason, including retirement, the portion of any SAR or Option which is not exercisable on the date on which the Participant ceased to be an Employee or has been on leave for over twelve (12) consecutive months (except a leave of absence approved by the Board or the Committee, as the case may be) shall expire on such date and any unexercised portion thereof which was otherwise exercisable on such date shall expire unless exercised within a period of three (3) months from such date, but in no event after the expiration of the term for which the SAR or Option was granted; provided, however, that in the case of an awardee of a SAR or a NQSO who is an “Approved Retiree” (as hereinafter defined), the SAR or NQSO shall continue to vest for up to five (5) years from the</w:t>
      </w:r>
    </w:p>
    <w:p>
      <w:pPr>
        <w:spacing w:after="0" w:line="119" w:lineRule="exact"/>
        <w:rPr>
          <w:sz w:val="20"/>
          <w:szCs w:val="20"/>
          <w:color w:val="auto"/>
        </w:rPr>
      </w:pPr>
    </w:p>
    <w:p>
      <w:pPr>
        <w:ind w:left="120"/>
        <w:spacing w:after="0"/>
        <w:tabs>
          <w:tab w:leader="none" w:pos="5340" w:val="left"/>
          <w:tab w:leader="none" w:pos="7820" w:val="left"/>
        </w:tabs>
        <w:rPr>
          <w:sz w:val="20"/>
          <w:szCs w:val="20"/>
          <w:color w:val="auto"/>
        </w:rPr>
      </w:pPr>
      <w:r>
        <w:rPr>
          <w:rFonts w:ascii="Arial" w:cs="Arial" w:eastAsia="Arial" w:hAnsi="Arial"/>
          <w:sz w:val="11"/>
          <w:szCs w:val="11"/>
          <w:b w:val="1"/>
          <w:bCs w:val="1"/>
          <w:color w:val="003A70"/>
        </w:rPr>
        <w:t>B-6</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date of retirement and said awardee may exercise such SAR or NQSO, as applicable, until the soonest to occur of (i) the expiration of such SAR or NQSO in accordance with its original term; (ii) the expiration of five (5) years from the date of retirement; or (iii) with respect to SARs or Options granted less than one year before the date the Approved Retiree retires, expiration of the SAR or Option on such retirement date, except not with respect to that portion of the SARs or Options equal to such number of shares multiplied by the ratio of (I) the number of days between the grant date and the retirement date inclusive, over (II) the number of days in the twelve (12) month period following the grant date.</w:t>
      </w:r>
    </w:p>
    <w:p>
      <w:pPr>
        <w:spacing w:after="0" w:line="72" w:lineRule="exact"/>
        <w:rPr>
          <w:sz w:val="20"/>
          <w:szCs w:val="20"/>
          <w:color w:val="auto"/>
        </w:rPr>
      </w:pPr>
    </w:p>
    <w:p>
      <w:pPr>
        <w:jc w:val="both"/>
        <w:ind w:left="120" w:right="100" w:firstLine="551"/>
        <w:spacing w:after="0" w:line="259" w:lineRule="auto"/>
        <w:rPr>
          <w:sz w:val="20"/>
          <w:szCs w:val="20"/>
          <w:color w:val="auto"/>
        </w:rPr>
      </w:pPr>
      <w:r>
        <w:rPr>
          <w:rFonts w:ascii="Arial" w:cs="Arial" w:eastAsia="Arial" w:hAnsi="Arial"/>
          <w:sz w:val="16"/>
          <w:szCs w:val="16"/>
          <w:color w:val="auto"/>
        </w:rPr>
        <w:t>Notwithstanding the preceding paragraph, if the Committee subsequently determines, in its Discretion, that an Approved Retiree has violated the provisions of the agreement to refrain from Engaging in Competition, or has engaged in willful acts or omissions or acts or omissions of gross negligence that are or potentially are injurious to the Company’s operations, financial condition or business reputation, whether occurring before or after termination of employment, all SARs and Options shall be cancelled without consideration immediately.</w:t>
      </w:r>
    </w:p>
    <w:p>
      <w:pPr>
        <w:spacing w:after="0" w:line="70" w:lineRule="exact"/>
        <w:rPr>
          <w:sz w:val="20"/>
          <w:szCs w:val="20"/>
          <w:color w:val="auto"/>
        </w:rPr>
      </w:pPr>
    </w:p>
    <w:p>
      <w:pPr>
        <w:ind w:left="120" w:right="60" w:firstLine="551"/>
        <w:spacing w:after="0" w:line="259" w:lineRule="auto"/>
        <w:rPr>
          <w:sz w:val="20"/>
          <w:szCs w:val="20"/>
          <w:color w:val="auto"/>
        </w:rPr>
      </w:pPr>
      <w:r>
        <w:rPr>
          <w:rFonts w:ascii="Arial" w:cs="Arial" w:eastAsia="Arial" w:hAnsi="Arial"/>
          <w:sz w:val="16"/>
          <w:szCs w:val="16"/>
          <w:color w:val="auto"/>
        </w:rPr>
        <w:t>In the event of the death of an awardee during the three (3) month period described above for exercise of a SAR or an Option by a terminated awardee or one on leave for over twelve (12) months (except a leave of absence approved by the Board or the Committee, as the case may be), the Option shall be exercisable by the awardee’s personal representatives, heirs or legatees to the same extent and during the same period that the awardee could have exercised the SAR or Option if the awardee had not died.</w:t>
      </w:r>
    </w:p>
    <w:p>
      <w:pPr>
        <w:spacing w:after="0" w:line="70" w:lineRule="exact"/>
        <w:rPr>
          <w:sz w:val="20"/>
          <w:szCs w:val="20"/>
          <w:color w:val="auto"/>
        </w:rPr>
      </w:pPr>
    </w:p>
    <w:p>
      <w:pPr>
        <w:ind w:left="120" w:right="120" w:firstLine="551"/>
        <w:spacing w:after="0" w:line="256" w:lineRule="auto"/>
        <w:rPr>
          <w:sz w:val="20"/>
          <w:szCs w:val="20"/>
          <w:color w:val="auto"/>
        </w:rPr>
      </w:pPr>
      <w:r>
        <w:rPr>
          <w:rFonts w:ascii="Arial" w:cs="Arial" w:eastAsia="Arial" w:hAnsi="Arial"/>
          <w:sz w:val="16"/>
          <w:szCs w:val="16"/>
          <w:color w:val="auto"/>
        </w:rPr>
        <w:t>Notwithstanding anything in this Article 6.8 to the contrary, in the event of the death of an awardee while an Employee or Approved Retiree of the Company or any Subsidiary, an outstanding SAR or Option held by such awardee upon death shall become fully vested upon death and shall be exercisable by the awardee’s personal representatives, heirs or legatees at any time prior to the expiration of one (1) year from the date of death of the awardee (or three (3) years if the awardee died while an Employee), but in no event after the expiration of the term for which the SAR or Option was granted.</w:t>
      </w:r>
    </w:p>
    <w:p>
      <w:pPr>
        <w:spacing w:after="0" w:line="72" w:lineRule="exact"/>
        <w:rPr>
          <w:sz w:val="20"/>
          <w:szCs w:val="20"/>
          <w:color w:val="auto"/>
        </w:rPr>
      </w:pPr>
    </w:p>
    <w:p>
      <w:pPr>
        <w:ind w:left="120" w:right="80" w:firstLine="551"/>
        <w:spacing w:after="0" w:line="266" w:lineRule="auto"/>
        <w:rPr>
          <w:sz w:val="20"/>
          <w:szCs w:val="20"/>
          <w:color w:val="auto"/>
        </w:rPr>
      </w:pPr>
      <w:r>
        <w:rPr>
          <w:rFonts w:ascii="Arial" w:cs="Arial" w:eastAsia="Arial" w:hAnsi="Arial"/>
          <w:sz w:val="16"/>
          <w:szCs w:val="16"/>
          <w:b w:val="1"/>
          <w:bCs w:val="1"/>
          <w:color w:val="auto"/>
        </w:rPr>
        <w:t xml:space="preserve">6.9    Nontransferability of SARs and Options. </w:t>
      </w:r>
      <w:r>
        <w:rPr>
          <w:rFonts w:ascii="Arial" w:cs="Arial" w:eastAsia="Arial" w:hAnsi="Arial"/>
          <w:sz w:val="16"/>
          <w:szCs w:val="16"/>
          <w:color w:val="auto"/>
        </w:rPr>
        <w:t>No SAR, NQSO or ISO granted under the Plan may be sold, transferred, pledged, assigned,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alienated or hypothecated, other than by will or by the laws of descent and distribution. Further, all SARS, NQSOs and ISOs granted to a Participant under the Plan shall be exercisable during his or her lifetime only by such Participant.</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7     Restricted Stock</w:t>
      </w:r>
    </w:p>
    <w:p>
      <w:pPr>
        <w:spacing w:after="0" w:line="110" w:lineRule="exact"/>
        <w:rPr>
          <w:sz w:val="20"/>
          <w:szCs w:val="20"/>
          <w:color w:val="auto"/>
        </w:rPr>
      </w:pPr>
    </w:p>
    <w:p>
      <w:pPr>
        <w:ind w:left="120" w:right="200" w:firstLine="551"/>
        <w:spacing w:after="0" w:line="286" w:lineRule="auto"/>
        <w:rPr>
          <w:sz w:val="20"/>
          <w:szCs w:val="20"/>
          <w:color w:val="auto"/>
        </w:rPr>
      </w:pPr>
      <w:r>
        <w:rPr>
          <w:rFonts w:ascii="Arial" w:cs="Arial" w:eastAsia="Arial" w:hAnsi="Arial"/>
          <w:sz w:val="16"/>
          <w:szCs w:val="16"/>
          <w:b w:val="1"/>
          <w:bCs w:val="1"/>
          <w:color w:val="auto"/>
        </w:rPr>
        <w:t>7.1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Grant of Restricted Stock. </w:t>
      </w:r>
      <w:r>
        <w:rPr>
          <w:rFonts w:ascii="Arial" w:cs="Arial" w:eastAsia="Arial" w:hAnsi="Arial"/>
          <w:sz w:val="16"/>
          <w:szCs w:val="16"/>
          <w:color w:val="auto"/>
        </w:rPr>
        <w:t>Subject to the terms and provisions of the Plan, the Committee, at any time and from time to time, may grant</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Restricted Stock to Employees in such amounts as the Committee shall determine.</w:t>
      </w:r>
    </w:p>
    <w:p>
      <w:pPr>
        <w:spacing w:after="0" w:line="48" w:lineRule="exact"/>
        <w:rPr>
          <w:sz w:val="20"/>
          <w:szCs w:val="20"/>
          <w:color w:val="auto"/>
        </w:rPr>
      </w:pPr>
    </w:p>
    <w:p>
      <w:pPr>
        <w:ind w:left="120" w:right="200" w:firstLine="551"/>
        <w:spacing w:after="0" w:line="286" w:lineRule="auto"/>
        <w:rPr>
          <w:sz w:val="20"/>
          <w:szCs w:val="20"/>
          <w:color w:val="auto"/>
        </w:rPr>
      </w:pPr>
      <w:r>
        <w:rPr>
          <w:rFonts w:ascii="Arial" w:cs="Arial" w:eastAsia="Arial" w:hAnsi="Arial"/>
          <w:sz w:val="16"/>
          <w:szCs w:val="16"/>
          <w:b w:val="1"/>
          <w:bCs w:val="1"/>
          <w:color w:val="auto"/>
        </w:rPr>
        <w:t>7.2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Restricted Stock Agreement. </w:t>
      </w:r>
      <w:r>
        <w:rPr>
          <w:rFonts w:ascii="Arial" w:cs="Arial" w:eastAsia="Arial" w:hAnsi="Arial"/>
          <w:sz w:val="16"/>
          <w:szCs w:val="16"/>
          <w:color w:val="auto"/>
        </w:rPr>
        <w:t>Each Restricted Stock grant shall be evidenced by a Restricted Stock Award Agreement that shall specify</w:t>
      </w:r>
      <w:r>
        <w:rPr>
          <w:rFonts w:ascii="Arial" w:cs="Arial" w:eastAsia="Arial" w:hAnsi="Arial"/>
          <w:sz w:val="16"/>
          <w:szCs w:val="16"/>
          <w:b w:val="1"/>
          <w:bCs w:val="1"/>
          <w:color w:val="auto"/>
        </w:rPr>
        <w:t xml:space="preserve"> </w:t>
      </w:r>
      <w:r>
        <w:rPr>
          <w:rFonts w:ascii="Arial" w:cs="Arial" w:eastAsia="Arial" w:hAnsi="Arial"/>
          <w:sz w:val="16"/>
          <w:szCs w:val="16"/>
          <w:color w:val="auto"/>
        </w:rPr>
        <w:t>the Period(s) of Restriction, the number of Shares of Restricted Stock granted, and such other provisions as the Committee shall determine.</w:t>
      </w:r>
    </w:p>
    <w:p>
      <w:pPr>
        <w:spacing w:after="0" w:line="48" w:lineRule="exact"/>
        <w:rPr>
          <w:sz w:val="20"/>
          <w:szCs w:val="20"/>
          <w:color w:val="auto"/>
        </w:rPr>
      </w:pPr>
    </w:p>
    <w:p>
      <w:pPr>
        <w:ind w:left="120" w:right="320" w:firstLine="551"/>
        <w:spacing w:after="0" w:line="256" w:lineRule="auto"/>
        <w:rPr>
          <w:sz w:val="20"/>
          <w:szCs w:val="20"/>
          <w:color w:val="auto"/>
        </w:rPr>
      </w:pPr>
      <w:r>
        <w:rPr>
          <w:rFonts w:ascii="Arial" w:cs="Arial" w:eastAsia="Arial" w:hAnsi="Arial"/>
          <w:sz w:val="16"/>
          <w:szCs w:val="16"/>
          <w:b w:val="1"/>
          <w:bCs w:val="1"/>
          <w:color w:val="auto"/>
        </w:rPr>
        <w:t>7.3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Transferability. </w:t>
      </w:r>
      <w:r>
        <w:rPr>
          <w:rFonts w:ascii="Arial" w:cs="Arial" w:eastAsia="Arial" w:hAnsi="Arial"/>
          <w:sz w:val="16"/>
          <w:szCs w:val="16"/>
          <w:color w:val="auto"/>
        </w:rPr>
        <w:t>Except as provided in this Article 7, the Shares of Restricted Stock granted hereunder may not be sold, transferred,</w:t>
      </w:r>
      <w:r>
        <w:rPr>
          <w:rFonts w:ascii="Arial" w:cs="Arial" w:eastAsia="Arial" w:hAnsi="Arial"/>
          <w:sz w:val="16"/>
          <w:szCs w:val="16"/>
          <w:b w:val="1"/>
          <w:bCs w:val="1"/>
          <w:color w:val="auto"/>
        </w:rPr>
        <w:t xml:space="preserve"> </w:t>
      </w:r>
      <w:r>
        <w:rPr>
          <w:rFonts w:ascii="Arial" w:cs="Arial" w:eastAsia="Arial" w:hAnsi="Arial"/>
          <w:sz w:val="16"/>
          <w:szCs w:val="16"/>
          <w:color w:val="auto"/>
        </w:rPr>
        <w:t>pledged, assigned, or otherwise alienated or hypothecated until the end of the applicable Period of Restriction established by the Committee and specified in the Restricted Stock Award Agreement, or upon earlier satisfaction of any other conditions, as specified by the Committee in its Discretion and set forth in the Restricted Stock Award Agreement. All rights with respect to the Restricted Stock granted to a Participant under the Plan shall be available during his or her lifetime only to such Participant.</w:t>
      </w:r>
    </w:p>
    <w:p>
      <w:pPr>
        <w:spacing w:after="0" w:line="72" w:lineRule="exact"/>
        <w:rPr>
          <w:sz w:val="20"/>
          <w:szCs w:val="20"/>
          <w:color w:val="auto"/>
        </w:rPr>
      </w:pPr>
    </w:p>
    <w:p>
      <w:pPr>
        <w:ind w:left="120" w:right="20" w:firstLine="551"/>
        <w:spacing w:after="0" w:line="259" w:lineRule="auto"/>
        <w:rPr>
          <w:sz w:val="20"/>
          <w:szCs w:val="20"/>
          <w:color w:val="auto"/>
        </w:rPr>
      </w:pPr>
      <w:r>
        <w:rPr>
          <w:rFonts w:ascii="Arial" w:cs="Arial" w:eastAsia="Arial" w:hAnsi="Arial"/>
          <w:sz w:val="16"/>
          <w:szCs w:val="16"/>
          <w:b w:val="1"/>
          <w:bCs w:val="1"/>
          <w:color w:val="auto"/>
        </w:rPr>
        <w:t>7.4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Other Restrictions</w:t>
      </w:r>
      <w:r>
        <w:rPr>
          <w:rFonts w:ascii="Arial" w:cs="Arial" w:eastAsia="Arial" w:hAnsi="Arial"/>
          <w:sz w:val="16"/>
          <w:szCs w:val="16"/>
          <w:color w:val="auto"/>
        </w:rPr>
        <w:t>. The Committee shall impose such conditions and/or restrictions on any Shares of Restricted Stock granted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as it may deem advisable including, without limitation, a requirement that Participants pay a stipulated purchase price for each Share of Restricted Stock, restrictions based upon the achievement of specific performance objectives (Company-wide, business unit, and/or individual), time-based restrictions on vesting following the attainment of the performance objectives, and/or restrictions under applicable Federal or state securities laws.</w:t>
      </w:r>
    </w:p>
    <w:p>
      <w:pPr>
        <w:spacing w:after="0" w:line="70" w:lineRule="exact"/>
        <w:rPr>
          <w:sz w:val="20"/>
          <w:szCs w:val="20"/>
          <w:color w:val="auto"/>
        </w:rPr>
      </w:pPr>
    </w:p>
    <w:p>
      <w:pPr>
        <w:jc w:val="both"/>
        <w:ind w:left="120" w:right="180" w:firstLine="551"/>
        <w:spacing w:after="0" w:line="259" w:lineRule="auto"/>
        <w:rPr>
          <w:sz w:val="20"/>
          <w:szCs w:val="20"/>
          <w:color w:val="auto"/>
        </w:rPr>
      </w:pPr>
      <w:r>
        <w:rPr>
          <w:rFonts w:ascii="Arial" w:cs="Arial" w:eastAsia="Arial" w:hAnsi="Arial"/>
          <w:sz w:val="16"/>
          <w:szCs w:val="16"/>
          <w:color w:val="auto"/>
        </w:rPr>
        <w:t>The Company may retain the certificates representing Shares of Restricted Stock in the Company’s possession until such time as all conditions and/or restrictions applicable to such Shares have been satisfied or may issue Shares of Restricted Stock that bear such legends or that are subject to such stop transfer orders as the Company may deem advisable to effectuate the Award, applicable laws, rules or regulations or the requirements of any national securities exchange.</w:t>
      </w:r>
    </w:p>
    <w:p>
      <w:pPr>
        <w:spacing w:after="0" w:line="70" w:lineRule="exact"/>
        <w:rPr>
          <w:sz w:val="20"/>
          <w:szCs w:val="20"/>
          <w:color w:val="auto"/>
        </w:rPr>
      </w:pPr>
    </w:p>
    <w:p>
      <w:pPr>
        <w:ind w:left="120" w:right="460" w:firstLine="551"/>
        <w:spacing w:after="0" w:line="286" w:lineRule="auto"/>
        <w:rPr>
          <w:sz w:val="20"/>
          <w:szCs w:val="20"/>
          <w:color w:val="auto"/>
        </w:rPr>
      </w:pPr>
      <w:r>
        <w:rPr>
          <w:rFonts w:ascii="Arial" w:cs="Arial" w:eastAsia="Arial" w:hAnsi="Arial"/>
          <w:sz w:val="16"/>
          <w:szCs w:val="16"/>
          <w:color w:val="auto"/>
        </w:rPr>
        <w:t>Except as otherwise provided in this Article 7, Shares of Restricted Stock covered by each Restricted Stock grant made under the Plan shall become freely transferable by the Participant after the last day of the applicable Period of Restriction.</w:t>
      </w:r>
    </w:p>
    <w:p>
      <w:pPr>
        <w:spacing w:after="0" w:line="48" w:lineRule="exact"/>
        <w:rPr>
          <w:sz w:val="20"/>
          <w:szCs w:val="20"/>
          <w:color w:val="auto"/>
        </w:rPr>
      </w:pPr>
    </w:p>
    <w:p>
      <w:pPr>
        <w:jc w:val="both"/>
        <w:ind w:left="120" w:right="160" w:firstLine="551"/>
        <w:spacing w:after="0" w:line="259" w:lineRule="auto"/>
        <w:rPr>
          <w:sz w:val="20"/>
          <w:szCs w:val="20"/>
          <w:color w:val="auto"/>
        </w:rPr>
      </w:pPr>
      <w:r>
        <w:rPr>
          <w:rFonts w:ascii="Arial" w:cs="Arial" w:eastAsia="Arial" w:hAnsi="Arial"/>
          <w:sz w:val="16"/>
          <w:szCs w:val="16"/>
          <w:color w:val="auto"/>
        </w:rPr>
        <w:t>The vesting of and distribution of Shares of Restricted Stock is conditioned upon the Participant not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 whether occurring before or after termination of employment.</w:t>
      </w:r>
    </w:p>
    <w:p>
      <w:pPr>
        <w:spacing w:after="0" w:line="70" w:lineRule="exact"/>
        <w:rPr>
          <w:sz w:val="20"/>
          <w:szCs w:val="20"/>
          <w:color w:val="auto"/>
        </w:rPr>
      </w:pPr>
    </w:p>
    <w:p>
      <w:pPr>
        <w:ind w:left="120" w:right="60" w:firstLine="551"/>
        <w:spacing w:after="0" w:line="286" w:lineRule="auto"/>
        <w:rPr>
          <w:sz w:val="20"/>
          <w:szCs w:val="20"/>
          <w:color w:val="auto"/>
        </w:rPr>
      </w:pPr>
      <w:r>
        <w:rPr>
          <w:rFonts w:ascii="Arial" w:cs="Arial" w:eastAsia="Arial" w:hAnsi="Arial"/>
          <w:sz w:val="16"/>
          <w:szCs w:val="16"/>
          <w:b w:val="1"/>
          <w:bCs w:val="1"/>
          <w:color w:val="auto"/>
        </w:rPr>
        <w:t>7.5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Voting Rights. </w:t>
      </w:r>
      <w:r>
        <w:rPr>
          <w:rFonts w:ascii="Arial" w:cs="Arial" w:eastAsia="Arial" w:hAnsi="Arial"/>
          <w:sz w:val="16"/>
          <w:szCs w:val="16"/>
          <w:color w:val="auto"/>
        </w:rPr>
        <w:t>During the Period of Restriction, Participants holding Shares of Restricted Stock granted hereunder may exercise full voting</w:t>
      </w:r>
      <w:r>
        <w:rPr>
          <w:rFonts w:ascii="Arial" w:cs="Arial" w:eastAsia="Arial" w:hAnsi="Arial"/>
          <w:sz w:val="16"/>
          <w:szCs w:val="16"/>
          <w:b w:val="1"/>
          <w:bCs w:val="1"/>
          <w:color w:val="auto"/>
        </w:rPr>
        <w:t xml:space="preserve"> </w:t>
      </w:r>
      <w:r>
        <w:rPr>
          <w:rFonts w:ascii="Arial" w:cs="Arial" w:eastAsia="Arial" w:hAnsi="Arial"/>
          <w:sz w:val="16"/>
          <w:szCs w:val="16"/>
          <w:color w:val="auto"/>
        </w:rPr>
        <w:t>rights with respect to those Shares.</w:t>
      </w:r>
    </w:p>
    <w:p>
      <w:pPr>
        <w:spacing w:after="0" w:line="48" w:lineRule="exact"/>
        <w:rPr>
          <w:sz w:val="20"/>
          <w:szCs w:val="20"/>
          <w:color w:val="auto"/>
        </w:rPr>
      </w:pPr>
    </w:p>
    <w:p>
      <w:pPr>
        <w:ind w:left="120" w:right="200" w:firstLine="551"/>
        <w:spacing w:after="0" w:line="259" w:lineRule="auto"/>
        <w:rPr>
          <w:sz w:val="20"/>
          <w:szCs w:val="20"/>
          <w:color w:val="auto"/>
        </w:rPr>
      </w:pPr>
      <w:r>
        <w:rPr>
          <w:rFonts w:ascii="Arial" w:cs="Arial" w:eastAsia="Arial" w:hAnsi="Arial"/>
          <w:sz w:val="16"/>
          <w:szCs w:val="16"/>
          <w:b w:val="1"/>
          <w:bCs w:val="1"/>
          <w:color w:val="auto"/>
        </w:rPr>
        <w:t>7.6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Dividends and Other Distributions. </w:t>
      </w:r>
      <w:r>
        <w:rPr>
          <w:rFonts w:ascii="Arial" w:cs="Arial" w:eastAsia="Arial" w:hAnsi="Arial"/>
          <w:sz w:val="16"/>
          <w:szCs w:val="16"/>
          <w:color w:val="auto"/>
        </w:rPr>
        <w:t>During the Period of Restriction, Participants holding Shares of Restricted Stock granted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credited with regular dividends paid with respect to the underlying Shares while they are so held. Such dividends shall be converted into additional shares of Restricted Stock or deferred until such Restricted Stock vests, upon such terms as the Committee establishes, but in no event will any dividends be paid on unvested Restricted Stock.</w:t>
      </w:r>
    </w:p>
    <w:p>
      <w:pPr>
        <w:spacing w:after="0" w:line="70" w:lineRule="exact"/>
        <w:rPr>
          <w:sz w:val="20"/>
          <w:szCs w:val="20"/>
          <w:color w:val="auto"/>
        </w:rPr>
      </w:pPr>
    </w:p>
    <w:p>
      <w:pPr>
        <w:ind w:left="120" w:right="60" w:firstLine="551"/>
        <w:spacing w:after="0" w:line="266" w:lineRule="auto"/>
        <w:rPr>
          <w:sz w:val="20"/>
          <w:szCs w:val="20"/>
          <w:color w:val="auto"/>
        </w:rPr>
      </w:pPr>
      <w:r>
        <w:rPr>
          <w:rFonts w:ascii="Arial" w:cs="Arial" w:eastAsia="Arial" w:hAnsi="Arial"/>
          <w:sz w:val="16"/>
          <w:szCs w:val="16"/>
          <w:color w:val="auto"/>
        </w:rPr>
        <w:t>The Committee may apply any additional restrictions to the dividends that the Committee deems appropriate. Without limiting the generality of the preceding sentence, if Restricted Stock is contingent on a performance condition, any dividends relating to such Restricted Stock may also be made subject to such performance conditions.</w:t>
      </w:r>
    </w:p>
    <w:p>
      <w:pPr>
        <w:spacing w:after="0" w:line="105" w:lineRule="exact"/>
        <w:rPr>
          <w:sz w:val="20"/>
          <w:szCs w:val="20"/>
          <w:color w:val="auto"/>
        </w:rPr>
      </w:pPr>
    </w:p>
    <w:p>
      <w:pPr>
        <w:ind w:left="120"/>
        <w:spacing w:after="0"/>
        <w:tabs>
          <w:tab w:leader="none" w:pos="534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003A70"/>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6"/>
          <w:szCs w:val="16"/>
          <w:b w:val="1"/>
          <w:bCs w:val="1"/>
          <w:color w:val="auto"/>
        </w:rPr>
        <w:t>7.7</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Termination of Employment. </w:t>
      </w:r>
      <w:r>
        <w:rPr>
          <w:rFonts w:ascii="Arial" w:cs="Arial" w:eastAsia="Arial" w:hAnsi="Arial"/>
          <w:sz w:val="16"/>
          <w:szCs w:val="16"/>
          <w:color w:val="auto"/>
        </w:rPr>
        <w:t>Except as otherwise approved by the Committee and set forth in the pertinent Award Agreement(s), (a) in</w:t>
      </w:r>
      <w:r>
        <w:rPr>
          <w:rFonts w:ascii="Arial" w:cs="Arial" w:eastAsia="Arial" w:hAnsi="Arial"/>
          <w:sz w:val="16"/>
          <w:szCs w:val="16"/>
          <w:b w:val="1"/>
          <w:bCs w:val="1"/>
          <w:color w:val="auto"/>
        </w:rPr>
        <w:t xml:space="preserve"> </w:t>
      </w:r>
      <w:r>
        <w:rPr>
          <w:rFonts w:ascii="Arial" w:cs="Arial" w:eastAsia="Arial" w:hAnsi="Arial"/>
          <w:sz w:val="16"/>
          <w:szCs w:val="16"/>
          <w:color w:val="auto"/>
        </w:rPr>
        <w:t>the event that a Participant’s employment with the Company is terminated during the Period of Restriction because the Participant is an Approved Retiree, the Committee shall have Discretion in determining the percentage, if any, of a Participant’s outstanding Shares of Restricted Stock as to which the Period of Restriction shall end; (b) in the event a Participant’s employment with the Company is terminated because of the Participant’s Disability or death during the Period of Restriction, the Period of Restriction shall end and, in the case of death, the Participant’s rights thereunder shall inure to the benefit of his or her Beneficiary; and (c) in the event that a Participant’s employment with the Company is terminated for any other reason during the Period of Restriction, such Participant’s outstanding Shares of Restricted Stock shall be forfeited to the Company without payment.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8     Restricted Stock Units</w:t>
      </w:r>
    </w:p>
    <w:p>
      <w:pPr>
        <w:spacing w:after="0" w:line="110" w:lineRule="exact"/>
        <w:rPr>
          <w:sz w:val="20"/>
          <w:szCs w:val="20"/>
          <w:color w:val="auto"/>
        </w:rPr>
      </w:pPr>
    </w:p>
    <w:p>
      <w:pPr>
        <w:ind w:left="120" w:right="320" w:firstLine="551"/>
        <w:spacing w:after="0" w:line="286" w:lineRule="auto"/>
        <w:rPr>
          <w:sz w:val="20"/>
          <w:szCs w:val="20"/>
          <w:color w:val="auto"/>
        </w:rPr>
      </w:pPr>
      <w:r>
        <w:rPr>
          <w:rFonts w:ascii="Arial" w:cs="Arial" w:eastAsia="Arial" w:hAnsi="Arial"/>
          <w:sz w:val="16"/>
          <w:szCs w:val="16"/>
          <w:b w:val="1"/>
          <w:bCs w:val="1"/>
          <w:color w:val="auto"/>
        </w:rPr>
        <w:t>8.1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RSUs. </w:t>
      </w:r>
      <w:r>
        <w:rPr>
          <w:rFonts w:ascii="Arial" w:cs="Arial" w:eastAsia="Arial" w:hAnsi="Arial"/>
          <w:sz w:val="16"/>
          <w:szCs w:val="16"/>
          <w:color w:val="auto"/>
        </w:rPr>
        <w:t>Subject to the terms and conditions of the Plan, the Committee, at any time and from time to time, may grant Awards of RSUs to</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Employees in such amounts as the Committee shall determine.</w:t>
      </w:r>
    </w:p>
    <w:p>
      <w:pPr>
        <w:spacing w:after="0" w:line="48" w:lineRule="exact"/>
        <w:rPr>
          <w:sz w:val="20"/>
          <w:szCs w:val="20"/>
          <w:color w:val="auto"/>
        </w:rPr>
      </w:pPr>
    </w:p>
    <w:p>
      <w:pPr>
        <w:ind w:left="120" w:right="20" w:firstLine="551"/>
        <w:spacing w:after="0" w:line="250" w:lineRule="auto"/>
        <w:rPr>
          <w:sz w:val="20"/>
          <w:szCs w:val="20"/>
          <w:color w:val="auto"/>
        </w:rPr>
      </w:pPr>
      <w:r>
        <w:rPr>
          <w:rFonts w:ascii="Arial" w:cs="Arial" w:eastAsia="Arial" w:hAnsi="Arial"/>
          <w:sz w:val="16"/>
          <w:szCs w:val="16"/>
          <w:b w:val="1"/>
          <w:bCs w:val="1"/>
          <w:color w:val="auto"/>
        </w:rPr>
        <w:t>8.2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RSU and Common Stock Rights. </w:t>
      </w:r>
      <w:r>
        <w:rPr>
          <w:rFonts w:ascii="Arial" w:cs="Arial" w:eastAsia="Arial" w:hAnsi="Arial"/>
          <w:sz w:val="16"/>
          <w:szCs w:val="16"/>
          <w:color w:val="auto"/>
        </w:rPr>
        <w:t>RSUs shall represent an Employee’s unsecured right to receive from the Company the transfer of title to</w:t>
      </w:r>
      <w:r>
        <w:rPr>
          <w:rFonts w:ascii="Arial" w:cs="Arial" w:eastAsia="Arial" w:hAnsi="Arial"/>
          <w:sz w:val="16"/>
          <w:szCs w:val="16"/>
          <w:b w:val="1"/>
          <w:bCs w:val="1"/>
          <w:color w:val="auto"/>
        </w:rPr>
        <w:t xml:space="preserve"> </w:t>
      </w:r>
      <w:r>
        <w:rPr>
          <w:rFonts w:ascii="Arial" w:cs="Arial" w:eastAsia="Arial" w:hAnsi="Arial"/>
          <w:sz w:val="16"/>
          <w:szCs w:val="16"/>
          <w:color w:val="auto"/>
        </w:rPr>
        <w:t>Shares subject to the vesting schedule referenced in Article 8.3 below, provided that the Employee has satisfied the conditions of transfer set forth in Article 8.4 below. On each such vesting date, if it occurs, the Company shall transfer a corresponding number of Shares to an individual brokerage account established and maintained in the Employee’s name. The Employee shall have all the rights of a stockholder with respect to such Shares transferred to the brokerage account, including but not limited to the right to vote the Shares, to sell, transfer, liquidate or otherwise dispose of the Shares, and to receive all dividends or other distributions paid or made with respect to the Shares from the time they are deposited in the account. The Employee shall have no voting, transfer, liquidation, or other rights of a Share stockholder with respect to RSUs prior to such time that the corresponding Shares are transferred, if at all, to the Employee’s brokerage account. Notwithstanding the foregoing, RSU’s may be granted with dividend equivalent rights at the Discretion of the Committee and the Committee shall provide whether such dividend equivalents will be converted into additional RSUs (subject to the same terms and conditions as the underlying RSUs to which they relate) or deferred until such RSUs vest, but in no event will any dividends equivalents be paid with respect to unvested RSUs.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8.3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Vesting in RSUs. </w:t>
      </w:r>
      <w:r>
        <w:rPr>
          <w:rFonts w:ascii="Arial" w:cs="Arial" w:eastAsia="Arial" w:hAnsi="Arial"/>
          <w:sz w:val="16"/>
          <w:szCs w:val="16"/>
          <w:color w:val="auto"/>
        </w:rPr>
        <w:t>RSU Awards shall become vested in accordance with the vesting provisions set forth in the pertinent Award Agreement.</w:t>
      </w:r>
    </w:p>
    <w:p>
      <w:pPr>
        <w:spacing w:after="0" w:line="113" w:lineRule="exact"/>
        <w:rPr>
          <w:sz w:val="20"/>
          <w:szCs w:val="20"/>
          <w:color w:val="auto"/>
        </w:rPr>
      </w:pPr>
    </w:p>
    <w:p>
      <w:pPr>
        <w:ind w:left="120" w:right="40" w:firstLine="551"/>
        <w:spacing w:after="0" w:line="286" w:lineRule="auto"/>
        <w:rPr>
          <w:sz w:val="20"/>
          <w:szCs w:val="20"/>
          <w:color w:val="auto"/>
        </w:rPr>
      </w:pPr>
      <w:r>
        <w:rPr>
          <w:rFonts w:ascii="Arial" w:cs="Arial" w:eastAsia="Arial" w:hAnsi="Arial"/>
          <w:sz w:val="16"/>
          <w:szCs w:val="16"/>
          <w:b w:val="1"/>
          <w:bCs w:val="1"/>
          <w:color w:val="auto"/>
        </w:rPr>
        <w:t>8.4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Conditions of Transfer. </w:t>
      </w:r>
      <w:r>
        <w:rPr>
          <w:rFonts w:ascii="Arial" w:cs="Arial" w:eastAsia="Arial" w:hAnsi="Arial"/>
          <w:sz w:val="16"/>
          <w:szCs w:val="16"/>
          <w:color w:val="auto"/>
        </w:rPr>
        <w:t>A transfer of Shares in accordance with Article 8.2 above shall be conditioned upon the Employee meeting both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conditions during the entire period from the grant date through the vesting date(s) relating to such RSUs:</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The Employee must continue to be an active employee of the Company or one of its Subsidiaries; and</w:t>
      </w:r>
    </w:p>
    <w:p>
      <w:pPr>
        <w:spacing w:after="0" w:line="113" w:lineRule="exact"/>
        <w:rPr>
          <w:sz w:val="20"/>
          <w:szCs w:val="20"/>
          <w:color w:val="auto"/>
        </w:rPr>
      </w:pPr>
    </w:p>
    <w:p>
      <w:pPr>
        <w:ind w:left="120" w:right="180" w:firstLine="551"/>
        <w:spacing w:after="0" w:line="266" w:lineRule="auto"/>
        <w:rPr>
          <w:sz w:val="20"/>
          <w:szCs w:val="20"/>
          <w:color w:val="auto"/>
        </w:rPr>
      </w:pPr>
      <w:r>
        <w:rPr>
          <w:rFonts w:ascii="Arial" w:cs="Arial" w:eastAsia="Arial" w:hAnsi="Arial"/>
          <w:sz w:val="16"/>
          <w:szCs w:val="16"/>
          <w:color w:val="auto"/>
        </w:rPr>
        <w:t>(b)    The Employee must refrain from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 whether occurring before or after termination of employment.</w:t>
      </w:r>
    </w:p>
    <w:p>
      <w:pPr>
        <w:spacing w:after="0" w:line="63" w:lineRule="exact"/>
        <w:rPr>
          <w:sz w:val="20"/>
          <w:szCs w:val="20"/>
          <w:color w:val="auto"/>
        </w:rPr>
      </w:pPr>
    </w:p>
    <w:p>
      <w:pPr>
        <w:ind w:left="120" w:right="60" w:firstLine="551"/>
        <w:spacing w:after="0" w:line="256" w:lineRule="auto"/>
        <w:rPr>
          <w:sz w:val="20"/>
          <w:szCs w:val="20"/>
          <w:color w:val="auto"/>
        </w:rPr>
      </w:pPr>
      <w:r>
        <w:rPr>
          <w:rFonts w:ascii="Arial" w:cs="Arial" w:eastAsia="Arial" w:hAnsi="Arial"/>
          <w:sz w:val="16"/>
          <w:szCs w:val="16"/>
          <w:color w:val="auto"/>
        </w:rPr>
        <w:t>If the Employee fails to meet the requirements of Article 8.4(a) or (b), then the Employee shall forfeit the right to vest in any RSUs that have not already vested as of the time such failure is determined, and the Employee shall accordingly forfeit the right to receive the transfer of title to any corresponding Shares. The forfeiture of rights with respect to unvested RSUs (and corresponding Shares) shall not affect the rights of the Employee with respect to any RSUs that already have vested nor with respect to any Shares the title of which has already been transferred to the Employee’s brokerage account.</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8.5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Effect of Termination of Employment. </w:t>
      </w:r>
      <w:r>
        <w:rPr>
          <w:rFonts w:ascii="Arial" w:cs="Arial" w:eastAsia="Arial" w:hAnsi="Arial"/>
          <w:sz w:val="16"/>
          <w:szCs w:val="16"/>
          <w:color w:val="auto"/>
        </w:rPr>
        <w:t>Notwithstanding contrary provisions of this Article 8, except as otherwise approved by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Committee and set forth in the pertinent Award Agreement(s):</w:t>
      </w:r>
    </w:p>
    <w:p>
      <w:pPr>
        <w:spacing w:after="0" w:line="97" w:lineRule="exact"/>
        <w:rPr>
          <w:sz w:val="20"/>
          <w:szCs w:val="20"/>
          <w:color w:val="auto"/>
        </w:rPr>
      </w:pPr>
    </w:p>
    <w:p>
      <w:pPr>
        <w:ind w:left="120" w:right="300" w:firstLine="551"/>
        <w:spacing w:after="0" w:line="256" w:lineRule="auto"/>
        <w:rPr>
          <w:sz w:val="20"/>
          <w:szCs w:val="20"/>
          <w:color w:val="auto"/>
        </w:rPr>
      </w:pPr>
      <w:r>
        <w:rPr>
          <w:rFonts w:ascii="Arial" w:cs="Arial" w:eastAsia="Arial" w:hAnsi="Arial"/>
          <w:sz w:val="16"/>
          <w:szCs w:val="16"/>
          <w:color w:val="auto"/>
        </w:rPr>
        <w:t>(a)    In the event the Employee’s employment is terminated prior to the relevant vesting date on account of death, and if the Employee had otherwise met the requirements of Article 8.4(a) and (b) from the grant date through the date of such death, then the Employee’s unvested RSUs shall immediately vest in full upon death and the Employee’s rights hereunder with respect to any such RSUs shall inure to the benefit of the Employee’s designated beneficiary as determined in accordance with Article 11, or in the absence of a beneficiary designation (or if no designated beneficiary survives the Employee), the Employee’s estate.</w:t>
      </w:r>
    </w:p>
    <w:p>
      <w:pPr>
        <w:spacing w:after="0" w:line="72" w:lineRule="exact"/>
        <w:rPr>
          <w:sz w:val="20"/>
          <w:szCs w:val="20"/>
          <w:color w:val="auto"/>
        </w:rPr>
      </w:pPr>
    </w:p>
    <w:p>
      <w:pPr>
        <w:ind w:left="120" w:right="20" w:firstLine="551"/>
        <w:spacing w:after="0" w:line="250" w:lineRule="auto"/>
        <w:rPr>
          <w:sz w:val="20"/>
          <w:szCs w:val="20"/>
          <w:color w:val="auto"/>
        </w:rPr>
      </w:pPr>
      <w:r>
        <w:rPr>
          <w:rFonts w:ascii="Arial" w:cs="Arial" w:eastAsia="Arial" w:hAnsi="Arial"/>
          <w:sz w:val="16"/>
          <w:szCs w:val="16"/>
          <w:color w:val="auto"/>
        </w:rPr>
        <w:t>(b)    In the event Employee’s employment is terminated prior to the relevant vesting date on account of the Employee having a Disability or being an Approved Retiree, and if the Employee had otherwise met the requirements of Article 8.4(a) and (b) from the grant date through the date of the termination of employment date, and provided that the Employee continues to meet the requirements of Article 8.4(b), then the Employee’s rights hereunder with respect to any outstanding, unvested RSUs shall continue in the same manner as if the Employee continued to meet the continuous employment requirement of Article 8.4(a) through the vesting dates related to the Award, except not for that portion of RSUs granted less than one</w:t>
      </w:r>
    </w:p>
    <w:p>
      <w:pPr>
        <w:spacing w:after="0" w:line="3" w:lineRule="exact"/>
        <w:rPr>
          <w:sz w:val="20"/>
          <w:szCs w:val="20"/>
          <w:color w:val="auto"/>
        </w:rPr>
      </w:pPr>
    </w:p>
    <w:p>
      <w:pPr>
        <w:ind w:left="120" w:right="120" w:hanging="4"/>
        <w:spacing w:after="0" w:line="214" w:lineRule="auto"/>
        <w:tabs>
          <w:tab w:leader="none" w:pos="36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year prior to the Employee’s termination equal to such number of shares multiplied by the ratio of (A) the number of days after the termination date and before the first (1</w:t>
      </w:r>
      <w:r>
        <w:rPr>
          <w:rFonts w:ascii="Arial" w:cs="Arial" w:eastAsia="Arial" w:hAnsi="Arial"/>
          <w:sz w:val="24"/>
          <w:szCs w:val="24"/>
          <w:color w:val="auto"/>
          <w:vertAlign w:val="superscript"/>
        </w:rPr>
        <w:t>st</w:t>
      </w:r>
      <w:r>
        <w:rPr>
          <w:rFonts w:ascii="Arial" w:cs="Arial" w:eastAsia="Arial" w:hAnsi="Arial"/>
          <w:sz w:val="16"/>
          <w:szCs w:val="16"/>
          <w:color w:val="auto"/>
        </w:rPr>
        <w:t>) anniversary of the grant date, over (B) the number of days on and after the grant date and before the first (1</w:t>
      </w:r>
      <w:r>
        <w:rPr>
          <w:rFonts w:ascii="Arial" w:cs="Arial" w:eastAsia="Arial" w:hAnsi="Arial"/>
          <w:sz w:val="24"/>
          <w:szCs w:val="24"/>
          <w:color w:val="auto"/>
          <w:vertAlign w:val="superscript"/>
        </w:rPr>
        <w:t>st</w:t>
      </w:r>
      <w:r>
        <w:rPr>
          <w:rFonts w:ascii="Arial" w:cs="Arial" w:eastAsia="Arial" w:hAnsi="Arial"/>
          <w:sz w:val="16"/>
          <w:szCs w:val="16"/>
          <w:color w:val="auto"/>
        </w:rPr>
        <w:t>) anniversary of the grant date.</w:t>
      </w:r>
    </w:p>
    <w:p>
      <w:pPr>
        <w:spacing w:after="0" w:line="85" w:lineRule="exact"/>
        <w:rPr>
          <w:sz w:val="20"/>
          <w:szCs w:val="20"/>
          <w:color w:val="auto"/>
        </w:rPr>
      </w:pPr>
    </w:p>
    <w:p>
      <w:pPr>
        <w:ind w:left="120" w:right="680" w:firstLine="551"/>
        <w:spacing w:after="0" w:line="286" w:lineRule="auto"/>
        <w:rPr>
          <w:sz w:val="20"/>
          <w:szCs w:val="20"/>
          <w:color w:val="auto"/>
        </w:rPr>
      </w:pPr>
      <w:r>
        <w:rPr>
          <w:rFonts w:ascii="Arial" w:cs="Arial" w:eastAsia="Arial" w:hAnsi="Arial"/>
          <w:sz w:val="16"/>
          <w:szCs w:val="16"/>
          <w:color w:val="auto"/>
        </w:rPr>
        <w:t>(c)    In the event Employee’s employment is terminated prior to the relevant vesting date for any reason other than those circumstances described in paragraphs (a) and (b) of this Article 8.5, such Employee’s outstanding RSUs shall be forfeited to the Company without payment.</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9     Other Share-Based Awards</w:t>
      </w:r>
    </w:p>
    <w:p>
      <w:pPr>
        <w:spacing w:after="0" w:line="110" w:lineRule="exact"/>
        <w:rPr>
          <w:sz w:val="20"/>
          <w:szCs w:val="20"/>
          <w:color w:val="auto"/>
        </w:rPr>
      </w:pPr>
    </w:p>
    <w:p>
      <w:pPr>
        <w:ind w:left="120" w:right="260" w:firstLine="551"/>
        <w:spacing w:after="0" w:line="286" w:lineRule="auto"/>
        <w:rPr>
          <w:sz w:val="20"/>
          <w:szCs w:val="20"/>
          <w:color w:val="auto"/>
        </w:rPr>
      </w:pPr>
      <w:r>
        <w:rPr>
          <w:rFonts w:ascii="Arial" w:cs="Arial" w:eastAsia="Arial" w:hAnsi="Arial"/>
          <w:sz w:val="16"/>
          <w:szCs w:val="16"/>
          <w:b w:val="1"/>
          <w:bCs w:val="1"/>
          <w:color w:val="auto"/>
        </w:rPr>
        <w:t>9.1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Grant of Other Share-Based Awards. </w:t>
      </w:r>
      <w:r>
        <w:rPr>
          <w:rFonts w:ascii="Arial" w:cs="Arial" w:eastAsia="Arial" w:hAnsi="Arial"/>
          <w:sz w:val="16"/>
          <w:szCs w:val="16"/>
          <w:color w:val="auto"/>
        </w:rPr>
        <w:t>The Committee may grant Other Share-Based Awards to Participants in such number, and upon</w:t>
      </w:r>
      <w:r>
        <w:rPr>
          <w:rFonts w:ascii="Arial" w:cs="Arial" w:eastAsia="Arial" w:hAnsi="Arial"/>
          <w:sz w:val="16"/>
          <w:szCs w:val="16"/>
          <w:b w:val="1"/>
          <w:bCs w:val="1"/>
          <w:color w:val="auto"/>
        </w:rPr>
        <w:t xml:space="preserve"> </w:t>
      </w:r>
      <w:r>
        <w:rPr>
          <w:rFonts w:ascii="Arial" w:cs="Arial" w:eastAsia="Arial" w:hAnsi="Arial"/>
          <w:sz w:val="16"/>
          <w:szCs w:val="16"/>
          <w:color w:val="auto"/>
        </w:rPr>
        <w:t>such terms, and at any time and from time to time, as shall be determined by the Committee.</w:t>
      </w:r>
    </w:p>
    <w:p>
      <w:pPr>
        <w:spacing w:after="0" w:line="48" w:lineRule="exact"/>
        <w:rPr>
          <w:sz w:val="20"/>
          <w:szCs w:val="20"/>
          <w:color w:val="auto"/>
        </w:rPr>
      </w:pPr>
    </w:p>
    <w:p>
      <w:pPr>
        <w:ind w:left="120" w:right="220" w:firstLine="551"/>
        <w:spacing w:after="0" w:line="266" w:lineRule="auto"/>
        <w:rPr>
          <w:sz w:val="20"/>
          <w:szCs w:val="20"/>
          <w:color w:val="auto"/>
        </w:rPr>
      </w:pPr>
      <w:r>
        <w:rPr>
          <w:rFonts w:ascii="Arial" w:cs="Arial" w:eastAsia="Arial" w:hAnsi="Arial"/>
          <w:sz w:val="16"/>
          <w:szCs w:val="16"/>
          <w:b w:val="1"/>
          <w:bCs w:val="1"/>
          <w:color w:val="auto"/>
        </w:rPr>
        <w:t>9.2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Terms of Other Share-Based Awards. </w:t>
      </w:r>
      <w:r>
        <w:rPr>
          <w:rFonts w:ascii="Arial" w:cs="Arial" w:eastAsia="Arial" w:hAnsi="Arial"/>
          <w:sz w:val="16"/>
          <w:szCs w:val="16"/>
          <w:color w:val="auto"/>
        </w:rPr>
        <w:t>Other Share-Based Awards shall contain such terms and conditions as the Committee may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specify and may be denominated in cash, in Shares, in Share-equivalent units, in Share appreciation units, in securities or debentures convertible</w:t>
      </w:r>
    </w:p>
    <w:p>
      <w:pPr>
        <w:sectPr>
          <w:pgSz w:w="11900" w:h="16838" w:orient="portrait"/>
          <w:cols w:equalWidth="0" w:num="1">
            <w:col w:w="11140"/>
          </w:cols>
          <w:pgMar w:left="320" w:top="482" w:right="439" w:bottom="1440" w:gutter="0" w:footer="0" w:header="0"/>
        </w:sectPr>
      </w:pPr>
    </w:p>
    <w:p>
      <w:pPr>
        <w:spacing w:after="0" w:line="105" w:lineRule="exact"/>
        <w:rPr>
          <w:sz w:val="20"/>
          <w:szCs w:val="20"/>
          <w:color w:val="auto"/>
        </w:rPr>
      </w:pPr>
    </w:p>
    <w:p>
      <w:pPr>
        <w:ind w:left="120"/>
        <w:spacing w:after="0"/>
        <w:tabs>
          <w:tab w:leader="none" w:pos="5340" w:val="left"/>
          <w:tab w:leader="none" w:pos="7820" w:val="left"/>
        </w:tabs>
        <w:rPr>
          <w:sz w:val="20"/>
          <w:szCs w:val="20"/>
          <w:color w:val="auto"/>
        </w:rPr>
      </w:pPr>
      <w:r>
        <w:rPr>
          <w:rFonts w:ascii="Arial" w:cs="Arial" w:eastAsia="Arial" w:hAnsi="Arial"/>
          <w:sz w:val="11"/>
          <w:szCs w:val="11"/>
          <w:b w:val="1"/>
          <w:bCs w:val="1"/>
          <w:color w:val="003A70"/>
        </w:rPr>
        <w:t>B-8</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into Shares or in a combination of the foregoing and may be paid in cash or in Shares, all as determined by the Committee, provided that any Other Share-Based Award that represent the right to receive value in the amount of the increase in the Fair Market Value of a Share rather than the full value of a Share shall have an exercise or grant price no lower than the Fair Market Value on the date of grant. Other Share-Based Awards may be issued alone or in tandem with other Awards granted to Employees. No dividend equivalent units may granted on an Other Shared-Based Award that is not a full-value award, and any dividends or dividend equivalents granted with respect to an Other Share-Based Award that is a full-value award shall vest and be paid only if and to the same extent as the underlying Other Share-Based Award is vested and paid.</w:t>
      </w:r>
    </w:p>
    <w:p>
      <w:pPr>
        <w:spacing w:after="0" w:line="74" w:lineRule="exact"/>
        <w:rPr>
          <w:sz w:val="20"/>
          <w:szCs w:val="20"/>
          <w:color w:val="auto"/>
        </w:rPr>
      </w:pPr>
    </w:p>
    <w:p>
      <w:pPr>
        <w:ind w:left="120" w:right="300" w:firstLine="551"/>
        <w:spacing w:after="0" w:line="286" w:lineRule="auto"/>
        <w:rPr>
          <w:sz w:val="20"/>
          <w:szCs w:val="20"/>
          <w:color w:val="auto"/>
        </w:rPr>
      </w:pPr>
      <w:r>
        <w:rPr>
          <w:rFonts w:ascii="Arial" w:cs="Arial" w:eastAsia="Arial" w:hAnsi="Arial"/>
          <w:sz w:val="16"/>
          <w:szCs w:val="16"/>
          <w:b w:val="1"/>
          <w:bCs w:val="1"/>
          <w:color w:val="auto"/>
        </w:rPr>
        <w:t>9.3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Other Share-Based Award Agreement. </w:t>
      </w:r>
      <w:r>
        <w:rPr>
          <w:rFonts w:ascii="Arial" w:cs="Arial" w:eastAsia="Arial" w:hAnsi="Arial"/>
          <w:sz w:val="16"/>
          <w:szCs w:val="16"/>
          <w:color w:val="auto"/>
        </w:rPr>
        <w:t>Each Other Share-Based Award shall be evidenced by an Award Agreement that shall specify</w:t>
      </w:r>
      <w:r>
        <w:rPr>
          <w:rFonts w:ascii="Arial" w:cs="Arial" w:eastAsia="Arial" w:hAnsi="Arial"/>
          <w:sz w:val="16"/>
          <w:szCs w:val="16"/>
          <w:b w:val="1"/>
          <w:bCs w:val="1"/>
          <w:color w:val="auto"/>
        </w:rPr>
        <w:t xml:space="preserve"> </w:t>
      </w:r>
      <w:r>
        <w:rPr>
          <w:rFonts w:ascii="Arial" w:cs="Arial" w:eastAsia="Arial" w:hAnsi="Arial"/>
          <w:sz w:val="16"/>
          <w:szCs w:val="16"/>
          <w:color w:val="auto"/>
        </w:rPr>
        <w:t>such terms and conditions as the Committee shall determine.</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10     Directors’ Share Awards, Fee Deferral Elections, and Director SARs and Options</w:t>
      </w:r>
    </w:p>
    <w:p>
      <w:pPr>
        <w:spacing w:after="0" w:line="110" w:lineRule="exact"/>
        <w:rPr>
          <w:sz w:val="20"/>
          <w:szCs w:val="20"/>
          <w:color w:val="auto"/>
        </w:rPr>
      </w:pPr>
    </w:p>
    <w:p>
      <w:pPr>
        <w:ind w:left="120" w:right="60" w:firstLine="551"/>
        <w:spacing w:after="0" w:line="262" w:lineRule="auto"/>
        <w:rPr>
          <w:sz w:val="20"/>
          <w:szCs w:val="20"/>
          <w:color w:val="auto"/>
        </w:rPr>
      </w:pPr>
      <w:r>
        <w:rPr>
          <w:rFonts w:ascii="Arial" w:cs="Arial" w:eastAsia="Arial" w:hAnsi="Arial"/>
          <w:sz w:val="16"/>
          <w:szCs w:val="16"/>
          <w:b w:val="1"/>
          <w:bCs w:val="1"/>
          <w:color w:val="auto"/>
        </w:rPr>
        <w:t>10.1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Eligibility. </w:t>
      </w:r>
      <w:r>
        <w:rPr>
          <w:rFonts w:ascii="Arial" w:cs="Arial" w:eastAsia="Arial" w:hAnsi="Arial"/>
          <w:sz w:val="16"/>
          <w:szCs w:val="16"/>
          <w:color w:val="auto"/>
        </w:rPr>
        <w:t>Only Non-Employee Directors shall be eligible to receive Non-Employee Director Share Awards and Director SARs and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to make Fee Deferral Elections. All such awards are subject to prior approval by the Committee. The aggregate value of the cash fees paid, along with the grant date value of any Awards granted hereunder, to a Non-Employee Director during any fiscal year of the Company shall not exceed $750,000.</w:t>
      </w:r>
    </w:p>
    <w:p>
      <w:pPr>
        <w:spacing w:after="0" w:line="261" w:lineRule="exact"/>
        <w:rPr>
          <w:sz w:val="20"/>
          <w:szCs w:val="20"/>
          <w:color w:val="auto"/>
        </w:rPr>
      </w:pPr>
    </w:p>
    <w:p>
      <w:pPr>
        <w:ind w:left="120" w:right="20" w:firstLine="551"/>
        <w:spacing w:after="0" w:line="230" w:lineRule="auto"/>
        <w:rPr>
          <w:sz w:val="20"/>
          <w:szCs w:val="20"/>
          <w:color w:val="auto"/>
        </w:rPr>
      </w:pPr>
      <w:r>
        <w:rPr>
          <w:rFonts w:ascii="Arial" w:cs="Arial" w:eastAsia="Arial" w:hAnsi="Arial"/>
          <w:sz w:val="16"/>
          <w:szCs w:val="16"/>
          <w:b w:val="1"/>
          <w:bCs w:val="1"/>
          <w:color w:val="auto"/>
        </w:rPr>
        <w:t>10.2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Non-Employee Director Share Awards. </w:t>
      </w:r>
      <w:r>
        <w:rPr>
          <w:rFonts w:ascii="Arial" w:cs="Arial" w:eastAsia="Arial" w:hAnsi="Arial"/>
          <w:sz w:val="16"/>
          <w:szCs w:val="16"/>
          <w:color w:val="auto"/>
        </w:rPr>
        <w:t>On the first (1</w:t>
      </w:r>
      <w:r>
        <w:rPr>
          <w:rFonts w:ascii="Arial" w:cs="Arial" w:eastAsia="Arial" w:hAnsi="Arial"/>
          <w:sz w:val="24"/>
          <w:szCs w:val="24"/>
          <w:color w:val="auto"/>
          <w:vertAlign w:val="superscript"/>
        </w:rPr>
        <w:t>st</w:t>
      </w:r>
      <w:r>
        <w:rPr>
          <w:rFonts w:ascii="Arial" w:cs="Arial" w:eastAsia="Arial" w:hAnsi="Arial"/>
          <w:sz w:val="16"/>
          <w:szCs w:val="16"/>
          <w:color w:val="auto"/>
        </w:rPr>
        <w:t>) full trading day immediately following each Annual Meeting, each Non-Employee Director designated by the Board may receive a Non-Employee Director Share Award of a number of Shares determined by the Board before such Annual Meeting. Each Non-Employee Director Share Award shall be fully vested and nonforfeitable when granted. Upon Termination of Service or at such other times as determined by the Committee, the Non-Employee Director Share Award awarded to a Non-Employee Director shall be paid to the Non-Employee Director.</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10.3   Fee Deferral Elections.</w:t>
      </w:r>
    </w:p>
    <w:p>
      <w:pPr>
        <w:spacing w:after="0" w:line="113" w:lineRule="exact"/>
        <w:rPr>
          <w:sz w:val="20"/>
          <w:szCs w:val="20"/>
          <w:color w:val="auto"/>
        </w:rPr>
      </w:pPr>
    </w:p>
    <w:p>
      <w:pPr>
        <w:ind w:left="120" w:right="220" w:firstLine="551"/>
        <w:spacing w:after="0" w:line="259" w:lineRule="auto"/>
        <w:rPr>
          <w:sz w:val="20"/>
          <w:szCs w:val="20"/>
          <w:color w:val="auto"/>
        </w:rPr>
      </w:pPr>
      <w:r>
        <w:rPr>
          <w:rFonts w:ascii="Arial" w:cs="Arial" w:eastAsia="Arial" w:hAnsi="Arial"/>
          <w:sz w:val="16"/>
          <w:szCs w:val="16"/>
          <w:b w:val="1"/>
          <w:bCs w:val="1"/>
          <w:color w:val="auto"/>
        </w:rPr>
        <w:t>(a)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Elections to Defer Payment of Fees.</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all or any part of any Fees payable to a Non-Employee Director may be deferred by</w:t>
      </w:r>
      <w:r>
        <w:rPr>
          <w:rFonts w:ascii="Arial" w:cs="Arial" w:eastAsia="Arial" w:hAnsi="Arial"/>
          <w:sz w:val="16"/>
          <w:szCs w:val="16"/>
          <w:b w:val="1"/>
          <w:bCs w:val="1"/>
          <w:color w:val="auto"/>
        </w:rPr>
        <w:t xml:space="preserve"> </w:t>
      </w:r>
      <w:r>
        <w:rPr>
          <w:rFonts w:ascii="Arial" w:cs="Arial" w:eastAsia="Arial" w:hAnsi="Arial"/>
          <w:sz w:val="16"/>
          <w:szCs w:val="16"/>
          <w:color w:val="auto"/>
        </w:rPr>
        <w:t>election of the Non-Employee Director. Each such election must be made in writing on a form prescribed by the Committee and irrevocably delivered to the Company in the year preceding the year which commences with the next Annual Meeting (the “Election Year”), and must be irrevocable for such Election Year. No election may be made under this Article 10.3(a) with respect to Fees for which an election is made under Article 10.5.</w:t>
      </w:r>
    </w:p>
    <w:p>
      <w:pPr>
        <w:spacing w:after="0" w:line="70" w:lineRule="exact"/>
        <w:rPr>
          <w:sz w:val="20"/>
          <w:szCs w:val="20"/>
          <w:color w:val="auto"/>
        </w:rPr>
      </w:pPr>
    </w:p>
    <w:p>
      <w:pPr>
        <w:ind w:left="120" w:right="100" w:firstLine="551"/>
        <w:spacing w:after="0" w:line="256" w:lineRule="auto"/>
        <w:rPr>
          <w:sz w:val="20"/>
          <w:szCs w:val="20"/>
          <w:color w:val="auto"/>
        </w:rPr>
      </w:pPr>
      <w:r>
        <w:rPr>
          <w:rFonts w:ascii="Arial" w:cs="Arial" w:eastAsia="Arial" w:hAnsi="Arial"/>
          <w:sz w:val="16"/>
          <w:szCs w:val="16"/>
          <w:b w:val="1"/>
          <w:bCs w:val="1"/>
          <w:color w:val="auto"/>
        </w:rPr>
        <w:t>(b)</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Crediting Stock Units to Accounts.</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deferred pursuant to a Fee Deferral Election shall be credited as of the date of the deferral</w:t>
      </w:r>
      <w:r>
        <w:rPr>
          <w:rFonts w:ascii="Arial" w:cs="Arial" w:eastAsia="Arial" w:hAnsi="Arial"/>
          <w:sz w:val="16"/>
          <w:szCs w:val="16"/>
          <w:b w:val="1"/>
          <w:bCs w:val="1"/>
          <w:color w:val="auto"/>
        </w:rPr>
        <w:t xml:space="preserve"> </w:t>
      </w:r>
      <w:r>
        <w:rPr>
          <w:rFonts w:ascii="Arial" w:cs="Arial" w:eastAsia="Arial" w:hAnsi="Arial"/>
          <w:sz w:val="16"/>
          <w:szCs w:val="16"/>
          <w:color w:val="auto"/>
        </w:rPr>
        <w:t>to a Stock Unit Account in Stock Units. The number of Stock Units credited to a Stock Unit Account with respect to any Non-Employee Director shall equal (i) the amount deferred pursuant to the Fee Deferral Election divided by (ii) the Fair Market Value of a Share on the date on which the Fees subject to the Fee Deferral Election would have been paid but for the Fee Deferral Election, and, unless the Committee or the Board determines otherwise, rounded down to the nearest whole Stock Unit with the value of any fractional Stock Unit paid to the Director immediately in cash.</w:t>
      </w:r>
    </w:p>
    <w:p>
      <w:pPr>
        <w:spacing w:after="0" w:line="72" w:lineRule="exact"/>
        <w:rPr>
          <w:sz w:val="20"/>
          <w:szCs w:val="20"/>
          <w:color w:val="auto"/>
        </w:rPr>
      </w:pPr>
    </w:p>
    <w:p>
      <w:pPr>
        <w:ind w:left="120" w:right="20" w:firstLine="551"/>
        <w:spacing w:after="0" w:line="286" w:lineRule="auto"/>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Fully Vested Stock Units.</w:t>
      </w:r>
      <w:r>
        <w:rPr>
          <w:rFonts w:ascii="Arial" w:cs="Arial" w:eastAsia="Arial" w:hAnsi="Arial"/>
          <w:sz w:val="16"/>
          <w:szCs w:val="16"/>
          <w:b w:val="1"/>
          <w:bCs w:val="1"/>
          <w:color w:val="auto"/>
        </w:rPr>
        <w:t xml:space="preserve"> </w:t>
      </w:r>
      <w:r>
        <w:rPr>
          <w:rFonts w:ascii="Arial" w:cs="Arial" w:eastAsia="Arial" w:hAnsi="Arial"/>
          <w:sz w:val="16"/>
          <w:szCs w:val="16"/>
          <w:color w:val="auto"/>
        </w:rPr>
        <w:t>All Stock Units credited to a Non-Employee Director’s Stock Unit Account pursuant to this Article 10.3 shall be at</w:t>
      </w:r>
      <w:r>
        <w:rPr>
          <w:rFonts w:ascii="Arial" w:cs="Arial" w:eastAsia="Arial" w:hAnsi="Arial"/>
          <w:sz w:val="16"/>
          <w:szCs w:val="16"/>
          <w:b w:val="1"/>
          <w:bCs w:val="1"/>
          <w:color w:val="auto"/>
        </w:rPr>
        <w:t xml:space="preserve"> </w:t>
      </w:r>
      <w:r>
        <w:rPr>
          <w:rFonts w:ascii="Arial" w:cs="Arial" w:eastAsia="Arial" w:hAnsi="Arial"/>
          <w:sz w:val="16"/>
          <w:szCs w:val="16"/>
          <w:color w:val="auto"/>
        </w:rPr>
        <w:t>all times fully vested and nonforfeitable.</w:t>
      </w:r>
    </w:p>
    <w:p>
      <w:pPr>
        <w:spacing w:after="0" w:line="48" w:lineRule="exact"/>
        <w:rPr>
          <w:sz w:val="20"/>
          <w:szCs w:val="20"/>
          <w:color w:val="auto"/>
        </w:rPr>
      </w:pPr>
    </w:p>
    <w:p>
      <w:pPr>
        <w:ind w:left="120" w:right="20" w:firstLine="551"/>
        <w:spacing w:after="0" w:line="250" w:lineRule="auto"/>
        <w:rPr>
          <w:sz w:val="20"/>
          <w:szCs w:val="20"/>
          <w:color w:val="auto"/>
        </w:rPr>
      </w:pPr>
      <w:r>
        <w:rPr>
          <w:rFonts w:ascii="Arial" w:cs="Arial" w:eastAsia="Arial" w:hAnsi="Arial"/>
          <w:sz w:val="16"/>
          <w:szCs w:val="16"/>
          <w:b w:val="1"/>
          <w:bCs w:val="1"/>
          <w:color w:val="auto"/>
        </w:rPr>
        <w:t>(d)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Credit of Dividend Equivalents.</w:t>
      </w:r>
      <w:r>
        <w:rPr>
          <w:rFonts w:ascii="Arial" w:cs="Arial" w:eastAsia="Arial" w:hAnsi="Arial"/>
          <w:sz w:val="16"/>
          <w:szCs w:val="16"/>
          <w:b w:val="1"/>
          <w:bCs w:val="1"/>
          <w:color w:val="auto"/>
        </w:rPr>
        <w:t xml:space="preserve"> </w:t>
      </w:r>
      <w:r>
        <w:rPr>
          <w:rFonts w:ascii="Arial" w:cs="Arial" w:eastAsia="Arial" w:hAnsi="Arial"/>
          <w:sz w:val="16"/>
          <w:szCs w:val="16"/>
          <w:color w:val="auto"/>
        </w:rPr>
        <w:t>Each Stock Unit credited to a Director’s Stock Unit Account includes one dividend equivalent unit,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represents the Non-Employee Director’s right to receive a cash payment equal to the dividend paid on one Share. Such cash payment will be paid to the Non-Employee Director within 30 days of the dividend payment date. Notwithstanding the foregoing, the Committee may either require or allow a Non-Employee Director to elect (at the same time elections are made under paragraph (a) of this Article 10.3) to have the cash dividend equivalent unit payments reinvested in additional Stock Units. In such case, the amount of Stock Units credited to the Non-Employee Director’s Stock Unit Account shall equal the quotient of (i) the amount of dividend equivalent payments that are to be reinvested in Stock Units, divided by (ii) the Fair Market Value of a Share on such dividend payment date, and, unless the Committee or the Board determines otherwise, rounded down to the nearest whole Stock Unit with the value of any fractional Stock Unit paid to the Director in cash within 30 days of the dividend payment date. If dividends are paid on Shares in a form other than cash, then the Committee or the Board shall determine, in its Discretion, whether to make payment (or credit the Stock Unit Account, as applicable) in-kind or notionally convert the dividend to cash.</w:t>
      </w:r>
    </w:p>
    <w:p>
      <w:pPr>
        <w:spacing w:after="0" w:line="81" w:lineRule="exact"/>
        <w:rPr>
          <w:sz w:val="20"/>
          <w:szCs w:val="20"/>
          <w:color w:val="auto"/>
        </w:rPr>
      </w:pPr>
    </w:p>
    <w:p>
      <w:pPr>
        <w:ind w:left="120" w:firstLine="551"/>
        <w:spacing w:after="0" w:line="256" w:lineRule="auto"/>
        <w:rPr>
          <w:sz w:val="20"/>
          <w:szCs w:val="20"/>
          <w:color w:val="auto"/>
        </w:rPr>
      </w:pPr>
      <w:r>
        <w:rPr>
          <w:rFonts w:ascii="Arial" w:cs="Arial" w:eastAsia="Arial" w:hAnsi="Arial"/>
          <w:sz w:val="16"/>
          <w:szCs w:val="16"/>
          <w:b w:val="1"/>
          <w:bCs w:val="1"/>
          <w:color w:val="auto"/>
        </w:rPr>
        <w:t>(e)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Payment of Stock Units.</w:t>
      </w:r>
      <w:r>
        <w:rPr>
          <w:rFonts w:ascii="Arial" w:cs="Arial" w:eastAsia="Arial" w:hAnsi="Arial"/>
          <w:sz w:val="16"/>
          <w:szCs w:val="16"/>
          <w:b w:val="1"/>
          <w:bCs w:val="1"/>
          <w:color w:val="auto"/>
        </w:rPr>
        <w:t xml:space="preserve"> </w:t>
      </w:r>
      <w:r>
        <w:rPr>
          <w:rFonts w:ascii="Arial" w:cs="Arial" w:eastAsia="Arial" w:hAnsi="Arial"/>
          <w:sz w:val="16"/>
          <w:szCs w:val="16"/>
          <w:color w:val="auto"/>
        </w:rPr>
        <w:t>Upon Termination of Service or at such other times as determined by the Committee and irrevocably elected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by the Non-Employee Director at the time of the Non-Employee Director’s election to defer Fees under Article 10.3(a), the Stock Units credited to a Non-Employee Director’s Stock Unit Account shall be paid to the Non-Employee Director in an equal number of shares of Stock in a single lump sum or in substantially equal annual installments over a period not to exceed ten (10) years, as irrevocably elected in writing by the Non-Employee Director at the time of the Non-Employee Director’s election to defer Fees under Article 10.3(a), pursuant to rules established from time to time by the Committee.</w:t>
      </w:r>
    </w:p>
    <w:p>
      <w:pPr>
        <w:spacing w:after="0" w:line="72" w:lineRule="exact"/>
        <w:rPr>
          <w:sz w:val="20"/>
          <w:szCs w:val="20"/>
          <w:color w:val="auto"/>
        </w:rPr>
      </w:pPr>
    </w:p>
    <w:p>
      <w:pPr>
        <w:ind w:left="120" w:right="260" w:firstLine="551"/>
        <w:spacing w:after="0" w:line="259" w:lineRule="auto"/>
        <w:rPr>
          <w:sz w:val="20"/>
          <w:szCs w:val="20"/>
          <w:color w:val="auto"/>
        </w:rPr>
      </w:pPr>
      <w:r>
        <w:rPr>
          <w:rFonts w:ascii="Arial" w:cs="Arial" w:eastAsia="Arial" w:hAnsi="Arial"/>
          <w:sz w:val="16"/>
          <w:szCs w:val="16"/>
          <w:b w:val="1"/>
          <w:bCs w:val="1"/>
          <w:color w:val="auto"/>
        </w:rPr>
        <w:t>10.4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Unfunded Status. </w:t>
      </w:r>
      <w:r>
        <w:rPr>
          <w:rFonts w:ascii="Arial" w:cs="Arial" w:eastAsia="Arial" w:hAnsi="Arial"/>
          <w:sz w:val="16"/>
          <w:szCs w:val="16"/>
          <w:color w:val="auto"/>
        </w:rPr>
        <w:t>The interest of each Non-Employee Director in any Fees deferred under this Article 10 (and any Stock Units or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Unit Account relating thereto) or in any Director Stock Award shall be that of a general creditor of the Company. Stock Unit Accounts and Stock Units (and, if any, “in kind” dividends) credited thereto shall at all times be maintained by the Company as bookkeeping entries evidencing unfunded and unsecured general obligations of the Company.</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10.5   Director SARs and Options.</w:t>
      </w:r>
    </w:p>
    <w:p>
      <w:pPr>
        <w:spacing w:after="0" w:line="113" w:lineRule="exact"/>
        <w:rPr>
          <w:sz w:val="20"/>
          <w:szCs w:val="20"/>
          <w:color w:val="auto"/>
        </w:rPr>
      </w:pPr>
    </w:p>
    <w:p>
      <w:pPr>
        <w:ind w:left="120" w:right="160" w:firstLine="551"/>
        <w:spacing w:after="0" w:line="256" w:lineRule="auto"/>
        <w:rPr>
          <w:sz w:val="20"/>
          <w:szCs w:val="20"/>
          <w:color w:val="auto"/>
        </w:rPr>
      </w:pPr>
      <w:r>
        <w:rPr>
          <w:rFonts w:ascii="Arial" w:cs="Arial" w:eastAsia="Arial" w:hAnsi="Arial"/>
          <w:sz w:val="16"/>
          <w:szCs w:val="16"/>
          <w:b w:val="1"/>
          <w:bCs w:val="1"/>
          <w:color w:val="auto"/>
        </w:rPr>
        <w:t>(a)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Elections to Receive Payment of Fees in the Form of SARs or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A Non-Employee Director may elect to receive payment of all</w:t>
      </w:r>
      <w:r>
        <w:rPr>
          <w:rFonts w:ascii="Arial" w:cs="Arial" w:eastAsia="Arial" w:hAnsi="Arial"/>
          <w:sz w:val="16"/>
          <w:szCs w:val="16"/>
          <w:b w:val="1"/>
          <w:bCs w:val="1"/>
          <w:color w:val="auto"/>
        </w:rPr>
        <w:t xml:space="preserve"> </w:t>
      </w:r>
      <w:r>
        <w:rPr>
          <w:rFonts w:ascii="Arial" w:cs="Arial" w:eastAsia="Arial" w:hAnsi="Arial"/>
          <w:sz w:val="16"/>
          <w:szCs w:val="16"/>
          <w:color w:val="auto"/>
        </w:rPr>
        <w:t>or any part of his or her cash retainer in the form of Director SARs or Options, as determined by the Committee, in lieu of cash. Each such election must be made in writing on a form prescribed by the Committee and delivered to the Company in the calendar year preceding the calendar year in which occurs the Annual Meeting that marks the commencement of the annual period of service during which such Fees are earned. Each election is irrevocable for that annual period. Elections under this Article 10.5 may not be made with respect to Fees deferred under Article 10.3.</w:t>
      </w:r>
    </w:p>
    <w:p>
      <w:pPr>
        <w:spacing w:after="0" w:line="113" w:lineRule="exact"/>
        <w:rPr>
          <w:sz w:val="20"/>
          <w:szCs w:val="20"/>
          <w:color w:val="auto"/>
        </w:rPr>
      </w:pPr>
    </w:p>
    <w:p>
      <w:pPr>
        <w:ind w:left="120"/>
        <w:spacing w:after="0"/>
        <w:tabs>
          <w:tab w:leader="none" w:pos="534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003A70"/>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120" w:firstLine="551"/>
        <w:spacing w:after="0" w:line="232" w:lineRule="auto"/>
        <w:rPr>
          <w:sz w:val="20"/>
          <w:szCs w:val="20"/>
          <w:color w:val="auto"/>
        </w:rPr>
      </w:pPr>
      <w:r>
        <w:rPr>
          <w:rFonts w:ascii="Arial" w:cs="Arial" w:eastAsia="Arial" w:hAnsi="Arial"/>
          <w:sz w:val="16"/>
          <w:szCs w:val="16"/>
          <w:b w:val="1"/>
          <w:bCs w:val="1"/>
          <w:color w:val="auto"/>
        </w:rPr>
        <w:t>(b)</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Grant of Director SARs and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On the first (1</w:t>
      </w:r>
      <w:r>
        <w:rPr>
          <w:rFonts w:ascii="Arial" w:cs="Arial" w:eastAsia="Arial" w:hAnsi="Arial"/>
          <w:sz w:val="24"/>
          <w:szCs w:val="24"/>
          <w:color w:val="auto"/>
          <w:vertAlign w:val="superscript"/>
        </w:rPr>
        <w:t>st</w:t>
      </w:r>
      <w:r>
        <w:rPr>
          <w:rFonts w:ascii="Arial" w:cs="Arial" w:eastAsia="Arial" w:hAnsi="Arial"/>
          <w:sz w:val="16"/>
          <w:szCs w:val="16"/>
          <w:color w:val="auto"/>
        </w:rPr>
        <w:t>) full trading day immediately following each Annual Meeting, each Non-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who has filed an election under Article 10.5(a) for the annual period of service that commences with such Annual Meeting shall be granted Director SARs or Options that have a value on the date of grant substantially equal to the amount of Fees otherwise payable to the Non-Employee Director in cash but for the election to receive Director SARs or Options. The value of Director SARs or Options shall be determined by the Committee in its Discretion, at a meeting held prior to the Annual Meeting, based on a Black-Scholes option pricing model or other valuation model that the Committee determines to be appropriate in its Discretion.</w:t>
      </w:r>
    </w:p>
    <w:p>
      <w:pPr>
        <w:spacing w:after="0" w:line="86" w:lineRule="exact"/>
        <w:rPr>
          <w:sz w:val="20"/>
          <w:szCs w:val="20"/>
          <w:color w:val="auto"/>
        </w:rPr>
      </w:pPr>
    </w:p>
    <w:p>
      <w:pPr>
        <w:ind w:left="120" w:right="260" w:firstLine="551"/>
        <w:spacing w:after="0" w:line="256" w:lineRule="auto"/>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Terms of Director SARs and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Director SAR and Option shall be evidenced by an Award Agreement that shall specify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Price, the duration of the SAR or Option, and the number of Shares to which the SAR or Option pertains. Each Director SAR and Option shall</w:t>
      </w:r>
    </w:p>
    <w:p>
      <w:pPr>
        <w:spacing w:after="0" w:line="1" w:lineRule="exact"/>
        <w:rPr>
          <w:sz w:val="20"/>
          <w:szCs w:val="20"/>
          <w:color w:val="auto"/>
        </w:rPr>
      </w:pPr>
    </w:p>
    <w:p>
      <w:pPr>
        <w:ind w:left="120" w:hanging="4"/>
        <w:spacing w:after="0" w:line="214" w:lineRule="auto"/>
        <w:tabs>
          <w:tab w:leader="none" w:pos="30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have an Exercise Price equal to or greater than the Fair Market Value of a Share on the date the Award is granted; (ii) be immediately vested and exercisable; (iii) expire on the tenth (10</w:t>
      </w:r>
      <w:r>
        <w:rPr>
          <w:rFonts w:ascii="Arial" w:cs="Arial" w:eastAsia="Arial" w:hAnsi="Arial"/>
          <w:sz w:val="24"/>
          <w:szCs w:val="24"/>
          <w:color w:val="auto"/>
          <w:vertAlign w:val="superscript"/>
        </w:rPr>
        <w:t>th</w:t>
      </w:r>
      <w:r>
        <w:rPr>
          <w:rFonts w:ascii="Arial" w:cs="Arial" w:eastAsia="Arial" w:hAnsi="Arial"/>
          <w:sz w:val="16"/>
          <w:szCs w:val="16"/>
          <w:color w:val="auto"/>
        </w:rPr>
        <w:t>) anniversary of the date of its grant; and (iv) be nontransferable unless otherwise specified by the Committee. No dividends or dividend equivalent rights may be granted with respect to SARs or Options.</w:t>
      </w:r>
    </w:p>
    <w:p>
      <w:pPr>
        <w:spacing w:after="0" w:line="85" w:lineRule="exact"/>
        <w:rPr>
          <w:sz w:val="20"/>
          <w:szCs w:val="20"/>
          <w:color w:val="auto"/>
        </w:rPr>
      </w:pPr>
    </w:p>
    <w:p>
      <w:pPr>
        <w:ind w:left="120" w:right="120" w:firstLine="551"/>
        <w:spacing w:after="0" w:line="250" w:lineRule="auto"/>
        <w:rPr>
          <w:sz w:val="20"/>
          <w:szCs w:val="20"/>
          <w:color w:val="auto"/>
        </w:rPr>
      </w:pPr>
      <w:r>
        <w:rPr>
          <w:rFonts w:ascii="Arial" w:cs="Arial" w:eastAsia="Arial" w:hAnsi="Arial"/>
          <w:sz w:val="16"/>
          <w:szCs w:val="16"/>
          <w:b w:val="1"/>
          <w:bCs w:val="1"/>
          <w:color w:val="auto"/>
        </w:rPr>
        <w:t>(d)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SARs and Options granted under this Article 10 shall be exercised by the delivery of notice of exercise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such manner as the Committee shall determine, setting forth the number of Shares with respect to which the SAR or Option is to be exercised, accompanied by full payment for the Shares. The Exercise Price upon exercise of any Director SAR or Option shall be payable to the Company in full either: (i) in cash or its equivalent, (ii) by withholding of Shares deliverable upon exercise or tendering (either actually or by attestation) previously acquired Shares, in each case having an aggregate Fair Market Value at the time of exercise equal to the total Exercise Price, or (iii) by a combination of</w:t>
      </w:r>
    </w:p>
    <w:p>
      <w:pPr>
        <w:spacing w:after="0" w:line="3" w:lineRule="exact"/>
        <w:rPr>
          <w:sz w:val="20"/>
          <w:szCs w:val="20"/>
          <w:color w:val="auto"/>
        </w:rPr>
      </w:pPr>
    </w:p>
    <w:p>
      <w:pPr>
        <w:ind w:left="120" w:right="700" w:hanging="4"/>
        <w:spacing w:after="0" w:line="265" w:lineRule="auto"/>
        <w:tabs>
          <w:tab w:leader="none" w:pos="30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and (ii). The Committee also may allow cashless exercise as permitted under the Federal Reserve Board’s Regulation T, subject to applicable securities law restrictions, or by any other means which the Committee determines to be consistent with the Plan’s purpose and applicable law.</w:t>
      </w:r>
    </w:p>
    <w:p>
      <w:pPr>
        <w:spacing w:after="0" w:line="64" w:lineRule="exact"/>
        <w:rPr>
          <w:sz w:val="20"/>
          <w:szCs w:val="20"/>
          <w:color w:val="auto"/>
        </w:rPr>
      </w:pPr>
    </w:p>
    <w:p>
      <w:pPr>
        <w:ind w:left="120" w:right="500" w:firstLine="551"/>
        <w:spacing w:after="0" w:line="286" w:lineRule="auto"/>
        <w:rPr>
          <w:sz w:val="20"/>
          <w:szCs w:val="20"/>
          <w:color w:val="auto"/>
        </w:rPr>
      </w:pPr>
      <w:r>
        <w:rPr>
          <w:rFonts w:ascii="Arial" w:cs="Arial" w:eastAsia="Arial" w:hAnsi="Arial"/>
          <w:sz w:val="16"/>
          <w:szCs w:val="16"/>
          <w:b w:val="1"/>
          <w:bCs w:val="1"/>
          <w:color w:val="auto"/>
        </w:rPr>
        <w:t>10.6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Dividends and Dividend Equivalents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 dividend or dividend equivalents will be paid with respect to any unvested Non-Employee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Awards under this Article 10.</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11     Beneficiary Designation</w:t>
      </w:r>
    </w:p>
    <w:p>
      <w:pPr>
        <w:spacing w:after="0" w:line="110" w:lineRule="exact"/>
        <w:rPr>
          <w:sz w:val="20"/>
          <w:szCs w:val="20"/>
          <w:color w:val="auto"/>
        </w:rPr>
      </w:pPr>
    </w:p>
    <w:p>
      <w:pPr>
        <w:ind w:left="120" w:right="20" w:firstLine="551"/>
        <w:spacing w:after="0" w:line="256" w:lineRule="auto"/>
        <w:rPr>
          <w:sz w:val="20"/>
          <w:szCs w:val="20"/>
          <w:color w:val="auto"/>
        </w:rPr>
      </w:pPr>
      <w:r>
        <w:rPr>
          <w:rFonts w:ascii="Arial" w:cs="Arial" w:eastAsia="Arial" w:hAnsi="Arial"/>
          <w:sz w:val="16"/>
          <w:szCs w:val="16"/>
          <w:color w:val="auto"/>
        </w:rPr>
        <w:t>Each Participant under the Plan may, from time to time, name any beneficiary or beneficiaries (who may be named contingently or successively) to whom any benefit under the Plan is to be paid in case of the Participant’s death before the Participant has received any or all of such benefit. Each such designation shall revoke all prior designations by the same Participant, shall be in a form prescribed by the Company, and will be effective only when filed by the Participant in writing with the Company during the Participant’s lifetime. In the absence of any such designation, benefits remaining unpaid at the Participant’s death shall be paid to the Participant’s estate.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12     Change in Control</w:t>
      </w:r>
    </w:p>
    <w:p>
      <w:pPr>
        <w:spacing w:after="0" w:line="110" w:lineRule="exact"/>
        <w:rPr>
          <w:sz w:val="20"/>
          <w:szCs w:val="20"/>
          <w:color w:val="auto"/>
        </w:rPr>
      </w:pPr>
    </w:p>
    <w:p>
      <w:pPr>
        <w:ind w:left="120" w:right="40" w:firstLine="551"/>
        <w:spacing w:after="0" w:line="254" w:lineRule="auto"/>
        <w:rPr>
          <w:sz w:val="20"/>
          <w:szCs w:val="20"/>
          <w:color w:val="auto"/>
        </w:rPr>
      </w:pPr>
      <w:r>
        <w:rPr>
          <w:rFonts w:ascii="Arial" w:cs="Arial" w:eastAsia="Arial" w:hAnsi="Arial"/>
          <w:sz w:val="16"/>
          <w:szCs w:val="16"/>
          <w:b w:val="1"/>
          <w:bCs w:val="1"/>
          <w:color w:val="auto"/>
        </w:rPr>
        <w:t>12.1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Treatment of Awards. </w:t>
      </w:r>
      <w:r>
        <w:rPr>
          <w:rFonts w:ascii="Arial" w:cs="Arial" w:eastAsia="Arial" w:hAnsi="Arial"/>
          <w:sz w:val="16"/>
          <w:szCs w:val="16"/>
          <w:color w:val="auto"/>
        </w:rPr>
        <w:t>If an Award Agreement specifies the treatment of an Award in connection with a Change in Control, then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Award Agreement shall apply in lieu of the provisions of this Article 12.1. In the absence of such provisions in an Award Agreement, and unless otherwise determined by the Committee in its Discretion prior to a Change in Control, if a Participant who is actively employed by the Company incurs a Covered Termination of Employment (as defined in Article 12.2 below) on or within twelve (12) months following a Change in Control (as defined in Article 12.3 below), or if a Change in Control occurs in connection with which no Awards, publicly-traded Shares or substitute equity interests are available, then the following shall occur:</w:t>
      </w:r>
    </w:p>
    <w:p>
      <w:pPr>
        <w:spacing w:after="0" w:line="74"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6"/>
          <w:szCs w:val="16"/>
          <w:b w:val="1"/>
          <w:bCs w:val="1"/>
          <w:color w:val="auto"/>
        </w:rPr>
        <w:t>(a)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Restricted Stock and RSUs.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Restricted Stock, RSUs or any Other Share-Based Awards taking a form substantially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as Restricted Stock or RSUs, the restrictions, forfeiture conditions, deferral of settlement and conditions on distribution other than those imposed by law applicable to such Awards shall lapse, and all such Awards shall be deemed fully vested, as of the date of the Participant’s Covered Termination of Employment, and the subject Shares, or equity interests that are substituted for the subject Shares as a result of the Change in Control, shall be distributed to the Participant immediately following such Covered Termination of Employment. Notwithstanding the preceding sentence, in the event no Awards, publicly-traded Shares or substitute equity interests are available in connection with the Change in Control, the restrictions, forfeiture conditions, deferral of settlement and conditions on distribution other than those imposed by law applicable to such Restricted Stock, RSU and Other Share-Based Awards shall lapse, and all such Awards shall be deemed fully vested, as of the date of the Change in Control, and the Awards shall be distributed to the Participant immediately following the Change in Control. For purposes hereof, with respect to an Award that is or was subject to a performance vesting condition, then (i) as to any performance period that has been completed as of the date of vesting, the number of Shares vesting shall equal the number earned for that performance period based on the level of achievement of the applicable performance goals, and (ii) as to any performance period that has not been completed as of the date of vesting, the number of Shares that will vest shall equal either (A) the number of Shares that would be earned based on the level of achievement of the performance goal(s) measured as of the vesting date, or (B) if such performance cannot reasonably be measured, the target number of Shares subject to such performance period, and in the case of this clause (ii), such Shares shall be pro-rated to reflect the period of the Participant’s employment during such performance period through the vesting date. In the Committee’s Discretion, the distribution of Awards as described in this Article 12.1(a) may be made in the form of a cash payment equal to the product of (i) the per Share value, which shall be (I) in the case of a payment made immediately following a Covered Termination of Employment, the Fair Market Value per Share as of the date of the Covered Termination of Employment, or (II) in the case of a payment made immediately after the Change in Control, the Change in Control Price per Share in connection with the transaction resulting in the Change in Control, and (ii) the number of subject Shares or substitute equity awards that otherwise would be distributed to the Participant if available and the Committee had not determined to pay cash.</w:t>
      </w:r>
    </w:p>
    <w:p>
      <w:pPr>
        <w:spacing w:after="0" w:line="86" w:lineRule="exact"/>
        <w:rPr>
          <w:sz w:val="20"/>
          <w:szCs w:val="20"/>
          <w:color w:val="auto"/>
        </w:rPr>
      </w:pPr>
    </w:p>
    <w:p>
      <w:pPr>
        <w:jc w:val="both"/>
        <w:ind w:left="120" w:right="160" w:firstLine="551"/>
        <w:spacing w:after="0" w:line="266" w:lineRule="auto"/>
        <w:rPr>
          <w:sz w:val="20"/>
          <w:szCs w:val="20"/>
          <w:color w:val="auto"/>
        </w:rPr>
      </w:pPr>
      <w:r>
        <w:rPr>
          <w:rFonts w:ascii="Arial" w:cs="Arial" w:eastAsia="Arial" w:hAnsi="Arial"/>
          <w:sz w:val="16"/>
          <w:szCs w:val="16"/>
          <w:b w:val="1"/>
          <w:bCs w:val="1"/>
          <w:color w:val="auto"/>
        </w:rPr>
        <w:t>(b)</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Options and SARs.</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date of the Participant’s Covered Termination of Employment, all of the unvested or unexercisable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SARs or Other Share-Based Awards taking a form substantially the same as Options or SARs held by the Participant shall be deemed to be fully vested and</w:t>
      </w:r>
    </w:p>
    <w:p>
      <w:pPr>
        <w:spacing w:after="0" w:line="105" w:lineRule="exact"/>
        <w:rPr>
          <w:sz w:val="20"/>
          <w:szCs w:val="20"/>
          <w:color w:val="auto"/>
        </w:rPr>
      </w:pPr>
    </w:p>
    <w:p>
      <w:pPr>
        <w:ind w:left="120"/>
        <w:spacing w:after="0"/>
        <w:tabs>
          <w:tab w:leader="none" w:pos="5340" w:val="left"/>
          <w:tab w:leader="none" w:pos="7820" w:val="left"/>
        </w:tabs>
        <w:rPr>
          <w:sz w:val="20"/>
          <w:szCs w:val="20"/>
          <w:color w:val="auto"/>
        </w:rPr>
      </w:pPr>
      <w:r>
        <w:rPr>
          <w:rFonts w:ascii="Arial" w:cs="Arial" w:eastAsia="Arial" w:hAnsi="Arial"/>
          <w:sz w:val="11"/>
          <w:szCs w:val="11"/>
          <w:b w:val="1"/>
          <w:bCs w:val="1"/>
          <w:color w:val="003A70"/>
        </w:rPr>
        <w:t>B-10</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exercisable with respect to the subject Shares, or other equity interests that are substituted for the Shares as a result of the Change in Control, and any other conditions on such Awards shall lapse, other than those imposed by law. Such Awards shall remain exercisable until the earlier of (i) the end of their original term, or (ii) twelve (12) months (or in the case of an Approved Retiree, five (5) years) following the Participant’s Covered Termination of Employment. Notwithstanding the preceding sentence, in the event no Awards, publicly-traded Shares or substitute equity interests are available in connection with the Change in Control, the restrictions, forfeiture conditions, deferral of settlement and conditions on distribution other than those imposed by law applicable to such Options, SARs and Other Share-Based Awards shall lapse, and all such Awards shall be deemed fully vested, as of the date of the Change in Control. In the Committee’s Discretion, a cash payment may be made to the Participant immediately following the Participant’s Covered Termination of Employment or the date of the Change in Control, whichever is the date upon which the Participant is deemed to be fully vested as determined under this Article 12.1(b), in an amount equal to (i) the per Share value, which shall be (I) in the case of a payment made immediately following a Covered Termination of Employment, the Fair Market Value per Share as of the date of the Covered Termination of Employment, or (II) in the case of a payment made immediately after the Change in Control, the Change in Control Price per Share in connection with the transaction resulting in the Change in Control, (ii) less the Exercise Price, and (iii) multiplied by the number of subject Shares or substitute equity awards that otherwise would be distributed to the Participant if available and the Committee had not determined to pay cash.</w:t>
      </w:r>
    </w:p>
    <w:p>
      <w:pPr>
        <w:spacing w:after="0" w:line="83" w:lineRule="exact"/>
        <w:rPr>
          <w:sz w:val="20"/>
          <w:szCs w:val="20"/>
          <w:color w:val="auto"/>
        </w:rPr>
      </w:pPr>
    </w:p>
    <w:p>
      <w:pPr>
        <w:ind w:left="120" w:right="200" w:firstLine="551"/>
        <w:spacing w:after="0" w:line="252" w:lineRule="auto"/>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Other Share-Based Awards.</w:t>
      </w:r>
      <w:r>
        <w:rPr>
          <w:rFonts w:ascii="Arial" w:cs="Arial" w:eastAsia="Arial" w:hAnsi="Arial"/>
          <w:sz w:val="16"/>
          <w:szCs w:val="16"/>
          <w:b w:val="1"/>
          <w:bCs w:val="1"/>
          <w:color w:val="auto"/>
        </w:rPr>
        <w:t xml:space="preserve"> </w:t>
      </w:r>
      <w:r>
        <w:rPr>
          <w:rFonts w:ascii="Arial" w:cs="Arial" w:eastAsia="Arial" w:hAnsi="Arial"/>
          <w:sz w:val="16"/>
          <w:szCs w:val="16"/>
          <w:color w:val="auto"/>
        </w:rPr>
        <w:t>All of the Participant’s Other Share-Based Awards that are or were subject to performance-based vesting</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to be fully vested as of the Participant’s Covered Termination of Employment and be paid out immediately thereafter. Notwithstanding the preceding sentence, in the event no Awards, publicly-traded Shares or substitute equity interests are available in connection with the Change in Control, the restrictions, forfeiture conditions, deferral of settlement and conditions on distribution other than those imposed by law applicable to such Other Share-Based Awards shall lapse, and all such Awards shall be deemed to be fully vested, as of the date of the Change in Control. The amount of vesting shall be determined in the same manner as performance-based Awards under Article 12.1(a). Any Other Share-Based Awards other than those described in Articles 12.1(a) and (b), and other than as described above in this Article 12.1(c), shall be treated in a manner similar to that described in Articles 12.1(a) and (b).</w:t>
      </w:r>
    </w:p>
    <w:p>
      <w:pPr>
        <w:spacing w:after="0" w:line="75" w:lineRule="exact"/>
        <w:rPr>
          <w:sz w:val="20"/>
          <w:szCs w:val="20"/>
          <w:color w:val="auto"/>
        </w:rPr>
      </w:pPr>
    </w:p>
    <w:p>
      <w:pPr>
        <w:ind w:left="120" w:right="60" w:firstLine="551"/>
        <w:spacing w:after="0" w:line="266" w:lineRule="auto"/>
        <w:rPr>
          <w:sz w:val="20"/>
          <w:szCs w:val="20"/>
          <w:color w:val="auto"/>
        </w:rPr>
      </w:pPr>
      <w:r>
        <w:rPr>
          <w:rFonts w:ascii="Arial" w:cs="Arial" w:eastAsia="Arial" w:hAnsi="Arial"/>
          <w:sz w:val="16"/>
          <w:szCs w:val="16"/>
          <w:b w:val="1"/>
          <w:bCs w:val="1"/>
          <w:color w:val="auto"/>
        </w:rPr>
        <w:t>12.2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Covered Termination of Employment. </w:t>
      </w:r>
      <w:r>
        <w:rPr>
          <w:rFonts w:ascii="Arial" w:cs="Arial" w:eastAsia="Arial" w:hAnsi="Arial"/>
          <w:sz w:val="16"/>
          <w:szCs w:val="16"/>
          <w:color w:val="auto"/>
        </w:rPr>
        <w:t>For purposes of this Article 12, “Covered Termination of Employment” shall mean any involuntary</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employment of a Participant, provided that such termination does not result from the Participant’s serious misconduct within the meaning of Article 3.6.</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12.3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Change in Control Definition. </w:t>
      </w:r>
      <w:r>
        <w:rPr>
          <w:rFonts w:ascii="Arial" w:cs="Arial" w:eastAsia="Arial" w:hAnsi="Arial"/>
          <w:sz w:val="16"/>
          <w:szCs w:val="16"/>
          <w:color w:val="auto"/>
        </w:rPr>
        <w:t>A Change in Control shall occur if:</w:t>
      </w:r>
    </w:p>
    <w:p>
      <w:pPr>
        <w:spacing w:after="0" w:line="113" w:lineRule="exact"/>
        <w:rPr>
          <w:sz w:val="20"/>
          <w:szCs w:val="20"/>
          <w:color w:val="auto"/>
        </w:rPr>
      </w:pPr>
    </w:p>
    <w:p>
      <w:pPr>
        <w:ind w:left="120" w:right="20" w:firstLine="551"/>
        <w:spacing w:after="0" w:line="254" w:lineRule="auto"/>
        <w:rPr>
          <w:sz w:val="20"/>
          <w:szCs w:val="20"/>
          <w:color w:val="auto"/>
        </w:rPr>
      </w:pPr>
      <w:r>
        <w:rPr>
          <w:rFonts w:ascii="Arial" w:cs="Arial" w:eastAsia="Arial" w:hAnsi="Arial"/>
          <w:sz w:val="16"/>
          <w:szCs w:val="16"/>
          <w:b w:val="1"/>
          <w:bCs w:val="1"/>
          <w:color w:val="auto"/>
        </w:rPr>
        <w:t>(a)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Acquisition of Voting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directly or indirectly becomes the Beneficial Owner of more than thirty percent (30%)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then outstanding voting securities (measured on the basis of voting power), provided that the Person (i) has not acquired such voting securities directly from the Company, (ii) is not the Company or any of its Subsidiaries, (iii) is not a trustee or other fiduciary holding voting securities under an employee benefit plan of the Company or any of its Subsidiaries, (iv) is not an underwriter temporarily holding the voting securities in connection with an offering thereof, and (v) is not a corporation owned, directly or indirectly, by the stockholders of the Company in substantially the same proportions as their ownership of Company stock; or</w:t>
      </w:r>
    </w:p>
    <w:p>
      <w:pPr>
        <w:spacing w:after="0" w:line="74" w:lineRule="exact"/>
        <w:rPr>
          <w:sz w:val="20"/>
          <w:szCs w:val="20"/>
          <w:color w:val="auto"/>
        </w:rPr>
      </w:pPr>
    </w:p>
    <w:p>
      <w:pPr>
        <w:ind w:left="120" w:right="60" w:firstLine="551"/>
        <w:spacing w:after="0" w:line="259" w:lineRule="auto"/>
        <w:rPr>
          <w:sz w:val="20"/>
          <w:szCs w:val="20"/>
          <w:color w:val="auto"/>
        </w:rPr>
      </w:pPr>
      <w:r>
        <w:rPr>
          <w:rFonts w:ascii="Arial" w:cs="Arial" w:eastAsia="Arial" w:hAnsi="Arial"/>
          <w:sz w:val="16"/>
          <w:szCs w:val="16"/>
          <w:b w:val="1"/>
          <w:bCs w:val="1"/>
          <w:color w:val="auto"/>
        </w:rPr>
        <w:t>(b)</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Merger or Consolidation.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merges or consolidates with any other corporation, other than a merger or consolidation resulting</w:t>
      </w:r>
      <w:r>
        <w:rPr>
          <w:rFonts w:ascii="Arial" w:cs="Arial" w:eastAsia="Arial" w:hAnsi="Arial"/>
          <w:sz w:val="16"/>
          <w:szCs w:val="16"/>
          <w:b w:val="1"/>
          <w:bCs w:val="1"/>
          <w:color w:val="auto"/>
        </w:rPr>
        <w:t xml:space="preserve"> </w:t>
      </w:r>
      <w:r>
        <w:rPr>
          <w:rFonts w:ascii="Arial" w:cs="Arial" w:eastAsia="Arial" w:hAnsi="Arial"/>
          <w:sz w:val="16"/>
          <w:szCs w:val="16"/>
          <w:color w:val="auto"/>
        </w:rPr>
        <w:t>in the voting securities of the Company outstanding immediately prior to such merger or consolidation representing fifty percent (50%) or more of the combined voting power of the voting securities of the Company, the other corporation (if such corporation is the surviving corporation) or the parent of the Company or other corporation, in each case outstanding immediately after such merger or consolidation; or</w:t>
      </w:r>
    </w:p>
    <w:p>
      <w:pPr>
        <w:spacing w:after="0" w:line="70" w:lineRule="exact"/>
        <w:rPr>
          <w:sz w:val="20"/>
          <w:szCs w:val="20"/>
          <w:color w:val="auto"/>
        </w:rPr>
      </w:pPr>
    </w:p>
    <w:p>
      <w:pPr>
        <w:ind w:left="120" w:right="280" w:firstLine="551"/>
        <w:spacing w:after="0" w:line="266" w:lineRule="auto"/>
        <w:rPr>
          <w:sz w:val="20"/>
          <w:szCs w:val="20"/>
          <w:color w:val="auto"/>
        </w:rPr>
      </w:pPr>
      <w:r>
        <w:rPr>
          <w:rFonts w:ascii="Arial" w:cs="Arial" w:eastAsia="Arial" w:hAnsi="Arial"/>
          <w:sz w:val="16"/>
          <w:szCs w:val="16"/>
          <w:b w:val="1"/>
          <w:bCs w:val="1"/>
          <w:color w:val="auto"/>
        </w:rPr>
        <w:t>(c)</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Change in Majority of Board.</w:t>
      </w:r>
      <w:r>
        <w:rPr>
          <w:rFonts w:ascii="Arial" w:cs="Arial" w:eastAsia="Arial" w:hAnsi="Arial"/>
          <w:sz w:val="16"/>
          <w:szCs w:val="16"/>
          <w:b w:val="1"/>
          <w:bCs w:val="1"/>
          <w:color w:val="auto"/>
        </w:rPr>
        <w:t xml:space="preserve"> </w:t>
      </w:r>
      <w:r>
        <w:rPr>
          <w:rFonts w:ascii="Arial" w:cs="Arial" w:eastAsia="Arial" w:hAnsi="Arial"/>
          <w:sz w:val="16"/>
          <w:szCs w:val="16"/>
          <w:color w:val="auto"/>
        </w:rPr>
        <w:t>Continuing Directors cease to represent a majority of the Board, where “Continuing Directors” shall mean</w:t>
      </w:r>
      <w:r>
        <w:rPr>
          <w:rFonts w:ascii="Arial" w:cs="Arial" w:eastAsia="Arial" w:hAnsi="Arial"/>
          <w:sz w:val="16"/>
          <w:szCs w:val="16"/>
          <w:b w:val="1"/>
          <w:bCs w:val="1"/>
          <w:color w:val="auto"/>
        </w:rPr>
        <w:t xml:space="preserve"> </w:t>
      </w:r>
      <w:r>
        <w:rPr>
          <w:rFonts w:ascii="Arial" w:cs="Arial" w:eastAsia="Arial" w:hAnsi="Arial"/>
          <w:sz w:val="16"/>
          <w:szCs w:val="16"/>
          <w:color w:val="auto"/>
        </w:rPr>
        <w:t>the directors of the Board immediately after the Effective Date , and any other director whose appointment, election or nomination for election by the stockholders is approved by at least a majority of the Continuing Directors at such time; or</w:t>
      </w:r>
    </w:p>
    <w:p>
      <w:pPr>
        <w:spacing w:after="0" w:line="63" w:lineRule="exact"/>
        <w:rPr>
          <w:sz w:val="20"/>
          <w:szCs w:val="20"/>
          <w:color w:val="auto"/>
        </w:rPr>
      </w:pPr>
    </w:p>
    <w:p>
      <w:pPr>
        <w:ind w:left="120" w:right="180" w:firstLine="551"/>
        <w:spacing w:after="0" w:line="286" w:lineRule="auto"/>
        <w:rPr>
          <w:sz w:val="20"/>
          <w:szCs w:val="20"/>
          <w:color w:val="auto"/>
        </w:rPr>
      </w:pPr>
      <w:r>
        <w:rPr>
          <w:rFonts w:ascii="Arial" w:cs="Arial" w:eastAsia="Arial" w:hAnsi="Arial"/>
          <w:sz w:val="16"/>
          <w:szCs w:val="16"/>
          <w:b w:val="1"/>
          <w:bCs w:val="1"/>
          <w:color w:val="auto"/>
        </w:rPr>
        <w:t>(d)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Sale, Liquidation or Other Disposition.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stockholders of the Company approve a plan of complete liquidation of the Company 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sells or disposes of all or substantially all of its assets.</w:t>
      </w:r>
    </w:p>
    <w:p>
      <w:pPr>
        <w:spacing w:after="0" w:line="48" w:lineRule="exact"/>
        <w:rPr>
          <w:sz w:val="20"/>
          <w:szCs w:val="20"/>
          <w:color w:val="auto"/>
        </w:rPr>
      </w:pPr>
    </w:p>
    <w:p>
      <w:pPr>
        <w:jc w:val="both"/>
        <w:ind w:left="120" w:right="80" w:firstLine="551"/>
        <w:spacing w:after="0" w:line="256" w:lineRule="auto"/>
        <w:rPr>
          <w:sz w:val="20"/>
          <w:szCs w:val="20"/>
          <w:color w:val="auto"/>
        </w:rPr>
      </w:pPr>
      <w:r>
        <w:rPr>
          <w:rFonts w:ascii="Arial" w:cs="Arial" w:eastAsia="Arial" w:hAnsi="Arial"/>
          <w:sz w:val="16"/>
          <w:szCs w:val="16"/>
          <w:color w:val="auto"/>
        </w:rPr>
        <w:t>Notwithstanding the foregoing provisions of Article 12.3, with respect to any Award that is subject to Code Section 409A, in order to be treated as a Change in Control, any event described in this Article 12.3 also must qualify as a “change in control event” within the meaning of Code Section 409A(a)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(2)(A)(v) and the regulations thereunder to the extent required for compliance with Code Section 409A.</w:t>
      </w:r>
    </w:p>
    <w:p>
      <w:pPr>
        <w:spacing w:after="0" w:line="97" w:lineRule="exact"/>
        <w:rPr>
          <w:sz w:val="20"/>
          <w:szCs w:val="20"/>
          <w:color w:val="auto"/>
        </w:rPr>
      </w:pPr>
    </w:p>
    <w:p>
      <w:pPr>
        <w:ind w:left="120" w:right="60" w:firstLine="551"/>
        <w:spacing w:after="0" w:line="250" w:lineRule="auto"/>
        <w:rPr>
          <w:sz w:val="20"/>
          <w:szCs w:val="20"/>
          <w:color w:val="auto"/>
        </w:rPr>
      </w:pPr>
      <w:r>
        <w:rPr>
          <w:rFonts w:ascii="Arial" w:cs="Arial" w:eastAsia="Arial" w:hAnsi="Arial"/>
          <w:sz w:val="16"/>
          <w:szCs w:val="16"/>
          <w:b w:val="1"/>
          <w:bCs w:val="1"/>
          <w:color w:val="auto"/>
        </w:rPr>
        <w:t>12.4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Section 280G. </w:t>
      </w:r>
      <w:r>
        <w:rPr>
          <w:rFonts w:ascii="Arial" w:cs="Arial" w:eastAsia="Arial" w:hAnsi="Arial"/>
          <w:sz w:val="16"/>
          <w:szCs w:val="16"/>
          <w:color w:val="auto"/>
        </w:rPr>
        <w:t>Except as otherwise expressly provided in any agreement between a Participant and the Company, if any payment or</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paid by the Company pursuant to this Plan, including vesting or similar provisions (“Plan Payments”), would cause some or all of the Plan Payments or any other payments made to or benefits received by a Participant in connection with a Change in Control (such payments or benefits, together with the Plan Payments, the “Total Payments”) to be subject to the tax (“Excise Tax”) imposed by Code Section 4999 but for this Article 12.4, then the Total Payments shall be delivered either (i) in full or (ii) in an amount such that the value of the aggregate Total Payments that the Participant is entitled to receive shall be One Dollar ($1.00) less than the maximum amount that the Participant may receive without being subject to the Excise Tax, whichever of (i) or (ii) results in the receipt by the Participant of the greatest benefit on an after-tax basis (taking into account applicable federal, state and local income taxes and the Excise Tax). All determinations required to be made under this Article 12.4, including whether clause (i) or (ii) above should apply, and the assumptions utilized in arriving at such determination, shall be made by a registered public accounting, legal, valuation or similar firm(s) as selected by the Company, the costs of which shall be borne by the Company.</w:t>
      </w:r>
    </w:p>
    <w:p>
      <w:pPr>
        <w:spacing w:after="0" w:line="123" w:lineRule="exact"/>
        <w:rPr>
          <w:sz w:val="20"/>
          <w:szCs w:val="20"/>
          <w:color w:val="auto"/>
        </w:rPr>
      </w:pPr>
    </w:p>
    <w:p>
      <w:pPr>
        <w:ind w:left="120"/>
        <w:spacing w:after="0"/>
        <w:tabs>
          <w:tab w:leader="none" w:pos="5340" w:val="left"/>
          <w:tab w:leader="none" w:pos="108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003A70"/>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13     Rights of Participants</w:t>
      </w:r>
    </w:p>
    <w:p>
      <w:pPr>
        <w:spacing w:after="0" w:line="110" w:lineRule="exact"/>
        <w:rPr>
          <w:sz w:val="20"/>
          <w:szCs w:val="20"/>
          <w:color w:val="auto"/>
        </w:rPr>
      </w:pPr>
    </w:p>
    <w:p>
      <w:pPr>
        <w:ind w:left="120" w:right="100" w:firstLine="551"/>
        <w:spacing w:after="0" w:line="286" w:lineRule="auto"/>
        <w:rPr>
          <w:sz w:val="20"/>
          <w:szCs w:val="20"/>
          <w:color w:val="auto"/>
        </w:rPr>
      </w:pPr>
      <w:r>
        <w:rPr>
          <w:rFonts w:ascii="Arial" w:cs="Arial" w:eastAsia="Arial" w:hAnsi="Arial"/>
          <w:sz w:val="16"/>
          <w:szCs w:val="16"/>
          <w:b w:val="1"/>
          <w:bCs w:val="1"/>
          <w:color w:val="auto"/>
        </w:rPr>
        <w:t>13.1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Employment or Service. </w:t>
      </w:r>
      <w:r>
        <w:rPr>
          <w:rFonts w:ascii="Arial" w:cs="Arial" w:eastAsia="Arial" w:hAnsi="Arial"/>
          <w:sz w:val="16"/>
          <w:szCs w:val="16"/>
          <w:color w:val="auto"/>
        </w:rPr>
        <w:t>Nothing in the Plan shall interfere with or limit in any way the right of the Company to terminate any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or service at any time, nor confer upon any Participant any right to continue in the employ or service of the Company.</w:t>
      </w:r>
    </w:p>
    <w:p>
      <w:pPr>
        <w:spacing w:after="0" w:line="48" w:lineRule="exact"/>
        <w:rPr>
          <w:sz w:val="20"/>
          <w:szCs w:val="20"/>
          <w:color w:val="auto"/>
        </w:rPr>
      </w:pPr>
    </w:p>
    <w:p>
      <w:pPr>
        <w:ind w:left="120" w:right="380" w:firstLine="551"/>
        <w:spacing w:after="0" w:line="286" w:lineRule="auto"/>
        <w:rPr>
          <w:sz w:val="20"/>
          <w:szCs w:val="20"/>
          <w:color w:val="auto"/>
        </w:rPr>
      </w:pPr>
      <w:r>
        <w:rPr>
          <w:rFonts w:ascii="Arial" w:cs="Arial" w:eastAsia="Arial" w:hAnsi="Arial"/>
          <w:sz w:val="16"/>
          <w:szCs w:val="16"/>
          <w:b w:val="1"/>
          <w:bCs w:val="1"/>
          <w:color w:val="auto"/>
        </w:rPr>
        <w:t>13.2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Participation. </w:t>
      </w:r>
      <w:r>
        <w:rPr>
          <w:rFonts w:ascii="Arial" w:cs="Arial" w:eastAsia="Arial" w:hAnsi="Arial"/>
          <w:sz w:val="16"/>
          <w:szCs w:val="16"/>
          <w:color w:val="auto"/>
        </w:rPr>
        <w:t>No Employee shall have the right to be selected to receive an Award under this Plan, or, having been so selected,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selected to receive a future Award.</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14     Amendment, Modification, and Termination</w:t>
      </w:r>
    </w:p>
    <w:p>
      <w:pPr>
        <w:spacing w:after="0" w:line="110" w:lineRule="exact"/>
        <w:rPr>
          <w:sz w:val="20"/>
          <w:szCs w:val="20"/>
          <w:color w:val="auto"/>
        </w:rPr>
      </w:pPr>
    </w:p>
    <w:p>
      <w:pPr>
        <w:ind w:left="120" w:right="200" w:firstLine="551"/>
        <w:spacing w:after="0" w:line="256" w:lineRule="auto"/>
        <w:rPr>
          <w:sz w:val="20"/>
          <w:szCs w:val="20"/>
          <w:color w:val="auto"/>
        </w:rPr>
      </w:pPr>
      <w:r>
        <w:rPr>
          <w:rFonts w:ascii="Arial" w:cs="Arial" w:eastAsia="Arial" w:hAnsi="Arial"/>
          <w:sz w:val="16"/>
          <w:szCs w:val="16"/>
          <w:b w:val="1"/>
          <w:bCs w:val="1"/>
          <w:color w:val="auto"/>
        </w:rPr>
        <w:t>14.1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Amendment, Modification, and Termination. </w:t>
      </w:r>
      <w:r>
        <w:rPr>
          <w:rFonts w:ascii="Arial" w:cs="Arial" w:eastAsia="Arial" w:hAnsi="Arial"/>
          <w:sz w:val="16"/>
          <w:szCs w:val="16"/>
          <w:color w:val="auto"/>
        </w:rPr>
        <w:t>The Board may at any time and from time to time, alter, amend, suspend or terminate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in whole or in part; provided, however, that the Board may, in its Discretion, condition the adoption of any amendment of the Plan on the approval thereof by the requisite vote of the stockholders of the Company entitled to vote thereon. The Board shall condition the adoption of an amendment on such a stockholder vote to the extent required by applicable law or the requirements of the principal securities exchange or market on which the Shares are then traded, or to the extent such amendment would diminish the protections afforded by Article 14.3.</w:t>
      </w:r>
    </w:p>
    <w:p>
      <w:pPr>
        <w:spacing w:after="0" w:line="72" w:lineRule="exact"/>
        <w:rPr>
          <w:sz w:val="20"/>
          <w:szCs w:val="20"/>
          <w:color w:val="auto"/>
        </w:rPr>
      </w:pPr>
    </w:p>
    <w:p>
      <w:pPr>
        <w:ind w:left="120" w:right="140" w:firstLine="551"/>
        <w:spacing w:after="0" w:line="256" w:lineRule="auto"/>
        <w:rPr>
          <w:sz w:val="20"/>
          <w:szCs w:val="20"/>
          <w:color w:val="auto"/>
        </w:rPr>
      </w:pPr>
      <w:r>
        <w:rPr>
          <w:rFonts w:ascii="Arial" w:cs="Arial" w:eastAsia="Arial" w:hAnsi="Arial"/>
          <w:sz w:val="16"/>
          <w:szCs w:val="16"/>
          <w:b w:val="1"/>
          <w:bCs w:val="1"/>
          <w:color w:val="auto"/>
        </w:rPr>
        <w:t>14.2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Adjustment of Awards upon the Occurrence of Certain Unusual or Nonrecurring Events. </w:t>
      </w:r>
      <w:r>
        <w:rPr>
          <w:rFonts w:ascii="Arial" w:cs="Arial" w:eastAsia="Arial" w:hAnsi="Arial"/>
          <w:sz w:val="16"/>
          <w:szCs w:val="16"/>
          <w:color w:val="auto"/>
        </w:rPr>
        <w:t>The Committee may make adjustments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and conditions of, and the criteria included in, Awards in recognition of unusual or nonrecurring events (including, without limitation, the events described in Article 4.2 hereof)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14.3  Awards Previously Granted; No Repricing or Cash Buyouts of Options or SARs.</w:t>
      </w:r>
    </w:p>
    <w:p>
      <w:pPr>
        <w:spacing w:after="0" w:line="113" w:lineRule="exact"/>
        <w:rPr>
          <w:sz w:val="20"/>
          <w:szCs w:val="20"/>
          <w:color w:val="auto"/>
        </w:rPr>
      </w:pPr>
    </w:p>
    <w:p>
      <w:pPr>
        <w:ind w:left="120" w:right="140" w:firstLine="551"/>
        <w:spacing w:after="0" w:line="256" w:lineRule="auto"/>
        <w:rPr>
          <w:sz w:val="20"/>
          <w:szCs w:val="20"/>
          <w:color w:val="auto"/>
        </w:rPr>
      </w:pPr>
      <w:r>
        <w:rPr>
          <w:rFonts w:ascii="Arial" w:cs="Arial" w:eastAsia="Arial" w:hAnsi="Arial"/>
          <w:sz w:val="16"/>
          <w:szCs w:val="16"/>
          <w:b w:val="1"/>
          <w:bCs w:val="1"/>
          <w:color w:val="auto"/>
        </w:rPr>
        <w:t>(a)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Awards Previously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No termination, amendment, or modification of the Plan or any Award shall adversely affect in any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way any Award previously granted under the Plan, without the written consent of the Participant holding such Award; provided that Participant consent shall not be required for the termination, amendment or modification of an Award pursuant to the provisions of Article 4.2 or Article 12 or the termination, amendment or modification of an Award to the extent deemed necessary to comply with any applicable law, the listing requirements of any principal securities exchange or market on which the Shares are then traded, or to preserve favorable accounting or tax treatment of any Award for the Company.</w:t>
      </w:r>
    </w:p>
    <w:p>
      <w:pPr>
        <w:spacing w:after="0" w:line="72" w:lineRule="exact"/>
        <w:rPr>
          <w:sz w:val="20"/>
          <w:szCs w:val="20"/>
          <w:color w:val="auto"/>
        </w:rPr>
      </w:pPr>
    </w:p>
    <w:p>
      <w:pPr>
        <w:ind w:left="120" w:right="180" w:firstLine="551"/>
        <w:spacing w:after="0" w:line="259" w:lineRule="auto"/>
        <w:rPr>
          <w:sz w:val="20"/>
          <w:szCs w:val="20"/>
          <w:color w:val="auto"/>
        </w:rPr>
      </w:pPr>
      <w:r>
        <w:rPr>
          <w:rFonts w:ascii="Arial" w:cs="Arial" w:eastAsia="Arial" w:hAnsi="Arial"/>
          <w:sz w:val="16"/>
          <w:szCs w:val="16"/>
          <w:b w:val="1"/>
          <w:bCs w:val="1"/>
          <w:color w:val="auto"/>
        </w:rPr>
        <w:t>(b)</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  Repricing and Cash Buyouts Prohibited.</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under Article 14.2, an outstanding SAR or Option may not be (i)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to reduce its Exercise Price, (ii) cancelled in exchange for the re-grant of a SAR or Option with a reduced Exercise Price, nor (iii) except in the case of SARs or Options with an Exercise Price above the then-current Share price, cancelled in exchange for other Awards or for a payment made in cash or Shares, unless approved by stockholders.</w:t>
      </w:r>
    </w:p>
    <w:p>
      <w:pPr>
        <w:spacing w:after="0" w:line="70" w:lineRule="exact"/>
        <w:rPr>
          <w:sz w:val="20"/>
          <w:szCs w:val="20"/>
          <w:color w:val="auto"/>
        </w:rPr>
      </w:pPr>
    </w:p>
    <w:p>
      <w:pPr>
        <w:ind w:left="120" w:right="20" w:firstLine="551"/>
        <w:spacing w:after="0" w:line="254" w:lineRule="auto"/>
        <w:rPr>
          <w:sz w:val="20"/>
          <w:szCs w:val="20"/>
          <w:color w:val="auto"/>
        </w:rPr>
      </w:pPr>
      <w:r>
        <w:rPr>
          <w:rFonts w:ascii="Arial" w:cs="Arial" w:eastAsia="Arial" w:hAnsi="Arial"/>
          <w:sz w:val="16"/>
          <w:szCs w:val="16"/>
          <w:b w:val="1"/>
          <w:bCs w:val="1"/>
          <w:color w:val="auto"/>
        </w:rPr>
        <w:t>14.4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Substitution of Awards in Mergers and Acquisitions. </w:t>
      </w:r>
      <w:r>
        <w:rPr>
          <w:rFonts w:ascii="Arial" w:cs="Arial" w:eastAsia="Arial" w:hAnsi="Arial"/>
          <w:sz w:val="16"/>
          <w:szCs w:val="16"/>
          <w:color w:val="auto"/>
        </w:rPr>
        <w:t>Awards may be granted under the Plan from time to time in substitution for awards</w:t>
      </w:r>
      <w:r>
        <w:rPr>
          <w:rFonts w:ascii="Arial" w:cs="Arial" w:eastAsia="Arial" w:hAnsi="Arial"/>
          <w:sz w:val="16"/>
          <w:szCs w:val="16"/>
          <w:b w:val="1"/>
          <w:bCs w:val="1"/>
          <w:color w:val="auto"/>
        </w:rPr>
        <w:t xml:space="preserve"> </w:t>
      </w:r>
      <w:r>
        <w:rPr>
          <w:rFonts w:ascii="Arial" w:cs="Arial" w:eastAsia="Arial" w:hAnsi="Arial"/>
          <w:sz w:val="16"/>
          <w:szCs w:val="16"/>
          <w:color w:val="auto"/>
        </w:rPr>
        <w:t>held by employees or directors of entities who become or are about to become employees or directors of the Company or a Subsidiary as the result of a merger, consolidation or other acquisition of the employing entity or the acquisition by the Company or a Subsidiary of the assets or stock of the employing entity, or who are former employees or directors of such entities, and such Awards shall not deplete the number of Shares reserved under Article 4.1. The terms and conditions of any substitute awards so granted may vary from the terms and conditions set forth hereof to the extent that the Committee deems appropriate at the time of grant to conform the substitute awards to the provisions of the awards for which they are substituted.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15     Withholding</w:t>
      </w:r>
    </w:p>
    <w:p>
      <w:pPr>
        <w:spacing w:after="0" w:line="110" w:lineRule="exact"/>
        <w:rPr>
          <w:sz w:val="20"/>
          <w:szCs w:val="20"/>
          <w:color w:val="auto"/>
        </w:rPr>
      </w:pPr>
    </w:p>
    <w:p>
      <w:pPr>
        <w:ind w:left="120" w:right="60" w:firstLine="551"/>
        <w:spacing w:after="0" w:line="254" w:lineRule="auto"/>
        <w:rPr>
          <w:sz w:val="20"/>
          <w:szCs w:val="20"/>
          <w:color w:val="auto"/>
        </w:rPr>
      </w:pPr>
      <w:r>
        <w:rPr>
          <w:rFonts w:ascii="Arial" w:cs="Arial" w:eastAsia="Arial" w:hAnsi="Arial"/>
          <w:sz w:val="16"/>
          <w:szCs w:val="16"/>
          <w:b w:val="1"/>
          <w:bCs w:val="1"/>
          <w:color w:val="auto"/>
        </w:rPr>
        <w:t>15.1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Tax Withholding. </w:t>
      </w:r>
      <w:r>
        <w:rPr>
          <w:rFonts w:ascii="Arial" w:cs="Arial" w:eastAsia="Arial" w:hAnsi="Arial"/>
          <w:sz w:val="16"/>
          <w:szCs w:val="16"/>
          <w:color w:val="auto"/>
        </w:rPr>
        <w:t>The Company shall have the power and the right to deduct from any amount otherwise due to the Participant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or, subject to applicable law, withhold from any other compensation payable to a Participant, or require a Participant to remit to the Company, an amount sufficient to satisfy Federal, state, and local income, employment or other related taxes, domestic or foreign, required by law or regulation to be withheld with respect to any taxable event arising as a result of this Plan. In addition, subject to any restrictions on transfer, the Company may permit a Participant to satisfy a withholding obligation required in connection with the issuance or vesting of Shares under an Award through the use of a broker-assisted sell-to-cover transaction.</w:t>
      </w:r>
    </w:p>
    <w:p>
      <w:pPr>
        <w:spacing w:after="0" w:line="74" w:lineRule="exact"/>
        <w:rPr>
          <w:sz w:val="20"/>
          <w:szCs w:val="20"/>
          <w:color w:val="auto"/>
        </w:rPr>
      </w:pPr>
    </w:p>
    <w:p>
      <w:pPr>
        <w:ind w:left="120" w:right="120" w:firstLine="551"/>
        <w:spacing w:after="0" w:line="259" w:lineRule="auto"/>
        <w:rPr>
          <w:sz w:val="20"/>
          <w:szCs w:val="20"/>
          <w:color w:val="auto"/>
        </w:rPr>
      </w:pPr>
      <w:r>
        <w:rPr>
          <w:rFonts w:ascii="Arial" w:cs="Arial" w:eastAsia="Arial" w:hAnsi="Arial"/>
          <w:sz w:val="16"/>
          <w:szCs w:val="16"/>
          <w:b w:val="1"/>
          <w:bCs w:val="1"/>
          <w:color w:val="auto"/>
        </w:rPr>
        <w:t>15.2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Share Withholding. </w:t>
      </w:r>
      <w:r>
        <w:rPr>
          <w:rFonts w:ascii="Arial" w:cs="Arial" w:eastAsia="Arial" w:hAnsi="Arial"/>
          <w:sz w:val="16"/>
          <w:szCs w:val="16"/>
          <w:color w:val="auto"/>
        </w:rPr>
        <w:t>With respect to withholding required in connection with any Award, the Company may require, or the Committee may</w:t>
      </w:r>
      <w:r>
        <w:rPr>
          <w:rFonts w:ascii="Arial" w:cs="Arial" w:eastAsia="Arial" w:hAnsi="Arial"/>
          <w:sz w:val="16"/>
          <w:szCs w:val="16"/>
          <w:b w:val="1"/>
          <w:bCs w:val="1"/>
          <w:color w:val="auto"/>
        </w:rPr>
        <w:t xml:space="preserve"> </w:t>
      </w:r>
      <w:r>
        <w:rPr>
          <w:rFonts w:ascii="Arial" w:cs="Arial" w:eastAsia="Arial" w:hAnsi="Arial"/>
          <w:sz w:val="16"/>
          <w:szCs w:val="16"/>
          <w:color w:val="auto"/>
        </w:rPr>
        <w:t>permit a Participant to elect, that the withholding requirement be satisfied, in whole or in part, by having the Company withhold Shares having a Fair Market Value on the date the tax is to be determined up to the maximum statutory total tax which could be withheld on the transaction. Any election by a Participant shall be subject to any restrictions or limitations that the Committee, in its Discretion, deems appropriate.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16     Indemnification</w:t>
      </w:r>
    </w:p>
    <w:p>
      <w:pPr>
        <w:spacing w:after="0" w:line="110" w:lineRule="exact"/>
        <w:rPr>
          <w:sz w:val="20"/>
          <w:szCs w:val="20"/>
          <w:color w:val="auto"/>
        </w:rPr>
      </w:pPr>
    </w:p>
    <w:p>
      <w:pPr>
        <w:ind w:left="120" w:right="80" w:firstLine="551"/>
        <w:spacing w:after="0" w:line="251" w:lineRule="auto"/>
        <w:rPr>
          <w:sz w:val="20"/>
          <w:szCs w:val="20"/>
          <w:color w:val="auto"/>
        </w:rPr>
      </w:pPr>
      <w:r>
        <w:rPr>
          <w:rFonts w:ascii="Arial" w:cs="Arial" w:eastAsia="Arial" w:hAnsi="Arial"/>
          <w:sz w:val="16"/>
          <w:szCs w:val="16"/>
          <w:color w:val="auto"/>
        </w:rPr>
        <w:t>Except as prohibited by law, 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other than by willful misconduct,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19" w:lineRule="exact"/>
        <w:rPr>
          <w:sz w:val="20"/>
          <w:szCs w:val="20"/>
          <w:color w:val="auto"/>
        </w:rPr>
      </w:pPr>
    </w:p>
    <w:p>
      <w:pPr>
        <w:ind w:left="120"/>
        <w:spacing w:after="0"/>
        <w:tabs>
          <w:tab w:leader="none" w:pos="5340" w:val="left"/>
          <w:tab w:leader="none" w:pos="7820" w:val="left"/>
        </w:tabs>
        <w:rPr>
          <w:sz w:val="20"/>
          <w:szCs w:val="20"/>
          <w:color w:val="auto"/>
        </w:rPr>
      </w:pPr>
      <w:r>
        <w:rPr>
          <w:rFonts w:ascii="Arial" w:cs="Arial" w:eastAsia="Arial" w:hAnsi="Arial"/>
          <w:sz w:val="11"/>
          <w:szCs w:val="11"/>
          <w:b w:val="1"/>
          <w:bCs w:val="1"/>
          <w:color w:val="003A70"/>
        </w:rPr>
        <w:t>B-12</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color w:val="auto"/>
        </w:rPr>
        <w:t xml:space="preserve">2026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17     Code Section 409A</w:t>
      </w:r>
    </w:p>
    <w:p>
      <w:pPr>
        <w:spacing w:after="0" w:line="110" w:lineRule="exact"/>
        <w:rPr>
          <w:sz w:val="20"/>
          <w:szCs w:val="20"/>
          <w:color w:val="auto"/>
        </w:rPr>
      </w:pPr>
    </w:p>
    <w:p>
      <w:pPr>
        <w:ind w:left="120" w:right="80" w:firstLine="551"/>
        <w:spacing w:after="0" w:line="256" w:lineRule="auto"/>
        <w:rPr>
          <w:sz w:val="20"/>
          <w:szCs w:val="20"/>
          <w:color w:val="auto"/>
        </w:rPr>
      </w:pPr>
      <w:r>
        <w:rPr>
          <w:rFonts w:ascii="Arial" w:cs="Arial" w:eastAsia="Arial" w:hAnsi="Arial"/>
          <w:sz w:val="16"/>
          <w:szCs w:val="16"/>
          <w:b w:val="1"/>
          <w:bCs w:val="1"/>
          <w:color w:val="auto"/>
        </w:rPr>
        <w:t>17.1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General. </w:t>
      </w:r>
      <w:r>
        <w:rPr>
          <w:rFonts w:ascii="Arial" w:cs="Arial" w:eastAsia="Arial" w:hAnsi="Arial"/>
          <w:sz w:val="16"/>
          <w:szCs w:val="16"/>
          <w:color w:val="auto"/>
        </w:rPr>
        <w:t>To the extent that Code Section 409A may apply to any Award under the Plan, it is intended that the terms of the Plan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Award meet the applicable requirements to qualify for an exemption from, or be compliant with, Code Section 409A so that a Participant is not taxed under Code Section 409A with respect to such Award until such time as Shares or other amounts are distributed to the Participant in accordance with the Plan’s and the Award’s terms. For this purpose, the Plan and the Awards will be administered and interpreted to be exempt from or comply with Code Section 409A and any applicable Treasury or IRS guidance.</w:t>
      </w:r>
    </w:p>
    <w:p>
      <w:pPr>
        <w:spacing w:after="0" w:line="72" w:lineRule="exact"/>
        <w:rPr>
          <w:sz w:val="20"/>
          <w:szCs w:val="20"/>
          <w:color w:val="auto"/>
        </w:rPr>
      </w:pPr>
    </w:p>
    <w:p>
      <w:pPr>
        <w:ind w:left="120" w:right="60" w:firstLine="551"/>
        <w:spacing w:after="0" w:line="252" w:lineRule="auto"/>
        <w:rPr>
          <w:sz w:val="20"/>
          <w:szCs w:val="20"/>
          <w:color w:val="auto"/>
        </w:rPr>
      </w:pPr>
      <w:r>
        <w:rPr>
          <w:rFonts w:ascii="Arial" w:cs="Arial" w:eastAsia="Arial" w:hAnsi="Arial"/>
          <w:sz w:val="16"/>
          <w:szCs w:val="16"/>
          <w:b w:val="1"/>
          <w:bCs w:val="1"/>
          <w:color w:val="auto"/>
        </w:rPr>
        <w:t>17.2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Delay for Specified Employees. </w:t>
      </w:r>
      <w:r>
        <w:rPr>
          <w:rFonts w:ascii="Arial" w:cs="Arial" w:eastAsia="Arial" w:hAnsi="Arial"/>
          <w:sz w:val="16"/>
          <w:szCs w:val="16"/>
          <w:color w:val="auto"/>
        </w:rPr>
        <w:t>To the extent that any Award under the Plan may be subject to Code Section 409A(a)(2)(B)(i),</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distributions of Shares or other amounts pursuant to such Award on account of a termination of employment of a Participant who is a Specified Employee (as defined as follows) shall be made or commence not before the date which is six (6) months following the termination of employment, except in the event of the Participant’s death. Any distribution that is delayed under this Article 17.2 shall be distributed on the first day of the seventh month following the Specified Employee’s termination of employment (without affecting the timing of any subsequent installment that is not within the six-month period following termination of employment). For this purpose, a Specified Employee is a person described under Treasury Regulation section 1.409A-1(i), applying the default rules thereunder, except that the definition of compensation for purposes of identifying Specified Employees is the safe harbor definition of compensation set forth under Treasury Regulation section 1.415(c)- 2(d)(4).</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18     Successors</w:t>
      </w:r>
    </w:p>
    <w:p>
      <w:pPr>
        <w:spacing w:after="0" w:line="110" w:lineRule="exact"/>
        <w:rPr>
          <w:sz w:val="20"/>
          <w:szCs w:val="20"/>
          <w:color w:val="auto"/>
        </w:rPr>
      </w:pPr>
    </w:p>
    <w:p>
      <w:pPr>
        <w:ind w:left="120" w:right="440" w:firstLine="551"/>
        <w:spacing w:after="0" w:line="266" w:lineRule="auto"/>
        <w:rPr>
          <w:sz w:val="20"/>
          <w:szCs w:val="20"/>
          <w:color w:val="auto"/>
        </w:rPr>
      </w:pPr>
      <w:r>
        <w:rPr>
          <w:rFonts w:ascii="Arial" w:cs="Arial" w:eastAsia="Arial" w:hAnsi="Arial"/>
          <w:sz w:val="16"/>
          <w:szCs w:val="16"/>
          <w:color w:val="auto"/>
        </w:rPr>
        <w:t>All obligations of the Company under the Plan with respect to Awards granted hereunder shall be binding on any successor to the Company, whether the existence of such successor is the result of a direct or indirect purchase, of all or substantially all of the business and/or assets of the Company, or a merger, consolidation or otherwise.</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Article 19      Legal Construction; Miscellaneous</w:t>
      </w:r>
    </w:p>
    <w:p>
      <w:pPr>
        <w:spacing w:after="0" w:line="110" w:lineRule="exact"/>
        <w:rPr>
          <w:sz w:val="20"/>
          <w:szCs w:val="20"/>
          <w:color w:val="auto"/>
        </w:rPr>
      </w:pPr>
    </w:p>
    <w:p>
      <w:pPr>
        <w:ind w:left="120" w:right="240" w:firstLine="551"/>
        <w:spacing w:after="0" w:line="286" w:lineRule="auto"/>
        <w:rPr>
          <w:sz w:val="20"/>
          <w:szCs w:val="20"/>
          <w:color w:val="auto"/>
        </w:rPr>
      </w:pPr>
      <w:r>
        <w:rPr>
          <w:rFonts w:ascii="Arial" w:cs="Arial" w:eastAsia="Arial" w:hAnsi="Arial"/>
          <w:sz w:val="16"/>
          <w:szCs w:val="16"/>
          <w:b w:val="1"/>
          <w:bCs w:val="1"/>
          <w:color w:val="auto"/>
        </w:rPr>
        <w:t>19.1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Gender and Number. </w:t>
      </w:r>
      <w:r>
        <w:rPr>
          <w:rFonts w:ascii="Arial" w:cs="Arial" w:eastAsia="Arial" w:hAnsi="Arial"/>
          <w:sz w:val="16"/>
          <w:szCs w:val="16"/>
          <w:color w:val="auto"/>
        </w:rPr>
        <w:t>Except where otherwise indicated by the context, any masculine term used hereof also shall include the feminine,</w:t>
      </w:r>
      <w:r>
        <w:rPr>
          <w:rFonts w:ascii="Arial" w:cs="Arial" w:eastAsia="Arial" w:hAnsi="Arial"/>
          <w:sz w:val="16"/>
          <w:szCs w:val="16"/>
          <w:b w:val="1"/>
          <w:bCs w:val="1"/>
          <w:color w:val="auto"/>
        </w:rPr>
        <w:t xml:space="preserve"> </w:t>
      </w:r>
      <w:r>
        <w:rPr>
          <w:rFonts w:ascii="Arial" w:cs="Arial" w:eastAsia="Arial" w:hAnsi="Arial"/>
          <w:sz w:val="16"/>
          <w:szCs w:val="16"/>
          <w:color w:val="auto"/>
        </w:rPr>
        <w:t>the plural shall include the singular and the singular shall include the plural.</w:t>
      </w:r>
    </w:p>
    <w:p>
      <w:pPr>
        <w:spacing w:after="0" w:line="48" w:lineRule="exact"/>
        <w:rPr>
          <w:sz w:val="20"/>
          <w:szCs w:val="20"/>
          <w:color w:val="auto"/>
        </w:rPr>
      </w:pPr>
    </w:p>
    <w:p>
      <w:pPr>
        <w:ind w:left="120" w:right="280" w:firstLine="551"/>
        <w:spacing w:after="0" w:line="286" w:lineRule="auto"/>
        <w:rPr>
          <w:sz w:val="20"/>
          <w:szCs w:val="20"/>
          <w:color w:val="auto"/>
        </w:rPr>
      </w:pPr>
      <w:r>
        <w:rPr>
          <w:rFonts w:ascii="Arial" w:cs="Arial" w:eastAsia="Arial" w:hAnsi="Arial"/>
          <w:sz w:val="16"/>
          <w:szCs w:val="16"/>
          <w:b w:val="1"/>
          <w:bCs w:val="1"/>
          <w:color w:val="auto"/>
        </w:rPr>
        <w:t>19.2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Severability. </w:t>
      </w:r>
      <w:r>
        <w:rPr>
          <w:rFonts w:ascii="Arial" w:cs="Arial" w:eastAsia="Arial" w:hAnsi="Arial"/>
          <w:sz w:val="16"/>
          <w:szCs w:val="16"/>
          <w:color w:val="auto"/>
        </w:rPr>
        <w:t>In the event any provision of the Plan shall be held illegal or invalid for any reason, the illegality or invalidity shall not affect</w:t>
      </w:r>
      <w:r>
        <w:rPr>
          <w:rFonts w:ascii="Arial" w:cs="Arial" w:eastAsia="Arial" w:hAnsi="Arial"/>
          <w:sz w:val="16"/>
          <w:szCs w:val="16"/>
          <w:b w:val="1"/>
          <w:bCs w:val="1"/>
          <w:color w:val="auto"/>
        </w:rPr>
        <w:t xml:space="preserve"> </w:t>
      </w:r>
      <w:r>
        <w:rPr>
          <w:rFonts w:ascii="Arial" w:cs="Arial" w:eastAsia="Arial" w:hAnsi="Arial"/>
          <w:sz w:val="16"/>
          <w:szCs w:val="16"/>
          <w:color w:val="auto"/>
        </w:rPr>
        <w:t>the remaining provisions of the Plan, and the Plan shall be construed and enforced as if the illegal or invalid provision had not been included.</w:t>
      </w:r>
    </w:p>
    <w:p>
      <w:pPr>
        <w:spacing w:after="0" w:line="48" w:lineRule="exact"/>
        <w:rPr>
          <w:sz w:val="20"/>
          <w:szCs w:val="20"/>
          <w:color w:val="auto"/>
        </w:rPr>
      </w:pPr>
    </w:p>
    <w:p>
      <w:pPr>
        <w:ind w:left="120" w:right="320" w:firstLine="551"/>
        <w:spacing w:after="0" w:line="286" w:lineRule="auto"/>
        <w:rPr>
          <w:sz w:val="20"/>
          <w:szCs w:val="20"/>
          <w:color w:val="auto"/>
        </w:rPr>
      </w:pPr>
      <w:r>
        <w:rPr>
          <w:rFonts w:ascii="Arial" w:cs="Arial" w:eastAsia="Arial" w:hAnsi="Arial"/>
          <w:sz w:val="16"/>
          <w:szCs w:val="16"/>
          <w:b w:val="1"/>
          <w:bCs w:val="1"/>
          <w:color w:val="auto"/>
        </w:rPr>
        <w:t>19.3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Requirements of Law. </w:t>
      </w:r>
      <w:r>
        <w:rPr>
          <w:rFonts w:ascii="Arial" w:cs="Arial" w:eastAsia="Arial" w:hAnsi="Arial"/>
          <w:sz w:val="16"/>
          <w:szCs w:val="16"/>
          <w:color w:val="auto"/>
        </w:rPr>
        <w:t>The granting of Awards and the issuance of Shares under the Plan shall be subject to all applicable laws, rules,</w:t>
      </w:r>
      <w:r>
        <w:rPr>
          <w:rFonts w:ascii="Arial" w:cs="Arial" w:eastAsia="Arial" w:hAnsi="Arial"/>
          <w:sz w:val="16"/>
          <w:szCs w:val="16"/>
          <w:b w:val="1"/>
          <w:bCs w:val="1"/>
          <w:color w:val="auto"/>
        </w:rPr>
        <w:t xml:space="preserve"> </w:t>
      </w:r>
      <w:r>
        <w:rPr>
          <w:rFonts w:ascii="Arial" w:cs="Arial" w:eastAsia="Arial" w:hAnsi="Arial"/>
          <w:sz w:val="16"/>
          <w:szCs w:val="16"/>
          <w:color w:val="auto"/>
        </w:rPr>
        <w:t>and regulations, and to such approvals by any governmental agencies or national securities exchanges as may be required.</w:t>
      </w:r>
    </w:p>
    <w:p>
      <w:pPr>
        <w:spacing w:after="0" w:line="48" w:lineRule="exact"/>
        <w:rPr>
          <w:sz w:val="20"/>
          <w:szCs w:val="20"/>
          <w:color w:val="auto"/>
        </w:rPr>
      </w:pPr>
    </w:p>
    <w:p>
      <w:pPr>
        <w:ind w:left="120" w:right="80" w:firstLine="551"/>
        <w:spacing w:after="0" w:line="266" w:lineRule="auto"/>
        <w:rPr>
          <w:sz w:val="20"/>
          <w:szCs w:val="20"/>
          <w:color w:val="auto"/>
        </w:rPr>
      </w:pPr>
      <w:r>
        <w:rPr>
          <w:rFonts w:ascii="Arial" w:cs="Arial" w:eastAsia="Arial" w:hAnsi="Arial"/>
          <w:sz w:val="16"/>
          <w:szCs w:val="16"/>
          <w:b w:val="1"/>
          <w:bCs w:val="1"/>
          <w:color w:val="auto"/>
        </w:rPr>
        <w:t>19.4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Securities Law Compliance. </w:t>
      </w:r>
      <w:r>
        <w:rPr>
          <w:rFonts w:ascii="Arial" w:cs="Arial" w:eastAsia="Arial" w:hAnsi="Arial"/>
          <w:sz w:val="16"/>
          <w:szCs w:val="16"/>
          <w:color w:val="auto"/>
        </w:rPr>
        <w:t>With respect to Insiders, transactions under this Plan are intended to comply with all applicable conditions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Rule 16b-3 or its successors under the Exchange Act. To the extent any provision of the plan or action by the Committee fails to so comply, it shall be deemed null and void, to the extent permitted by law and deemed advisable by the Committee.</w:t>
      </w:r>
    </w:p>
    <w:p>
      <w:pPr>
        <w:spacing w:after="0" w:line="63" w:lineRule="exact"/>
        <w:rPr>
          <w:sz w:val="20"/>
          <w:szCs w:val="20"/>
          <w:color w:val="auto"/>
        </w:rPr>
      </w:pPr>
    </w:p>
    <w:p>
      <w:pPr>
        <w:ind w:left="120" w:right="240" w:firstLine="551"/>
        <w:spacing w:after="0" w:line="286" w:lineRule="auto"/>
        <w:rPr>
          <w:sz w:val="20"/>
          <w:szCs w:val="20"/>
          <w:color w:val="auto"/>
        </w:rPr>
      </w:pPr>
      <w:r>
        <w:rPr>
          <w:rFonts w:ascii="Arial" w:cs="Arial" w:eastAsia="Arial" w:hAnsi="Arial"/>
          <w:sz w:val="16"/>
          <w:szCs w:val="16"/>
          <w:b w:val="1"/>
          <w:bCs w:val="1"/>
          <w:color w:val="auto"/>
        </w:rPr>
        <w:t>19.5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Governing Law. </w:t>
      </w:r>
      <w:r>
        <w:rPr>
          <w:rFonts w:ascii="Arial" w:cs="Arial" w:eastAsia="Arial" w:hAnsi="Arial"/>
          <w:sz w:val="16"/>
          <w:szCs w:val="16"/>
          <w:color w:val="auto"/>
        </w:rPr>
        <w:t>To the extent not preempted by Federal law, the Plan, and all agreements hereunder, shall be construed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and governed by the laws of the State of Florida.</w:t>
      </w:r>
    </w:p>
    <w:p>
      <w:pPr>
        <w:spacing w:after="0" w:line="48" w:lineRule="exact"/>
        <w:rPr>
          <w:sz w:val="20"/>
          <w:szCs w:val="20"/>
          <w:color w:val="auto"/>
        </w:rPr>
      </w:pPr>
    </w:p>
    <w:p>
      <w:pPr>
        <w:ind w:left="120" w:right="180" w:firstLine="551"/>
        <w:spacing w:after="0" w:line="256" w:lineRule="auto"/>
        <w:rPr>
          <w:sz w:val="20"/>
          <w:szCs w:val="20"/>
          <w:color w:val="auto"/>
        </w:rPr>
      </w:pPr>
      <w:r>
        <w:rPr>
          <w:rFonts w:ascii="Arial" w:cs="Arial" w:eastAsia="Arial" w:hAnsi="Arial"/>
          <w:sz w:val="16"/>
          <w:szCs w:val="16"/>
          <w:b w:val="1"/>
          <w:bCs w:val="1"/>
          <w:color w:val="auto"/>
        </w:rPr>
        <w:t>19.6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No Guarantee of Tax Treatment. </w:t>
      </w:r>
      <w:r>
        <w:rPr>
          <w:rFonts w:ascii="Arial" w:cs="Arial" w:eastAsia="Arial" w:hAnsi="Arial"/>
          <w:sz w:val="16"/>
          <w:szCs w:val="16"/>
          <w:color w:val="auto"/>
        </w:rPr>
        <w:t>Notwithstanding any provision of the Plan, the Company does not guarantee to any Participant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with an interest in an Award that (a) any Award intended to be exempt from Code Section 409A or Code Section 457A shall be so exempt,</w:t>
      </w:r>
    </w:p>
    <w:p>
      <w:pPr>
        <w:spacing w:after="0" w:line="1" w:lineRule="exact"/>
        <w:rPr>
          <w:sz w:val="20"/>
          <w:szCs w:val="20"/>
          <w:color w:val="auto"/>
        </w:rPr>
      </w:pPr>
    </w:p>
    <w:p>
      <w:pPr>
        <w:ind w:left="120" w:right="20" w:hanging="4"/>
        <w:spacing w:after="0" w:line="256" w:lineRule="auto"/>
        <w:tabs>
          <w:tab w:leader="none" w:pos="36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Award intended to comply with Code Section 409A or Code Section 422 shall so comply, (c) any Award shall otherwise receive a specific tax treatment under any other applicable tax law, nor in any such case will the Company or any affiliate indemnify, defend or hold harmless any individual with respect to the tax consequences of any Award.</w:t>
      </w:r>
    </w:p>
    <w:p>
      <w:pPr>
        <w:spacing w:after="0" w:line="70" w:lineRule="exact"/>
        <w:rPr>
          <w:sz w:val="20"/>
          <w:szCs w:val="20"/>
          <w:color w:val="auto"/>
        </w:rPr>
      </w:pPr>
    </w:p>
    <w:p>
      <w:pPr>
        <w:ind w:left="120" w:right="80" w:firstLine="551"/>
        <w:spacing w:after="0" w:line="259" w:lineRule="auto"/>
        <w:rPr>
          <w:sz w:val="20"/>
          <w:szCs w:val="20"/>
          <w:color w:val="auto"/>
        </w:rPr>
      </w:pPr>
      <w:r>
        <w:rPr>
          <w:rFonts w:ascii="Arial" w:cs="Arial" w:eastAsia="Arial" w:hAnsi="Arial"/>
          <w:sz w:val="16"/>
          <w:szCs w:val="16"/>
          <w:b w:val="1"/>
          <w:bCs w:val="1"/>
          <w:color w:val="auto"/>
        </w:rPr>
        <w:t>19.7</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Compensation Recoupment Policies. </w:t>
      </w:r>
      <w:r>
        <w:rPr>
          <w:rFonts w:ascii="Arial" w:cs="Arial" w:eastAsia="Arial" w:hAnsi="Arial"/>
          <w:sz w:val="16"/>
          <w:szCs w:val="16"/>
          <w:color w:val="auto"/>
        </w:rPr>
        <w:t>Notwithstanding anything to the contrary herein, any Award granted pursuant to this Plan,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issued or cash paid pursuant to an Award, shall be subject to (a) any recoupment, clawback, equity holding, Share ownership or similar policies adopted by the Company from time to time and (b) any recoupment, clawback, equity holding, Share ownership or similar requirements made applicable to the Company from time to time by law, regulation or listing standards.</w:t>
      </w:r>
    </w:p>
    <w:p>
      <w:pPr>
        <w:spacing w:after="0" w:line="70" w:lineRule="exact"/>
        <w:rPr>
          <w:sz w:val="20"/>
          <w:szCs w:val="20"/>
          <w:color w:val="auto"/>
        </w:rPr>
      </w:pPr>
    </w:p>
    <w:p>
      <w:pPr>
        <w:ind w:left="120" w:right="320" w:firstLine="551"/>
        <w:spacing w:after="0" w:line="286" w:lineRule="auto"/>
        <w:rPr>
          <w:sz w:val="20"/>
          <w:szCs w:val="20"/>
          <w:color w:val="auto"/>
        </w:rPr>
      </w:pPr>
      <w:r>
        <w:rPr>
          <w:rFonts w:ascii="Arial" w:cs="Arial" w:eastAsia="Arial" w:hAnsi="Arial"/>
          <w:sz w:val="16"/>
          <w:szCs w:val="16"/>
          <w:b w:val="1"/>
          <w:bCs w:val="1"/>
          <w:color w:val="auto"/>
        </w:rPr>
        <w:t>19.8</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Limitations on Actions. </w:t>
      </w:r>
      <w:r>
        <w:rPr>
          <w:rFonts w:ascii="Arial" w:cs="Arial" w:eastAsia="Arial" w:hAnsi="Arial"/>
          <w:sz w:val="16"/>
          <w:szCs w:val="16"/>
          <w:color w:val="auto"/>
        </w:rPr>
        <w:t>Any legal action or proceeding with respect to this Plan, any Award or any award agreement, must be brought</w:t>
      </w:r>
      <w:r>
        <w:rPr>
          <w:rFonts w:ascii="Arial" w:cs="Arial" w:eastAsia="Arial" w:hAnsi="Arial"/>
          <w:sz w:val="16"/>
          <w:szCs w:val="16"/>
          <w:b w:val="1"/>
          <w:bCs w:val="1"/>
          <w:color w:val="auto"/>
        </w:rPr>
        <w:t xml:space="preserve"> </w:t>
      </w:r>
      <w:r>
        <w:rPr>
          <w:rFonts w:ascii="Arial" w:cs="Arial" w:eastAsia="Arial" w:hAnsi="Arial"/>
          <w:sz w:val="16"/>
          <w:szCs w:val="16"/>
          <w:color w:val="auto"/>
        </w:rPr>
        <w:t>within one (1) year (365 days) after the day the complaining party first knew or should have known of the events giving rise to the complaint.</w:t>
      </w:r>
    </w:p>
    <w:p>
      <w:pPr>
        <w:spacing w:after="0" w:line="89" w:lineRule="exact"/>
        <w:rPr>
          <w:sz w:val="20"/>
          <w:szCs w:val="20"/>
          <w:color w:val="auto"/>
        </w:rPr>
      </w:pPr>
    </w:p>
    <w:p>
      <w:pPr>
        <w:ind w:left="120"/>
        <w:spacing w:after="0"/>
        <w:tabs>
          <w:tab w:leader="none" w:pos="5340" w:val="left"/>
          <w:tab w:leader="none" w:pos="108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2026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003A70"/>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267335</wp:posOffset>
            </wp:positionV>
            <wp:extent cx="1362710" cy="4546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62710" cy="45466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284480</wp:posOffset>
            </wp:positionV>
            <wp:extent cx="1945640" cy="4718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945640" cy="471805"/>
                    </a:xfrm>
                    <a:prstGeom prst="rect">
                      <a:avLst/>
                    </a:prstGeom>
                    <a:noFill/>
                  </pic:spPr>
                </pic:pic>
              </a:graphicData>
            </a:graphic>
          </wp:anchor>
        </w:drawing>
      </w:r>
    </w:p>
    <w:p>
      <w:pPr>
        <w:sectPr>
          <w:pgSz w:w="11900" w:h="16838" w:orient="portrait"/>
          <w:cols w:equalWidth="0" w:num="1">
            <w:col w:w="11140"/>
          </w:cols>
          <w:pgMar w:left="320" w:top="482" w:right="439" w:bottom="7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MARRIOTT VACATIONS WORLDWIDE CORPORATION</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7812 PALM PARKWAY</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ORLANDO, FL 32836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t>
      </w:r>
    </w:p>
    <w:p>
      <w:pPr>
        <w:spacing w:after="0" w:line="15"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i w:val="1"/>
          <w:iCs w:val="1"/>
          <w:color w:val="auto"/>
        </w:rPr>
        <w:t xml:space="preserve">Before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www.proxyvote.com</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or scan the QR Barcode above</w:t>
      </w:r>
      <w:r>
        <w:rPr>
          <w:rFonts w:ascii="Arial" w:cs="Arial" w:eastAsia="Arial" w:hAnsi="Arial"/>
          <w:sz w:val="14"/>
          <w:szCs w:val="14"/>
          <w:i w:val="1"/>
          <w:iCs w:val="1"/>
          <w:color w:val="auto"/>
        </w:rPr>
        <w:t xml:space="preserve"> </w:t>
      </w:r>
      <w:r>
        <w:rPr>
          <w:rFonts w:ascii="Arial" w:cs="Arial" w:eastAsia="Arial" w:hAnsi="Arial"/>
          <w:sz w:val="14"/>
          <w:szCs w:val="14"/>
          <w:color w:val="auto"/>
        </w:rPr>
        <w:t>Use the Internet to transmit your voting instructions and for electronic delivery of information up until 11:59 p.m. Eastern Time on May 14, 2026. Have your proxy card in hand when you access the website and follow the instructions to obtain your records and to create an electronic voting instruction form.</w:t>
      </w:r>
    </w:p>
    <w:p>
      <w:pPr>
        <w:spacing w:after="0" w:line="76"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i w:val="1"/>
          <w:iCs w:val="1"/>
          <w:color w:val="auto"/>
        </w:rPr>
        <w:t xml:space="preserve">During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www.virtualshareholdermeeting.com/VAC2026</w:t>
      </w:r>
      <w:r>
        <w:rPr>
          <w:rFonts w:ascii="Arial" w:cs="Arial" w:eastAsia="Arial" w:hAnsi="Arial"/>
          <w:sz w:val="14"/>
          <w:szCs w:val="14"/>
          <w:i w:val="1"/>
          <w:iCs w:val="1"/>
          <w:color w:val="auto"/>
        </w:rPr>
        <w:t xml:space="preserve"> </w:t>
      </w:r>
      <w:r>
        <w:rPr>
          <w:rFonts w:ascii="Arial" w:cs="Arial" w:eastAsia="Arial" w:hAnsi="Arial"/>
          <w:sz w:val="14"/>
          <w:szCs w:val="14"/>
          <w:color w:val="auto"/>
        </w:rPr>
        <w:t>You may attend the meeting via the Internet and vote during the meeting. Have the information that is printed in the box marked by the arrow available and follow the instructions.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5" w:lineRule="exact"/>
        <w:rPr>
          <w:sz w:val="20"/>
          <w:szCs w:val="20"/>
          <w:color w:val="auto"/>
        </w:rPr>
      </w:pPr>
    </w:p>
    <w:p>
      <w:pPr>
        <w:ind w:right="60"/>
        <w:spacing w:after="0" w:line="252" w:lineRule="auto"/>
        <w:rPr>
          <w:sz w:val="20"/>
          <w:szCs w:val="20"/>
          <w:color w:val="auto"/>
        </w:rPr>
      </w:pPr>
      <w:r>
        <w:rPr>
          <w:rFonts w:ascii="Arial" w:cs="Arial" w:eastAsia="Arial" w:hAnsi="Arial"/>
          <w:sz w:val="14"/>
          <w:szCs w:val="14"/>
          <w:color w:val="auto"/>
        </w:rPr>
        <w:t>Use any touch-tone telephone to transmit your voting instructions up until 11:59 p.m. Eastern Time on May 14, 2026. Have your proxy card in hand when you call and then follow the instructions.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5" w:lineRule="exact"/>
        <w:rPr>
          <w:sz w:val="20"/>
          <w:szCs w:val="20"/>
          <w:color w:val="auto"/>
        </w:rPr>
      </w:pPr>
    </w:p>
    <w:p>
      <w:pPr>
        <w:ind w:right="200"/>
        <w:spacing w:after="0" w:line="25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5"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To receive all future proxy statements, proxy cards, and annual reports electronically via email or the Internet please follow the instructions above to vote using the Internet and, when prompted, indicate that you agree to receive or access proxy materials electronically in future years.</w:t>
      </w:r>
    </w:p>
    <w:p>
      <w:pPr>
        <w:spacing w:after="0" w:line="847" w:lineRule="exact"/>
        <w:rPr>
          <w:sz w:val="20"/>
          <w:szCs w:val="20"/>
          <w:color w:val="auto"/>
        </w:rPr>
      </w:pPr>
    </w:p>
    <w:p>
      <w:pPr>
        <w:sectPr>
          <w:pgSz w:w="11900" w:h="16838" w:orient="portrait"/>
          <w:cols w:equalWidth="0" w:num="2">
            <w:col w:w="5080" w:space="660"/>
            <w:col w:w="5400"/>
          </w:cols>
          <w:pgMar w:left="320" w:top="482" w:right="439" w:bottom="754" w:gutter="0" w:footer="0" w:header="0"/>
          <w:type w:val="continuous"/>
        </w:sectPr>
      </w:pPr>
    </w:p>
    <w:p>
      <w:pPr>
        <w:jc w:val="right"/>
        <w:spacing w:after="0"/>
        <w:rPr>
          <w:sz w:val="20"/>
          <w:szCs w:val="20"/>
          <w:color w:val="auto"/>
        </w:rPr>
      </w:pPr>
      <w:r>
        <w:rPr>
          <w:rFonts w:ascii="Arial" w:cs="Arial" w:eastAsia="Arial" w:hAnsi="Arial"/>
          <w:sz w:val="12"/>
          <w:szCs w:val="12"/>
          <w:color w:val="auto"/>
        </w:rPr>
        <w:t>— — — — — — — — — — — — — — — — — — — — — — — — — — — — — — — — — — — — — — — — — — — — — — — — — — —</w:t>
      </w:r>
      <w:r>
        <w:rPr>
          <w:rFonts w:ascii="Arial" w:cs="Arial" w:eastAsia="Arial" w:hAnsi="Arial"/>
          <w:sz w:val="10"/>
          <w:szCs w:val="10"/>
          <w:color w:val="auto"/>
        </w:rPr>
        <w:t>V86145-P47161        KEEPTHISPORTIONFORYOURRECORDS  </w:t>
      </w:r>
    </w:p>
    <w:p>
      <w:pPr>
        <w:spacing w:after="0" w:line="48"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0" w:type="dxa"/>
            <w:vAlign w:val="bottom"/>
            <w:gridSpan w:val="3"/>
          </w:tcPr>
          <w:p>
            <w:pPr>
              <w:ind w:left="1480"/>
              <w:spacing w:after="0"/>
              <w:rPr>
                <w:sz w:val="20"/>
                <w:szCs w:val="20"/>
                <w:color w:val="auto"/>
              </w:rPr>
            </w:pPr>
            <w:r>
              <w:rPr>
                <w:rFonts w:ascii="Arial" w:cs="Arial" w:eastAsia="Arial" w:hAnsi="Arial"/>
                <w:sz w:val="14"/>
                <w:szCs w:val="14"/>
                <w:color w:val="auto"/>
              </w:rPr>
              <w:t>DETACH AND RETURN THIS PORTION ONLY  </w:t>
            </w:r>
          </w:p>
        </w:tc>
      </w:tr>
      <w:tr>
        <w:trPr>
          <w:trHeight w:val="196"/>
        </w:trPr>
        <w:tc>
          <w:tcPr>
            <w:tcW w:w="10860" w:type="dxa"/>
            <w:vAlign w:val="bottom"/>
            <w:gridSpan w:val="7"/>
          </w:tcPr>
          <w:p>
            <w:pPr>
              <w:ind w:left="3160"/>
              <w:spacing w:after="0"/>
              <w:rPr>
                <w:sz w:val="20"/>
                <w:szCs w:val="20"/>
                <w:color w:val="auto"/>
              </w:rPr>
            </w:pPr>
            <w:r>
              <w:rPr>
                <w:rFonts w:ascii="Arial" w:cs="Arial" w:eastAsia="Arial" w:hAnsi="Arial"/>
                <w:sz w:val="14"/>
                <w:szCs w:val="14"/>
                <w:b w:val="1"/>
                <w:bCs w:val="1"/>
                <w:color w:val="auto"/>
              </w:rPr>
              <w:t>THIS PROXY CARD IS VALID ONLY WHEN SIGNED AND DATED.</w:t>
            </w:r>
          </w:p>
        </w:tc>
      </w:tr>
      <w:tr>
        <w:trPr>
          <w:trHeight w:val="276"/>
        </w:trPr>
        <w:tc>
          <w:tcPr>
            <w:tcW w:w="4040" w:type="dxa"/>
            <w:vAlign w:val="bottom"/>
          </w:tcPr>
          <w:p>
            <w:pPr>
              <w:spacing w:after="0"/>
              <w:rPr>
                <w:sz w:val="20"/>
                <w:szCs w:val="20"/>
                <w:color w:val="auto"/>
              </w:rPr>
            </w:pPr>
            <w:r>
              <w:rPr>
                <w:rFonts w:ascii="Arial" w:cs="Arial" w:eastAsia="Arial" w:hAnsi="Arial"/>
                <w:sz w:val="14"/>
                <w:szCs w:val="14"/>
                <w:b w:val="1"/>
                <w:bCs w:val="1"/>
                <w:color w:val="auto"/>
              </w:rPr>
              <w:t>MARRIOTT VACATIONS WORLDWIDE CORPORATION</w:t>
            </w:r>
          </w:p>
        </w:tc>
        <w:tc>
          <w:tcPr>
            <w:tcW w:w="640" w:type="dxa"/>
            <w:vAlign w:val="bottom"/>
          </w:tcPr>
          <w:p>
            <w:pPr>
              <w:ind w:left="340"/>
              <w:spacing w:after="0"/>
              <w:rPr>
                <w:sz w:val="20"/>
                <w:szCs w:val="20"/>
                <w:color w:val="auto"/>
              </w:rPr>
            </w:pPr>
            <w:r>
              <w:rPr>
                <w:rFonts w:ascii="Arial" w:cs="Arial" w:eastAsia="Arial" w:hAnsi="Arial"/>
                <w:sz w:val="14"/>
                <w:szCs w:val="14"/>
                <w:b w:val="1"/>
                <w:bCs w:val="1"/>
                <w:color w:val="auto"/>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For All</w:t>
            </w:r>
          </w:p>
        </w:tc>
        <w:tc>
          <w:tcPr>
            <w:tcW w:w="4600" w:type="dxa"/>
            <w:vAlign w:val="bottom"/>
            <w:gridSpan w:val="3"/>
          </w:tcPr>
          <w:p>
            <w:pPr>
              <w:ind w:left="300"/>
              <w:spacing w:after="0"/>
              <w:rPr>
                <w:sz w:val="20"/>
                <w:szCs w:val="20"/>
                <w:color w:val="auto"/>
              </w:rPr>
            </w:pPr>
            <w:r>
              <w:rPr>
                <w:rFonts w:ascii="Arial" w:cs="Arial" w:eastAsia="Arial" w:hAnsi="Arial"/>
                <w:sz w:val="14"/>
                <w:szCs w:val="14"/>
                <w:color w:val="auto"/>
              </w:rPr>
              <w:t>To withhold authority to vote for any individual</w:t>
            </w:r>
          </w:p>
        </w:tc>
      </w:tr>
      <w:tr>
        <w:trPr>
          <w:trHeight w:val="178"/>
        </w:trPr>
        <w:tc>
          <w:tcPr>
            <w:tcW w:w="4040" w:type="dxa"/>
            <w:vAlign w:val="bottom"/>
          </w:tcPr>
          <w:p>
            <w:pPr>
              <w:spacing w:after="0"/>
              <w:rPr>
                <w:sz w:val="15"/>
                <w:szCs w:val="15"/>
                <w:color w:val="auto"/>
              </w:rPr>
            </w:pPr>
          </w:p>
        </w:tc>
        <w:tc>
          <w:tcPr>
            <w:tcW w:w="640" w:type="dxa"/>
            <w:vAlign w:val="bottom"/>
          </w:tcPr>
          <w:p>
            <w:pPr>
              <w:ind w:left="360"/>
              <w:spacing w:after="0"/>
              <w:rPr>
                <w:sz w:val="20"/>
                <w:szCs w:val="20"/>
                <w:color w:val="auto"/>
              </w:rPr>
            </w:pPr>
            <w:r>
              <w:rPr>
                <w:rFonts w:ascii="Arial" w:cs="Arial" w:eastAsia="Arial" w:hAnsi="Arial"/>
                <w:sz w:val="14"/>
                <w:szCs w:val="14"/>
                <w:b w:val="1"/>
                <w:bCs w:val="1"/>
                <w:color w:val="auto"/>
              </w:rPr>
              <w:t>All</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Except</w:t>
            </w:r>
          </w:p>
        </w:tc>
        <w:tc>
          <w:tcPr>
            <w:tcW w:w="4600" w:type="dxa"/>
            <w:vAlign w:val="bottom"/>
            <w:gridSpan w:val="3"/>
          </w:tcPr>
          <w:p>
            <w:pPr>
              <w:ind w:left="300"/>
              <w:spacing w:after="0"/>
              <w:rPr>
                <w:sz w:val="20"/>
                <w:szCs w:val="20"/>
                <w:color w:val="auto"/>
              </w:rPr>
            </w:pPr>
            <w:r>
              <w:rPr>
                <w:rFonts w:ascii="Arial" w:cs="Arial" w:eastAsia="Arial" w:hAnsi="Arial"/>
                <w:sz w:val="14"/>
                <w:szCs w:val="14"/>
                <w:color w:val="auto"/>
              </w:rPr>
              <w:t>nominee(s), mark “For All Except” and write the</w:t>
            </w:r>
          </w:p>
        </w:tc>
      </w:tr>
      <w:tr>
        <w:trPr>
          <w:trHeight w:val="139"/>
        </w:trPr>
        <w:tc>
          <w:tcPr>
            <w:tcW w:w="4040" w:type="dxa"/>
            <w:vAlign w:val="bottom"/>
          </w:tcPr>
          <w:p>
            <w:pPr>
              <w:ind w:left="220"/>
              <w:spacing w:after="0" w:line="139" w:lineRule="exact"/>
              <w:rPr>
                <w:sz w:val="20"/>
                <w:szCs w:val="20"/>
                <w:color w:val="auto"/>
              </w:rPr>
            </w:pPr>
            <w:r>
              <w:rPr>
                <w:rFonts w:ascii="Arial" w:cs="Arial" w:eastAsia="Arial" w:hAnsi="Arial"/>
                <w:sz w:val="14"/>
                <w:szCs w:val="14"/>
                <w:b w:val="1"/>
                <w:bCs w:val="1"/>
                <w:color w:val="auto"/>
              </w:rPr>
              <w:t>The Board of Directors recommends that you vote</w:t>
            </w: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80" w:type="dxa"/>
            <w:vAlign w:val="bottom"/>
          </w:tcPr>
          <w:p>
            <w:pPr>
              <w:ind w:left="300"/>
              <w:spacing w:after="0" w:line="139" w:lineRule="exact"/>
              <w:rPr>
                <w:sz w:val="20"/>
                <w:szCs w:val="20"/>
                <w:color w:val="auto"/>
              </w:rPr>
            </w:pPr>
            <w:r>
              <w:rPr>
                <w:rFonts w:ascii="Arial" w:cs="Arial" w:eastAsia="Arial" w:hAnsi="Arial"/>
                <w:sz w:val="14"/>
                <w:szCs w:val="14"/>
                <w:color w:val="auto"/>
              </w:rPr>
              <w:t>number(s) of the nominee(s) on the line below.</w:t>
            </w: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87"/>
        </w:trPr>
        <w:tc>
          <w:tcPr>
            <w:tcW w:w="4040" w:type="dxa"/>
            <w:vAlign w:val="bottom"/>
          </w:tcPr>
          <w:p>
            <w:pPr>
              <w:ind w:left="220"/>
              <w:spacing w:after="0"/>
              <w:rPr>
                <w:sz w:val="20"/>
                <w:szCs w:val="20"/>
                <w:color w:val="auto"/>
              </w:rPr>
            </w:pPr>
            <w:r>
              <w:rPr>
                <w:rFonts w:ascii="Arial" w:cs="Arial" w:eastAsia="Arial" w:hAnsi="Arial"/>
                <w:sz w:val="14"/>
                <w:szCs w:val="14"/>
                <w:b w:val="1"/>
                <w:bCs w:val="1"/>
                <w:color w:val="auto"/>
              </w:rPr>
              <w:t>FOR the following director nominees:</w:t>
            </w: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-476250</wp:posOffset>
            </wp:positionV>
            <wp:extent cx="7003415" cy="51517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003415" cy="5151755"/>
                    </a:xfrm>
                    <a:prstGeom prst="rect">
                      <a:avLst/>
                    </a:prstGeom>
                    <a:noFill/>
                  </pic:spPr>
                </pic:pic>
              </a:graphicData>
            </a:graphic>
          </wp:anchor>
        </w:drawing>
      </w:r>
    </w:p>
    <w:p>
      <w:pPr>
        <w:sectPr>
          <w:pgSz w:w="11900" w:h="16838" w:orient="portrait"/>
          <w:cols w:equalWidth="0" w:num="1">
            <w:col w:w="11140"/>
          </w:cols>
          <w:pgMar w:left="320" w:top="482" w:right="439" w:bottom="754" w:gutter="0" w:footer="0" w:header="0"/>
          <w:type w:val="continuous"/>
        </w:sectPr>
      </w:pPr>
    </w:p>
    <w:p>
      <w:pPr>
        <w:spacing w:after="0" w:line="83" w:lineRule="exact"/>
        <w:rPr>
          <w:sz w:val="20"/>
          <w:szCs w:val="20"/>
          <w:color w:val="auto"/>
        </w:rPr>
      </w:pPr>
    </w:p>
    <w:p>
      <w:pPr>
        <w:ind w:left="840" w:hanging="337"/>
        <w:spacing w:after="0"/>
        <w:tabs>
          <w:tab w:leader="none" w:pos="8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0" w:lineRule="exact"/>
        <w:rPr>
          <w:sz w:val="20"/>
          <w:szCs w:val="20"/>
          <w:color w:val="auto"/>
        </w:rPr>
      </w:pPr>
      <w:r>
        <w:rPr>
          <w:sz w:val="20"/>
          <w:szCs w:val="20"/>
          <w:color w:val="auto"/>
        </w:rPr>
        <w:br w:type="column"/>
      </w:r>
    </w:p>
    <w:p>
      <w:pPr>
        <w:spacing w:after="0" w:line="233" w:lineRule="exact"/>
        <w:tabs>
          <w:tab w:leader="none" w:pos="520" w:val="left"/>
          <w:tab w:leader="none" w:pos="1220" w:val="left"/>
          <w:tab w:leader="none" w:pos="2140" w:val="left"/>
          <w:tab w:leader="none" w:pos="578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22"/>
          <w:szCs w:val="22"/>
          <w:color w:val="auto"/>
        </w:rPr>
        <w:t xml:space="preserve">                                  </w:t>
      </w:r>
      <w:r>
        <w:rPr>
          <w:sz w:val="20"/>
          <w:szCs w:val="20"/>
          <w:color w:val="auto"/>
        </w:rPr>
        <w:tab/>
      </w:r>
      <w:r>
        <w:rPr>
          <w:rFonts w:ascii="Arial" w:cs="Arial" w:eastAsia="Arial" w:hAnsi="Arial"/>
          <w:sz w:val="6"/>
          <w:szCs w:val="6"/>
          <w:color w:val="auto"/>
        </w:rPr>
        <w:t> </w:t>
      </w:r>
    </w:p>
    <w:p>
      <w:pPr>
        <w:spacing w:after="0" w:line="100" w:lineRule="exact"/>
        <w:rPr>
          <w:sz w:val="20"/>
          <w:szCs w:val="20"/>
          <w:color w:val="auto"/>
        </w:rPr>
      </w:pPr>
    </w:p>
    <w:p>
      <w:pPr>
        <w:sectPr>
          <w:pgSz w:w="11900" w:h="16838" w:orient="portrait"/>
          <w:cols w:equalWidth="0" w:num="2">
            <w:col w:w="3960" w:space="720"/>
            <w:col w:w="6460"/>
          </w:cols>
          <w:pgMar w:left="320" w:top="482" w:right="439" w:bottom="754" w:gutter="0" w:footer="0" w:header="0"/>
          <w:type w:val="continuous"/>
        </w:sectPr>
      </w:pPr>
    </w:p>
    <w:p>
      <w:pPr>
        <w:ind w:left="840"/>
        <w:spacing w:after="0"/>
        <w:rPr>
          <w:sz w:val="20"/>
          <w:szCs w:val="20"/>
          <w:color w:val="auto"/>
        </w:rPr>
      </w:pPr>
      <w:r>
        <w:rPr>
          <w:rFonts w:ascii="Arial" w:cs="Arial" w:eastAsia="Arial" w:hAnsi="Arial"/>
          <w:sz w:val="14"/>
          <w:szCs w:val="14"/>
          <w:b w:val="1"/>
          <w:bCs w:val="1"/>
          <w:color w:val="auto"/>
        </w:rPr>
        <w:t>Nominees:</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01)    Charles E. “C.E.” Andrews</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02)    Christian A. Asmar</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03)    Matthew E. Avril</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04)    James A. Dausch</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05)    Lizanne Galbreath</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06)    Jonice M. Gray</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07)    Dianna F. Morgan</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08)    Stephen R. Quazzo</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09)    William J. Shaw</w:t>
      </w:r>
    </w:p>
    <w:p>
      <w:pPr>
        <w:spacing w:after="0" w:line="122" w:lineRule="exact"/>
        <w:rPr>
          <w:sz w:val="20"/>
          <w:szCs w:val="20"/>
          <w:color w:val="auto"/>
        </w:rPr>
      </w:pPr>
    </w:p>
    <w:p>
      <w:pPr>
        <w:ind w:left="560"/>
        <w:spacing w:after="0"/>
        <w:tabs>
          <w:tab w:leader="none" w:pos="9340" w:val="left"/>
          <w:tab w:leader="none" w:pos="10360" w:val="left"/>
        </w:tabs>
        <w:rPr>
          <w:sz w:val="20"/>
          <w:szCs w:val="20"/>
          <w:color w:val="auto"/>
        </w:rPr>
      </w:pPr>
      <w:r>
        <w:rPr>
          <w:rFonts w:ascii="Arial" w:cs="Arial" w:eastAsia="Arial" w:hAnsi="Arial"/>
          <w:sz w:val="14"/>
          <w:szCs w:val="14"/>
          <w:b w:val="1"/>
          <w:bCs w:val="1"/>
          <w:color w:val="auto"/>
        </w:rPr>
        <w:t>The Board of Directors recommends that you vote FOR Proposals 2, 3, and 4:</w:t>
      </w:r>
      <w:r>
        <w:rPr>
          <w:sz w:val="20"/>
          <w:szCs w:val="20"/>
          <w:color w:val="auto"/>
        </w:rPr>
        <w:tab/>
      </w:r>
      <w:r>
        <w:rPr>
          <w:rFonts w:ascii="Arial" w:cs="Arial" w:eastAsia="Arial" w:hAnsi="Arial"/>
          <w:sz w:val="14"/>
          <w:szCs w:val="14"/>
          <w:b w:val="1"/>
          <w:bCs w:val="1"/>
          <w:color w:val="auto"/>
        </w:rPr>
        <w:t>For Against</w:t>
        <w:tab/>
        <w:t>Abstain</w:t>
      </w:r>
    </w:p>
    <w:p>
      <w:pPr>
        <w:sectPr>
          <w:pgSz w:w="11900" w:h="16838" w:orient="portrait"/>
          <w:cols w:equalWidth="0" w:num="1">
            <w:col w:w="11140"/>
          </w:cols>
          <w:pgMar w:left="320" w:top="482" w:right="439" w:bottom="754" w:gutter="0" w:footer="0" w:header="0"/>
          <w:type w:val="continuous"/>
        </w:sectPr>
      </w:pPr>
    </w:p>
    <w:p>
      <w:pPr>
        <w:spacing w:after="0" w:line="177" w:lineRule="exact"/>
        <w:rPr>
          <w:sz w:val="20"/>
          <w:szCs w:val="20"/>
          <w:color w:val="auto"/>
        </w:rPr>
      </w:pPr>
    </w:p>
    <w:p>
      <w:pPr>
        <w:ind w:left="900" w:hanging="343"/>
        <w:spacing w:after="0" w:line="285" w:lineRule="auto"/>
        <w:tabs>
          <w:tab w:leader="none" w:pos="9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Ratification of the appointment of Ernst &amp; Young LLP as the Company’s independent registered public accounting firm for its 2026 fiscal year.</w:t>
      </w:r>
    </w:p>
    <w:p>
      <w:pPr>
        <w:spacing w:after="0" w:line="117" w:lineRule="exact"/>
        <w:rPr>
          <w:rFonts w:ascii="Arial" w:cs="Arial" w:eastAsia="Arial" w:hAnsi="Arial"/>
          <w:sz w:val="14"/>
          <w:szCs w:val="14"/>
          <w:color w:val="auto"/>
        </w:rPr>
      </w:pPr>
    </w:p>
    <w:p>
      <w:pPr>
        <w:ind w:left="900" w:hanging="343"/>
        <w:spacing w:after="0"/>
        <w:tabs>
          <w:tab w:leader="none" w:pos="9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Advisory vote to approve named executive officer compensation.</w:t>
      </w:r>
    </w:p>
    <w:p>
      <w:pPr>
        <w:spacing w:after="0" w:line="271" w:lineRule="exact"/>
        <w:rPr>
          <w:rFonts w:ascii="Arial" w:cs="Arial" w:eastAsia="Arial" w:hAnsi="Arial"/>
          <w:sz w:val="14"/>
          <w:szCs w:val="14"/>
          <w:color w:val="auto"/>
        </w:rPr>
      </w:pPr>
    </w:p>
    <w:p>
      <w:pPr>
        <w:ind w:left="900" w:hanging="343"/>
        <w:spacing w:after="0"/>
        <w:tabs>
          <w:tab w:leader="none" w:pos="9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Approval of the Second Amended and Restated Marriott Vacations Worldwide Corporation 2020 Equity Incentive Plan.</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2"/>
        </w:trPr>
        <w:tc>
          <w:tcPr>
            <w:tcW w:w="34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2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460" w:type="dxa"/>
            <w:vAlign w:val="bottom"/>
          </w:tcPr>
          <w:p>
            <w:pPr>
              <w:ind w:left="2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499"/>
        </w:trPr>
        <w:tc>
          <w:tcPr>
            <w:tcW w:w="34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2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460" w:type="dxa"/>
            <w:vAlign w:val="bottom"/>
          </w:tcPr>
          <w:p>
            <w:pPr>
              <w:ind w:left="2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432"/>
        </w:trPr>
        <w:tc>
          <w:tcPr>
            <w:tcW w:w="34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2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460" w:type="dxa"/>
            <w:vAlign w:val="bottom"/>
          </w:tcPr>
          <w:p>
            <w:pPr>
              <w:ind w:left="28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55" w:lineRule="exact"/>
        <w:rPr>
          <w:sz w:val="20"/>
          <w:szCs w:val="20"/>
          <w:color w:val="auto"/>
        </w:rPr>
      </w:pPr>
    </w:p>
    <w:p>
      <w:pPr>
        <w:sectPr>
          <w:pgSz w:w="11900" w:h="16838" w:orient="portrait"/>
          <w:cols w:equalWidth="0" w:num="2">
            <w:col w:w="9140" w:space="240"/>
            <w:col w:w="1760"/>
          </w:cols>
          <w:pgMar w:left="320" w:top="482" w:right="439" w:bottom="754" w:gutter="0" w:footer="0" w:header="0"/>
          <w:type w:val="continuous"/>
        </w:sectPr>
      </w:pPr>
    </w:p>
    <w:p>
      <w:pPr>
        <w:ind w:left="560" w:right="960"/>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upon such other business as may properly come before the meeting or any adjournment or</w:t>
      </w:r>
      <w:r>
        <w:rPr>
          <w:rFonts w:ascii="Arial" w:cs="Arial" w:eastAsia="Arial" w:hAnsi="Arial"/>
          <w:sz w:val="14"/>
          <w:szCs w:val="14"/>
          <w:b w:val="1"/>
          <w:bCs w:val="1"/>
          <w:color w:val="auto"/>
        </w:rPr>
        <w:t xml:space="preserve"> </w:t>
      </w:r>
      <w:r>
        <w:rPr>
          <w:rFonts w:ascii="Arial" w:cs="Arial" w:eastAsia="Arial" w:hAnsi="Arial"/>
          <w:sz w:val="14"/>
          <w:szCs w:val="14"/>
          <w:color w:val="auto"/>
        </w:rPr>
        <w:t>postponement thereof.</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ADDRESS OF RECORD CHANGES</w:t>
      </w:r>
    </w:p>
    <w:p>
      <w:pPr>
        <w:spacing w:after="0" w:line="15" w:lineRule="exact"/>
        <w:rPr>
          <w:sz w:val="20"/>
          <w:szCs w:val="20"/>
          <w:color w:val="auto"/>
        </w:rPr>
      </w:pPr>
    </w:p>
    <w:p>
      <w:pPr>
        <w:ind w:left="560" w:right="2200"/>
        <w:spacing w:after="0" w:line="252" w:lineRule="auto"/>
        <w:rPr>
          <w:sz w:val="20"/>
          <w:szCs w:val="20"/>
          <w:color w:val="auto"/>
        </w:rPr>
      </w:pPr>
      <w:r>
        <w:rPr>
          <w:rFonts w:ascii="Arial" w:cs="Arial" w:eastAsia="Arial" w:hAnsi="Arial"/>
          <w:sz w:val="14"/>
          <w:szCs w:val="14"/>
          <w:color w:val="auto"/>
        </w:rPr>
        <w:t>If you are a registered stockholder and you need to update your address, please contact our transfer agent, Computershare Trust Company, N.A., to make this change. Computershare’s contact information is as follows: Internet: www.computershare.com/investor Phone: (800) 884-4225</w:t>
      </w:r>
    </w:p>
    <w:p>
      <w:pPr>
        <w:spacing w:after="0" w:line="200" w:lineRule="exact"/>
        <w:rPr>
          <w:sz w:val="20"/>
          <w:szCs w:val="20"/>
          <w:color w:val="auto"/>
        </w:rPr>
      </w:pPr>
    </w:p>
    <w:p>
      <w:pPr>
        <w:spacing w:after="0" w:line="3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Please sign exactly as your name appears on the records of Marriott Vacations</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Worldwide Corporation and date. If the shares are held jointly, each holder should</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sign. When signing as an attorney, executor, administrator, trustee, guardian, officer</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of a corporation or other entity or in another representative capacity, please give the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full title under signature(s).</w:t>
      </w:r>
    </w:p>
    <w:p>
      <w:pPr>
        <w:spacing w:after="0" w:line="200" w:lineRule="exact"/>
        <w:rPr>
          <w:sz w:val="20"/>
          <w:szCs w:val="20"/>
          <w:color w:val="auto"/>
        </w:rPr>
      </w:pPr>
    </w:p>
    <w:p>
      <w:pPr>
        <w:spacing w:after="0" w:line="256" w:lineRule="exact"/>
        <w:rPr>
          <w:sz w:val="20"/>
          <w:szCs w:val="20"/>
          <w:color w:val="auto"/>
        </w:rPr>
      </w:pPr>
    </w:p>
    <w:tbl>
      <w:tblPr>
        <w:tblLayout w:type="fixed"/>
        <w:tblInd w:w="420" w:type="dxa"/>
        <w:tblCellMar>
          <w:top w:w="0" w:type="dxa"/>
          <w:left w:w="0" w:type="dxa"/>
          <w:bottom w:w="0" w:type="dxa"/>
          <w:right w:w="0" w:type="dxa"/>
        </w:tblCellMar>
      </w:tblPr>
      <w:tr>
        <w:trPr>
          <w:trHeight w:val="283"/>
        </w:trPr>
        <w:tc>
          <w:tcPr>
            <w:tcW w:w="1560" w:type="dxa"/>
            <w:vAlign w:val="bottom"/>
          </w:tcPr>
          <w:p>
            <w:pPr>
              <w:spacing w:after="0"/>
              <w:rPr>
                <w:sz w:val="20"/>
                <w:szCs w:val="20"/>
                <w:color w:val="auto"/>
              </w:rPr>
            </w:pPr>
            <w:r>
              <w:rPr>
                <w:rFonts w:ascii="Arial" w:cs="Arial" w:eastAsia="Arial" w:hAnsi="Arial"/>
                <w:sz w:val="22"/>
                <w:szCs w:val="22"/>
                <w:color w:val="auto"/>
              </w:rPr>
              <w:t xml:space="preserve">     </w:t>
            </w:r>
          </w:p>
        </w:tc>
        <w:tc>
          <w:tcPr>
            <w:tcW w:w="3680" w:type="dxa"/>
            <w:vAlign w:val="bottom"/>
          </w:tcPr>
          <w:p>
            <w:pPr>
              <w:ind w:left="1180"/>
              <w:spacing w:after="0"/>
              <w:rPr>
                <w:sz w:val="20"/>
                <w:szCs w:val="20"/>
                <w:color w:val="auto"/>
              </w:rPr>
            </w:pPr>
            <w:r>
              <w:rPr>
                <w:rFonts w:ascii="Arial" w:cs="Arial" w:eastAsia="Arial" w:hAnsi="Arial"/>
                <w:sz w:val="22"/>
                <w:szCs w:val="22"/>
                <w:color w:val="auto"/>
              </w:rPr>
              <w:t xml:space="preserve">     </w:t>
            </w:r>
          </w:p>
        </w:tc>
        <w:tc>
          <w:tcPr>
            <w:tcW w:w="2500" w:type="dxa"/>
            <w:vAlign w:val="bottom"/>
          </w:tcPr>
          <w:p>
            <w:pPr>
              <w:ind w:left="2140"/>
              <w:spacing w:after="0"/>
              <w:rPr>
                <w:sz w:val="20"/>
                <w:szCs w:val="20"/>
                <w:color w:val="auto"/>
              </w:rPr>
            </w:pPr>
            <w:r>
              <w:rPr>
                <w:rFonts w:ascii="Arial" w:cs="Arial" w:eastAsia="Arial" w:hAnsi="Arial"/>
                <w:sz w:val="22"/>
                <w:szCs w:val="22"/>
                <w:color w:val="auto"/>
              </w:rPr>
              <w:t xml:space="preserve">     </w:t>
            </w:r>
          </w:p>
        </w:tc>
      </w:tr>
    </w:tbl>
    <w:p>
      <w:pPr>
        <w:spacing w:after="0" w:line="31" w:lineRule="exact"/>
        <w:rPr>
          <w:sz w:val="20"/>
          <w:szCs w:val="20"/>
          <w:color w:val="auto"/>
        </w:rPr>
      </w:pPr>
    </w:p>
    <w:p>
      <w:pPr>
        <w:sectPr>
          <w:pgSz w:w="11900" w:h="16838" w:orient="portrait"/>
          <w:cols w:equalWidth="0" w:num="1">
            <w:col w:w="11140"/>
          </w:cols>
          <w:pgMar w:left="320" w:top="482" w:right="439" w:bottom="754" w:gutter="0" w:footer="0" w:header="0"/>
          <w:type w:val="continuous"/>
        </w:sectPr>
      </w:pPr>
    </w:p>
    <w:p>
      <w:pPr>
        <w:ind w:left="420"/>
        <w:spacing w:after="0"/>
        <w:tabs>
          <w:tab w:leader="none" w:pos="3140" w:val="left"/>
          <w:tab w:leader="none" w:pos="5420" w:val="left"/>
          <w:tab w:leader="none" w:pos="7780" w:val="left"/>
        </w:tabs>
        <w:rPr>
          <w:sz w:val="20"/>
          <w:szCs w:val="20"/>
          <w:color w:val="auto"/>
        </w:rPr>
      </w:pPr>
      <w:r>
        <w:rPr>
          <w:rFonts w:ascii="Arial" w:cs="Arial" w:eastAsia="Arial" w:hAnsi="Arial"/>
          <w:sz w:val="14"/>
          <w:szCs w:val="14"/>
          <w:color w:val="auto"/>
        </w:rPr>
        <w:t>Signature [PLEASE SIGN WITHIN BOX] </w:t>
        <w:tab/>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ectPr>
          <w:pgSz w:w="11900" w:h="16838" w:orient="portrait"/>
          <w:cols w:equalWidth="0" w:num="1">
            <w:col w:w="11140"/>
          </w:cols>
          <w:pgMar w:left="320" w:top="482" w:right="439" w:bottom="754"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On May 15, 2026:</w:t>
      </w:r>
    </w:p>
    <w:p>
      <w:pPr>
        <w:jc w:val="center"/>
        <w:ind w:right="-139"/>
        <w:spacing w:after="0" w:line="234" w:lineRule="auto"/>
        <w:rPr>
          <w:sz w:val="20"/>
          <w:szCs w:val="20"/>
          <w:color w:val="auto"/>
        </w:rPr>
      </w:pPr>
      <w:r>
        <w:rPr>
          <w:rFonts w:ascii="Arial" w:cs="Arial" w:eastAsia="Arial" w:hAnsi="Arial"/>
          <w:sz w:val="18"/>
          <w:szCs w:val="18"/>
          <w:color w:val="auto"/>
        </w:rPr>
        <w:t>The 2026 Notice of Annual Meeting and Proxy Statement and the 2025 Annual Report are available at</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www.proxyvote.com.</w:t>
      </w: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We will be conducting our 2026 Annual Meeting of Stockholders virtually at</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www.virtualshareholdermeeting.com/VAC2026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 — — — — — — — — — — — — — — — — — — — — — — — — — — — — — — — — — — — — — — — — — — — — — — — — —</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V86146-P47161 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4525" cy="37369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4525" cy="373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1440"/>
        <w:spacing w:after="0"/>
        <w:rPr>
          <w:sz w:val="20"/>
          <w:szCs w:val="20"/>
          <w:color w:val="auto"/>
        </w:rPr>
      </w:pPr>
      <w:r>
        <w:rPr>
          <w:rFonts w:ascii="Arial" w:cs="Arial" w:eastAsia="Arial" w:hAnsi="Arial"/>
          <w:sz w:val="22"/>
          <w:szCs w:val="22"/>
          <w:b w:val="1"/>
          <w:bCs w:val="1"/>
          <w:color w:val="auto"/>
        </w:rPr>
        <w:t>PROXY SOLICITED BY BOARD OF DIRECTORS</w:t>
      </w:r>
    </w:p>
    <w:p>
      <w:pPr>
        <w:spacing w:after="0" w:line="12" w:lineRule="exact"/>
        <w:rPr>
          <w:sz w:val="20"/>
          <w:szCs w:val="20"/>
          <w:color w:val="auto"/>
        </w:rPr>
      </w:pPr>
    </w:p>
    <w:p>
      <w:pPr>
        <w:jc w:val="center"/>
        <w:ind w:left="1440"/>
        <w:spacing w:after="0"/>
        <w:rPr>
          <w:sz w:val="20"/>
          <w:szCs w:val="20"/>
          <w:color w:val="auto"/>
        </w:rPr>
      </w:pPr>
      <w:r>
        <w:rPr>
          <w:rFonts w:ascii="Arial" w:cs="Arial" w:eastAsia="Arial" w:hAnsi="Arial"/>
          <w:sz w:val="22"/>
          <w:szCs w:val="22"/>
          <w:b w:val="1"/>
          <w:bCs w:val="1"/>
          <w:color w:val="auto"/>
        </w:rPr>
        <w:t>FOR ANNUAL MEETING, MAY 15, 2026</w:t>
      </w:r>
    </w:p>
    <w:p>
      <w:pPr>
        <w:spacing w:after="0" w:line="207" w:lineRule="exact"/>
        <w:rPr>
          <w:sz w:val="20"/>
          <w:szCs w:val="20"/>
          <w:color w:val="auto"/>
        </w:rPr>
      </w:pPr>
    </w:p>
    <w:p>
      <w:pPr>
        <w:ind w:left="480" w:right="360"/>
        <w:spacing w:after="0" w:line="239" w:lineRule="auto"/>
        <w:rPr>
          <w:sz w:val="20"/>
          <w:szCs w:val="20"/>
          <w:color w:val="auto"/>
        </w:rPr>
      </w:pPr>
      <w:r>
        <w:rPr>
          <w:rFonts w:ascii="Arial" w:cs="Arial" w:eastAsia="Arial" w:hAnsi="Arial"/>
          <w:sz w:val="18"/>
          <w:szCs w:val="18"/>
          <w:color w:val="auto"/>
        </w:rPr>
        <w:t>The undersigned holder of common stock of Marriott Vacations Worldwide Corporation, a Delaware corporation (the “Company”), hereby appoints Matthew E. Avril and Andrew T. Marcus, or either of them, as proxies for the undersigned, with full power of substitution in each of them, to attend the Annual Meeting of Stockholders of the Company to be held via live webcast at www.virtualshareholdermeeting.com/VAC2026, on May 15, 2026, at 9:00 a.m. Eastern Time, or any postponement or adjournment thereof, to cast on behalf of the undersigned all votes that the undersigned is entitled to cast at such meeting and otherwise to represent the undersigned at the meeting with all powers possessed by the undersigned if personally present at the meeting. The undersigned hereby acknowledges receipt of the Notice of the Annual Meeting of Stockholders and of the accompanying Proxy Statement, the terms of each of which are incorporated by reference, and revokes any proxy heretofore given with respect to such meeting. The votes entitled to be cast by the undersigned will be cast as instructed.</w:t>
      </w:r>
    </w:p>
    <w:p>
      <w:pPr>
        <w:spacing w:after="0" w:line="183" w:lineRule="exact"/>
        <w:rPr>
          <w:sz w:val="20"/>
          <w:szCs w:val="20"/>
          <w:color w:val="auto"/>
        </w:rPr>
      </w:pPr>
    </w:p>
    <w:p>
      <w:pPr>
        <w:ind w:left="480" w:right="420"/>
        <w:spacing w:after="0"/>
        <w:rPr>
          <w:sz w:val="20"/>
          <w:szCs w:val="20"/>
          <w:color w:val="auto"/>
        </w:rPr>
      </w:pPr>
      <w:r>
        <w:rPr>
          <w:rFonts w:ascii="Arial" w:cs="Arial" w:eastAsia="Arial" w:hAnsi="Arial"/>
          <w:sz w:val="18"/>
          <w:szCs w:val="18"/>
          <w:b w:val="1"/>
          <w:bCs w:val="1"/>
          <w:color w:val="auto"/>
        </w:rPr>
        <w:t>If this proxy is executed, but no instruction is given, the votes entitled to be cast by the undersigned will be cast FOR each of the nine nominees for director listed in Proposal 1, and FOR Proposals 2, 3, and 4, all of which are set forth on the reverse side hereof. The votes entitled to be cast by the undersigned will be cast in the discretion of the Proxy holders on any other matter that may properly come before the meeting or any adjournment or postponement thereof (including, if applicable, on any matter which the Board of Directors did not know would be presented at the Annual Meeting of Stockholders by a reasonable time before the proxy solicitation was made or for the election of a person to the board of directors if any director nominee named in Proposal 1 becomes unable to serve or for good cause will not serve). The Board of Directors recommends a vote FOR each of the nine nominees for director listed in Proposal 1, and FOR Proposals 2, 3, and 4.</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t>
      </w:r>
    </w:p>
    <w:sectPr>
      <w:pgSz w:w="11900" w:h="16838" w:orient="portrait"/>
      <w:cols w:equalWidth="0" w:num="1">
        <w:col w:w="11100"/>
      </w:cols>
      <w:pgMar w:left="320" w:top="48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decimal"/>
      <w:start w:val="1"/>
    </w:lvl>
  </w:abstractNum>
  <w:abstractNum w:abstractNumId="4">
    <w:nsid w:val="799D0247"/>
    <w:multiLevelType w:val="hybridMultilevel"/>
    <w:lvl w:ilvl="0">
      <w:lvlJc w:val="left"/>
      <w:lvlText w:val="1"/>
      <w:numFmt w:val="bullet"/>
      <w:start w:val="1"/>
    </w:lvl>
  </w:abstractNum>
  <w:abstractNum w:abstractNumId="5">
    <w:nsid w:val="6B94764"/>
    <w:multiLevelType w:val="hybridMultilevel"/>
    <w:lvl w:ilvl="0">
      <w:lvlJc w:val="left"/>
      <w:lvlText w:val="4"/>
      <w:numFmt w:val="bullet"/>
      <w:start w:val="1"/>
    </w:lvl>
  </w:abstractNum>
  <w:abstractNum w:abstractNumId="6">
    <w:nsid w:val="42C296BD"/>
    <w:multiLevelType w:val="hybridMultilevel"/>
    <w:lvl w:ilvl="0">
      <w:lvlJc w:val="left"/>
      <w:lvlText w:val="7"/>
      <w:numFmt w:val="bullet"/>
      <w:start w:val="1"/>
    </w:lvl>
  </w:abstractNum>
  <w:abstractNum w:abstractNumId="7">
    <w:nsid w:val="168E121F"/>
    <w:multiLevelType w:val="hybridMultilevel"/>
    <w:lvl w:ilvl="0">
      <w:lvlJc w:val="left"/>
      <w:lvlText w:val="7"/>
      <w:numFmt w:val="bullet"/>
      <w:start w:val="1"/>
    </w:lvl>
  </w:abstractNum>
  <w:abstractNum w:abstractNumId="8">
    <w:nsid w:val="1EBA5D23"/>
    <w:multiLevelType w:val="hybridMultilevel"/>
    <w:lvl w:ilvl="0">
      <w:lvlJc w:val="left"/>
      <w:lvlText w:val="8"/>
      <w:numFmt w:val="bullet"/>
      <w:start w:val="1"/>
    </w:lvl>
  </w:abstractNum>
  <w:abstractNum w:abstractNumId="9">
    <w:nsid w:val="661E3F1E"/>
    <w:multiLevelType w:val="hybridMultilevel"/>
    <w:lvl w:ilvl="0">
      <w:lvlJc w:val="left"/>
      <w:lvlText w:val="9"/>
      <w:numFmt w:val="bullet"/>
      <w:start w:val="1"/>
    </w:lvl>
  </w:abstractNum>
  <w:abstractNum w:abstractNumId="10">
    <w:nsid w:val="5DC79EA8"/>
    <w:multiLevelType w:val="hybridMultilevel"/>
    <w:lvl w:ilvl="0">
      <w:lvlJc w:val="left"/>
      <w:lvlText w:val="%1"/>
      <w:numFmt w:val="decimal"/>
      <w:start w:val="18"/>
    </w:lvl>
  </w:abstractNum>
  <w:abstractNum w:abstractNumId="11">
    <w:nsid w:val="540A471C"/>
    <w:multiLevelType w:val="hybridMultilevel"/>
    <w:lvl w:ilvl="0">
      <w:lvlJc w:val="left"/>
      <w:lvlText w:val="%1"/>
      <w:numFmt w:val="decimal"/>
      <w:start w:val="26"/>
    </w:lvl>
  </w:abstractNum>
  <w:abstractNum w:abstractNumId="12">
    <w:nsid w:val="7BD3EE7B"/>
    <w:multiLevelType w:val="hybridMultilevel"/>
    <w:lvl w:ilvl="0">
      <w:lvlJc w:val="left"/>
      <w:lvlText w:val="%1"/>
      <w:numFmt w:val="decimal"/>
      <w:start w:val="30"/>
    </w:lvl>
  </w:abstractNum>
  <w:abstractNum w:abstractNumId="13">
    <w:nsid w:val="51D9C564"/>
    <w:multiLevelType w:val="hybridMultilevel"/>
    <w:lvl w:ilvl="0">
      <w:lvlJc w:val="left"/>
      <w:lvlText w:val="%1"/>
      <w:numFmt w:val="decimal"/>
      <w:start w:val="32"/>
    </w:lvl>
  </w:abstractNum>
  <w:abstractNum w:abstractNumId="14">
    <w:nsid w:val="613EFDC5"/>
    <w:multiLevelType w:val="hybridMultilevel"/>
    <w:lvl w:ilvl="0">
      <w:lvlJc w:val="left"/>
      <w:lvlText w:val="%1"/>
      <w:numFmt w:val="decimal"/>
      <w:start w:val="59"/>
    </w:lvl>
  </w:abstractNum>
  <w:abstractNum w:abstractNumId="15">
    <w:nsid w:val="BF72B14"/>
    <w:multiLevelType w:val="hybridMultilevel"/>
    <w:lvl w:ilvl="0">
      <w:lvlJc w:val="left"/>
      <w:lvlText w:val="%1"/>
      <w:numFmt w:val="decimal"/>
      <w:start w:val="62"/>
    </w:lvl>
  </w:abstractNum>
  <w:abstractNum w:abstractNumId="16">
    <w:nsid w:val="11447B73"/>
    <w:multiLevelType w:val="hybridMultilevel"/>
    <w:lvl w:ilvl="0">
      <w:lvlJc w:val="left"/>
      <w:lvlText w:val="%1"/>
      <w:numFmt w:val="decimal"/>
      <w:start w:val="64"/>
    </w:lvl>
  </w:abstractNum>
  <w:abstractNum w:abstractNumId="17">
    <w:nsid w:val="42963E5A"/>
    <w:multiLevelType w:val="hybridMultilevel"/>
    <w:lvl w:ilvl="0">
      <w:lvlJc w:val="left"/>
      <w:lvlText w:val="•"/>
      <w:numFmt w:val="bullet"/>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
      <w:numFmt w:val="bullet"/>
      <w:start w:val="1"/>
    </w:lvl>
    <w:lvl w:ilvl="1">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1"/>
      <w:numFmt w:val="bullet"/>
      <w:start w:val="1"/>
    </w:lvl>
  </w:abstractNum>
  <w:abstractNum w:abstractNumId="23">
    <w:nsid w:val="4962813B"/>
    <w:multiLevelType w:val="hybridMultilevel"/>
    <w:lvl w:ilvl="0">
      <w:lvlJc w:val="left"/>
      <w:lvlText w:val="2"/>
      <w:numFmt w:val="bullet"/>
      <w:start w:val="1"/>
    </w:lvl>
  </w:abstractNum>
  <w:abstractNum w:abstractNumId="24">
    <w:nsid w:val="60B6DF70"/>
    <w:multiLevelType w:val="hybridMultilevel"/>
    <w:lvl w:ilvl="0">
      <w:lvlJc w:val="left"/>
      <w:lvlText w:val="%1."/>
      <w:numFmt w:val="decimal"/>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
      <w:numFmt w:val="bullet"/>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1)"/>
      <w:numFmt w:val="decimal"/>
      <w:start w:val="4"/>
    </w:lvl>
  </w:abstractNum>
  <w:abstractNum w:abstractNumId="36">
    <w:nsid w:val="76272110"/>
    <w:multiLevelType w:val="hybridMultilevel"/>
    <w:lvl w:ilvl="0">
      <w:lvlJc w:val="left"/>
      <w:lvlText w:val="•"/>
      <w:numFmt w:val="bullet"/>
      <w:start w:val="1"/>
    </w:lvl>
  </w:abstractNum>
  <w:abstractNum w:abstractNumId="37">
    <w:nsid w:val="4C04A8AF"/>
    <w:multiLevelType w:val="hybridMultilevel"/>
    <w:lvl w:ilvl="0">
      <w:lvlJc w:val="left"/>
      <w:lvlText w:val="(%1)"/>
      <w:numFmt w:val="lowerRoman"/>
      <w:start w:val="2"/>
    </w:lvl>
  </w:abstractNum>
  <w:abstractNum w:abstractNumId="38">
    <w:nsid w:val="1716703B"/>
    <w:multiLevelType w:val="hybridMultilevel"/>
    <w:lvl w:ilvl="0">
      <w:lvlJc w:val="left"/>
      <w:lvlText w:val="(%1)"/>
      <w:numFmt w:val="decimal"/>
      <w:start w:val="2"/>
    </w:lvl>
  </w:abstractNum>
  <w:abstractNum w:abstractNumId="39">
    <w:nsid w:val="14E17E33"/>
    <w:multiLevelType w:val="hybridMultilevel"/>
    <w:lvl w:ilvl="0">
      <w:lvlJc w:val="left"/>
      <w:lvlText w:val="1"/>
      <w:numFmt w:val="bullet"/>
      <w:start w:val="1"/>
    </w:lvl>
  </w:abstractNum>
  <w:abstractNum w:abstractNumId="40">
    <w:nsid w:val="3222E7CD"/>
    <w:multiLevelType w:val="hybridMultilevel"/>
    <w:lvl w:ilvl="0">
      <w:lvlJc w:val="left"/>
      <w:lvlText w:val="2"/>
      <w:numFmt w:val="bullet"/>
      <w:start w:val="1"/>
    </w:lvl>
  </w:abstractNum>
  <w:abstractNum w:abstractNumId="41">
    <w:nsid w:val="74DE0EE3"/>
    <w:multiLevelType w:val="hybridMultilevel"/>
    <w:lvl w:ilvl="0">
      <w:lvlJc w:val="left"/>
      <w:lvlText w:val="3"/>
      <w:numFmt w:val="bullet"/>
      <w:start w:val="1"/>
    </w:lvl>
  </w:abstractNum>
  <w:abstractNum w:abstractNumId="42">
    <w:nsid w:val="68EBC550"/>
    <w:multiLevelType w:val="hybridMultilevel"/>
    <w:lvl w:ilvl="0">
      <w:lvlJc w:val="left"/>
      <w:lvlText w:val="4"/>
      <w:numFmt w:val="bullet"/>
      <w:start w:val="1"/>
    </w:lvl>
    <w:lvl w:ilvl="1">
      <w:lvlJc w:val="left"/>
      <w:lvlText w:val="✓"/>
      <w:numFmt w:val="bullet"/>
      <w:start w:val="1"/>
    </w:lvl>
  </w:abstractNum>
  <w:abstractNum w:abstractNumId="43">
    <w:nsid w:val="2DF6D648"/>
    <w:multiLevelType w:val="hybridMultilevel"/>
    <w:lvl w:ilvl="0">
      <w:lvlJc w:val="left"/>
      <w:lvlText w:val="1"/>
      <w:numFmt w:val="bullet"/>
      <w:start w:val="1"/>
    </w:lvl>
  </w:abstractNum>
  <w:abstractNum w:abstractNumId="44">
    <w:nsid w:val="46B7D447"/>
    <w:multiLevelType w:val="hybridMultilevel"/>
    <w:lvl w:ilvl="0">
      <w:lvlJc w:val="left"/>
      <w:lvlText w:val="2"/>
      <w:numFmt w:val="bullet"/>
      <w:start w:val="1"/>
    </w:lvl>
  </w:abstractNum>
  <w:abstractNum w:abstractNumId="45">
    <w:nsid w:val="4A2AC315"/>
    <w:multiLevelType w:val="hybridMultilevel"/>
    <w:lvl w:ilvl="0">
      <w:lvlJc w:val="left"/>
      <w:lvlText w:val="3"/>
      <w:numFmt w:val="bullet"/>
      <w:start w:val="1"/>
    </w:lvl>
  </w:abstractNum>
  <w:abstractNum w:abstractNumId="46">
    <w:nsid w:val="39EE015C"/>
    <w:multiLevelType w:val="hybridMultilevel"/>
    <w:lvl w:ilvl="0">
      <w:lvlJc w:val="left"/>
      <w:lvlText w:val="•"/>
      <w:numFmt w:val="bullet"/>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1"/>
      <w:numFmt w:val="bullet"/>
      <w:start w:val="1"/>
    </w:lvl>
  </w:abstractNum>
  <w:abstractNum w:abstractNumId="53">
    <w:nsid w:val="49DA307D"/>
    <w:multiLevelType w:val="hybridMultilevel"/>
    <w:lvl w:ilvl="0">
      <w:lvlJc w:val="left"/>
      <w:lvlText w:val="2"/>
      <w:numFmt w:val="bullet"/>
      <w:start w:val="1"/>
    </w:lvl>
  </w:abstractNum>
  <w:abstractNum w:abstractNumId="54">
    <w:nsid w:val="7055A5F5"/>
    <w:multiLevelType w:val="hybridMultilevel"/>
    <w:lvl w:ilvl="0">
      <w:lvlJc w:val="left"/>
      <w:lvlText w:val="3"/>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1"/>
      <w:numFmt w:val="bullet"/>
      <w:start w:val="1"/>
    </w:lvl>
  </w:abstractNum>
  <w:abstractNum w:abstractNumId="61">
    <w:nsid w:val="6FC75AF8"/>
    <w:multiLevelType w:val="hybridMultilevel"/>
    <w:lvl w:ilvl="0">
      <w:lvlJc w:val="left"/>
      <w:lvlText w:val="2"/>
      <w:numFmt w:val="bullet"/>
      <w:start w:val="1"/>
    </w:lvl>
  </w:abstractNum>
  <w:abstractNum w:abstractNumId="62">
    <w:nsid w:val="6A5F7029"/>
    <w:multiLevelType w:val="hybridMultilevel"/>
    <w:lvl w:ilvl="0">
      <w:lvlJc w:val="left"/>
      <w:lvlText w:val="3"/>
      <w:numFmt w:val="bullet"/>
      <w:start w:val="1"/>
    </w:lvl>
  </w:abstractNum>
  <w:abstractNum w:abstractNumId="63">
    <w:nsid w:val="7D5E18F8"/>
    <w:multiLevelType w:val="hybridMultilevel"/>
    <w:lvl w:ilvl="0">
      <w:lvlJc w:val="left"/>
      <w:lvlText w:val="4"/>
      <w:numFmt w:val="bullet"/>
      <w:start w:val="1"/>
    </w:lvl>
  </w:abstractNum>
  <w:abstractNum w:abstractNumId="64">
    <w:nsid w:val="5F3534A4"/>
    <w:multiLevelType w:val="hybridMultilevel"/>
    <w:lvl w:ilvl="0">
      <w:lvlJc w:val="left"/>
      <w:lvlText w:val="5"/>
      <w:numFmt w:val="bullet"/>
      <w:start w:val="1"/>
    </w:lvl>
  </w:abstractNum>
  <w:abstractNum w:abstractNumId="65">
    <w:nsid w:val="73A1821B"/>
    <w:multiLevelType w:val="hybridMultilevel"/>
    <w:lvl w:ilvl="0">
      <w:lvlJc w:val="left"/>
      <w:lvlText w:val="6"/>
      <w:numFmt w:val="bullet"/>
      <w:start w:val="1"/>
    </w:lvl>
  </w:abstractNum>
  <w:abstractNum w:abstractNumId="66">
    <w:nsid w:val="7DE67713"/>
    <w:multiLevelType w:val="hybridMultilevel"/>
    <w:lvl w:ilvl="0">
      <w:lvlJc w:val="left"/>
      <w:lvlText w:val="7"/>
      <w:numFmt w:val="bullet"/>
      <w:start w:val="1"/>
    </w:lvl>
  </w:abstractNum>
  <w:abstractNum w:abstractNumId="67">
    <w:nsid w:val="555C55B5"/>
    <w:multiLevelType w:val="hybridMultilevel"/>
    <w:lvl w:ilvl="0">
      <w:lvlJc w:val="left"/>
      <w:lvlText w:val="8"/>
      <w:numFmt w:val="bullet"/>
      <w:start w:val="1"/>
    </w:lvl>
  </w:abstractNum>
  <w:abstractNum w:abstractNumId="68">
    <w:nsid w:val="3FA62ACA"/>
    <w:multiLevelType w:val="hybridMultilevel"/>
    <w:lvl w:ilvl="0">
      <w:lvlJc w:val="left"/>
      <w:lvlText w:val="9"/>
      <w:numFmt w:val="bullet"/>
      <w:start w:val="1"/>
    </w:lvl>
  </w:abstractNum>
  <w:abstractNum w:abstractNumId="69">
    <w:nsid w:val="14FCE74E"/>
    <w:multiLevelType w:val="hybridMultilevel"/>
    <w:lvl w:ilvl="0">
      <w:lvlJc w:val="left"/>
      <w:lvlText w:val="1"/>
      <w:numFmt w:val="bullet"/>
      <w:start w:val="1"/>
    </w:lvl>
  </w:abstractNum>
  <w:abstractNum w:abstractNumId="70">
    <w:nsid w:val="6A3DD3E8"/>
    <w:multiLevelType w:val="hybridMultilevel"/>
    <w:lvl w:ilvl="0">
      <w:lvlJc w:val="left"/>
      <w:lvlText w:val="2"/>
      <w:numFmt w:val="bullet"/>
      <w:start w:val="1"/>
    </w:lvl>
  </w:abstractNum>
  <w:abstractNum w:abstractNumId="71">
    <w:nsid w:val="71C91298"/>
    <w:multiLevelType w:val="hybridMultilevel"/>
    <w:lvl w:ilvl="0">
      <w:lvlJc w:val="left"/>
      <w:lvlText w:val="3"/>
      <w:numFmt w:val="bullet"/>
      <w:start w:val="1"/>
    </w:lvl>
  </w:abstractNum>
  <w:abstractNum w:abstractNumId="72">
    <w:nsid w:val="9DAF632"/>
    <w:multiLevelType w:val="hybridMultilevel"/>
    <w:lvl w:ilvl="0">
      <w:lvlJc w:val="left"/>
      <w:lvlText w:val="4"/>
      <w:numFmt w:val="bullet"/>
      <w:start w:val="1"/>
    </w:lvl>
  </w:abstractNum>
  <w:abstractNum w:abstractNumId="73">
    <w:nsid w:val="53299938"/>
    <w:multiLevelType w:val="hybridMultilevel"/>
    <w:lvl w:ilvl="0">
      <w:lvlJc w:val="left"/>
      <w:lvlText w:val="5"/>
      <w:numFmt w:val="bullet"/>
      <w:start w:val="1"/>
    </w:lvl>
  </w:abstractNum>
  <w:abstractNum w:abstractNumId="74">
    <w:nsid w:val="1FBFE8E0"/>
    <w:multiLevelType w:val="hybridMultilevel"/>
    <w:lvl w:ilvl="0">
      <w:lvlJc w:val="left"/>
      <w:lvlText w:val="1"/>
      <w:numFmt w:val="bullet"/>
      <w:start w:val="1"/>
    </w:lvl>
  </w:abstractNum>
  <w:abstractNum w:abstractNumId="75">
    <w:nsid w:val="5092CA79"/>
    <w:multiLevelType w:val="hybridMultilevel"/>
    <w:lvl w:ilvl="0">
      <w:lvlJc w:val="left"/>
      <w:lvlText w:val="2"/>
      <w:numFmt w:val="bullet"/>
      <w:start w:val="1"/>
    </w:lvl>
  </w:abstractNum>
  <w:abstractNum w:abstractNumId="76">
    <w:nsid w:val="1D545C4D"/>
    <w:multiLevelType w:val="hybridMultilevel"/>
    <w:lvl w:ilvl="0">
      <w:lvlJc w:val="left"/>
      <w:lvlText w:val="3"/>
      <w:numFmt w:val="bullet"/>
      <w:start w:val="1"/>
    </w:lvl>
  </w:abstractNum>
  <w:abstractNum w:abstractNumId="77">
    <w:nsid w:val="59ADEA3D"/>
    <w:multiLevelType w:val="hybridMultilevel"/>
    <w:lvl w:ilvl="0">
      <w:lvlJc w:val="left"/>
      <w:lvlText w:val="4"/>
      <w:numFmt w:val="bullet"/>
      <w:start w:val="1"/>
    </w:lvl>
  </w:abstractNum>
  <w:abstractNum w:abstractNumId="78">
    <w:nsid w:val="288F1A34"/>
    <w:multiLevelType w:val="hybridMultilevel"/>
    <w:lvl w:ilvl="0">
      <w:lvlJc w:val="left"/>
      <w:lvlText w:val="5"/>
      <w:numFmt w:val="bullet"/>
      <w:start w:val="1"/>
    </w:lvl>
  </w:abstractNum>
  <w:abstractNum w:abstractNumId="79">
    <w:nsid w:val="2A155DBC"/>
    <w:multiLevelType w:val="hybridMultilevel"/>
    <w:lvl w:ilvl="0">
      <w:lvlJc w:val="left"/>
      <w:lvlText w:val="6"/>
      <w:numFmt w:val="bullet"/>
      <w:start w:val="1"/>
    </w:lvl>
  </w:abstractNum>
  <w:abstractNum w:abstractNumId="80">
    <w:nsid w:val="1D9F6E5F"/>
    <w:multiLevelType w:val="hybridMultilevel"/>
    <w:lvl w:ilvl="0">
      <w:lvlJc w:val="left"/>
      <w:lvlText w:val="7"/>
      <w:numFmt w:val="bullet"/>
      <w:start w:val="1"/>
    </w:lvl>
  </w:abstractNum>
  <w:abstractNum w:abstractNumId="81">
    <w:nsid w:val="97E1B4E"/>
    <w:multiLevelType w:val="hybridMultilevel"/>
    <w:lvl w:ilvl="0">
      <w:lvlJc w:val="left"/>
      <w:lvlText w:val="1"/>
      <w:numFmt w:val="bullet"/>
      <w:start w:val="1"/>
    </w:lvl>
  </w:abstractNum>
  <w:abstractNum w:abstractNumId="82">
    <w:nsid w:val="51088277"/>
    <w:multiLevelType w:val="hybridMultilevel"/>
    <w:lvl w:ilvl="0">
      <w:lvlJc w:val="left"/>
      <w:lvlText w:val="2"/>
      <w:numFmt w:val="bullet"/>
      <w:start w:val="1"/>
    </w:lvl>
  </w:abstractNum>
  <w:abstractNum w:abstractNumId="83">
    <w:nsid w:val="1CA0C5FA"/>
    <w:multiLevelType w:val="hybridMultilevel"/>
    <w:lvl w:ilvl="0">
      <w:lvlJc w:val="left"/>
      <w:lvlText w:val="1"/>
      <w:numFmt w:val="bullet"/>
      <w:start w:val="1"/>
    </w:lvl>
  </w:abstractNum>
  <w:abstractNum w:abstractNumId="84">
    <w:nsid w:val="53584BCB"/>
    <w:multiLevelType w:val="hybridMultilevel"/>
    <w:lvl w:ilvl="0">
      <w:lvlJc w:val="left"/>
      <w:lvlText w:val="2"/>
      <w:numFmt w:val="bullet"/>
      <w:start w:val="1"/>
    </w:lvl>
  </w:abstractNum>
  <w:abstractNum w:abstractNumId="85">
    <w:nsid w:val="415E286C"/>
    <w:multiLevelType w:val="hybridMultilevel"/>
    <w:lvl w:ilvl="0">
      <w:lvlJc w:val="left"/>
      <w:lvlText w:val="1"/>
      <w:numFmt w:val="bullet"/>
      <w:start w:val="1"/>
    </w:lvl>
  </w:abstractNum>
  <w:abstractNum w:abstractNumId="86">
    <w:nsid w:val="7C58FD05"/>
    <w:multiLevelType w:val="hybridMultilevel"/>
    <w:lvl w:ilvl="0">
      <w:lvlJc w:val="left"/>
      <w:lvlText w:val="2"/>
      <w:numFmt w:val="bullet"/>
      <w:start w:val="1"/>
    </w:lvl>
  </w:abstractNum>
  <w:abstractNum w:abstractNumId="87">
    <w:nsid w:val="23D86AAC"/>
    <w:multiLevelType w:val="hybridMultilevel"/>
    <w:lvl w:ilvl="0">
      <w:lvlJc w:val="left"/>
      <w:lvlText w:val="3"/>
      <w:numFmt w:val="bullet"/>
      <w:start w:val="1"/>
    </w:lvl>
  </w:abstractNum>
  <w:abstractNum w:abstractNumId="88">
    <w:nsid w:val="45E6D486"/>
    <w:multiLevelType w:val="hybridMultilevel"/>
    <w:lvl w:ilvl="0">
      <w:lvlJc w:val="left"/>
      <w:lvlText w:val="4"/>
      <w:numFmt w:val="bullet"/>
      <w:start w:val="1"/>
    </w:lvl>
  </w:abstractNum>
  <w:abstractNum w:abstractNumId="89">
    <w:nsid w:val="5C10FE21"/>
    <w:multiLevelType w:val="hybridMultilevel"/>
    <w:lvl w:ilvl="0">
      <w:lvlJc w:val="left"/>
      <w:lvlText w:val="5"/>
      <w:numFmt w:val="bullet"/>
      <w:start w:val="1"/>
    </w:lvl>
  </w:abstractNum>
  <w:abstractNum w:abstractNumId="90">
    <w:nsid w:val="E7FFA2B"/>
    <w:multiLevelType w:val="hybridMultilevel"/>
    <w:lvl w:ilvl="0">
      <w:lvlJc w:val="left"/>
      <w:lvlText w:val="6"/>
      <w:numFmt w:val="bullet"/>
      <w:start w:val="1"/>
    </w:lvl>
  </w:abstractNum>
  <w:abstractNum w:abstractNumId="91">
    <w:nsid w:val="3C5991AA"/>
    <w:multiLevelType w:val="hybridMultilevel"/>
    <w:lvl w:ilvl="0">
      <w:lvlJc w:val="left"/>
      <w:lvlText w:val="7"/>
      <w:numFmt w:val="bullet"/>
      <w:start w:val="1"/>
    </w:lvl>
  </w:abstractNum>
  <w:abstractNum w:abstractNumId="92">
    <w:nsid w:val="4BD8591A"/>
    <w:multiLevelType w:val="hybridMultilevel"/>
    <w:lvl w:ilvl="0">
      <w:lvlJc w:val="left"/>
      <w:lvlText w:val="1"/>
      <w:numFmt w:val="bullet"/>
      <w:start w:val="1"/>
    </w:lvl>
  </w:abstractNum>
  <w:abstractNum w:abstractNumId="93">
    <w:nsid w:val="78DF6A55"/>
    <w:multiLevelType w:val="hybridMultilevel"/>
    <w:lvl w:ilvl="0">
      <w:lvlJc w:val="left"/>
      <w:lvlText w:val="2"/>
      <w:numFmt w:val="bullet"/>
      <w:start w:val="1"/>
    </w:lvl>
  </w:abstractNum>
  <w:abstractNum w:abstractNumId="94">
    <w:nsid w:val="39B7AAA2"/>
    <w:multiLevelType w:val="hybridMultilevel"/>
    <w:lvl w:ilvl="0">
      <w:lvlJc w:val="left"/>
      <w:lvlText w:val="3"/>
      <w:numFmt w:val="bullet"/>
      <w:start w:val="1"/>
    </w:lvl>
  </w:abstractNum>
  <w:abstractNum w:abstractNumId="95">
    <w:nsid w:val="2B0D8DBE"/>
    <w:multiLevelType w:val="hybridMultilevel"/>
    <w:lvl w:ilvl="0">
      <w:lvlJc w:val="left"/>
      <w:lvlText w:val="4"/>
      <w:numFmt w:val="bullet"/>
      <w:start w:val="1"/>
    </w:lvl>
  </w:abstractNum>
  <w:abstractNum w:abstractNumId="96">
    <w:nsid w:val="6C80EC70"/>
    <w:multiLevelType w:val="hybridMultilevel"/>
    <w:lvl w:ilvl="0">
      <w:lvlJc w:val="left"/>
      <w:lvlText w:val="5"/>
      <w:numFmt w:val="bullet"/>
      <w:start w:val="1"/>
    </w:lvl>
  </w:abstractNum>
  <w:abstractNum w:abstractNumId="97">
    <w:nsid w:val="379E21B5"/>
    <w:multiLevelType w:val="hybridMultilevel"/>
    <w:lvl w:ilvl="0">
      <w:lvlJc w:val="left"/>
      <w:lvlText w:val="6"/>
      <w:numFmt w:val="bullet"/>
      <w:start w:val="1"/>
    </w:lvl>
  </w:abstractNum>
  <w:abstractNum w:abstractNumId="98">
    <w:nsid w:val="69E373"/>
    <w:multiLevelType w:val="hybridMultilevel"/>
    <w:lvl w:ilvl="0">
      <w:lvlJc w:val="left"/>
      <w:lvlText w:val="7"/>
      <w:numFmt w:val="bullet"/>
      <w:start w:val="1"/>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1"/>
      <w:numFmt w:val="bullet"/>
      <w:start w:val="1"/>
    </w:lvl>
  </w:abstractNum>
  <w:abstractNum w:abstractNumId="101">
    <w:nsid w:val="6AA7B75C"/>
    <w:multiLevelType w:val="hybridMultilevel"/>
    <w:lvl w:ilvl="0">
      <w:lvlJc w:val="left"/>
      <w:lvlText w:val="2"/>
      <w:numFmt w:val="bullet"/>
      <w:start w:val="1"/>
    </w:lvl>
  </w:abstractNum>
  <w:abstractNum w:abstractNumId="102">
    <w:nsid w:val="1DF029D3"/>
    <w:multiLevelType w:val="hybridMultilevel"/>
    <w:lvl w:ilvl="0">
      <w:lvlJc w:val="left"/>
      <w:lvlText w:val="3"/>
      <w:numFmt w:val="bullet"/>
      <w:start w:val="1"/>
    </w:lvl>
  </w:abstractNum>
  <w:abstractNum w:abstractNumId="103">
    <w:nsid w:val="5675FF36"/>
    <w:multiLevelType w:val="hybridMultilevel"/>
    <w:lvl w:ilvl="0">
      <w:lvlJc w:val="left"/>
      <w:lvlText w:val="4"/>
      <w:numFmt w:val="bullet"/>
      <w:start w:val="1"/>
    </w:lvl>
  </w:abstractNum>
  <w:abstractNum w:abstractNumId="104">
    <w:nsid w:val="3DD15094"/>
    <w:multiLevelType w:val="hybridMultilevel"/>
    <w:lvl w:ilvl="0">
      <w:lvlJc w:val="left"/>
      <w:lvlText w:val="(%1)"/>
      <w:numFmt w:val="lowerLetter"/>
      <w:start w:val="1"/>
    </w:lvl>
  </w:abstractNum>
  <w:abstractNum w:abstractNumId="105">
    <w:nsid w:val="3DB012B3"/>
    <w:multiLevelType w:val="hybridMultilevel"/>
    <w:lvl w:ilvl="0">
      <w:lvlJc w:val="left"/>
      <w:lvlText w:val="5"/>
      <w:numFmt w:val="bullet"/>
      <w:start w:val="1"/>
    </w:lvl>
  </w:abstractNum>
  <w:abstractNum w:abstractNumId="106">
    <w:nsid w:val="2708C9AF"/>
    <w:multiLevelType w:val="hybridMultilevel"/>
    <w:lvl w:ilvl="0">
      <w:lvlJc w:val="left"/>
      <w:lvlText w:val="6"/>
      <w:numFmt w:val="bullet"/>
      <w:start w:val="1"/>
    </w:lvl>
  </w:abstractNum>
  <w:abstractNum w:abstractNumId="107">
    <w:nsid w:val="5B25ACE2"/>
    <w:multiLevelType w:val="hybridMultilevel"/>
    <w:lvl w:ilvl="0">
      <w:lvlJc w:val="left"/>
      <w:lvlText w:val="(%1)"/>
      <w:numFmt w:val="lowerLetter"/>
      <w:start w:val="1"/>
    </w:lvl>
  </w:abstractNum>
  <w:abstractNum w:abstractNumId="108">
    <w:nsid w:val="175DFCF0"/>
    <w:multiLevelType w:val="hybridMultilevel"/>
    <w:lvl w:ilvl="0">
      <w:lvlJc w:val="left"/>
      <w:lvlText w:val="7"/>
      <w:numFmt w:val="bullet"/>
      <w:start w:val="1"/>
    </w:lvl>
  </w:abstractNum>
  <w:abstractNum w:abstractNumId="109">
    <w:nsid w:val="4F97E3E4"/>
    <w:multiLevelType w:val="hybridMultilevel"/>
    <w:lvl w:ilvl="0">
      <w:lvlJc w:val="left"/>
      <w:lvlText w:val="8"/>
      <w:numFmt w:val="bullet"/>
      <w:start w:val="1"/>
    </w:lvl>
  </w:abstractNum>
  <w:abstractNum w:abstractNumId="110">
    <w:nsid w:val="53B0A9E"/>
    <w:multiLevelType w:val="hybridMultilevel"/>
    <w:lvl w:ilvl="0">
      <w:lvlJc w:val="left"/>
      <w:lvlText w:val="•"/>
      <w:numFmt w:val="bullet"/>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1"/>
      <w:numFmt w:val="bullet"/>
      <w:start w:val="1"/>
    </w:lvl>
  </w:abstractNum>
  <w:abstractNum w:abstractNumId="113">
    <w:nsid w:val="56438D15"/>
    <w:multiLevelType w:val="hybridMultilevel"/>
    <w:lvl w:ilvl="0">
      <w:lvlJc w:val="left"/>
      <w:lvlText w:val="2"/>
      <w:numFmt w:val="bullet"/>
      <w:start w:val="1"/>
    </w:lvl>
  </w:abstractNum>
  <w:abstractNum w:abstractNumId="114">
    <w:nsid w:val="519E3149"/>
    <w:multiLevelType w:val="hybridMultilevel"/>
    <w:lvl w:ilvl="0">
      <w:lvlJc w:val="left"/>
      <w:lvlText w:val="3"/>
      <w:numFmt w:val="bullet"/>
      <w:start w:val="1"/>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
      <w:numFmt w:val="bullet"/>
      <w:start w:val="1"/>
    </w:lvl>
  </w:abstractNum>
  <w:abstractNum w:abstractNumId="117">
    <w:nsid w:val="4DF72E4E"/>
    <w:multiLevelType w:val="hybridMultilevel"/>
    <w:lvl w:ilvl="0">
      <w:lvlJc w:val="left"/>
      <w:lvlText w:val="1"/>
      <w:numFmt w:val="bullet"/>
      <w:start w:val="1"/>
    </w:lvl>
  </w:abstractNum>
  <w:abstractNum w:abstractNumId="118">
    <w:nsid w:val="5046B5A9"/>
    <w:multiLevelType w:val="hybridMultilevel"/>
    <w:lvl w:ilvl="0">
      <w:lvlJc w:val="left"/>
      <w:lvlText w:val="2"/>
      <w:numFmt w:val="bullet"/>
      <w:start w:val="1"/>
    </w:lvl>
  </w:abstractNum>
  <w:abstractNum w:abstractNumId="119">
    <w:nsid w:val="5D888A08"/>
    <w:multiLevelType w:val="hybridMultilevel"/>
    <w:lvl w:ilvl="0">
      <w:lvlJc w:val="left"/>
      <w:lvlText w:val="3"/>
      <w:numFmt w:val="bullet"/>
      <w:start w:val="1"/>
    </w:lvl>
  </w:abstractNum>
  <w:abstractNum w:abstractNumId="120">
    <w:nsid w:val="2A082C70"/>
    <w:multiLevelType w:val="hybridMultilevel"/>
    <w:lvl w:ilvl="0">
      <w:lvlJc w:val="left"/>
      <w:lvlText w:val="4"/>
      <w:numFmt w:val="bullet"/>
      <w:start w:val="1"/>
    </w:lvl>
  </w:abstractNum>
  <w:abstractNum w:abstractNumId="121">
    <w:nsid w:val="5EC6AFD4"/>
    <w:multiLevelType w:val="hybridMultilevel"/>
    <w:lvl w:ilvl="0">
      <w:lvlJc w:val="left"/>
      <w:lvlText w:val="5"/>
      <w:numFmt w:val="bullet"/>
      <w:start w:val="1"/>
    </w:lvl>
  </w:abstractNum>
  <w:abstractNum w:abstractNumId="122">
    <w:nsid w:val="19E21BB2"/>
    <w:multiLevelType w:val="hybridMultilevel"/>
    <w:lvl w:ilvl="0">
      <w:lvlJc w:val="left"/>
      <w:lvlText w:val="6"/>
      <w:numFmt w:val="bullet"/>
      <w:start w:val="1"/>
    </w:lvl>
  </w:abstractNum>
  <w:abstractNum w:abstractNumId="123">
    <w:nsid w:val="75E0858A"/>
    <w:multiLevelType w:val="hybridMultilevel"/>
    <w:lvl w:ilvl="0">
      <w:lvlJc w:val="left"/>
      <w:lvlText w:val="7"/>
      <w:numFmt w:val="bullet"/>
      <w:start w:val="1"/>
    </w:lvl>
  </w:abstractNum>
  <w:abstractNum w:abstractNumId="124">
    <w:nsid w:val="57A61A29"/>
    <w:multiLevelType w:val="hybridMultilevel"/>
    <w:lvl w:ilvl="0">
      <w:lvlJc w:val="left"/>
      <w:lvlText w:val="8"/>
      <w:numFmt w:val="bullet"/>
      <w:start w:val="1"/>
    </w:lvl>
  </w:abstractNum>
  <w:abstractNum w:abstractNumId="125">
    <w:nsid w:val="5399C654"/>
    <w:multiLevelType w:val="hybridMultilevel"/>
    <w:lvl w:ilvl="0">
      <w:lvlJc w:val="left"/>
      <w:lvlText w:val="9"/>
      <w:numFmt w:val="bullet"/>
      <w:start w:val="1"/>
    </w:lvl>
  </w:abstractNum>
  <w:abstractNum w:abstractNumId="126">
    <w:nsid w:val="20EE1348"/>
    <w:multiLevelType w:val="hybridMultilevel"/>
    <w:lvl w:ilvl="0">
      <w:lvlJc w:val="left"/>
      <w:lvlText w:val="%1"/>
      <w:numFmt w:val="decimal"/>
      <w:start w:val="10"/>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1)"/>
      <w:numFmt w:val="decimal"/>
      <w:start w:val="1"/>
    </w:lvl>
  </w:abstractNum>
  <w:abstractNum w:abstractNumId="129">
    <w:nsid w:val="2157F6BC"/>
    <w:multiLevelType w:val="hybridMultilevel"/>
    <w:lvl w:ilvl="0">
      <w:lvlJc w:val="left"/>
      <w:lvlText w:val="(%1)"/>
      <w:numFmt w:val="decimal"/>
      <w:start w:val="1"/>
    </w:lvl>
  </w:abstractNum>
  <w:abstractNum w:abstractNumId="130">
    <w:nsid w:val="704E1DD5"/>
    <w:multiLevelType w:val="hybridMultilevel"/>
    <w:lvl w:ilvl="0">
      <w:lvlJc w:val="left"/>
      <w:lvlText w:val="(%1)"/>
      <w:numFmt w:val="lowerRoman"/>
      <w:start w:val="2"/>
    </w:lvl>
  </w:abstractNum>
  <w:abstractNum w:abstractNumId="131">
    <w:nsid w:val="57D2F10E"/>
    <w:multiLevelType w:val="hybridMultilevel"/>
    <w:lvl w:ilvl="0">
      <w:lvlJc w:val="left"/>
      <w:lvlText w:val="(%1)"/>
      <w:numFmt w:val="decimal"/>
      <w:start w:val="1"/>
    </w:lvl>
  </w:abstractNum>
  <w:abstractNum w:abstractNumId="132">
    <w:nsid w:val="BFFAE18"/>
    <w:multiLevelType w:val="hybridMultilevel"/>
    <w:lvl w:ilvl="0">
      <w:lvlJc w:val="left"/>
      <w:lvlText w:val="(%1)"/>
      <w:numFmt w:val="lowerRoman"/>
      <w:start w:val="1"/>
    </w:lvl>
  </w:abstractNum>
  <w:abstractNum w:abstractNumId="133">
    <w:nsid w:val="E3E47A8"/>
    <w:multiLevelType w:val="hybridMultilevel"/>
    <w:lvl w:ilvl="0">
      <w:lvlJc w:val="left"/>
      <w:lvlText w:val="(%1)"/>
      <w:numFmt w:val="lowerRoman"/>
      <w:start w:val="1"/>
    </w:lvl>
  </w:abstractNum>
  <w:abstractNum w:abstractNumId="134">
    <w:nsid w:val="2E48F044"/>
    <w:multiLevelType w:val="hybridMultilevel"/>
    <w:lvl w:ilvl="0">
      <w:lvlJc w:val="left"/>
      <w:lvlText w:val="(%1)"/>
      <w:numFmt w:val="lowerLetter"/>
      <w:start w:val="2"/>
    </w:lvl>
  </w:abstractNum>
  <w:abstractNum w:abstractNumId="135">
    <w:nsid w:val="49D0FEAC"/>
    <w:multiLevelType w:val="hybridMultilevel"/>
    <w:lvl w:ilvl="0">
      <w:lvlJc w:val="left"/>
      <w:lvlText w:val="%1."/>
      <w:numFmt w:val="decimal"/>
      <w:start w:val="1"/>
    </w:lvl>
  </w:abstractNum>
  <w:abstractNum w:abstractNumId="136">
    <w:nsid w:val="4BEE5A5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2026-03-26T08:04:06Z</dcterms:created>
  <dcterms:modified xsi:type="dcterms:W3CDTF">2026-03-26T08:04:06Z</dcterms:modified>
</cp:coreProperties>
</file>