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ind w:left="640"/>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left="640"/>
        <w:spacing w:after="0"/>
        <w:rPr>
          <w:sz w:val="20"/>
          <w:szCs w:val="20"/>
          <w:color w:val="auto"/>
        </w:rPr>
      </w:pPr>
      <w:r>
        <w:rPr>
          <w:rFonts w:ascii="Arial" w:cs="Arial" w:eastAsia="Arial" w:hAnsi="Arial"/>
          <w:sz w:val="22"/>
          <w:szCs w:val="22"/>
          <w:b w:val="1"/>
          <w:bCs w:val="1"/>
          <w:color w:val="auto"/>
        </w:rPr>
        <w:t>WASHINGTON, D.C. 20549</w:t>
      </w:r>
    </w:p>
    <w:p>
      <w:pPr>
        <w:ind w:left="4820"/>
        <w:spacing w:after="0"/>
        <w:rPr>
          <w:sz w:val="20"/>
          <w:szCs w:val="20"/>
          <w:color w:val="auto"/>
        </w:rPr>
      </w:pPr>
      <w:r>
        <w:rPr>
          <w:rFonts w:ascii="Arial" w:cs="Arial" w:eastAsia="Arial" w:hAnsi="Arial"/>
          <w:sz w:val="18"/>
          <w:szCs w:val="18"/>
          <w:color w:val="auto"/>
        </w:rPr>
        <w:t>_________________________</w:t>
      </w:r>
    </w:p>
    <w:p>
      <w:pPr>
        <w:spacing w:after="0" w:line="34" w:lineRule="exact"/>
        <w:rPr>
          <w:sz w:val="24"/>
          <w:szCs w:val="24"/>
          <w:color w:val="auto"/>
        </w:rPr>
      </w:pPr>
    </w:p>
    <w:p>
      <w:pPr>
        <w:jc w:val="center"/>
        <w:ind w:left="640"/>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4780"/>
        <w:spacing w:after="0"/>
        <w:rPr>
          <w:sz w:val="20"/>
          <w:szCs w:val="20"/>
          <w:color w:val="auto"/>
        </w:rPr>
      </w:pPr>
      <w:r>
        <w:rPr>
          <w:rFonts w:ascii="Arial" w:cs="Arial" w:eastAsia="Arial" w:hAnsi="Arial"/>
          <w:sz w:val="11"/>
          <w:szCs w:val="11"/>
          <w:color w:val="auto"/>
        </w:rPr>
        <w:t>___________________________________________</w:t>
      </w:r>
    </w:p>
    <w:p>
      <w:pPr>
        <w:spacing w:after="0" w:line="3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(Mark One)</w:t>
      </w:r>
    </w:p>
    <w:p>
      <w:pPr>
        <w:spacing w:after="0" w:line="13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ind w:left="640"/>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63" w:lineRule="exact"/>
        <w:rPr>
          <w:sz w:val="24"/>
          <w:szCs w:val="24"/>
          <w:color w:val="auto"/>
        </w:rPr>
      </w:pPr>
    </w:p>
    <w:p>
      <w:pPr>
        <w:jc w:val="center"/>
        <w:ind w:left="640"/>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1" w:lineRule="exact"/>
        <w:rPr>
          <w:sz w:val="24"/>
          <w:szCs w:val="24"/>
          <w:color w:val="auto"/>
        </w:rPr>
      </w:pPr>
    </w:p>
    <w:p>
      <w:pPr>
        <w:ind w:left="3740"/>
        <w:spacing w:after="0"/>
        <w:tabs>
          <w:tab w:leader="none" w:pos="70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3882390</wp:posOffset>
            </wp:positionH>
            <wp:positionV relativeFrom="paragraph">
              <wp:posOffset>-7620</wp:posOffset>
            </wp:positionV>
            <wp:extent cx="1294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43" w:lineRule="exact"/>
        <w:rPr>
          <w:sz w:val="24"/>
          <w:szCs w:val="24"/>
          <w:color w:val="auto"/>
        </w:rPr>
      </w:pPr>
    </w:p>
    <w:p>
      <w:pPr>
        <w:jc w:val="center"/>
        <w:ind w:left="640"/>
        <w:spacing w:after="0"/>
        <w:rPr>
          <w:sz w:val="20"/>
          <w:szCs w:val="20"/>
          <w:color w:val="auto"/>
        </w:rPr>
      </w:pPr>
      <w:r>
        <w:rPr>
          <w:rFonts w:ascii="Arial" w:cs="Arial" w:eastAsia="Arial" w:hAnsi="Arial"/>
          <w:sz w:val="18"/>
          <w:szCs w:val="18"/>
          <w:b w:val="1"/>
          <w:bCs w:val="1"/>
          <w:color w:val="auto"/>
        </w:rPr>
        <w:t>Commission file number 001-35219</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_________________________</w:t>
      </w:r>
    </w:p>
    <w:p>
      <w:pPr>
        <w:spacing w:after="0" w:line="33" w:lineRule="exact"/>
        <w:rPr>
          <w:sz w:val="24"/>
          <w:szCs w:val="24"/>
          <w:color w:val="auto"/>
        </w:rPr>
      </w:pPr>
    </w:p>
    <w:p>
      <w:pPr>
        <w:jc w:val="center"/>
        <w:ind w:left="640"/>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50" w:lineRule="exact"/>
        <w:rPr>
          <w:sz w:val="24"/>
          <w:szCs w:val="24"/>
          <w:color w:val="auto"/>
        </w:rPr>
      </w:pPr>
    </w:p>
    <w:p>
      <w:pPr>
        <w:jc w:val="center"/>
        <w:ind w:left="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_________________________</w:t>
      </w:r>
    </w:p>
    <w:p>
      <w:pPr>
        <w:spacing w:after="0" w:line="112" w:lineRule="exact"/>
        <w:rPr>
          <w:sz w:val="24"/>
          <w:szCs w:val="24"/>
          <w:color w:val="auto"/>
        </w:rPr>
      </w:pPr>
    </w:p>
    <w:tbl>
      <w:tblPr>
        <w:tblLayout w:type="fixed"/>
        <w:tblInd w:w="2000" w:type="dxa"/>
        <w:tblCellMar>
          <w:top w:w="0" w:type="dxa"/>
          <w:left w:w="0" w:type="dxa"/>
          <w:bottom w:w="0" w:type="dxa"/>
          <w:right w:w="0" w:type="dxa"/>
        </w:tblCellMar>
      </w:tblPr>
      <w:tr>
        <w:trPr>
          <w:trHeight w:val="234"/>
        </w:trPr>
        <w:tc>
          <w:tcPr>
            <w:tcW w:w="4160" w:type="dxa"/>
            <w:vAlign w:val="bottom"/>
          </w:tcPr>
          <w:p>
            <w:pPr>
              <w:jc w:val="center"/>
              <w:ind w:right="1121"/>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jc w:val="right"/>
              <w:ind w:right="61"/>
              <w:spacing w:after="0"/>
              <w:rPr>
                <w:sz w:val="20"/>
                <w:szCs w:val="20"/>
                <w:color w:val="auto"/>
              </w:rPr>
            </w:pPr>
            <w:r>
              <w:rPr>
                <w:rFonts w:ascii="Arial" w:cs="Arial" w:eastAsia="Arial" w:hAnsi="Arial"/>
                <w:sz w:val="18"/>
                <w:szCs w:val="18"/>
                <w:b w:val="1"/>
                <w:bCs w:val="1"/>
                <w:color w:val="auto"/>
              </w:rPr>
              <w:t>45-2598330</w:t>
            </w:r>
          </w:p>
        </w:tc>
      </w:tr>
      <w:tr>
        <w:trPr>
          <w:trHeight w:val="216"/>
        </w:trPr>
        <w:tc>
          <w:tcPr>
            <w:tcW w:w="4160" w:type="dxa"/>
            <w:vAlign w:val="bottom"/>
          </w:tcPr>
          <w:p>
            <w:pPr>
              <w:jc w:val="center"/>
              <w:ind w:right="1121"/>
              <w:spacing w:after="0"/>
              <w:rPr>
                <w:sz w:val="20"/>
                <w:szCs w:val="20"/>
                <w:color w:val="auto"/>
              </w:rPr>
            </w:pPr>
            <w:r>
              <w:rPr>
                <w:rFonts w:ascii="Arial" w:cs="Arial" w:eastAsia="Arial" w:hAnsi="Arial"/>
                <w:sz w:val="14"/>
                <w:szCs w:val="14"/>
                <w:b w:val="1"/>
                <w:bCs w:val="1"/>
                <w:color w:val="auto"/>
                <w:w w:val="93"/>
              </w:rPr>
              <w:t>(State or other jurisdiction of</w:t>
            </w:r>
          </w:p>
        </w:tc>
        <w:tc>
          <w:tcPr>
            <w:tcW w:w="2400" w:type="dxa"/>
            <w:vAlign w:val="bottom"/>
          </w:tcPr>
          <w:p>
            <w:pPr>
              <w:jc w:val="center"/>
              <w:ind w:left="12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1121"/>
              <w:spacing w:after="0"/>
              <w:rPr>
                <w:sz w:val="20"/>
                <w:szCs w:val="20"/>
                <w:color w:val="auto"/>
              </w:rPr>
            </w:pPr>
            <w:r>
              <w:rPr>
                <w:rFonts w:ascii="Arial" w:cs="Arial" w:eastAsia="Arial" w:hAnsi="Arial"/>
                <w:sz w:val="14"/>
                <w:szCs w:val="14"/>
                <w:b w:val="1"/>
                <w:bCs w:val="1"/>
                <w:color w:val="auto"/>
                <w:w w:val="94"/>
              </w:rPr>
              <w:t>incorporation or organization)</w:t>
            </w:r>
          </w:p>
        </w:tc>
        <w:tc>
          <w:tcPr>
            <w:tcW w:w="2400" w:type="dxa"/>
            <w:vAlign w:val="bottom"/>
          </w:tcPr>
          <w:p>
            <w:pPr>
              <w:jc w:val="center"/>
              <w:ind w:left="1181"/>
              <w:spacing w:after="0"/>
              <w:rPr>
                <w:sz w:val="20"/>
                <w:szCs w:val="20"/>
                <w:color w:val="auto"/>
              </w:rPr>
            </w:pPr>
            <w:r>
              <w:rPr>
                <w:rFonts w:ascii="Arial" w:cs="Arial" w:eastAsia="Arial" w:hAnsi="Arial"/>
                <w:sz w:val="14"/>
                <w:szCs w:val="14"/>
                <w:b w:val="1"/>
                <w:bCs w:val="1"/>
                <w:color w:val="auto"/>
                <w:w w:val="96"/>
              </w:rPr>
              <w:t>Identification No.)</w:t>
            </w:r>
          </w:p>
        </w:tc>
      </w:tr>
      <w:tr>
        <w:trPr>
          <w:trHeight w:val="250"/>
        </w:trPr>
        <w:tc>
          <w:tcPr>
            <w:tcW w:w="4160" w:type="dxa"/>
            <w:vAlign w:val="bottom"/>
          </w:tcPr>
          <w:p>
            <w:pPr>
              <w:spacing w:after="0"/>
              <w:rPr>
                <w:sz w:val="20"/>
                <w:szCs w:val="20"/>
                <w:color w:val="auto"/>
              </w:rPr>
            </w:pPr>
            <w:r>
              <w:rPr>
                <w:rFonts w:ascii="Arial" w:cs="Arial" w:eastAsia="Arial" w:hAnsi="Arial"/>
                <w:sz w:val="18"/>
                <w:szCs w:val="18"/>
                <w:b w:val="1"/>
                <w:bCs w:val="1"/>
                <w:color w:val="auto"/>
              </w:rPr>
              <w:t>6649 Westwood Blvd.  Orlando  FL</w:t>
            </w:r>
          </w:p>
        </w:tc>
        <w:tc>
          <w:tcPr>
            <w:tcW w:w="2400" w:type="dxa"/>
            <w:vAlign w:val="bottom"/>
          </w:tcPr>
          <w:p>
            <w:pPr>
              <w:jc w:val="right"/>
              <w:ind w:right="261"/>
              <w:spacing w:after="0"/>
              <w:rPr>
                <w:sz w:val="20"/>
                <w:szCs w:val="20"/>
                <w:color w:val="auto"/>
              </w:rPr>
            </w:pPr>
            <w:r>
              <w:rPr>
                <w:rFonts w:ascii="Arial" w:cs="Arial" w:eastAsia="Arial" w:hAnsi="Arial"/>
                <w:sz w:val="18"/>
                <w:szCs w:val="18"/>
                <w:b w:val="1"/>
                <w:bCs w:val="1"/>
                <w:color w:val="auto"/>
              </w:rPr>
              <w:t>32821</w:t>
            </w:r>
          </w:p>
        </w:tc>
      </w:tr>
      <w:tr>
        <w:trPr>
          <w:trHeight w:val="186"/>
        </w:trPr>
        <w:tc>
          <w:tcPr>
            <w:tcW w:w="4160" w:type="dxa"/>
            <w:vAlign w:val="bottom"/>
          </w:tcPr>
          <w:p>
            <w:pPr>
              <w:jc w:val="center"/>
              <w:ind w:right="110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0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(Zip Code)</w:t>
            </w:r>
          </w:p>
        </w:tc>
      </w:tr>
    </w:tbl>
    <w:p>
      <w:pPr>
        <w:spacing w:after="0" w:line="115" w:lineRule="exact"/>
        <w:rPr>
          <w:sz w:val="24"/>
          <w:szCs w:val="24"/>
          <w:color w:val="auto"/>
        </w:rPr>
      </w:pPr>
    </w:p>
    <w:p>
      <w:pPr>
        <w:jc w:val="center"/>
        <w:ind w:left="640"/>
        <w:spacing w:after="0"/>
        <w:rPr>
          <w:sz w:val="20"/>
          <w:szCs w:val="20"/>
          <w:color w:val="auto"/>
        </w:rPr>
      </w:pPr>
      <w:r>
        <w:rPr>
          <w:rFonts w:ascii="Arial" w:cs="Arial" w:eastAsia="Arial" w:hAnsi="Arial"/>
          <w:sz w:val="18"/>
          <w:szCs w:val="18"/>
          <w:b w:val="1"/>
          <w:bCs w:val="1"/>
          <w:color w:val="auto"/>
        </w:rPr>
        <w:t>(407) 206-6000</w:t>
      </w:r>
    </w:p>
    <w:p>
      <w:pPr>
        <w:spacing w:after="0" w:line="59" w:lineRule="exact"/>
        <w:rPr>
          <w:sz w:val="24"/>
          <w:szCs w:val="24"/>
          <w:color w:val="auto"/>
        </w:rPr>
      </w:pPr>
    </w:p>
    <w:p>
      <w:pPr>
        <w:jc w:val="center"/>
        <w:ind w:left="64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5" w:lineRule="exact"/>
        <w:rPr>
          <w:sz w:val="24"/>
          <w:szCs w:val="24"/>
          <w:color w:val="auto"/>
        </w:rPr>
      </w:pPr>
    </w:p>
    <w:p>
      <w:pPr>
        <w:jc w:val="center"/>
        <w:ind w:left="64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60" w:lineRule="exact"/>
        <w:rPr>
          <w:sz w:val="24"/>
          <w:szCs w:val="24"/>
          <w:color w:val="auto"/>
        </w:rPr>
      </w:pPr>
    </w:p>
    <w:p>
      <w:pPr>
        <w:ind w:left="66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26" w:lineRule="exact"/>
        <w:rPr>
          <w:sz w:val="24"/>
          <w:szCs w:val="24"/>
          <w:color w:val="auto"/>
        </w:rPr>
      </w:pPr>
    </w:p>
    <w:tbl>
      <w:tblPr>
        <w:tblLayout w:type="fixed"/>
        <w:tblInd w:w="30" w:type="dxa"/>
        <w:tblCellMar>
          <w:top w:w="0" w:type="dxa"/>
          <w:left w:w="0" w:type="dxa"/>
          <w:bottom w:w="0" w:type="dxa"/>
          <w:right w:w="0" w:type="dxa"/>
        </w:tblCellMar>
      </w:tblPr>
      <w:tr>
        <w:trPr>
          <w:trHeight w:val="201"/>
        </w:trPr>
        <w:tc>
          <w:tcPr>
            <w:tcW w:w="3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1"/>
        </w:trPr>
        <w:tc>
          <w:tcPr>
            <w:tcW w:w="3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Common Stock, $0.01 Par Value</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VAC</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New York Stock Exchange</w:t>
            </w:r>
          </w:p>
        </w:tc>
      </w:tr>
    </w:tbl>
    <w:p>
      <w:pPr>
        <w:spacing w:after="0" w:line="144" w:lineRule="exact"/>
        <w:rPr>
          <w:sz w:val="24"/>
          <w:szCs w:val="24"/>
          <w:color w:val="auto"/>
        </w:rPr>
      </w:pPr>
    </w:p>
    <w:p>
      <w:pPr>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ind w:right="120"/>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5" w:lineRule="exact"/>
        <w:rPr>
          <w:sz w:val="24"/>
          <w:szCs w:val="24"/>
          <w:color w:val="auto"/>
        </w:rPr>
      </w:pPr>
    </w:p>
    <w:p>
      <w:pPr>
        <w:jc w:val="both"/>
        <w:ind w:right="14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6" w:lineRule="exact"/>
        <w:rPr>
          <w:sz w:val="24"/>
          <w:szCs w:val="24"/>
          <w:color w:val="auto"/>
        </w:rPr>
      </w:pPr>
    </w:p>
    <w:tbl>
      <w:tblPr>
        <w:tblLayout w:type="fixed"/>
        <w:tblInd w:w="500" w:type="dxa"/>
        <w:tblCellMar>
          <w:top w:w="0" w:type="dxa"/>
          <w:left w:w="0" w:type="dxa"/>
          <w:bottom w:w="0" w:type="dxa"/>
          <w:right w:w="0" w:type="dxa"/>
        </w:tblCellMar>
      </w:tblPr>
      <w:tr>
        <w:trPr>
          <w:trHeight w:val="209"/>
        </w:trPr>
        <w:tc>
          <w:tcPr>
            <w:tcW w:w="25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900" w:type="dxa"/>
            <w:vAlign w:val="bottom"/>
          </w:tcPr>
          <w:p>
            <w:pPr>
              <w:ind w:left="102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tcPr>
          <w:p>
            <w:pPr>
              <w:ind w:left="740"/>
              <w:spacing w:after="0"/>
              <w:rPr>
                <w:sz w:val="20"/>
                <w:szCs w:val="20"/>
                <w:color w:val="auto"/>
              </w:rPr>
            </w:pPr>
            <w:r>
              <w:rPr>
                <w:rFonts w:ascii="Arial" w:cs="Arial" w:eastAsia="Arial" w:hAnsi="Arial"/>
                <w:sz w:val="17"/>
                <w:szCs w:val="17"/>
                <w:color w:val="auto"/>
              </w:rPr>
              <w:t>Accelerated filer</w:t>
            </w:r>
          </w:p>
        </w:tc>
        <w:tc>
          <w:tcPr>
            <w:tcW w:w="102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0"/>
        </w:trPr>
        <w:tc>
          <w:tcPr>
            <w:tcW w:w="2540" w:type="dxa"/>
            <w:vAlign w:val="bottom"/>
          </w:tcPr>
          <w:p>
            <w:pPr>
              <w:spacing w:after="0"/>
              <w:rPr>
                <w:sz w:val="20"/>
                <w:szCs w:val="20"/>
                <w:color w:val="auto"/>
              </w:rPr>
            </w:pPr>
            <w:r>
              <w:rPr>
                <w:rFonts w:ascii="Arial" w:cs="Arial" w:eastAsia="Arial" w:hAnsi="Arial"/>
                <w:sz w:val="17"/>
                <w:szCs w:val="17"/>
                <w:color w:val="auto"/>
              </w:rPr>
              <w:t>Non-accelerated filer</w:t>
            </w:r>
          </w:p>
        </w:tc>
        <w:tc>
          <w:tcPr>
            <w:tcW w:w="1900" w:type="dxa"/>
            <w:vAlign w:val="bottom"/>
          </w:tcPr>
          <w:p>
            <w:pPr>
              <w:ind w:left="102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tcPr>
          <w:p>
            <w:pPr>
              <w:ind w:left="740"/>
              <w:spacing w:after="0"/>
              <w:rPr>
                <w:sz w:val="20"/>
                <w:szCs w:val="20"/>
                <w:color w:val="auto"/>
              </w:rPr>
            </w:pPr>
            <w:r>
              <w:rPr>
                <w:rFonts w:ascii="Arial" w:cs="Arial" w:eastAsia="Arial" w:hAnsi="Arial"/>
                <w:sz w:val="17"/>
                <w:szCs w:val="17"/>
                <w:color w:val="auto"/>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60" w:type="dxa"/>
            <w:vAlign w:val="bottom"/>
          </w:tcPr>
          <w:p>
            <w:pPr>
              <w:ind w:left="740"/>
              <w:spacing w:after="0"/>
              <w:rPr>
                <w:sz w:val="20"/>
                <w:szCs w:val="20"/>
                <w:color w:val="auto"/>
              </w:rPr>
            </w:pPr>
            <w:r>
              <w:rPr>
                <w:rFonts w:ascii="Arial" w:cs="Arial" w:eastAsia="Arial" w:hAnsi="Arial"/>
                <w:sz w:val="17"/>
                <w:szCs w:val="17"/>
                <w:color w:val="auto"/>
              </w:rPr>
              <w:t>Emerging growth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3" w:lineRule="exact"/>
        <w:rPr>
          <w:sz w:val="24"/>
          <w:szCs w:val="24"/>
          <w:color w:val="auto"/>
        </w:rPr>
      </w:pPr>
    </w:p>
    <w:p>
      <w:pPr>
        <w:ind w:right="216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r>
        <w:rPr>
          <w:rFonts w:ascii="Arial" w:cs="Arial" w:eastAsia="Arial" w:hAnsi="Arial"/>
          <w:sz w:val="15"/>
          <w:szCs w:val="15"/>
          <w:color w:val="auto"/>
        </w:rPr>
        <w:t xml:space="preserve"> The number of shares outstanding of the issuer’s common stock, par value $0.01 per share, as of November 3, 2020 was 41,062,766.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732155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106045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71755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1" w:name="page2"/>
    <w:bookmarkEnd w:id="1"/>
    <w:p>
      <w:pPr>
        <w:jc w:val="center"/>
        <w:ind w:left="6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FORM 10-Q TABLE OF CONTENTS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780" w:type="dxa"/>
            <w:vAlign w:val="bottom"/>
            <w:gridSpan w:val="2"/>
          </w:tcPr>
          <w:p>
            <w:pPr>
              <w:ind w:left="380"/>
              <w:spacing w:after="0"/>
              <w:rPr>
                <w:sz w:val="20"/>
                <w:szCs w:val="20"/>
                <w:color w:val="auto"/>
              </w:rPr>
            </w:pPr>
            <w:r>
              <w:rPr>
                <w:rFonts w:ascii="Arial" w:cs="Arial" w:eastAsia="Arial" w:hAnsi="Arial"/>
                <w:sz w:val="14"/>
                <w:szCs w:val="14"/>
                <w:b w:val="1"/>
                <w:bCs w:val="1"/>
                <w:color w:val="auto"/>
              </w:rPr>
              <w:t>Page</w:t>
            </w:r>
          </w:p>
        </w:tc>
      </w:tr>
      <w:tr>
        <w:trPr>
          <w:trHeight w:val="212"/>
        </w:trPr>
        <w:tc>
          <w:tcPr>
            <w:tcW w:w="1020" w:type="dxa"/>
            <w:vAlign w:val="bottom"/>
          </w:tcPr>
          <w:p>
            <w:pPr>
              <w:ind w:left="20"/>
              <w:spacing w:after="0"/>
              <w:rPr>
                <w:sz w:val="20"/>
                <w:szCs w:val="20"/>
                <w:color w:val="auto"/>
              </w:rPr>
            </w:pPr>
            <w:r>
              <w:rPr>
                <w:rFonts w:ascii="Arial" w:cs="Arial" w:eastAsia="Arial" w:hAnsi="Arial"/>
                <w:sz w:val="17"/>
                <w:szCs w:val="17"/>
                <w:b w:val="1"/>
                <w:bCs w:val="1"/>
                <w:color w:val="auto"/>
              </w:rPr>
              <w:t>Part I.</w:t>
            </w:r>
          </w:p>
        </w:tc>
        <w:tc>
          <w:tcPr>
            <w:tcW w:w="8440" w:type="dxa"/>
            <w:vAlign w:val="bottom"/>
            <w:gridSpan w:val="2"/>
          </w:tcPr>
          <w:p>
            <w:pPr>
              <w:ind w:left="200"/>
              <w:spacing w:after="0"/>
              <w:rPr>
                <w:rFonts w:ascii="Arial" w:cs="Arial" w:eastAsia="Arial" w:hAnsi="Arial"/>
                <w:sz w:val="17"/>
                <w:szCs w:val="17"/>
                <w:b w:val="1"/>
                <w:bCs w:val="1"/>
                <w:u w:val="single" w:color="auto"/>
                <w:color w:val="0000FF"/>
              </w:rPr>
            </w:pPr>
            <w:hyperlink w:anchor="page3">
              <w:r>
                <w:rPr>
                  <w:rFonts w:ascii="Arial" w:cs="Arial" w:eastAsia="Arial" w:hAnsi="Arial"/>
                  <w:sz w:val="17"/>
                  <w:szCs w:val="17"/>
                  <w:b w:val="1"/>
                  <w:bCs w:val="1"/>
                  <w:u w:val="single" w:color="auto"/>
                  <w:color w:val="0000FF"/>
                </w:rPr>
                <w:t>FINANCIAL INFORMATION</w:t>
              </w:r>
            </w:hyperlink>
          </w:p>
        </w:tc>
        <w:tc>
          <w:tcPr>
            <w:tcW w:w="1060" w:type="dxa"/>
            <w:vAlign w:val="bottom"/>
            <w:tcBorders>
              <w:top w:val="single" w:sz="8" w:color="auto"/>
            </w:tcBorders>
          </w:tcPr>
          <w:p>
            <w:pPr>
              <w:jc w:val="center"/>
              <w:spacing w:after="0"/>
              <w:rPr>
                <w:rFonts w:ascii="Arial" w:cs="Arial" w:eastAsia="Arial" w:hAnsi="Arial"/>
                <w:sz w:val="17"/>
                <w:szCs w:val="17"/>
                <w:u w:val="single" w:color="auto"/>
                <w:color w:val="0000FF"/>
              </w:rPr>
            </w:pPr>
            <w:hyperlink w:anchor="page3">
              <w:r>
                <w:rPr>
                  <w:rFonts w:ascii="Arial" w:cs="Arial" w:eastAsia="Arial" w:hAnsi="Arial"/>
                  <w:sz w:val="17"/>
                  <w:szCs w:val="17"/>
                  <w:u w:val="single" w:color="auto"/>
                  <w:color w:val="0000FF"/>
                </w:rPr>
                <w:t>1</w:t>
              </w:r>
            </w:hyperlink>
          </w:p>
        </w:tc>
        <w:tc>
          <w:tcPr>
            <w:tcW w:w="720" w:type="dxa"/>
            <w:vAlign w:val="bottom"/>
          </w:tcPr>
          <w:p>
            <w:pPr>
              <w:spacing w:after="0"/>
              <w:rPr>
                <w:sz w:val="18"/>
                <w:szCs w:val="18"/>
                <w:color w:val="auto"/>
              </w:rPr>
            </w:pPr>
          </w:p>
        </w:tc>
      </w:tr>
      <w:tr>
        <w:trPr>
          <w:trHeight w:val="216"/>
        </w:trPr>
        <w:tc>
          <w:tcPr>
            <w:tcW w:w="1020" w:type="dxa"/>
            <w:vAlign w:val="bottom"/>
          </w:tcPr>
          <w:p>
            <w:pPr>
              <w:ind w:left="220"/>
              <w:spacing w:after="0"/>
              <w:rPr>
                <w:sz w:val="20"/>
                <w:szCs w:val="20"/>
                <w:color w:val="auto"/>
              </w:rPr>
            </w:pPr>
            <w:r>
              <w:rPr>
                <w:rFonts w:ascii="Arial" w:cs="Arial" w:eastAsia="Arial" w:hAnsi="Arial"/>
                <w:sz w:val="17"/>
                <w:szCs w:val="17"/>
                <w:color w:val="auto"/>
              </w:rPr>
              <w:t>Item 1.</w:t>
            </w:r>
          </w:p>
        </w:tc>
        <w:tc>
          <w:tcPr>
            <w:tcW w:w="8440" w:type="dxa"/>
            <w:vAlign w:val="bottom"/>
            <w:gridSpan w:val="2"/>
          </w:tcPr>
          <w:p>
            <w:pPr>
              <w:ind w:left="400"/>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Financial Statements</w:t>
              </w:r>
            </w:hyperlink>
          </w:p>
        </w:tc>
        <w:tc>
          <w:tcPr>
            <w:tcW w:w="1060" w:type="dxa"/>
            <w:vAlign w:val="bottom"/>
          </w:tcPr>
          <w:p>
            <w:pPr>
              <w:jc w:val="cente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1</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40" w:type="dxa"/>
            <w:vAlign w:val="bottom"/>
            <w:gridSpan w:val="2"/>
          </w:tcPr>
          <w:p>
            <w:pPr>
              <w:ind w:left="640"/>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Interim Consolidated Statements of Income</w:t>
              </w:r>
            </w:hyperlink>
          </w:p>
        </w:tc>
        <w:tc>
          <w:tcPr>
            <w:tcW w:w="1060" w:type="dxa"/>
            <w:vAlign w:val="bottom"/>
          </w:tcPr>
          <w:p>
            <w:pPr>
              <w:jc w:val="cente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1</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40" w:type="dxa"/>
            <w:vAlign w:val="bottom"/>
            <w:gridSpan w:val="2"/>
          </w:tcPr>
          <w:p>
            <w:pPr>
              <w:ind w:left="640"/>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Interim Consolidated Statements of Comprehensive Income</w:t>
              </w:r>
            </w:hyperlink>
          </w:p>
        </w:tc>
        <w:tc>
          <w:tcPr>
            <w:tcW w:w="1060" w:type="dxa"/>
            <w:vAlign w:val="bottom"/>
          </w:tcPr>
          <w:p>
            <w:pPr>
              <w:jc w:val="cente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2</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40" w:type="dxa"/>
            <w:vAlign w:val="bottom"/>
            <w:gridSpan w:val="2"/>
          </w:tcPr>
          <w:p>
            <w:pPr>
              <w:ind w:left="640"/>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Interim Consolidated Balance Sheets</w:t>
              </w:r>
            </w:hyperlink>
          </w:p>
        </w:tc>
        <w:tc>
          <w:tcPr>
            <w:tcW w:w="1060" w:type="dxa"/>
            <w:vAlign w:val="bottom"/>
          </w:tcPr>
          <w:p>
            <w:pPr>
              <w:jc w:val="cente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3</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40" w:type="dxa"/>
            <w:vAlign w:val="bottom"/>
            <w:gridSpan w:val="2"/>
          </w:tcPr>
          <w:p>
            <w:pPr>
              <w:ind w:left="640"/>
              <w:spacing w:after="0"/>
              <w:rPr>
                <w:rFonts w:ascii="Arial" w:cs="Arial" w:eastAsia="Arial" w:hAnsi="Arial"/>
                <w:sz w:val="17"/>
                <w:szCs w:val="17"/>
                <w:u w:val="single" w:color="auto"/>
                <w:color w:val="0000FF"/>
              </w:rPr>
            </w:pPr>
            <w:hyperlink w:anchor="page6">
              <w:r>
                <w:rPr>
                  <w:rFonts w:ascii="Arial" w:cs="Arial" w:eastAsia="Arial" w:hAnsi="Arial"/>
                  <w:sz w:val="17"/>
                  <w:szCs w:val="17"/>
                  <w:u w:val="single" w:color="auto"/>
                  <w:color w:val="0000FF"/>
                </w:rPr>
                <w:t>Interim Consolidated Statements of Cash Flows</w:t>
              </w:r>
            </w:hyperlink>
          </w:p>
        </w:tc>
        <w:tc>
          <w:tcPr>
            <w:tcW w:w="1060" w:type="dxa"/>
            <w:vAlign w:val="bottom"/>
          </w:tcPr>
          <w:p>
            <w:pPr>
              <w:jc w:val="center"/>
              <w:spacing w:after="0"/>
              <w:rPr>
                <w:rFonts w:ascii="Arial" w:cs="Arial" w:eastAsia="Arial" w:hAnsi="Arial"/>
                <w:sz w:val="17"/>
                <w:szCs w:val="17"/>
                <w:u w:val="single" w:color="auto"/>
                <w:color w:val="0000FF"/>
              </w:rPr>
            </w:pPr>
            <w:hyperlink w:anchor="page6">
              <w:r>
                <w:rPr>
                  <w:rFonts w:ascii="Arial" w:cs="Arial" w:eastAsia="Arial" w:hAnsi="Arial"/>
                  <w:sz w:val="17"/>
                  <w:szCs w:val="17"/>
                  <w:u w:val="single" w:color="auto"/>
                  <w:color w:val="0000FF"/>
                </w:rPr>
                <w:t>4</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40" w:type="dxa"/>
            <w:vAlign w:val="bottom"/>
            <w:gridSpan w:val="2"/>
          </w:tcPr>
          <w:p>
            <w:pPr>
              <w:ind w:left="640"/>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Interim Consolidated Statements of Shareholders’ Equity</w:t>
              </w:r>
            </w:hyperlink>
          </w:p>
        </w:tc>
        <w:tc>
          <w:tcPr>
            <w:tcW w:w="1060" w:type="dxa"/>
            <w:vAlign w:val="bottom"/>
          </w:tcPr>
          <w:p>
            <w:pPr>
              <w:jc w:val="center"/>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6</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40" w:type="dxa"/>
            <w:vAlign w:val="bottom"/>
            <w:gridSpan w:val="2"/>
          </w:tcPr>
          <w:p>
            <w:pPr>
              <w:ind w:left="400"/>
              <w:spacing w:after="0"/>
              <w:rPr>
                <w:rFonts w:ascii="Arial" w:cs="Arial" w:eastAsia="Arial" w:hAnsi="Arial"/>
                <w:sz w:val="17"/>
                <w:szCs w:val="17"/>
                <w:u w:val="single" w:color="auto"/>
                <w:color w:val="0000FF"/>
              </w:rPr>
            </w:pPr>
            <w:hyperlink w:anchor="page10">
              <w:r>
                <w:rPr>
                  <w:rFonts w:ascii="Arial" w:cs="Arial" w:eastAsia="Arial" w:hAnsi="Arial"/>
                  <w:sz w:val="17"/>
                  <w:szCs w:val="17"/>
                  <w:u w:val="single" w:color="auto"/>
                  <w:color w:val="0000FF"/>
                </w:rPr>
                <w:t>Notes to Interim Consolidated Financial Statements</w:t>
              </w:r>
            </w:hyperlink>
          </w:p>
        </w:tc>
        <w:tc>
          <w:tcPr>
            <w:tcW w:w="1060" w:type="dxa"/>
            <w:vAlign w:val="bottom"/>
          </w:tcPr>
          <w:p>
            <w:pPr>
              <w:jc w:val="center"/>
              <w:spacing w:after="0"/>
              <w:rPr>
                <w:rFonts w:ascii="Arial" w:cs="Arial" w:eastAsia="Arial" w:hAnsi="Arial"/>
                <w:sz w:val="17"/>
                <w:szCs w:val="17"/>
                <w:u w:val="single" w:color="auto"/>
                <w:color w:val="0000FF"/>
              </w:rPr>
            </w:pPr>
            <w:hyperlink w:anchor="page10">
              <w:r>
                <w:rPr>
                  <w:rFonts w:ascii="Arial" w:cs="Arial" w:eastAsia="Arial" w:hAnsi="Arial"/>
                  <w:sz w:val="17"/>
                  <w:szCs w:val="17"/>
                  <w:u w:val="single" w:color="auto"/>
                  <w:color w:val="0000FF"/>
                </w:rPr>
                <w:t>8</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80" w:type="dxa"/>
            <w:vAlign w:val="bottom"/>
          </w:tcPr>
          <w:p>
            <w:pPr>
              <w:ind w:left="640"/>
              <w:spacing w:after="0"/>
              <w:rPr>
                <w:rFonts w:ascii="Arial" w:cs="Arial" w:eastAsia="Arial" w:hAnsi="Arial"/>
                <w:sz w:val="17"/>
                <w:szCs w:val="17"/>
                <w:u w:val="single" w:color="auto"/>
                <w:color w:val="0000FF"/>
                <w:w w:val="84"/>
              </w:rPr>
            </w:pPr>
            <w:hyperlink w:anchor="page11">
              <w:r>
                <w:rPr>
                  <w:rFonts w:ascii="Arial" w:cs="Arial" w:eastAsia="Arial" w:hAnsi="Arial"/>
                  <w:sz w:val="17"/>
                  <w:szCs w:val="17"/>
                  <w:u w:val="single" w:color="auto"/>
                  <w:color w:val="0000FF"/>
                  <w:w w:val="84"/>
                </w:rPr>
                <w:t>1.</w:t>
              </w:r>
            </w:hyperlink>
          </w:p>
        </w:tc>
        <w:tc>
          <w:tcPr>
            <w:tcW w:w="7660" w:type="dxa"/>
            <w:vAlign w:val="bottom"/>
          </w:tcPr>
          <w:p>
            <w:pPr>
              <w:ind w:left="40"/>
              <w:spacing w:after="0"/>
              <w:rPr>
                <w:rFonts w:ascii="Arial" w:cs="Arial" w:eastAsia="Arial" w:hAnsi="Arial"/>
                <w:sz w:val="17"/>
                <w:szCs w:val="17"/>
                <w:u w:val="single" w:color="auto"/>
                <w:color w:val="0000FF"/>
              </w:rPr>
            </w:pPr>
            <w:hyperlink w:anchor="page11">
              <w:r>
                <w:rPr>
                  <w:rFonts w:ascii="Arial" w:cs="Arial" w:eastAsia="Arial" w:hAnsi="Arial"/>
                  <w:sz w:val="17"/>
                  <w:szCs w:val="17"/>
                  <w:u w:val="single" w:color="auto"/>
                  <w:color w:val="0000FF"/>
                </w:rPr>
                <w:t>Basis of Presentation</w:t>
              </w:r>
            </w:hyperlink>
          </w:p>
        </w:tc>
        <w:tc>
          <w:tcPr>
            <w:tcW w:w="1060" w:type="dxa"/>
            <w:vAlign w:val="bottom"/>
          </w:tcPr>
          <w:p>
            <w:pPr>
              <w:jc w:val="center"/>
              <w:spacing w:after="0"/>
              <w:rPr>
                <w:rFonts w:ascii="Arial" w:cs="Arial" w:eastAsia="Arial" w:hAnsi="Arial"/>
                <w:sz w:val="17"/>
                <w:szCs w:val="17"/>
                <w:u w:val="single" w:color="auto"/>
                <w:color w:val="0000FF"/>
              </w:rPr>
            </w:pPr>
            <w:hyperlink w:anchor="page11">
              <w:r>
                <w:rPr>
                  <w:rFonts w:ascii="Arial" w:cs="Arial" w:eastAsia="Arial" w:hAnsi="Arial"/>
                  <w:sz w:val="17"/>
                  <w:szCs w:val="17"/>
                  <w:u w:val="single" w:color="auto"/>
                  <w:color w:val="0000FF"/>
                </w:rPr>
                <w:t>8</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80" w:type="dxa"/>
            <w:vAlign w:val="bottom"/>
          </w:tcPr>
          <w:p>
            <w:pPr>
              <w:ind w:left="640"/>
              <w:spacing w:after="0"/>
              <w:rPr>
                <w:rFonts w:ascii="Arial" w:cs="Arial" w:eastAsia="Arial" w:hAnsi="Arial"/>
                <w:sz w:val="17"/>
                <w:szCs w:val="17"/>
                <w:u w:val="single" w:color="auto"/>
                <w:color w:val="0000FF"/>
                <w:w w:val="84"/>
              </w:rPr>
            </w:pPr>
            <w:hyperlink w:anchor="page12">
              <w:r>
                <w:rPr>
                  <w:rFonts w:ascii="Arial" w:cs="Arial" w:eastAsia="Arial" w:hAnsi="Arial"/>
                  <w:sz w:val="17"/>
                  <w:szCs w:val="17"/>
                  <w:u w:val="single" w:color="auto"/>
                  <w:color w:val="0000FF"/>
                  <w:w w:val="84"/>
                </w:rPr>
                <w:t>2.</w:t>
              </w:r>
            </w:hyperlink>
          </w:p>
        </w:tc>
        <w:tc>
          <w:tcPr>
            <w:tcW w:w="7660" w:type="dxa"/>
            <w:vAlign w:val="bottom"/>
          </w:tcPr>
          <w:p>
            <w:pPr>
              <w:ind w:left="40"/>
              <w:spacing w:after="0"/>
              <w:rPr>
                <w:rFonts w:ascii="Arial" w:cs="Arial" w:eastAsia="Arial" w:hAnsi="Arial"/>
                <w:sz w:val="17"/>
                <w:szCs w:val="17"/>
                <w:u w:val="single" w:color="auto"/>
                <w:color w:val="0000FF"/>
              </w:rPr>
            </w:pPr>
            <w:hyperlink w:anchor="page12">
              <w:r>
                <w:rPr>
                  <w:rFonts w:ascii="Arial" w:cs="Arial" w:eastAsia="Arial" w:hAnsi="Arial"/>
                  <w:sz w:val="17"/>
                  <w:szCs w:val="17"/>
                  <w:u w:val="single" w:color="auto"/>
                  <w:color w:val="0000FF"/>
                </w:rPr>
                <w:t>Significant Accounting Policies and Recent Accounting Standards</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12">
              <w:r>
                <w:rPr>
                  <w:rFonts w:ascii="Arial" w:cs="Arial" w:eastAsia="Arial" w:hAnsi="Arial"/>
                  <w:sz w:val="17"/>
                  <w:szCs w:val="17"/>
                  <w:u w:val="single" w:color="auto"/>
                  <w:color w:val="0000FF"/>
                  <w:w w:val="94"/>
                </w:rPr>
                <w:t>10</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80" w:type="dxa"/>
            <w:vAlign w:val="bottom"/>
          </w:tcPr>
          <w:p>
            <w:pPr>
              <w:ind w:left="640"/>
              <w:spacing w:after="0"/>
              <w:rPr>
                <w:rFonts w:ascii="Arial" w:cs="Arial" w:eastAsia="Arial" w:hAnsi="Arial"/>
                <w:sz w:val="17"/>
                <w:szCs w:val="17"/>
                <w:u w:val="single" w:color="auto"/>
                <w:color w:val="0000FF"/>
                <w:w w:val="84"/>
              </w:rPr>
            </w:pPr>
            <w:hyperlink w:anchor="page14">
              <w:r>
                <w:rPr>
                  <w:rFonts w:ascii="Arial" w:cs="Arial" w:eastAsia="Arial" w:hAnsi="Arial"/>
                  <w:sz w:val="17"/>
                  <w:szCs w:val="17"/>
                  <w:u w:val="single" w:color="auto"/>
                  <w:color w:val="0000FF"/>
                  <w:w w:val="84"/>
                </w:rPr>
                <w:t>3.</w:t>
              </w:r>
            </w:hyperlink>
          </w:p>
        </w:tc>
        <w:tc>
          <w:tcPr>
            <w:tcW w:w="7660" w:type="dxa"/>
            <w:vAlign w:val="bottom"/>
          </w:tcPr>
          <w:p>
            <w:pPr>
              <w:ind w:left="40"/>
              <w:spacing w:after="0"/>
              <w:rPr>
                <w:rFonts w:ascii="Arial" w:cs="Arial" w:eastAsia="Arial" w:hAnsi="Arial"/>
                <w:sz w:val="17"/>
                <w:szCs w:val="17"/>
                <w:u w:val="single" w:color="auto"/>
                <w:color w:val="0000FF"/>
              </w:rPr>
            </w:pPr>
            <w:hyperlink w:anchor="page14">
              <w:r>
                <w:rPr>
                  <w:rFonts w:ascii="Arial" w:cs="Arial" w:eastAsia="Arial" w:hAnsi="Arial"/>
                  <w:sz w:val="17"/>
                  <w:szCs w:val="17"/>
                  <w:u w:val="single" w:color="auto"/>
                  <w:color w:val="0000FF"/>
                </w:rPr>
                <w:t>Acquisitions and Dispositions</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14">
              <w:r>
                <w:rPr>
                  <w:rFonts w:ascii="Arial" w:cs="Arial" w:eastAsia="Arial" w:hAnsi="Arial"/>
                  <w:sz w:val="17"/>
                  <w:szCs w:val="17"/>
                  <w:u w:val="single" w:color="auto"/>
                  <w:color w:val="0000FF"/>
                  <w:w w:val="94"/>
                </w:rPr>
                <w:t>11</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80" w:type="dxa"/>
            <w:vAlign w:val="bottom"/>
          </w:tcPr>
          <w:p>
            <w:pPr>
              <w:ind w:left="640"/>
              <w:spacing w:after="0"/>
              <w:rPr>
                <w:rFonts w:ascii="Arial" w:cs="Arial" w:eastAsia="Arial" w:hAnsi="Arial"/>
                <w:sz w:val="17"/>
                <w:szCs w:val="17"/>
                <w:u w:val="single" w:color="auto"/>
                <w:color w:val="0000FF"/>
                <w:w w:val="84"/>
              </w:rPr>
            </w:pPr>
            <w:hyperlink w:anchor="page15">
              <w:r>
                <w:rPr>
                  <w:rFonts w:ascii="Arial" w:cs="Arial" w:eastAsia="Arial" w:hAnsi="Arial"/>
                  <w:sz w:val="17"/>
                  <w:szCs w:val="17"/>
                  <w:u w:val="single" w:color="auto"/>
                  <w:color w:val="0000FF"/>
                  <w:w w:val="84"/>
                </w:rPr>
                <w:t>4.</w:t>
              </w:r>
            </w:hyperlink>
          </w:p>
        </w:tc>
        <w:tc>
          <w:tcPr>
            <w:tcW w:w="7660" w:type="dxa"/>
            <w:vAlign w:val="bottom"/>
          </w:tcPr>
          <w:p>
            <w:pPr>
              <w:ind w:left="40"/>
              <w:spacing w:after="0"/>
              <w:rPr>
                <w:rFonts w:ascii="Arial" w:cs="Arial" w:eastAsia="Arial" w:hAnsi="Arial"/>
                <w:sz w:val="17"/>
                <w:szCs w:val="17"/>
                <w:u w:val="single" w:color="auto"/>
                <w:color w:val="0000FF"/>
              </w:rPr>
            </w:pPr>
            <w:hyperlink w:anchor="page15">
              <w:r>
                <w:rPr>
                  <w:rFonts w:ascii="Arial" w:cs="Arial" w:eastAsia="Arial" w:hAnsi="Arial"/>
                  <w:sz w:val="17"/>
                  <w:szCs w:val="17"/>
                  <w:u w:val="single" w:color="auto"/>
                  <w:color w:val="0000FF"/>
                </w:rPr>
                <w:t>Revenue and Receivables</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15">
              <w:r>
                <w:rPr>
                  <w:rFonts w:ascii="Arial" w:cs="Arial" w:eastAsia="Arial" w:hAnsi="Arial"/>
                  <w:sz w:val="17"/>
                  <w:szCs w:val="17"/>
                  <w:u w:val="single" w:color="auto"/>
                  <w:color w:val="0000FF"/>
                  <w:w w:val="94"/>
                </w:rPr>
                <w:t>12</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80" w:type="dxa"/>
            <w:vAlign w:val="bottom"/>
          </w:tcPr>
          <w:p>
            <w:pPr>
              <w:ind w:left="640"/>
              <w:spacing w:after="0"/>
              <w:rPr>
                <w:rFonts w:ascii="Arial" w:cs="Arial" w:eastAsia="Arial" w:hAnsi="Arial"/>
                <w:sz w:val="17"/>
                <w:szCs w:val="17"/>
                <w:u w:val="single" w:color="auto"/>
                <w:color w:val="0000FF"/>
                <w:w w:val="84"/>
              </w:rPr>
            </w:pPr>
            <w:hyperlink w:anchor="page18">
              <w:r>
                <w:rPr>
                  <w:rFonts w:ascii="Arial" w:cs="Arial" w:eastAsia="Arial" w:hAnsi="Arial"/>
                  <w:sz w:val="17"/>
                  <w:szCs w:val="17"/>
                  <w:u w:val="single" w:color="auto"/>
                  <w:color w:val="0000FF"/>
                  <w:w w:val="84"/>
                </w:rPr>
                <w:t>5.</w:t>
              </w:r>
            </w:hyperlink>
          </w:p>
        </w:tc>
        <w:tc>
          <w:tcPr>
            <w:tcW w:w="7660" w:type="dxa"/>
            <w:vAlign w:val="bottom"/>
          </w:tcPr>
          <w:p>
            <w:pPr>
              <w:ind w:left="40"/>
              <w:spacing w:after="0"/>
              <w:rPr>
                <w:rFonts w:ascii="Arial" w:cs="Arial" w:eastAsia="Arial" w:hAnsi="Arial"/>
                <w:sz w:val="17"/>
                <w:szCs w:val="17"/>
                <w:u w:val="single" w:color="auto"/>
                <w:color w:val="0000FF"/>
              </w:rPr>
            </w:pPr>
            <w:hyperlink w:anchor="page18">
              <w:r>
                <w:rPr>
                  <w:rFonts w:ascii="Arial" w:cs="Arial" w:eastAsia="Arial" w:hAnsi="Arial"/>
                  <w:sz w:val="17"/>
                  <w:szCs w:val="17"/>
                  <w:u w:val="single" w:color="auto"/>
                  <w:color w:val="0000FF"/>
                </w:rPr>
                <w:t>Income Taxes</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18">
              <w:r>
                <w:rPr>
                  <w:rFonts w:ascii="Arial" w:cs="Arial" w:eastAsia="Arial" w:hAnsi="Arial"/>
                  <w:sz w:val="17"/>
                  <w:szCs w:val="17"/>
                  <w:u w:val="single" w:color="auto"/>
                  <w:color w:val="0000FF"/>
                  <w:w w:val="94"/>
                </w:rPr>
                <w:t>15</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80" w:type="dxa"/>
            <w:vAlign w:val="bottom"/>
          </w:tcPr>
          <w:p>
            <w:pPr>
              <w:ind w:left="640"/>
              <w:spacing w:after="0"/>
              <w:rPr>
                <w:rFonts w:ascii="Arial" w:cs="Arial" w:eastAsia="Arial" w:hAnsi="Arial"/>
                <w:sz w:val="17"/>
                <w:szCs w:val="17"/>
                <w:u w:val="single" w:color="auto"/>
                <w:color w:val="0000FF"/>
                <w:w w:val="84"/>
              </w:rPr>
            </w:pPr>
            <w:hyperlink w:anchor="page19">
              <w:r>
                <w:rPr>
                  <w:rFonts w:ascii="Arial" w:cs="Arial" w:eastAsia="Arial" w:hAnsi="Arial"/>
                  <w:sz w:val="17"/>
                  <w:szCs w:val="17"/>
                  <w:u w:val="single" w:color="auto"/>
                  <w:color w:val="0000FF"/>
                  <w:w w:val="84"/>
                </w:rPr>
                <w:t>6.</w:t>
              </w:r>
            </w:hyperlink>
          </w:p>
        </w:tc>
        <w:tc>
          <w:tcPr>
            <w:tcW w:w="7660" w:type="dxa"/>
            <w:vAlign w:val="bottom"/>
          </w:tcPr>
          <w:p>
            <w:pPr>
              <w:ind w:left="40"/>
              <w:spacing w:after="0"/>
              <w:rPr>
                <w:rFonts w:ascii="Arial" w:cs="Arial" w:eastAsia="Arial" w:hAnsi="Arial"/>
                <w:sz w:val="17"/>
                <w:szCs w:val="17"/>
                <w:u w:val="single" w:color="auto"/>
                <w:color w:val="0000FF"/>
              </w:rPr>
            </w:pPr>
            <w:hyperlink w:anchor="page19">
              <w:r>
                <w:rPr>
                  <w:rFonts w:ascii="Arial" w:cs="Arial" w:eastAsia="Arial" w:hAnsi="Arial"/>
                  <w:sz w:val="17"/>
                  <w:szCs w:val="17"/>
                  <w:u w:val="single" w:color="auto"/>
                  <w:color w:val="0000FF"/>
                </w:rPr>
                <w:t>Vacation Ownership Notes Receivable</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19">
              <w:r>
                <w:rPr>
                  <w:rFonts w:ascii="Arial" w:cs="Arial" w:eastAsia="Arial" w:hAnsi="Arial"/>
                  <w:sz w:val="17"/>
                  <w:szCs w:val="17"/>
                  <w:u w:val="single" w:color="auto"/>
                  <w:color w:val="0000FF"/>
                  <w:w w:val="94"/>
                </w:rPr>
                <w:t>16</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80" w:type="dxa"/>
            <w:vAlign w:val="bottom"/>
          </w:tcPr>
          <w:p>
            <w:pPr>
              <w:ind w:left="640"/>
              <w:spacing w:after="0"/>
              <w:rPr>
                <w:rFonts w:ascii="Arial" w:cs="Arial" w:eastAsia="Arial" w:hAnsi="Arial"/>
                <w:sz w:val="17"/>
                <w:szCs w:val="17"/>
                <w:u w:val="single" w:color="auto"/>
                <w:color w:val="0000FF"/>
                <w:w w:val="84"/>
              </w:rPr>
            </w:pPr>
            <w:hyperlink w:anchor="page25">
              <w:r>
                <w:rPr>
                  <w:rFonts w:ascii="Arial" w:cs="Arial" w:eastAsia="Arial" w:hAnsi="Arial"/>
                  <w:sz w:val="17"/>
                  <w:szCs w:val="17"/>
                  <w:u w:val="single" w:color="auto"/>
                  <w:color w:val="0000FF"/>
                  <w:w w:val="84"/>
                </w:rPr>
                <w:t>7.</w:t>
              </w:r>
            </w:hyperlink>
          </w:p>
        </w:tc>
        <w:tc>
          <w:tcPr>
            <w:tcW w:w="7660" w:type="dxa"/>
            <w:vAlign w:val="bottom"/>
          </w:tcPr>
          <w:p>
            <w:pPr>
              <w:ind w:left="40"/>
              <w:spacing w:after="0"/>
              <w:rPr>
                <w:rFonts w:ascii="Arial" w:cs="Arial" w:eastAsia="Arial" w:hAnsi="Arial"/>
                <w:sz w:val="17"/>
                <w:szCs w:val="17"/>
                <w:u w:val="single" w:color="auto"/>
                <w:color w:val="0000FF"/>
              </w:rPr>
            </w:pPr>
            <w:hyperlink w:anchor="page25">
              <w:r>
                <w:rPr>
                  <w:rFonts w:ascii="Arial" w:cs="Arial" w:eastAsia="Arial" w:hAnsi="Arial"/>
                  <w:sz w:val="17"/>
                  <w:szCs w:val="17"/>
                  <w:u w:val="single" w:color="auto"/>
                  <w:color w:val="0000FF"/>
                </w:rPr>
                <w:t>Financial Instruments</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25">
              <w:r>
                <w:rPr>
                  <w:rFonts w:ascii="Arial" w:cs="Arial" w:eastAsia="Arial" w:hAnsi="Arial"/>
                  <w:sz w:val="17"/>
                  <w:szCs w:val="17"/>
                  <w:u w:val="single" w:color="auto"/>
                  <w:color w:val="0000FF"/>
                  <w:w w:val="94"/>
                </w:rPr>
                <w:t>23</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80" w:type="dxa"/>
            <w:vAlign w:val="bottom"/>
          </w:tcPr>
          <w:p>
            <w:pPr>
              <w:ind w:left="640"/>
              <w:spacing w:after="0"/>
              <w:rPr>
                <w:rFonts w:ascii="Arial" w:cs="Arial" w:eastAsia="Arial" w:hAnsi="Arial"/>
                <w:sz w:val="17"/>
                <w:szCs w:val="17"/>
                <w:u w:val="single" w:color="auto"/>
                <w:color w:val="0000FF"/>
                <w:w w:val="84"/>
              </w:rPr>
            </w:pPr>
            <w:hyperlink w:anchor="page27">
              <w:r>
                <w:rPr>
                  <w:rFonts w:ascii="Arial" w:cs="Arial" w:eastAsia="Arial" w:hAnsi="Arial"/>
                  <w:sz w:val="17"/>
                  <w:szCs w:val="17"/>
                  <w:u w:val="single" w:color="auto"/>
                  <w:color w:val="0000FF"/>
                  <w:w w:val="84"/>
                </w:rPr>
                <w:t>8.</w:t>
              </w:r>
            </w:hyperlink>
          </w:p>
        </w:tc>
        <w:tc>
          <w:tcPr>
            <w:tcW w:w="7660" w:type="dxa"/>
            <w:vAlign w:val="bottom"/>
          </w:tcPr>
          <w:p>
            <w:pPr>
              <w:ind w:left="40"/>
              <w:spacing w:after="0"/>
              <w:rPr>
                <w:rFonts w:ascii="Arial" w:cs="Arial" w:eastAsia="Arial" w:hAnsi="Arial"/>
                <w:sz w:val="17"/>
                <w:szCs w:val="17"/>
                <w:u w:val="single" w:color="auto"/>
                <w:color w:val="0000FF"/>
              </w:rPr>
            </w:pPr>
            <w:hyperlink w:anchor="page27">
              <w:r>
                <w:rPr>
                  <w:rFonts w:ascii="Arial" w:cs="Arial" w:eastAsia="Arial" w:hAnsi="Arial"/>
                  <w:sz w:val="17"/>
                  <w:szCs w:val="17"/>
                  <w:u w:val="single" w:color="auto"/>
                  <w:color w:val="0000FF"/>
                </w:rPr>
                <w:t>Earnings Per Share</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27">
              <w:r>
                <w:rPr>
                  <w:rFonts w:ascii="Arial" w:cs="Arial" w:eastAsia="Arial" w:hAnsi="Arial"/>
                  <w:sz w:val="17"/>
                  <w:szCs w:val="17"/>
                  <w:u w:val="single" w:color="auto"/>
                  <w:color w:val="0000FF"/>
                  <w:w w:val="94"/>
                </w:rPr>
                <w:t>25</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80" w:type="dxa"/>
            <w:vAlign w:val="bottom"/>
          </w:tcPr>
          <w:p>
            <w:pPr>
              <w:ind w:left="640"/>
              <w:spacing w:after="0"/>
              <w:rPr>
                <w:rFonts w:ascii="Arial" w:cs="Arial" w:eastAsia="Arial" w:hAnsi="Arial"/>
                <w:sz w:val="17"/>
                <w:szCs w:val="17"/>
                <w:u w:val="single" w:color="auto"/>
                <w:color w:val="0000FF"/>
                <w:w w:val="84"/>
              </w:rPr>
            </w:pPr>
            <w:hyperlink w:anchor="page28">
              <w:r>
                <w:rPr>
                  <w:rFonts w:ascii="Arial" w:cs="Arial" w:eastAsia="Arial" w:hAnsi="Arial"/>
                  <w:sz w:val="17"/>
                  <w:szCs w:val="17"/>
                  <w:u w:val="single" w:color="auto"/>
                  <w:color w:val="0000FF"/>
                  <w:w w:val="84"/>
                </w:rPr>
                <w:t>9.</w:t>
              </w:r>
            </w:hyperlink>
          </w:p>
        </w:tc>
        <w:tc>
          <w:tcPr>
            <w:tcW w:w="7660" w:type="dxa"/>
            <w:vAlign w:val="bottom"/>
          </w:tcPr>
          <w:p>
            <w:pPr>
              <w:ind w:left="40"/>
              <w:spacing w:after="0"/>
              <w:rPr>
                <w:rFonts w:ascii="Arial" w:cs="Arial" w:eastAsia="Arial" w:hAnsi="Arial"/>
                <w:sz w:val="17"/>
                <w:szCs w:val="17"/>
                <w:u w:val="single" w:color="auto"/>
                <w:color w:val="0000FF"/>
              </w:rPr>
            </w:pPr>
            <w:hyperlink w:anchor="page28">
              <w:r>
                <w:rPr>
                  <w:rFonts w:ascii="Arial" w:cs="Arial" w:eastAsia="Arial" w:hAnsi="Arial"/>
                  <w:sz w:val="17"/>
                  <w:szCs w:val="17"/>
                  <w:u w:val="single" w:color="auto"/>
                  <w:color w:val="0000FF"/>
                </w:rPr>
                <w:t>Inventory</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28">
              <w:r>
                <w:rPr>
                  <w:rFonts w:ascii="Arial" w:cs="Arial" w:eastAsia="Arial" w:hAnsi="Arial"/>
                  <w:sz w:val="17"/>
                  <w:szCs w:val="17"/>
                  <w:u w:val="single" w:color="auto"/>
                  <w:color w:val="0000FF"/>
                  <w:w w:val="94"/>
                </w:rPr>
                <w:t>26</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40" w:type="dxa"/>
            <w:vAlign w:val="bottom"/>
            <w:gridSpan w:val="2"/>
          </w:tcPr>
          <w:p>
            <w:pPr>
              <w:ind w:left="640"/>
              <w:spacing w:after="0"/>
              <w:rPr>
                <w:rFonts w:ascii="Arial" w:cs="Arial" w:eastAsia="Arial" w:hAnsi="Arial"/>
                <w:sz w:val="17"/>
                <w:szCs w:val="17"/>
                <w:u w:val="single" w:color="auto"/>
                <w:color w:val="0000FF"/>
              </w:rPr>
            </w:pPr>
            <w:hyperlink w:anchor="page29">
              <w:r>
                <w:rPr>
                  <w:rFonts w:ascii="Arial" w:cs="Arial" w:eastAsia="Arial" w:hAnsi="Arial"/>
                  <w:sz w:val="17"/>
                  <w:szCs w:val="17"/>
                  <w:u w:val="single" w:color="auto"/>
                  <w:color w:val="0000FF"/>
                </w:rPr>
                <w:t>10. Goodwill and Intangibles</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29">
              <w:r>
                <w:rPr>
                  <w:rFonts w:ascii="Arial" w:cs="Arial" w:eastAsia="Arial" w:hAnsi="Arial"/>
                  <w:sz w:val="17"/>
                  <w:szCs w:val="17"/>
                  <w:u w:val="single" w:color="auto"/>
                  <w:color w:val="0000FF"/>
                  <w:w w:val="94"/>
                </w:rPr>
                <w:t>26</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40" w:type="dxa"/>
            <w:vAlign w:val="bottom"/>
            <w:gridSpan w:val="2"/>
          </w:tcPr>
          <w:p>
            <w:pPr>
              <w:ind w:left="640"/>
              <w:spacing w:after="0"/>
              <w:rPr>
                <w:rFonts w:ascii="Arial" w:cs="Arial" w:eastAsia="Arial" w:hAnsi="Arial"/>
                <w:sz w:val="17"/>
                <w:szCs w:val="17"/>
                <w:u w:val="single" w:color="auto"/>
                <w:color w:val="0000FF"/>
              </w:rPr>
            </w:pPr>
            <w:hyperlink w:anchor="page30">
              <w:r>
                <w:rPr>
                  <w:rFonts w:ascii="Arial" w:cs="Arial" w:eastAsia="Arial" w:hAnsi="Arial"/>
                  <w:sz w:val="17"/>
                  <w:szCs w:val="17"/>
                  <w:u w:val="single" w:color="auto"/>
                  <w:color w:val="0000FF"/>
                </w:rPr>
                <w:t>11. Contingencies and Commitments</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30">
              <w:r>
                <w:rPr>
                  <w:rFonts w:ascii="Arial" w:cs="Arial" w:eastAsia="Arial" w:hAnsi="Arial"/>
                  <w:sz w:val="17"/>
                  <w:szCs w:val="17"/>
                  <w:u w:val="single" w:color="auto"/>
                  <w:color w:val="0000FF"/>
                  <w:w w:val="94"/>
                </w:rPr>
                <w:t>27</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40" w:type="dxa"/>
            <w:vAlign w:val="bottom"/>
            <w:gridSpan w:val="2"/>
          </w:tcPr>
          <w:p>
            <w:pPr>
              <w:ind w:left="640"/>
              <w:spacing w:after="0"/>
              <w:rPr>
                <w:rFonts w:ascii="Arial" w:cs="Arial" w:eastAsia="Arial" w:hAnsi="Arial"/>
                <w:sz w:val="17"/>
                <w:szCs w:val="17"/>
                <w:u w:val="single" w:color="auto"/>
                <w:color w:val="0000FF"/>
              </w:rPr>
            </w:pPr>
            <w:hyperlink w:anchor="page33">
              <w:r>
                <w:rPr>
                  <w:rFonts w:ascii="Arial" w:cs="Arial" w:eastAsia="Arial" w:hAnsi="Arial"/>
                  <w:sz w:val="17"/>
                  <w:szCs w:val="17"/>
                  <w:u w:val="single" w:color="auto"/>
                  <w:color w:val="0000FF"/>
                </w:rPr>
                <w:t>12. Securitized Debt</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33">
              <w:r>
                <w:rPr>
                  <w:rFonts w:ascii="Arial" w:cs="Arial" w:eastAsia="Arial" w:hAnsi="Arial"/>
                  <w:sz w:val="17"/>
                  <w:szCs w:val="17"/>
                  <w:u w:val="single" w:color="auto"/>
                  <w:color w:val="0000FF"/>
                  <w:w w:val="94"/>
                </w:rPr>
                <w:t>30</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40" w:type="dxa"/>
            <w:vAlign w:val="bottom"/>
            <w:gridSpan w:val="2"/>
          </w:tcPr>
          <w:p>
            <w:pPr>
              <w:ind w:left="640"/>
              <w:spacing w:after="0"/>
              <w:rPr>
                <w:rFonts w:ascii="Arial" w:cs="Arial" w:eastAsia="Arial" w:hAnsi="Arial"/>
                <w:sz w:val="17"/>
                <w:szCs w:val="17"/>
                <w:u w:val="single" w:color="auto"/>
                <w:color w:val="0000FF"/>
              </w:rPr>
            </w:pPr>
            <w:hyperlink w:anchor="page34">
              <w:r>
                <w:rPr>
                  <w:rFonts w:ascii="Arial" w:cs="Arial" w:eastAsia="Arial" w:hAnsi="Arial"/>
                  <w:sz w:val="17"/>
                  <w:szCs w:val="17"/>
                  <w:u w:val="single" w:color="auto"/>
                  <w:color w:val="0000FF"/>
                </w:rPr>
                <w:t>13. Debt</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34">
              <w:r>
                <w:rPr>
                  <w:rFonts w:ascii="Arial" w:cs="Arial" w:eastAsia="Arial" w:hAnsi="Arial"/>
                  <w:sz w:val="17"/>
                  <w:szCs w:val="17"/>
                  <w:u w:val="single" w:color="auto"/>
                  <w:color w:val="0000FF"/>
                  <w:w w:val="94"/>
                </w:rPr>
                <w:t>32</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40" w:type="dxa"/>
            <w:vAlign w:val="bottom"/>
            <w:gridSpan w:val="2"/>
          </w:tcPr>
          <w:p>
            <w:pPr>
              <w:ind w:left="640"/>
              <w:spacing w:after="0"/>
              <w:rPr>
                <w:rFonts w:ascii="Arial" w:cs="Arial" w:eastAsia="Arial" w:hAnsi="Arial"/>
                <w:sz w:val="17"/>
                <w:szCs w:val="17"/>
                <w:u w:val="single" w:color="auto"/>
                <w:color w:val="0000FF"/>
              </w:rPr>
            </w:pPr>
            <w:hyperlink w:anchor="page38">
              <w:r>
                <w:rPr>
                  <w:rFonts w:ascii="Arial" w:cs="Arial" w:eastAsia="Arial" w:hAnsi="Arial"/>
                  <w:sz w:val="17"/>
                  <w:szCs w:val="17"/>
                  <w:u w:val="single" w:color="auto"/>
                  <w:color w:val="0000FF"/>
                </w:rPr>
                <w:t>14. Shareholders’ Equity</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38">
              <w:r>
                <w:rPr>
                  <w:rFonts w:ascii="Arial" w:cs="Arial" w:eastAsia="Arial" w:hAnsi="Arial"/>
                  <w:sz w:val="17"/>
                  <w:szCs w:val="17"/>
                  <w:u w:val="single" w:color="auto"/>
                  <w:color w:val="0000FF"/>
                  <w:w w:val="94"/>
                </w:rPr>
                <w:t>35</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40" w:type="dxa"/>
            <w:vAlign w:val="bottom"/>
            <w:gridSpan w:val="2"/>
          </w:tcPr>
          <w:p>
            <w:pPr>
              <w:ind w:left="640"/>
              <w:spacing w:after="0"/>
              <w:rPr>
                <w:rFonts w:ascii="Arial" w:cs="Arial" w:eastAsia="Arial" w:hAnsi="Arial"/>
                <w:sz w:val="17"/>
                <w:szCs w:val="17"/>
                <w:u w:val="single" w:color="auto"/>
                <w:color w:val="0000FF"/>
              </w:rPr>
            </w:pPr>
            <w:hyperlink w:anchor="page39">
              <w:r>
                <w:rPr>
                  <w:rFonts w:ascii="Arial" w:cs="Arial" w:eastAsia="Arial" w:hAnsi="Arial"/>
                  <w:sz w:val="17"/>
                  <w:szCs w:val="17"/>
                  <w:u w:val="single" w:color="auto"/>
                  <w:color w:val="0000FF"/>
                </w:rPr>
                <w:t>15. Share-Based Compensation</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39">
              <w:r>
                <w:rPr>
                  <w:rFonts w:ascii="Arial" w:cs="Arial" w:eastAsia="Arial" w:hAnsi="Arial"/>
                  <w:sz w:val="17"/>
                  <w:szCs w:val="17"/>
                  <w:u w:val="single" w:color="auto"/>
                  <w:color w:val="0000FF"/>
                  <w:w w:val="94"/>
                </w:rPr>
                <w:t>36</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40" w:type="dxa"/>
            <w:vAlign w:val="bottom"/>
            <w:gridSpan w:val="2"/>
          </w:tcPr>
          <w:p>
            <w:pPr>
              <w:ind w:left="640"/>
              <w:spacing w:after="0"/>
              <w:rPr>
                <w:rFonts w:ascii="Arial" w:cs="Arial" w:eastAsia="Arial" w:hAnsi="Arial"/>
                <w:sz w:val="17"/>
                <w:szCs w:val="17"/>
                <w:u w:val="single" w:color="auto"/>
                <w:color w:val="0000FF"/>
              </w:rPr>
            </w:pPr>
            <w:hyperlink w:anchor="page40">
              <w:r>
                <w:rPr>
                  <w:rFonts w:ascii="Arial" w:cs="Arial" w:eastAsia="Arial" w:hAnsi="Arial"/>
                  <w:sz w:val="17"/>
                  <w:szCs w:val="17"/>
                  <w:u w:val="single" w:color="auto"/>
                  <w:color w:val="0000FF"/>
                </w:rPr>
                <w:t>16. Variable Interest Entities</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40">
              <w:r>
                <w:rPr>
                  <w:rFonts w:ascii="Arial" w:cs="Arial" w:eastAsia="Arial" w:hAnsi="Arial"/>
                  <w:sz w:val="17"/>
                  <w:szCs w:val="17"/>
                  <w:u w:val="single" w:color="auto"/>
                  <w:color w:val="0000FF"/>
                  <w:w w:val="94"/>
                </w:rPr>
                <w:t>37</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40" w:type="dxa"/>
            <w:vAlign w:val="bottom"/>
            <w:gridSpan w:val="2"/>
          </w:tcPr>
          <w:p>
            <w:pPr>
              <w:ind w:left="640"/>
              <w:spacing w:after="0"/>
              <w:rPr>
                <w:rFonts w:ascii="Arial" w:cs="Arial" w:eastAsia="Arial" w:hAnsi="Arial"/>
                <w:sz w:val="17"/>
                <w:szCs w:val="17"/>
                <w:u w:val="single" w:color="auto"/>
                <w:color w:val="0000FF"/>
              </w:rPr>
            </w:pPr>
            <w:hyperlink w:anchor="page43">
              <w:r>
                <w:rPr>
                  <w:rFonts w:ascii="Arial" w:cs="Arial" w:eastAsia="Arial" w:hAnsi="Arial"/>
                  <w:sz w:val="17"/>
                  <w:szCs w:val="17"/>
                  <w:u w:val="single" w:color="auto"/>
                  <w:color w:val="0000FF"/>
                </w:rPr>
                <w:t>17. Business Segments</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43">
              <w:r>
                <w:rPr>
                  <w:rFonts w:ascii="Arial" w:cs="Arial" w:eastAsia="Arial" w:hAnsi="Arial"/>
                  <w:sz w:val="17"/>
                  <w:szCs w:val="17"/>
                  <w:u w:val="single" w:color="auto"/>
                  <w:color w:val="0000FF"/>
                  <w:w w:val="94"/>
                </w:rPr>
                <w:t>40</w:t>
              </w:r>
            </w:hyperlink>
          </w:p>
        </w:tc>
        <w:tc>
          <w:tcPr>
            <w:tcW w:w="720" w:type="dxa"/>
            <w:vAlign w:val="bottom"/>
          </w:tcPr>
          <w:p>
            <w:pPr>
              <w:spacing w:after="0"/>
              <w:rPr>
                <w:sz w:val="18"/>
                <w:szCs w:val="18"/>
                <w:color w:val="auto"/>
              </w:rPr>
            </w:pPr>
          </w:p>
        </w:tc>
      </w:tr>
      <w:tr>
        <w:trPr>
          <w:trHeight w:val="216"/>
        </w:trPr>
        <w:tc>
          <w:tcPr>
            <w:tcW w:w="1020" w:type="dxa"/>
            <w:vAlign w:val="bottom"/>
          </w:tcPr>
          <w:p>
            <w:pPr>
              <w:ind w:left="220"/>
              <w:spacing w:after="0"/>
              <w:rPr>
                <w:sz w:val="20"/>
                <w:szCs w:val="20"/>
                <w:color w:val="auto"/>
              </w:rPr>
            </w:pPr>
            <w:r>
              <w:rPr>
                <w:rFonts w:ascii="Arial" w:cs="Arial" w:eastAsia="Arial" w:hAnsi="Arial"/>
                <w:sz w:val="17"/>
                <w:szCs w:val="17"/>
                <w:color w:val="auto"/>
              </w:rPr>
              <w:t>Item 2.</w:t>
            </w:r>
          </w:p>
        </w:tc>
        <w:tc>
          <w:tcPr>
            <w:tcW w:w="8440" w:type="dxa"/>
            <w:vAlign w:val="bottom"/>
            <w:gridSpan w:val="2"/>
          </w:tcPr>
          <w:p>
            <w:pPr>
              <w:ind w:left="400"/>
              <w:spacing w:after="0"/>
              <w:rPr>
                <w:rFonts w:ascii="Arial" w:cs="Arial" w:eastAsia="Arial" w:hAnsi="Arial"/>
                <w:sz w:val="17"/>
                <w:szCs w:val="17"/>
                <w:u w:val="single" w:color="auto"/>
                <w:color w:val="0000FF"/>
              </w:rPr>
            </w:pPr>
            <w:hyperlink w:anchor="page44">
              <w:r>
                <w:rPr>
                  <w:rFonts w:ascii="Arial" w:cs="Arial" w:eastAsia="Arial" w:hAnsi="Arial"/>
                  <w:sz w:val="17"/>
                  <w:szCs w:val="17"/>
                  <w:u w:val="single" w:color="auto"/>
                  <w:color w:val="0000FF"/>
                </w:rPr>
                <w:t>Management’s Discussion and Analysis of Financial Condition and Results of Operations</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44">
              <w:r>
                <w:rPr>
                  <w:rFonts w:ascii="Arial" w:cs="Arial" w:eastAsia="Arial" w:hAnsi="Arial"/>
                  <w:sz w:val="17"/>
                  <w:szCs w:val="17"/>
                  <w:u w:val="single" w:color="auto"/>
                  <w:color w:val="0000FF"/>
                  <w:w w:val="94"/>
                </w:rPr>
                <w:t>42</w:t>
              </w:r>
            </w:hyperlink>
          </w:p>
        </w:tc>
        <w:tc>
          <w:tcPr>
            <w:tcW w:w="720" w:type="dxa"/>
            <w:vAlign w:val="bottom"/>
          </w:tcPr>
          <w:p>
            <w:pPr>
              <w:spacing w:after="0"/>
              <w:rPr>
                <w:sz w:val="18"/>
                <w:szCs w:val="18"/>
                <w:color w:val="auto"/>
              </w:rPr>
            </w:pPr>
          </w:p>
        </w:tc>
      </w:tr>
      <w:tr>
        <w:trPr>
          <w:trHeight w:val="216"/>
        </w:trPr>
        <w:tc>
          <w:tcPr>
            <w:tcW w:w="1020" w:type="dxa"/>
            <w:vAlign w:val="bottom"/>
          </w:tcPr>
          <w:p>
            <w:pPr>
              <w:ind w:left="220"/>
              <w:spacing w:after="0"/>
              <w:rPr>
                <w:sz w:val="20"/>
                <w:szCs w:val="20"/>
                <w:color w:val="auto"/>
              </w:rPr>
            </w:pPr>
            <w:r>
              <w:rPr>
                <w:rFonts w:ascii="Arial" w:cs="Arial" w:eastAsia="Arial" w:hAnsi="Arial"/>
                <w:sz w:val="17"/>
                <w:szCs w:val="17"/>
                <w:color w:val="auto"/>
              </w:rPr>
              <w:t>Item 3.</w:t>
            </w:r>
          </w:p>
        </w:tc>
        <w:tc>
          <w:tcPr>
            <w:tcW w:w="8440" w:type="dxa"/>
            <w:vAlign w:val="bottom"/>
            <w:gridSpan w:val="2"/>
          </w:tcPr>
          <w:p>
            <w:pPr>
              <w:ind w:left="400"/>
              <w:spacing w:after="0"/>
              <w:rPr>
                <w:rFonts w:ascii="Arial" w:cs="Arial" w:eastAsia="Arial" w:hAnsi="Arial"/>
                <w:sz w:val="17"/>
                <w:szCs w:val="17"/>
                <w:u w:val="single" w:color="auto"/>
                <w:color w:val="0000FF"/>
              </w:rPr>
            </w:pPr>
            <w:hyperlink w:anchor="page80">
              <w:r>
                <w:rPr>
                  <w:rFonts w:ascii="Arial" w:cs="Arial" w:eastAsia="Arial" w:hAnsi="Arial"/>
                  <w:sz w:val="17"/>
                  <w:szCs w:val="17"/>
                  <w:u w:val="single" w:color="auto"/>
                  <w:color w:val="0000FF"/>
                </w:rPr>
                <w:t>Quantitative and Qualitative Disclosures About Market Risk</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80">
              <w:r>
                <w:rPr>
                  <w:rFonts w:ascii="Arial" w:cs="Arial" w:eastAsia="Arial" w:hAnsi="Arial"/>
                  <w:sz w:val="17"/>
                  <w:szCs w:val="17"/>
                  <w:u w:val="single" w:color="auto"/>
                  <w:color w:val="0000FF"/>
                  <w:w w:val="94"/>
                </w:rPr>
                <w:t>77</w:t>
              </w:r>
            </w:hyperlink>
          </w:p>
        </w:tc>
        <w:tc>
          <w:tcPr>
            <w:tcW w:w="720" w:type="dxa"/>
            <w:vAlign w:val="bottom"/>
          </w:tcPr>
          <w:p>
            <w:pPr>
              <w:spacing w:after="0"/>
              <w:rPr>
                <w:sz w:val="18"/>
                <w:szCs w:val="18"/>
                <w:color w:val="auto"/>
              </w:rPr>
            </w:pPr>
          </w:p>
        </w:tc>
      </w:tr>
      <w:tr>
        <w:trPr>
          <w:trHeight w:val="212"/>
        </w:trPr>
        <w:tc>
          <w:tcPr>
            <w:tcW w:w="1020" w:type="dxa"/>
            <w:vAlign w:val="bottom"/>
          </w:tcPr>
          <w:p>
            <w:pPr>
              <w:ind w:left="220"/>
              <w:spacing w:after="0"/>
              <w:rPr>
                <w:sz w:val="20"/>
                <w:szCs w:val="20"/>
                <w:color w:val="auto"/>
              </w:rPr>
            </w:pPr>
            <w:r>
              <w:rPr>
                <w:rFonts w:ascii="Arial" w:cs="Arial" w:eastAsia="Arial" w:hAnsi="Arial"/>
                <w:sz w:val="17"/>
                <w:szCs w:val="17"/>
                <w:color w:val="auto"/>
              </w:rPr>
              <w:t>Item 4.</w:t>
            </w:r>
          </w:p>
        </w:tc>
        <w:tc>
          <w:tcPr>
            <w:tcW w:w="8440" w:type="dxa"/>
            <w:vAlign w:val="bottom"/>
            <w:gridSpan w:val="2"/>
          </w:tcPr>
          <w:p>
            <w:pPr>
              <w:ind w:left="400"/>
              <w:spacing w:after="0"/>
              <w:rPr>
                <w:rFonts w:ascii="Arial" w:cs="Arial" w:eastAsia="Arial" w:hAnsi="Arial"/>
                <w:sz w:val="17"/>
                <w:szCs w:val="17"/>
                <w:u w:val="single" w:color="auto"/>
                <w:color w:val="0000FF"/>
              </w:rPr>
            </w:pPr>
            <w:hyperlink w:anchor="page80">
              <w:r>
                <w:rPr>
                  <w:rFonts w:ascii="Arial" w:cs="Arial" w:eastAsia="Arial" w:hAnsi="Arial"/>
                  <w:sz w:val="17"/>
                  <w:szCs w:val="17"/>
                  <w:u w:val="single" w:color="auto"/>
                  <w:color w:val="0000FF"/>
                </w:rPr>
                <w:t>Controls and Procedures</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80">
              <w:r>
                <w:rPr>
                  <w:rFonts w:ascii="Arial" w:cs="Arial" w:eastAsia="Arial" w:hAnsi="Arial"/>
                  <w:sz w:val="17"/>
                  <w:szCs w:val="17"/>
                  <w:u w:val="single" w:color="auto"/>
                  <w:color w:val="0000FF"/>
                  <w:w w:val="94"/>
                </w:rPr>
                <w:t>77</w:t>
              </w:r>
            </w:hyperlink>
          </w:p>
        </w:tc>
        <w:tc>
          <w:tcPr>
            <w:tcW w:w="720" w:type="dxa"/>
            <w:vAlign w:val="bottom"/>
          </w:tcPr>
          <w:p>
            <w:pPr>
              <w:spacing w:after="0"/>
              <w:rPr>
                <w:sz w:val="18"/>
                <w:szCs w:val="18"/>
                <w:color w:val="auto"/>
              </w:rPr>
            </w:pPr>
          </w:p>
        </w:tc>
      </w:tr>
      <w:tr>
        <w:trPr>
          <w:trHeight w:val="220"/>
        </w:trPr>
        <w:tc>
          <w:tcPr>
            <w:tcW w:w="1020" w:type="dxa"/>
            <w:vAlign w:val="bottom"/>
          </w:tcPr>
          <w:p>
            <w:pPr>
              <w:ind w:left="20"/>
              <w:spacing w:after="0"/>
              <w:rPr>
                <w:sz w:val="20"/>
                <w:szCs w:val="20"/>
                <w:color w:val="auto"/>
              </w:rPr>
            </w:pPr>
            <w:r>
              <w:rPr>
                <w:rFonts w:ascii="Arial" w:cs="Arial" w:eastAsia="Arial" w:hAnsi="Arial"/>
                <w:sz w:val="17"/>
                <w:szCs w:val="17"/>
                <w:b w:val="1"/>
                <w:bCs w:val="1"/>
                <w:color w:val="auto"/>
              </w:rPr>
              <w:t>Part II.</w:t>
            </w:r>
          </w:p>
        </w:tc>
        <w:tc>
          <w:tcPr>
            <w:tcW w:w="8440" w:type="dxa"/>
            <w:vAlign w:val="bottom"/>
            <w:gridSpan w:val="2"/>
          </w:tcPr>
          <w:p>
            <w:pPr>
              <w:ind w:left="200"/>
              <w:spacing w:after="0"/>
              <w:rPr>
                <w:rFonts w:ascii="Arial" w:cs="Arial" w:eastAsia="Arial" w:hAnsi="Arial"/>
                <w:sz w:val="17"/>
                <w:szCs w:val="17"/>
                <w:b w:val="1"/>
                <w:bCs w:val="1"/>
                <w:u w:val="single" w:color="auto"/>
                <w:color w:val="0000FF"/>
              </w:rPr>
            </w:pPr>
            <w:hyperlink w:anchor="page81">
              <w:r>
                <w:rPr>
                  <w:rFonts w:ascii="Arial" w:cs="Arial" w:eastAsia="Arial" w:hAnsi="Arial"/>
                  <w:sz w:val="17"/>
                  <w:szCs w:val="17"/>
                  <w:b w:val="1"/>
                  <w:bCs w:val="1"/>
                  <w:u w:val="single" w:color="auto"/>
                  <w:color w:val="0000FF"/>
                </w:rPr>
                <w:t>OTHER INFORMATION</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81">
              <w:r>
                <w:rPr>
                  <w:rFonts w:ascii="Arial" w:cs="Arial" w:eastAsia="Arial" w:hAnsi="Arial"/>
                  <w:sz w:val="17"/>
                  <w:szCs w:val="17"/>
                  <w:u w:val="single" w:color="auto"/>
                  <w:color w:val="0000FF"/>
                  <w:w w:val="94"/>
                </w:rPr>
                <w:t>78</w:t>
              </w:r>
            </w:hyperlink>
          </w:p>
        </w:tc>
        <w:tc>
          <w:tcPr>
            <w:tcW w:w="720" w:type="dxa"/>
            <w:vAlign w:val="bottom"/>
          </w:tcPr>
          <w:p>
            <w:pPr>
              <w:spacing w:after="0"/>
              <w:rPr>
                <w:sz w:val="19"/>
                <w:szCs w:val="19"/>
                <w:color w:val="auto"/>
              </w:rPr>
            </w:pPr>
          </w:p>
        </w:tc>
      </w:tr>
      <w:tr>
        <w:trPr>
          <w:trHeight w:val="216"/>
        </w:trPr>
        <w:tc>
          <w:tcPr>
            <w:tcW w:w="1020" w:type="dxa"/>
            <w:vAlign w:val="bottom"/>
          </w:tcPr>
          <w:p>
            <w:pPr>
              <w:ind w:left="220"/>
              <w:spacing w:after="0"/>
              <w:rPr>
                <w:sz w:val="20"/>
                <w:szCs w:val="20"/>
                <w:color w:val="auto"/>
              </w:rPr>
            </w:pPr>
            <w:r>
              <w:rPr>
                <w:rFonts w:ascii="Arial" w:cs="Arial" w:eastAsia="Arial" w:hAnsi="Arial"/>
                <w:sz w:val="17"/>
                <w:szCs w:val="17"/>
                <w:color w:val="auto"/>
              </w:rPr>
              <w:t>Item 1.</w:t>
            </w:r>
          </w:p>
        </w:tc>
        <w:tc>
          <w:tcPr>
            <w:tcW w:w="8440" w:type="dxa"/>
            <w:vAlign w:val="bottom"/>
            <w:gridSpan w:val="2"/>
          </w:tcPr>
          <w:p>
            <w:pPr>
              <w:ind w:left="400"/>
              <w:spacing w:after="0"/>
              <w:rPr>
                <w:rFonts w:ascii="Arial" w:cs="Arial" w:eastAsia="Arial" w:hAnsi="Arial"/>
                <w:sz w:val="17"/>
                <w:szCs w:val="17"/>
                <w:u w:val="single" w:color="auto"/>
                <w:color w:val="0000FF"/>
              </w:rPr>
            </w:pPr>
            <w:hyperlink w:anchor="page81">
              <w:r>
                <w:rPr>
                  <w:rFonts w:ascii="Arial" w:cs="Arial" w:eastAsia="Arial" w:hAnsi="Arial"/>
                  <w:sz w:val="17"/>
                  <w:szCs w:val="17"/>
                  <w:u w:val="single" w:color="auto"/>
                  <w:color w:val="0000FF"/>
                </w:rPr>
                <w:t>Legal Proceedings</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81">
              <w:r>
                <w:rPr>
                  <w:rFonts w:ascii="Arial" w:cs="Arial" w:eastAsia="Arial" w:hAnsi="Arial"/>
                  <w:sz w:val="17"/>
                  <w:szCs w:val="17"/>
                  <w:u w:val="single" w:color="auto"/>
                  <w:color w:val="0000FF"/>
                  <w:w w:val="94"/>
                </w:rPr>
                <w:t>78</w:t>
              </w:r>
            </w:hyperlink>
          </w:p>
        </w:tc>
        <w:tc>
          <w:tcPr>
            <w:tcW w:w="720" w:type="dxa"/>
            <w:vAlign w:val="bottom"/>
          </w:tcPr>
          <w:p>
            <w:pPr>
              <w:spacing w:after="0"/>
              <w:rPr>
                <w:sz w:val="18"/>
                <w:szCs w:val="18"/>
                <w:color w:val="auto"/>
              </w:rPr>
            </w:pPr>
          </w:p>
        </w:tc>
      </w:tr>
      <w:tr>
        <w:trPr>
          <w:trHeight w:val="216"/>
        </w:trPr>
        <w:tc>
          <w:tcPr>
            <w:tcW w:w="1020" w:type="dxa"/>
            <w:vAlign w:val="bottom"/>
          </w:tcPr>
          <w:p>
            <w:pPr>
              <w:ind w:left="220"/>
              <w:spacing w:after="0"/>
              <w:rPr>
                <w:sz w:val="20"/>
                <w:szCs w:val="20"/>
                <w:color w:val="auto"/>
              </w:rPr>
            </w:pPr>
            <w:r>
              <w:rPr>
                <w:rFonts w:ascii="Arial" w:cs="Arial" w:eastAsia="Arial" w:hAnsi="Arial"/>
                <w:sz w:val="17"/>
                <w:szCs w:val="17"/>
                <w:color w:val="auto"/>
              </w:rPr>
              <w:t>Item 1A.</w:t>
            </w:r>
          </w:p>
        </w:tc>
        <w:tc>
          <w:tcPr>
            <w:tcW w:w="8440" w:type="dxa"/>
            <w:vAlign w:val="bottom"/>
            <w:gridSpan w:val="2"/>
          </w:tcPr>
          <w:p>
            <w:pPr>
              <w:ind w:left="400"/>
              <w:spacing w:after="0"/>
              <w:rPr>
                <w:rFonts w:ascii="Arial" w:cs="Arial" w:eastAsia="Arial" w:hAnsi="Arial"/>
                <w:sz w:val="17"/>
                <w:szCs w:val="17"/>
                <w:u w:val="single" w:color="auto"/>
                <w:color w:val="0000FF"/>
              </w:rPr>
            </w:pPr>
            <w:hyperlink w:anchor="page81">
              <w:r>
                <w:rPr>
                  <w:rFonts w:ascii="Arial" w:cs="Arial" w:eastAsia="Arial" w:hAnsi="Arial"/>
                  <w:sz w:val="17"/>
                  <w:szCs w:val="17"/>
                  <w:u w:val="single" w:color="auto"/>
                  <w:color w:val="0000FF"/>
                </w:rPr>
                <w:t>Risk Factors</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81">
              <w:r>
                <w:rPr>
                  <w:rFonts w:ascii="Arial" w:cs="Arial" w:eastAsia="Arial" w:hAnsi="Arial"/>
                  <w:sz w:val="17"/>
                  <w:szCs w:val="17"/>
                  <w:u w:val="single" w:color="auto"/>
                  <w:color w:val="0000FF"/>
                  <w:w w:val="94"/>
                </w:rPr>
                <w:t>78</w:t>
              </w:r>
            </w:hyperlink>
          </w:p>
        </w:tc>
        <w:tc>
          <w:tcPr>
            <w:tcW w:w="720" w:type="dxa"/>
            <w:vAlign w:val="bottom"/>
          </w:tcPr>
          <w:p>
            <w:pPr>
              <w:spacing w:after="0"/>
              <w:rPr>
                <w:sz w:val="18"/>
                <w:szCs w:val="18"/>
                <w:color w:val="auto"/>
              </w:rPr>
            </w:pPr>
          </w:p>
        </w:tc>
      </w:tr>
      <w:tr>
        <w:trPr>
          <w:trHeight w:val="216"/>
        </w:trPr>
        <w:tc>
          <w:tcPr>
            <w:tcW w:w="1020" w:type="dxa"/>
            <w:vAlign w:val="bottom"/>
          </w:tcPr>
          <w:p>
            <w:pPr>
              <w:ind w:left="220"/>
              <w:spacing w:after="0"/>
              <w:rPr>
                <w:sz w:val="20"/>
                <w:szCs w:val="20"/>
                <w:color w:val="auto"/>
              </w:rPr>
            </w:pPr>
            <w:r>
              <w:rPr>
                <w:rFonts w:ascii="Arial" w:cs="Arial" w:eastAsia="Arial" w:hAnsi="Arial"/>
                <w:sz w:val="17"/>
                <w:szCs w:val="17"/>
                <w:color w:val="auto"/>
              </w:rPr>
              <w:t>Item 2.</w:t>
            </w:r>
          </w:p>
        </w:tc>
        <w:tc>
          <w:tcPr>
            <w:tcW w:w="8440" w:type="dxa"/>
            <w:vAlign w:val="bottom"/>
            <w:gridSpan w:val="2"/>
          </w:tcPr>
          <w:p>
            <w:pPr>
              <w:ind w:left="400"/>
              <w:spacing w:after="0"/>
              <w:rPr>
                <w:rFonts w:ascii="Arial" w:cs="Arial" w:eastAsia="Arial" w:hAnsi="Arial"/>
                <w:sz w:val="17"/>
                <w:szCs w:val="17"/>
                <w:u w:val="single" w:color="auto"/>
                <w:color w:val="0000FF"/>
              </w:rPr>
            </w:pPr>
            <w:hyperlink w:anchor="page81">
              <w:r>
                <w:rPr>
                  <w:rFonts w:ascii="Arial" w:cs="Arial" w:eastAsia="Arial" w:hAnsi="Arial"/>
                  <w:sz w:val="17"/>
                  <w:szCs w:val="17"/>
                  <w:u w:val="single" w:color="auto"/>
                  <w:color w:val="0000FF"/>
                </w:rPr>
                <w:t>Unregistered Sales of Equity Securities and Use of Proceeds</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81">
              <w:r>
                <w:rPr>
                  <w:rFonts w:ascii="Arial" w:cs="Arial" w:eastAsia="Arial" w:hAnsi="Arial"/>
                  <w:sz w:val="17"/>
                  <w:szCs w:val="17"/>
                  <w:u w:val="single" w:color="auto"/>
                  <w:color w:val="0000FF"/>
                  <w:w w:val="94"/>
                </w:rPr>
                <w:t>78</w:t>
              </w:r>
            </w:hyperlink>
          </w:p>
        </w:tc>
        <w:tc>
          <w:tcPr>
            <w:tcW w:w="720" w:type="dxa"/>
            <w:vAlign w:val="bottom"/>
          </w:tcPr>
          <w:p>
            <w:pPr>
              <w:spacing w:after="0"/>
              <w:rPr>
                <w:sz w:val="18"/>
                <w:szCs w:val="18"/>
                <w:color w:val="auto"/>
              </w:rPr>
            </w:pPr>
          </w:p>
        </w:tc>
      </w:tr>
      <w:tr>
        <w:trPr>
          <w:trHeight w:val="216"/>
        </w:trPr>
        <w:tc>
          <w:tcPr>
            <w:tcW w:w="1020" w:type="dxa"/>
            <w:vAlign w:val="bottom"/>
          </w:tcPr>
          <w:p>
            <w:pPr>
              <w:ind w:left="220"/>
              <w:spacing w:after="0"/>
              <w:rPr>
                <w:sz w:val="20"/>
                <w:szCs w:val="20"/>
                <w:color w:val="auto"/>
              </w:rPr>
            </w:pPr>
            <w:r>
              <w:rPr>
                <w:rFonts w:ascii="Arial" w:cs="Arial" w:eastAsia="Arial" w:hAnsi="Arial"/>
                <w:sz w:val="17"/>
                <w:szCs w:val="17"/>
                <w:color w:val="auto"/>
              </w:rPr>
              <w:t>Item 6.</w:t>
            </w:r>
          </w:p>
        </w:tc>
        <w:tc>
          <w:tcPr>
            <w:tcW w:w="8440" w:type="dxa"/>
            <w:vAlign w:val="bottom"/>
            <w:gridSpan w:val="2"/>
          </w:tcPr>
          <w:p>
            <w:pPr>
              <w:ind w:left="400"/>
              <w:spacing w:after="0"/>
              <w:rPr>
                <w:rFonts w:ascii="Arial" w:cs="Arial" w:eastAsia="Arial" w:hAnsi="Arial"/>
                <w:sz w:val="17"/>
                <w:szCs w:val="17"/>
                <w:u w:val="single" w:color="auto"/>
                <w:color w:val="0000FF"/>
              </w:rPr>
            </w:pPr>
            <w:hyperlink w:anchor="page81">
              <w:r>
                <w:rPr>
                  <w:rFonts w:ascii="Arial" w:cs="Arial" w:eastAsia="Arial" w:hAnsi="Arial"/>
                  <w:sz w:val="17"/>
                  <w:szCs w:val="17"/>
                  <w:u w:val="single" w:color="auto"/>
                  <w:color w:val="0000FF"/>
                </w:rPr>
                <w:t>Exhibits</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81">
              <w:r>
                <w:rPr>
                  <w:rFonts w:ascii="Arial" w:cs="Arial" w:eastAsia="Arial" w:hAnsi="Arial"/>
                  <w:sz w:val="17"/>
                  <w:szCs w:val="17"/>
                  <w:u w:val="single" w:color="auto"/>
                  <w:color w:val="0000FF"/>
                  <w:w w:val="94"/>
                </w:rPr>
                <w:t>79</w:t>
              </w:r>
            </w:hyperlink>
          </w:p>
        </w:tc>
        <w:tc>
          <w:tcPr>
            <w:tcW w:w="7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8440" w:type="dxa"/>
            <w:vAlign w:val="bottom"/>
            <w:gridSpan w:val="2"/>
          </w:tcPr>
          <w:p>
            <w:pPr>
              <w:ind w:left="200"/>
              <w:spacing w:after="0"/>
              <w:rPr>
                <w:rFonts w:ascii="Arial" w:cs="Arial" w:eastAsia="Arial" w:hAnsi="Arial"/>
                <w:sz w:val="17"/>
                <w:szCs w:val="17"/>
                <w:u w:val="single" w:color="auto"/>
                <w:color w:val="0000FF"/>
              </w:rPr>
            </w:pPr>
            <w:hyperlink w:anchor="page83">
              <w:r>
                <w:rPr>
                  <w:rFonts w:ascii="Arial" w:cs="Arial" w:eastAsia="Arial" w:hAnsi="Arial"/>
                  <w:sz w:val="17"/>
                  <w:szCs w:val="17"/>
                  <w:u w:val="single" w:color="auto"/>
                  <w:color w:val="0000FF"/>
                </w:rPr>
                <w:t>SIGNATURES</w:t>
              </w:r>
            </w:hyperlink>
          </w:p>
        </w:tc>
        <w:tc>
          <w:tcPr>
            <w:tcW w:w="1060" w:type="dxa"/>
            <w:vAlign w:val="bottom"/>
          </w:tcPr>
          <w:p>
            <w:pPr>
              <w:jc w:val="center"/>
              <w:spacing w:after="0"/>
              <w:rPr>
                <w:rFonts w:ascii="Arial" w:cs="Arial" w:eastAsia="Arial" w:hAnsi="Arial"/>
                <w:sz w:val="17"/>
                <w:szCs w:val="17"/>
                <w:u w:val="single" w:color="auto"/>
                <w:color w:val="0000FF"/>
                <w:w w:val="94"/>
              </w:rPr>
            </w:pPr>
            <w:hyperlink w:anchor="page83">
              <w:r>
                <w:rPr>
                  <w:rFonts w:ascii="Arial" w:cs="Arial" w:eastAsia="Arial" w:hAnsi="Arial"/>
                  <w:sz w:val="17"/>
                  <w:szCs w:val="17"/>
                  <w:u w:val="single" w:color="auto"/>
                  <w:color w:val="0000FF"/>
                  <w:w w:val="94"/>
                </w:rPr>
                <w:t>81</w:t>
              </w:r>
            </w:hyperlink>
          </w:p>
        </w:tc>
        <w:tc>
          <w:tcPr>
            <w:tcW w:w="720" w:type="dxa"/>
            <w:vAlign w:val="bottom"/>
          </w:tcPr>
          <w:p>
            <w:pPr>
              <w:spacing w:after="0"/>
              <w:rPr>
                <w:sz w:val="18"/>
                <w:szCs w:val="18"/>
                <w:color w:val="auto"/>
              </w:rPr>
            </w:pPr>
          </w:p>
        </w:tc>
      </w:tr>
      <w:tr>
        <w:trPr>
          <w:trHeight w:val="1010"/>
        </w:trPr>
        <w:tc>
          <w:tcPr>
            <w:tcW w:w="10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 w:name="page3"/>
    <w:bookmarkEnd w:id="2"/>
    <w:p>
      <w:pPr>
        <w:ind w:firstLine="648"/>
        <w:spacing w:after="0" w:line="280" w:lineRule="auto"/>
        <w:rPr>
          <w:sz w:val="20"/>
          <w:szCs w:val="20"/>
          <w:color w:val="auto"/>
        </w:rPr>
      </w:pPr>
      <w:r>
        <w:rPr>
          <w:rFonts w:ascii="Arial" w:cs="Arial" w:eastAsia="Arial" w:hAnsi="Arial"/>
          <w:sz w:val="16"/>
          <w:szCs w:val="16"/>
          <w:color w:val="auto"/>
        </w:rPr>
        <w:t xml:space="preserve">Throughout this report, we refer to Marriott Vacations Worldwide Corporation, together with its consolidated subsidiaries, as “Marriott Vacations Worldwide,” “MVW,” “we,” “us,” or “the Company.” We also refer to brands that we own, as well as those brands that we license, as our brands. All brand names, trademarks, service marks and trade names cited in this report are the property of their respective owners, including those of other companies and organizations. Solely for convenience, trademarks, trade names and service marks referred to in this report may appear without the </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or </w:t>
      </w:r>
      <w:r>
        <w:rPr>
          <w:rFonts w:ascii="Arial" w:cs="Arial" w:eastAsia="Arial" w:hAnsi="Arial"/>
          <w:sz w:val="8"/>
          <w:szCs w:val="8"/>
          <w:color w:val="auto"/>
        </w:rPr>
        <w:t>TM</w:t>
      </w:r>
      <w:r>
        <w:rPr>
          <w:rFonts w:ascii="Arial" w:cs="Arial" w:eastAsia="Arial" w:hAnsi="Arial"/>
          <w:sz w:val="16"/>
          <w:szCs w:val="16"/>
          <w:color w:val="auto"/>
        </w:rPr>
        <w:t xml:space="preserve"> symbols, however such references are not intended to indicate in any way that MVW or the owner, as applicable, will not assert, to the fullest extent under applicable law, all rights to such trademarks, trade names and service marks. Capitalized terms used and not specifically defined herein have the same meaning given those terms in our Annual Report on Form 10-K for the year ended December 31, 2019 (the “2019 Annual Report”). When discussing our properties or markets, we refer to the United States, Mexico, Central America and the Caribbean as “North America.”</w:t>
      </w:r>
    </w:p>
    <w:p>
      <w:pPr>
        <w:spacing w:after="0" w:line="65" w:lineRule="exact"/>
        <w:rPr>
          <w:sz w:val="20"/>
          <w:szCs w:val="20"/>
          <w:color w:val="auto"/>
        </w:rPr>
      </w:pPr>
    </w:p>
    <w:p>
      <w:pPr>
        <w:ind w:right="560" w:firstLine="648"/>
        <w:spacing w:after="0" w:line="263" w:lineRule="auto"/>
        <w:rPr>
          <w:sz w:val="20"/>
          <w:szCs w:val="20"/>
          <w:color w:val="auto"/>
        </w:rPr>
      </w:pPr>
      <w:r>
        <w:rPr>
          <w:rFonts w:ascii="Arial" w:cs="Arial" w:eastAsia="Arial" w:hAnsi="Arial"/>
          <w:sz w:val="18"/>
          <w:szCs w:val="18"/>
          <w:color w:val="auto"/>
        </w:rPr>
        <w:t>The COVID-19 pandemic (as defined and discussed further in Footnote 1 “Basis of Presentation”) has caused significant disruptions in international and U.S. economies and markets. We discuss the COVID-19 pandemic and its potential future implications in this report; however, the COVID-19 pandemic is evolving and its potential impact on our business in the future remains uncertain.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12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Sale of vacation ownership products</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820" w:type="dxa"/>
            <w:vAlign w:val="bottom"/>
          </w:tcPr>
          <w:p>
            <w:pPr>
              <w:jc w:val="right"/>
              <w:ind w:right="63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Management and exchange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Rental</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Financing</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Cost reimbursements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REVENUES</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vacation ownership products</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Marketing and sales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Management and exchange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Rental</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Financing</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Litigation charges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Royalty fee</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Cost reimbursements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EXPENSES</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(Losses) gains and other (expense) income, net</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ILG acquisition-related costs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840" w:type="dxa"/>
            <w:vAlign w:val="bottom"/>
          </w:tcPr>
          <w:p>
            <w:pPr>
              <w:spacing w:after="0" w:line="156" w:lineRule="exact"/>
              <w:rPr>
                <w:sz w:val="20"/>
                <w:szCs w:val="20"/>
                <w:color w:val="auto"/>
              </w:rPr>
            </w:pPr>
            <w:r>
              <w:rPr>
                <w:rFonts w:ascii="Arial" w:cs="Arial" w:eastAsia="Arial" w:hAnsi="Arial"/>
                <w:sz w:val="18"/>
                <w:szCs w:val="18"/>
                <w:b w:val="1"/>
                <w:bCs w:val="1"/>
                <w:color w:val="auto"/>
              </w:rPr>
              <w:t>(LOSS) INCOME BEFORE INCOME TAXES AND</w:t>
            </w:r>
          </w:p>
        </w:tc>
        <w:tc>
          <w:tcPr>
            <w:tcW w:w="4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NONCONTROLLING INTERESTS</w:t>
            </w:r>
          </w:p>
        </w:tc>
        <w:tc>
          <w:tcPr>
            <w:tcW w:w="4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840" w:type="dxa"/>
            <w:vAlign w:val="bottom"/>
          </w:tcPr>
          <w:p>
            <w:pPr>
              <w:spacing w:after="0" w:line="156" w:lineRule="exact"/>
              <w:rPr>
                <w:sz w:val="20"/>
                <w:szCs w:val="20"/>
                <w:color w:val="auto"/>
              </w:rPr>
            </w:pPr>
            <w:r>
              <w:rPr>
                <w:rFonts w:ascii="Arial" w:cs="Arial" w:eastAsia="Arial" w:hAnsi="Arial"/>
                <w:sz w:val="18"/>
                <w:szCs w:val="18"/>
                <w:b w:val="1"/>
                <w:bCs w:val="1"/>
                <w:color w:val="auto"/>
              </w:rPr>
              <w:t>NET (LOSS) INCOME ATTRIBUTABLE TO COMMON</w:t>
            </w:r>
          </w:p>
        </w:tc>
        <w:tc>
          <w:tcPr>
            <w:tcW w:w="460" w:type="dxa"/>
            <w:vAlign w:val="bottom"/>
            <w:vMerge w:val="restart"/>
          </w:tcPr>
          <w:p>
            <w:pPr>
              <w:jc w:val="right"/>
              <w:ind w:right="272"/>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3"/>
                <w:szCs w:val="13"/>
                <w:color w:val="auto"/>
              </w:rPr>
            </w:pPr>
          </w:p>
        </w:tc>
        <w:tc>
          <w:tcPr>
            <w:tcW w:w="860" w:type="dxa"/>
            <w:vAlign w:val="bottom"/>
            <w:vMerge w:val="restart"/>
          </w:tcPr>
          <w:p>
            <w:pPr>
              <w:jc w:val="right"/>
              <w:ind w:right="672"/>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3"/>
                <w:szCs w:val="13"/>
                <w:color w:val="auto"/>
              </w:rPr>
            </w:pPr>
          </w:p>
        </w:tc>
        <w:tc>
          <w:tcPr>
            <w:tcW w:w="480" w:type="dxa"/>
            <w:vAlign w:val="bottom"/>
            <w:vMerge w:val="restart"/>
          </w:tcPr>
          <w:p>
            <w:pPr>
              <w:jc w:val="right"/>
              <w:ind w:right="292"/>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3"/>
                <w:szCs w:val="13"/>
                <w:color w:val="auto"/>
              </w:rPr>
            </w:pPr>
          </w:p>
        </w:tc>
        <w:tc>
          <w:tcPr>
            <w:tcW w:w="820" w:type="dxa"/>
            <w:vAlign w:val="bottom"/>
            <w:vMerge w:val="restart"/>
          </w:tcPr>
          <w:p>
            <w:pPr>
              <w:jc w:val="right"/>
              <w:ind w:right="632"/>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b w:val="1"/>
                <w:bCs w:val="1"/>
                <w:color w:val="auto"/>
              </w:rPr>
              <w:t>SHAREHOLDERS</w:t>
            </w:r>
          </w:p>
        </w:tc>
        <w:tc>
          <w:tcPr>
            <w:tcW w:w="46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 w:type="dxa"/>
            <w:vAlign w:val="bottom"/>
          </w:tcPr>
          <w:p>
            <w:pPr>
              <w:spacing w:after="0"/>
              <w:rPr>
                <w:sz w:val="11"/>
                <w:szCs w:val="11"/>
                <w:color w:val="auto"/>
              </w:rPr>
            </w:pPr>
          </w:p>
        </w:tc>
        <w:tc>
          <w:tcPr>
            <w:tcW w:w="48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40" w:type="dxa"/>
            <w:vAlign w:val="bottom"/>
          </w:tcPr>
          <w:p>
            <w:pPr>
              <w:spacing w:after="0" w:line="176" w:lineRule="exact"/>
              <w:rPr>
                <w:sz w:val="20"/>
                <w:szCs w:val="20"/>
                <w:color w:val="auto"/>
              </w:rPr>
            </w:pPr>
            <w:r>
              <w:rPr>
                <w:rFonts w:ascii="Arial" w:cs="Arial" w:eastAsia="Arial" w:hAnsi="Arial"/>
                <w:sz w:val="18"/>
                <w:szCs w:val="18"/>
                <w:b w:val="1"/>
                <w:bCs w:val="1"/>
                <w:color w:val="auto"/>
              </w:rPr>
              <w:t>(LOSS) EARNINGS PER SHARE ATTRIBUTABLE TO</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COMMON SHAREHOLDERS</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19"/>
                <w:szCs w:val="19"/>
                <w:color w:val="auto"/>
              </w:rPr>
            </w:pPr>
          </w:p>
        </w:tc>
        <w:tc>
          <w:tcPr>
            <w:tcW w:w="820" w:type="dxa"/>
            <w:vAlign w:val="bottom"/>
          </w:tcPr>
          <w:p>
            <w:pPr>
              <w:jc w:val="right"/>
              <w:ind w:right="63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8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CASH DIVIDENDS DECLARED PER SHARE</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0"/>
                <w:szCs w:val="20"/>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0"/>
                <w:szCs w:val="20"/>
                <w:color w:val="auto"/>
              </w:rPr>
            </w:pPr>
          </w:p>
        </w:tc>
        <w:tc>
          <w:tcPr>
            <w:tcW w:w="820" w:type="dxa"/>
            <w:vAlign w:val="bottom"/>
          </w:tcPr>
          <w:p>
            <w:pPr>
              <w:jc w:val="right"/>
              <w:ind w:right="63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40" w:type="dxa"/>
            <w:vAlign w:val="bottom"/>
          </w:tcPr>
          <w:p>
            <w:pPr>
              <w:spacing w:after="0"/>
              <w:rPr>
                <w:sz w:val="24"/>
                <w:szCs w:val="24"/>
                <w:color w:val="auto"/>
              </w:rPr>
            </w:pPr>
          </w:p>
        </w:tc>
        <w:tc>
          <w:tcPr>
            <w:tcW w:w="8060" w:type="dxa"/>
            <w:vAlign w:val="bottom"/>
            <w:gridSpan w:val="7"/>
          </w:tcPr>
          <w:p>
            <w:pPr>
              <w:ind w:left="3760"/>
              <w:spacing w:after="0"/>
              <w:rPr>
                <w:sz w:val="20"/>
                <w:szCs w:val="20"/>
                <w:color w:val="auto"/>
              </w:rPr>
            </w:pPr>
            <w:r>
              <w:rPr>
                <w:rFonts w:ascii="Arial" w:cs="Arial" w:eastAsia="Arial" w:hAnsi="Arial"/>
                <w:sz w:val="18"/>
                <w:szCs w:val="18"/>
                <w:b w:val="1"/>
                <w:bCs w:val="1"/>
                <w:color w:val="auto"/>
                <w:w w:val="89"/>
              </w:rPr>
              <w:t>See Notes to Interim Consolidated Financial Statements</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8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6"/>
                <w:szCs w:val="16"/>
                <w:b w:val="1"/>
                <w:bCs w:val="1"/>
                <w:color w:val="auto"/>
              </w:rPr>
              <w:t>Nine Months Ended</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120" w:type="dxa"/>
            <w:vAlign w:val="bottom"/>
          </w:tcPr>
          <w:p>
            <w:pPr>
              <w:spacing w:after="0"/>
              <w:rPr>
                <w:sz w:val="18"/>
                <w:szCs w:val="18"/>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3"/>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0" w:type="dxa"/>
            <w:vAlign w:val="bottom"/>
          </w:tcPr>
          <w:p>
            <w:pPr>
              <w:spacing w:after="0"/>
              <w:rPr>
                <w:sz w:val="1"/>
                <w:szCs w:val="1"/>
                <w:color w:val="auto"/>
              </w:rPr>
            </w:pPr>
          </w:p>
        </w:tc>
      </w:tr>
      <w:tr>
        <w:trPr>
          <w:trHeight w:val="226"/>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4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Derivative instrument adjustment, net of tax</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GAIN (LOSS), NET OF TAX</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0"/>
        </w:trPr>
        <w:tc>
          <w:tcPr>
            <w:tcW w:w="4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4840" w:type="dxa"/>
            <w:vAlign w:val="bottom"/>
          </w:tcPr>
          <w:p>
            <w:pPr>
              <w:ind w:left="200"/>
              <w:spacing w:after="0" w:line="176" w:lineRule="exact"/>
              <w:rPr>
                <w:sz w:val="20"/>
                <w:szCs w:val="20"/>
                <w:color w:val="auto"/>
              </w:rPr>
            </w:pPr>
            <w:r>
              <w:rPr>
                <w:rFonts w:ascii="Arial" w:cs="Arial" w:eastAsia="Arial" w:hAnsi="Arial"/>
                <w:sz w:val="18"/>
                <w:szCs w:val="18"/>
                <w:color w:val="auto"/>
                <w:w w:val="99"/>
              </w:rPr>
              <w:t>Other comprehensive income attributable to noncontrolling</w:t>
            </w:r>
          </w:p>
        </w:tc>
        <w:tc>
          <w:tcPr>
            <w:tcW w:w="4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5"/>
                <w:szCs w:val="15"/>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5"/>
                <w:szCs w:val="15"/>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4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8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COMPREHENSIVE INCOME ATTRIBUTABLE TO</w:t>
            </w:r>
          </w:p>
        </w:tc>
        <w:tc>
          <w:tcPr>
            <w:tcW w:w="4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NONCONTROLLING INTERESTS</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840" w:type="dxa"/>
            <w:vAlign w:val="bottom"/>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COMPREHENSIVE (LOSS) INCOME ATTRIBUTABLE TO</w:t>
            </w:r>
          </w:p>
        </w:tc>
        <w:tc>
          <w:tcPr>
            <w:tcW w:w="460" w:type="dxa"/>
            <w:vAlign w:val="bottom"/>
            <w:vMerge w:val="restart"/>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COMMON SHAREHOLDERS</w:t>
            </w: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See Notes to the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and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Unaudited</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2020</w:t>
            </w:r>
          </w:p>
        </w:tc>
        <w:tc>
          <w:tcPr>
            <w:tcW w:w="180" w:type="dxa"/>
            <w:vAlign w:val="bottom"/>
          </w:tcPr>
          <w:p>
            <w:pPr>
              <w:spacing w:after="0"/>
              <w:rPr>
                <w:sz w:val="19"/>
                <w:szCs w:val="19"/>
                <w:color w:val="auto"/>
              </w:rPr>
            </w:pPr>
          </w:p>
        </w:tc>
        <w:tc>
          <w:tcPr>
            <w:tcW w:w="1640" w:type="dxa"/>
            <w:vAlign w:val="bottom"/>
          </w:tcPr>
          <w:p>
            <w:pPr>
              <w:jc w:val="right"/>
              <w:ind w:right="170"/>
              <w:spacing w:after="0"/>
              <w:rPr>
                <w:sz w:val="20"/>
                <w:szCs w:val="20"/>
                <w:color w:val="auto"/>
              </w:rPr>
            </w:pPr>
            <w:r>
              <w:rPr>
                <w:rFonts w:ascii="Arial" w:cs="Arial" w:eastAsia="Arial" w:hAnsi="Arial"/>
                <w:sz w:val="16"/>
                <w:szCs w:val="16"/>
                <w:b w:val="1"/>
                <w:bCs w:val="1"/>
                <w:color w:val="auto"/>
                <w:w w:val="94"/>
              </w:rPr>
              <w:t>December 31, 2019</w:t>
            </w:r>
          </w:p>
        </w:tc>
        <w:tc>
          <w:tcPr>
            <w:tcW w:w="0" w:type="dxa"/>
            <w:vAlign w:val="bottom"/>
          </w:tcPr>
          <w:p>
            <w:pPr>
              <w:spacing w:after="0"/>
              <w:rPr>
                <w:sz w:val="1"/>
                <w:szCs w:val="1"/>
                <w:color w:val="auto"/>
              </w:rPr>
            </w:pPr>
          </w:p>
        </w:tc>
      </w:tr>
      <w:tr>
        <w:trPr>
          <w:trHeight w:val="213"/>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(including $69 and $64 from VIEs, respectively)</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Accounts receivable, net (including $12 and $13 from VIEs, respectively)</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Vacation ownership notes receivable, net (including $1,650 and $1,750 from VIEs, respectively)</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(including $45 and $39 from VIEs, respectively)</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 deposits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Accrued liabilities (including $2 and $2 from VIEs, respectively)</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Payroll and benefits liability</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Securitized debt, net (including $1,769 and $1,871 from VIEs, respectively)</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net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6,183</w:t>
            </w: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Contingencies and Commitments (Note 11)</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Preferred stock — $0.01 par value; 2,000,000 shares authorized; none issued or outstanding</w:t>
            </w:r>
          </w:p>
        </w:tc>
        <w:tc>
          <w:tcPr>
            <w:tcW w:w="18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Common stock — $0.01 par value; 100,000,000 shares authorized; 75,250,627 and 75,020,272 shares</w:t>
            </w:r>
          </w:p>
        </w:tc>
        <w:tc>
          <w:tcPr>
            <w:tcW w:w="18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respectively</w:t>
            </w:r>
          </w:p>
        </w:tc>
        <w:tc>
          <w:tcPr>
            <w:tcW w:w="18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Treasury stock — at cost; 34,187,868 and 33,438,176 shares, respectively</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3"/>
        </w:trPr>
        <w:tc>
          <w:tcPr>
            <w:tcW w:w="7480" w:type="dxa"/>
            <w:vAlign w:val="bottom"/>
          </w:tcPr>
          <w:p>
            <w:pPr>
              <w:ind w:left="460"/>
              <w:spacing w:after="0"/>
              <w:rPr>
                <w:sz w:val="20"/>
                <w:szCs w:val="20"/>
                <w:color w:val="auto"/>
              </w:rPr>
            </w:pPr>
            <w:r>
              <w:rPr>
                <w:rFonts w:ascii="Arial" w:cs="Arial" w:eastAsia="Arial" w:hAnsi="Arial"/>
                <w:sz w:val="18"/>
                <w:szCs w:val="18"/>
                <w:b w:val="1"/>
                <w:bCs w:val="1"/>
                <w:color w:val="auto"/>
              </w:rPr>
              <w:t>TOTAL MVW SHAREHOLDERS' EQUITY</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TOTAL EQUITY</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abbreviation VIEs above means Variable Interest Entities.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6"/>
                <w:szCs w:val="16"/>
                <w:b w:val="1"/>
                <w:bCs w:val="1"/>
                <w:color w:val="auto"/>
              </w:rPr>
              <w:t>Nine Months Ended</w:t>
            </w:r>
          </w:p>
        </w:tc>
        <w:tc>
          <w:tcPr>
            <w:tcW w:w="640" w:type="dxa"/>
            <w:vAlign w:val="bottom"/>
            <w:tcBorders>
              <w:bottom w:val="single" w:sz="8" w:color="auto"/>
            </w:tcBorders>
          </w:tcPr>
          <w:p>
            <w:pPr>
              <w:spacing w:after="0"/>
              <w:rPr>
                <w:sz w:val="18"/>
                <w:szCs w:val="18"/>
                <w:color w:val="auto"/>
              </w:rPr>
            </w:pPr>
          </w:p>
        </w:tc>
      </w:tr>
      <w:tr>
        <w:trPr>
          <w:trHeight w:val="210"/>
        </w:trPr>
        <w:tc>
          <w:tcPr>
            <w:tcW w:w="806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r>
      <w:tr>
        <w:trPr>
          <w:trHeight w:val="212"/>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Net (loss) income</w:t>
            </w:r>
          </w:p>
        </w:tc>
        <w:tc>
          <w:tcPr>
            <w:tcW w:w="480" w:type="dxa"/>
            <w:vAlign w:val="bottom"/>
          </w:tcPr>
          <w:p>
            <w:pPr>
              <w:jc w:val="right"/>
              <w:ind w:right="29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176"/>
        </w:trPr>
        <w:tc>
          <w:tcPr>
            <w:tcW w:w="8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Adjustments to reconcile net income to net cash, cash equivalents and restricted cash provided by operating</w:t>
            </w: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8060" w:type="dxa"/>
            <w:vAlign w:val="bottom"/>
          </w:tcPr>
          <w:p>
            <w:pPr>
              <w:ind w:left="200"/>
              <w:spacing w:after="0"/>
              <w:rPr>
                <w:sz w:val="20"/>
                <w:szCs w:val="20"/>
                <w:color w:val="auto"/>
              </w:rPr>
            </w:pPr>
            <w:r>
              <w:rPr>
                <w:rFonts w:ascii="Arial" w:cs="Arial" w:eastAsia="Arial" w:hAnsi="Arial"/>
                <w:sz w:val="18"/>
                <w:szCs w:val="18"/>
                <w:color w:val="auto"/>
              </w:rPr>
              <w:t>Depreciation and amortization of intangibles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debt discount and issuance costs</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8060" w:type="dxa"/>
            <w:vAlign w:val="bottom"/>
          </w:tcPr>
          <w:p>
            <w:pPr>
              <w:ind w:left="200"/>
              <w:spacing w:after="0"/>
              <w:rPr>
                <w:sz w:val="20"/>
                <w:szCs w:val="20"/>
                <w:color w:val="auto"/>
              </w:rPr>
            </w:pPr>
            <w:r>
              <w:rPr>
                <w:rFonts w:ascii="Arial" w:cs="Arial" w:eastAsia="Arial" w:hAnsi="Arial"/>
                <w:sz w:val="18"/>
                <w:szCs w:val="18"/>
                <w:color w:val="auto"/>
              </w:rPr>
              <w:t>Vacation ownership notes receivable reserve</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060" w:type="dxa"/>
            <w:vAlign w:val="bottom"/>
          </w:tcPr>
          <w:p>
            <w:pPr>
              <w:ind w:left="200"/>
              <w:spacing w:after="0"/>
              <w:rPr>
                <w:sz w:val="20"/>
                <w:szCs w:val="20"/>
                <w:color w:val="auto"/>
              </w:rPr>
            </w:pPr>
            <w:r>
              <w:rPr>
                <w:rFonts w:ascii="Arial" w:cs="Arial" w:eastAsia="Arial" w:hAnsi="Arial"/>
                <w:sz w:val="18"/>
                <w:szCs w:val="18"/>
                <w:color w:val="auto"/>
              </w:rPr>
              <w:t>Impairment charges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060" w:type="dxa"/>
            <w:vAlign w:val="bottom"/>
          </w:tcPr>
          <w:p>
            <w:pPr>
              <w:ind w:left="200"/>
              <w:spacing w:after="0"/>
              <w:rPr>
                <w:sz w:val="20"/>
                <w:szCs w:val="20"/>
                <w:color w:val="auto"/>
              </w:rPr>
            </w:pPr>
            <w:r>
              <w:rPr>
                <w:rFonts w:ascii="Arial" w:cs="Arial" w:eastAsia="Arial" w:hAnsi="Arial"/>
                <w:sz w:val="18"/>
                <w:szCs w:val="18"/>
                <w:color w:val="auto"/>
              </w:rPr>
              <w:t>Net change in assets and liabilities:</w:t>
            </w: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060" w:type="dxa"/>
            <w:vAlign w:val="bottom"/>
          </w:tcPr>
          <w:p>
            <w:pPr>
              <w:ind w:left="440"/>
              <w:spacing w:after="0"/>
              <w:rPr>
                <w:sz w:val="20"/>
                <w:szCs w:val="20"/>
                <w:color w:val="auto"/>
              </w:rPr>
            </w:pPr>
            <w:r>
              <w:rPr>
                <w:rFonts w:ascii="Arial" w:cs="Arial" w:eastAsia="Arial" w:hAnsi="Arial"/>
                <w:sz w:val="18"/>
                <w:szCs w:val="18"/>
                <w:color w:val="auto"/>
              </w:rPr>
              <w:t>Vacation ownership notes receivable originations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w:t>
            </w:r>
          </w:p>
        </w:tc>
      </w:tr>
      <w:tr>
        <w:trPr>
          <w:trHeight w:val="229"/>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Vacation ownership notes receivable collections</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29"/>
        </w:trPr>
        <w:tc>
          <w:tcPr>
            <w:tcW w:w="8060" w:type="dxa"/>
            <w:vAlign w:val="bottom"/>
          </w:tcPr>
          <w:p>
            <w:pPr>
              <w:ind w:left="440"/>
              <w:spacing w:after="0"/>
              <w:rPr>
                <w:sz w:val="20"/>
                <w:szCs w:val="20"/>
                <w:color w:val="auto"/>
              </w:rPr>
            </w:pPr>
            <w:r>
              <w:rPr>
                <w:rFonts w:ascii="Arial" w:cs="Arial" w:eastAsia="Arial" w:hAnsi="Arial"/>
                <w:sz w:val="18"/>
                <w:szCs w:val="18"/>
                <w:color w:val="auto"/>
              </w:rPr>
              <w:t>Inventory</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6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advance deposits and accrued liabilities</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8060" w:type="dxa"/>
            <w:vAlign w:val="bottom"/>
          </w:tcPr>
          <w:p>
            <w:pPr>
              <w:ind w:left="440"/>
              <w:spacing w:after="0"/>
              <w:rPr>
                <w:sz w:val="20"/>
                <w:szCs w:val="20"/>
                <w:color w:val="auto"/>
              </w:rPr>
            </w:pPr>
            <w:r>
              <w:rPr>
                <w:rFonts w:ascii="Arial" w:cs="Arial" w:eastAsia="Arial" w:hAnsi="Arial"/>
                <w:sz w:val="18"/>
                <w:szCs w:val="18"/>
                <w:color w:val="auto"/>
              </w:rPr>
              <w:t>Deferred revenue</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Payroll and benefit liabilities</w:t>
            </w:r>
          </w:p>
        </w:tc>
        <w:tc>
          <w:tcPr>
            <w:tcW w:w="4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8060" w:type="dxa"/>
            <w:vAlign w:val="bottom"/>
          </w:tcPr>
          <w:p>
            <w:pPr>
              <w:ind w:left="440"/>
              <w:spacing w:after="0"/>
              <w:rPr>
                <w:sz w:val="20"/>
                <w:szCs w:val="20"/>
                <w:color w:val="auto"/>
              </w:rPr>
            </w:pPr>
            <w:r>
              <w:rPr>
                <w:rFonts w:ascii="Arial" w:cs="Arial" w:eastAsia="Arial" w:hAnsi="Arial"/>
                <w:sz w:val="18"/>
                <w:szCs w:val="18"/>
                <w:color w:val="auto"/>
              </w:rPr>
              <w:t>Deferred compensation liability</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net</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cash equivalents and restricted cash provided by operating activities</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10"/>
        </w:trPr>
        <w:tc>
          <w:tcPr>
            <w:tcW w:w="80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9"/>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060" w:type="dxa"/>
            <w:vAlign w:val="bottom"/>
          </w:tcPr>
          <w:p>
            <w:pPr>
              <w:ind w:left="200"/>
              <w:spacing w:after="0"/>
              <w:rPr>
                <w:sz w:val="20"/>
                <w:szCs w:val="20"/>
                <w:color w:val="auto"/>
              </w:rPr>
            </w:pPr>
            <w:r>
              <w:rPr>
                <w:rFonts w:ascii="Arial" w:cs="Arial" w:eastAsia="Arial" w:hAnsi="Arial"/>
                <w:sz w:val="18"/>
                <w:szCs w:val="18"/>
                <w:color w:val="auto"/>
              </w:rPr>
              <w:t>Proceeds from collection of notes receivable</w:t>
            </w:r>
          </w:p>
        </w:tc>
        <w:tc>
          <w:tcPr>
            <w:tcW w:w="4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company owned life insurance</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Dispositions, net</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cash equivalents and restricted cash (used in) provided by investing activities</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68"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INTERIM CONSOLIDATED STATEMENTS OF CASH FLOWS (CONTINUED)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6"/>
                <w:szCs w:val="16"/>
                <w:b w:val="1"/>
                <w:bCs w:val="1"/>
                <w:color w:val="auto"/>
              </w:rPr>
              <w:t>Nine Months Ended</w:t>
            </w:r>
          </w:p>
        </w:tc>
        <w:tc>
          <w:tcPr>
            <w:tcW w:w="640" w:type="dxa"/>
            <w:vAlign w:val="bottom"/>
            <w:tcBorders>
              <w:bottom w:val="single" w:sz="8" w:color="auto"/>
            </w:tcBorders>
          </w:tcPr>
          <w:p>
            <w:pPr>
              <w:spacing w:after="0"/>
              <w:rPr>
                <w:sz w:val="18"/>
                <w:szCs w:val="18"/>
                <w:color w:val="auto"/>
              </w:rPr>
            </w:pPr>
          </w:p>
        </w:tc>
      </w:tr>
      <w:tr>
        <w:trPr>
          <w:trHeight w:val="210"/>
        </w:trPr>
        <w:tc>
          <w:tcPr>
            <w:tcW w:w="806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r>
      <w:tr>
        <w:trPr>
          <w:trHeight w:val="212"/>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30"/>
        </w:trPr>
        <w:tc>
          <w:tcPr>
            <w:tcW w:w="8060" w:type="dxa"/>
            <w:vAlign w:val="bottom"/>
          </w:tcPr>
          <w:p>
            <w:pPr>
              <w:ind w:left="200"/>
              <w:spacing w:after="0"/>
              <w:rPr>
                <w:sz w:val="20"/>
                <w:szCs w:val="20"/>
                <w:color w:val="auto"/>
              </w:rPr>
            </w:pPr>
            <w:r>
              <w:rPr>
                <w:rFonts w:ascii="Arial" w:cs="Arial" w:eastAsia="Arial" w:hAnsi="Arial"/>
                <w:sz w:val="18"/>
                <w:szCs w:val="18"/>
                <w:color w:val="auto"/>
              </w:rPr>
              <w:t>Borrowings from securitization transactions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631</w:t>
            </w:r>
          </w:p>
        </w:tc>
      </w:tr>
      <w:tr>
        <w:trPr>
          <w:trHeight w:val="229"/>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debt related to securitization transactions</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30"/>
        </w:trPr>
        <w:tc>
          <w:tcPr>
            <w:tcW w:w="8060" w:type="dxa"/>
            <w:vAlign w:val="bottom"/>
          </w:tcPr>
          <w:p>
            <w:pPr>
              <w:ind w:left="200"/>
              <w:spacing w:after="0"/>
              <w:rPr>
                <w:sz w:val="20"/>
                <w:szCs w:val="20"/>
                <w:color w:val="auto"/>
              </w:rPr>
            </w:pPr>
            <w:r>
              <w:rPr>
                <w:rFonts w:ascii="Arial" w:cs="Arial" w:eastAsia="Arial" w:hAnsi="Arial"/>
                <w:sz w:val="18"/>
                <w:szCs w:val="18"/>
                <w:color w:val="auto"/>
              </w:rPr>
              <w:t>Proceeds from debt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29"/>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debt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29"/>
        </w:trPr>
        <w:tc>
          <w:tcPr>
            <w:tcW w:w="8060" w:type="dxa"/>
            <w:vAlign w:val="bottom"/>
          </w:tcPr>
          <w:p>
            <w:pPr>
              <w:ind w:left="200"/>
              <w:spacing w:after="0"/>
              <w:rPr>
                <w:sz w:val="20"/>
                <w:szCs w:val="20"/>
                <w:color w:val="auto"/>
              </w:rPr>
            </w:pPr>
            <w:r>
              <w:rPr>
                <w:rFonts w:ascii="Arial" w:cs="Arial" w:eastAsia="Arial" w:hAnsi="Arial"/>
                <w:sz w:val="18"/>
                <w:szCs w:val="18"/>
                <w:color w:val="auto"/>
              </w:rPr>
              <w:t>Finance lease payment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issuance costs</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060" w:type="dxa"/>
            <w:vAlign w:val="bottom"/>
          </w:tcPr>
          <w:p>
            <w:pPr>
              <w:ind w:left="200"/>
              <w:spacing w:after="0"/>
              <w:rPr>
                <w:sz w:val="20"/>
                <w:szCs w:val="20"/>
                <w:color w:val="auto"/>
              </w:rPr>
            </w:pPr>
            <w:r>
              <w:rPr>
                <w:rFonts w:ascii="Arial" w:cs="Arial" w:eastAsia="Arial" w:hAnsi="Arial"/>
                <w:sz w:val="18"/>
                <w:szCs w:val="18"/>
                <w:color w:val="auto"/>
              </w:rPr>
              <w:t>Repurchase of common stock</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30"/>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dividends</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8060" w:type="dxa"/>
            <w:vAlign w:val="bottom"/>
          </w:tcPr>
          <w:p>
            <w:pPr>
              <w:ind w:left="20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4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06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cash equivalents and restricted cash provided by (used in) financing activities</w:t>
            </w:r>
          </w:p>
        </w:tc>
        <w:tc>
          <w:tcPr>
            <w:tcW w:w="4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r>
      <w:tr>
        <w:trPr>
          <w:trHeight w:val="223"/>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changes in exchange rates on cash, cash equivalents and restricted cash</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Change in cash, cash equivalents and restricted cash</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3"/>
        </w:trPr>
        <w:tc>
          <w:tcPr>
            <w:tcW w:w="8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b w:val="1"/>
                <w:bCs w:val="1"/>
                <w:color w:val="auto"/>
              </w:rPr>
              <w:t>SUPPLEMENTAL DISCLOSURES</w:t>
            </w: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transfer from property and equipment to inventory</w:t>
            </w: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8060" w:type="dxa"/>
            <w:vAlign w:val="bottom"/>
          </w:tcPr>
          <w:p>
            <w:pPr>
              <w:ind w:left="200"/>
              <w:spacing w:after="0"/>
              <w:rPr>
                <w:sz w:val="20"/>
                <w:szCs w:val="20"/>
                <w:color w:val="auto"/>
              </w:rPr>
            </w:pPr>
            <w:r>
              <w:rPr>
                <w:rFonts w:ascii="Arial" w:cs="Arial" w:eastAsia="Arial" w:hAnsi="Arial"/>
                <w:sz w:val="18"/>
                <w:szCs w:val="18"/>
                <w:color w:val="auto"/>
              </w:rPr>
              <w:t>Non-cash transfer from inventory to property and equipment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issuance of treasury stock for employee stock purchase plan</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06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4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 net of amounts capitalized</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8060" w:type="dxa"/>
            <w:vAlign w:val="bottom"/>
          </w:tcPr>
          <w:p>
            <w:pPr>
              <w:ind w:left="200"/>
              <w:spacing w:after="0"/>
              <w:rPr>
                <w:sz w:val="20"/>
                <w:szCs w:val="20"/>
                <w:color w:val="auto"/>
              </w:rPr>
            </w:pPr>
            <w:r>
              <w:rPr>
                <w:rFonts w:ascii="Arial" w:cs="Arial" w:eastAsia="Arial" w:hAnsi="Arial"/>
                <w:sz w:val="18"/>
                <w:szCs w:val="18"/>
                <w:color w:val="auto"/>
              </w:rPr>
              <w:t>Income taxes paid, net of refunds</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00" w:lineRule="exact"/>
        <w:rPr>
          <w:sz w:val="20"/>
          <w:szCs w:val="20"/>
          <w:color w:val="auto"/>
        </w:rPr>
      </w:pPr>
    </w:p>
    <w:p>
      <w:pPr>
        <w:spacing w:after="0" w:line="36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 w:name="page9"/>
    <w:bookmarkEnd w:id="8"/>
    <w:p>
      <w:pPr>
        <w:jc w:val="center"/>
        <w:ind w:left="6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INTERIM CONSOLIDATED STATEMENTS OF SHAREHOLDERS’ EQUITY</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Total MVW</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20" w:type="dxa"/>
            <w:vAlign w:val="bottom"/>
            <w:vMerge w:val="continue"/>
          </w:tcPr>
          <w:p>
            <w:pPr>
              <w:spacing w:after="0"/>
              <w:rPr>
                <w:sz w:val="11"/>
                <w:szCs w:val="11"/>
                <w:color w:val="auto"/>
              </w:rPr>
            </w:pPr>
          </w:p>
        </w:tc>
        <w:tc>
          <w:tcPr>
            <w:tcW w:w="3360" w:type="dxa"/>
            <w:vAlign w:val="bottom"/>
          </w:tcPr>
          <w:p>
            <w:pPr>
              <w:spacing w:after="0"/>
              <w:rPr>
                <w:sz w:val="11"/>
                <w:szCs w:val="11"/>
                <w:color w:val="auto"/>
              </w:rPr>
            </w:pP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Treasury</w:t>
            </w:r>
          </w:p>
        </w:tc>
        <w:tc>
          <w:tcPr>
            <w:tcW w:w="8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980" w:type="dxa"/>
            <w:vAlign w:val="bottom"/>
            <w:gridSpan w:val="3"/>
            <w:vMerge w:val="continue"/>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1"/>
                <w:szCs w:val="11"/>
                <w:color w:val="auto"/>
              </w:rPr>
            </w:pPr>
          </w:p>
        </w:tc>
        <w:tc>
          <w:tcPr>
            <w:tcW w:w="6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336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Shareholders'</w:t>
            </w:r>
          </w:p>
        </w:tc>
        <w:tc>
          <w:tcPr>
            <w:tcW w:w="10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Issued</w:t>
            </w:r>
          </w:p>
        </w:tc>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6"/>
                <w:szCs w:val="16"/>
                <w:color w:val="auto"/>
              </w:rPr>
            </w:pPr>
          </w:p>
        </w:tc>
        <w:tc>
          <w:tcPr>
            <w:tcW w:w="620" w:type="dxa"/>
            <w:vAlign w:val="bottom"/>
          </w:tcPr>
          <w:p>
            <w:pPr>
              <w:jc w:val="right"/>
              <w:ind w:right="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1"/>
        </w:trPr>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33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BALANCE AT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3,031</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280"/>
              <w:spacing w:after="0"/>
              <w:rPr>
                <w:sz w:val="20"/>
                <w:szCs w:val="20"/>
                <w:color w:val="auto"/>
              </w:rPr>
            </w:pPr>
            <w:r>
              <w:rPr>
                <w:rFonts w:ascii="Arial" w:cs="Arial" w:eastAsia="Arial" w:hAnsi="Arial"/>
                <w:sz w:val="16"/>
                <w:szCs w:val="16"/>
                <w:color w:val="auto"/>
              </w:rPr>
              <w:t>Net (loss) income</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280"/>
              <w:spacing w:after="0"/>
              <w:rPr>
                <w:sz w:val="20"/>
                <w:szCs w:val="20"/>
                <w:color w:val="auto"/>
              </w:rPr>
            </w:pPr>
            <w:r>
              <w:rPr>
                <w:rFonts w:ascii="Arial" w:cs="Arial" w:eastAsia="Arial" w:hAnsi="Arial"/>
                <w:sz w:val="16"/>
                <w:szCs w:val="16"/>
                <w:color w:val="auto"/>
              </w:rPr>
              <w:t>Derivative instrument adjustment</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3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Share-based compensation plans</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280"/>
              <w:spacing w:after="0"/>
              <w:rPr>
                <w:sz w:val="20"/>
                <w:szCs w:val="20"/>
                <w:color w:val="auto"/>
              </w:rPr>
            </w:pPr>
            <w:r>
              <w:rPr>
                <w:rFonts w:ascii="Arial" w:cs="Arial" w:eastAsia="Arial" w:hAnsi="Arial"/>
                <w:sz w:val="16"/>
                <w:szCs w:val="16"/>
                <w:color w:val="auto"/>
              </w:rPr>
              <w:t>Repurchase of common stock</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6"/>
        </w:trPr>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75.2</w:t>
            </w:r>
          </w:p>
        </w:tc>
        <w:tc>
          <w:tcPr>
            <w:tcW w:w="3360" w:type="dxa"/>
            <w:vAlign w:val="bottom"/>
          </w:tcPr>
          <w:p>
            <w:pPr>
              <w:ind w:left="100"/>
              <w:spacing w:after="0"/>
              <w:rPr>
                <w:sz w:val="20"/>
                <w:szCs w:val="20"/>
                <w:color w:val="auto"/>
              </w:rPr>
            </w:pPr>
            <w:r>
              <w:rPr>
                <w:rFonts w:ascii="Arial" w:cs="Arial" w:eastAsia="Arial" w:hAnsi="Arial"/>
                <w:sz w:val="16"/>
                <w:szCs w:val="16"/>
                <w:b w:val="1"/>
                <w:bCs w:val="1"/>
                <w:color w:val="auto"/>
              </w:rPr>
              <w:t>BALANCE AT MARCH 31, 2020</w:t>
            </w: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(1,335)</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3,729</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2,759</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2,772</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(loss) income</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Derivative instrument adjustment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280"/>
              <w:spacing w:after="0"/>
              <w:rPr>
                <w:sz w:val="20"/>
                <w:szCs w:val="20"/>
                <w:color w:val="auto"/>
              </w:rPr>
            </w:pPr>
            <w:r>
              <w:rPr>
                <w:rFonts w:ascii="Arial" w:cs="Arial" w:eastAsia="Arial" w:hAnsi="Arial"/>
                <w:sz w:val="16"/>
                <w:szCs w:val="16"/>
                <w:color w:val="auto"/>
              </w:rPr>
              <w:t>Share-based compensation plans</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Employee stock plan issuance</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75.2</w:t>
            </w:r>
          </w:p>
        </w:tc>
        <w:tc>
          <w:tcPr>
            <w:tcW w:w="3360" w:type="dxa"/>
            <w:vAlign w:val="bottom"/>
          </w:tcPr>
          <w:p>
            <w:pPr>
              <w:ind w:left="100"/>
              <w:spacing w:after="0"/>
              <w:rPr>
                <w:sz w:val="20"/>
                <w:szCs w:val="20"/>
                <w:color w:val="auto"/>
              </w:rPr>
            </w:pPr>
            <w:r>
              <w:rPr>
                <w:rFonts w:ascii="Arial" w:cs="Arial" w:eastAsia="Arial" w:hAnsi="Arial"/>
                <w:sz w:val="16"/>
                <w:szCs w:val="16"/>
                <w:b w:val="1"/>
                <w:bCs w:val="1"/>
                <w:color w:val="auto"/>
              </w:rPr>
              <w:t>BALANCE AT JUNE 30, 2020</w:t>
            </w: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(1,334)</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3,736</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2,699</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2,720</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(loss) income</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Derivative instrument adjustment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3360" w:type="dxa"/>
            <w:vAlign w:val="bottom"/>
          </w:tcPr>
          <w:p>
            <w:pPr>
              <w:ind w:left="280"/>
              <w:spacing w:after="0"/>
              <w:rPr>
                <w:sz w:val="20"/>
                <w:szCs w:val="20"/>
                <w:color w:val="auto"/>
              </w:rPr>
            </w:pPr>
            <w:r>
              <w:rPr>
                <w:rFonts w:ascii="Arial" w:cs="Arial" w:eastAsia="Arial" w:hAnsi="Arial"/>
                <w:sz w:val="16"/>
                <w:szCs w:val="16"/>
                <w:color w:val="auto"/>
              </w:rPr>
              <w:t>Share-based compensation plans</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8"/>
        </w:trPr>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33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BALANCE AT SEPTEMBER 30,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2,683</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bottom w:val="single" w:sz="8" w:color="auto"/>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07"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SHAREHOLDERS’ EQUITY (CONTINUED)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Additional</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Total MVW</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20" w:type="dxa"/>
            <w:vAlign w:val="bottom"/>
            <w:vMerge w:val="continue"/>
          </w:tcPr>
          <w:p>
            <w:pPr>
              <w:spacing w:after="0"/>
              <w:rPr>
                <w:sz w:val="11"/>
                <w:szCs w:val="11"/>
                <w:color w:val="auto"/>
              </w:rPr>
            </w:pPr>
          </w:p>
        </w:tc>
        <w:tc>
          <w:tcPr>
            <w:tcW w:w="3360" w:type="dxa"/>
            <w:vAlign w:val="bottom"/>
          </w:tcPr>
          <w:p>
            <w:pPr>
              <w:spacing w:after="0"/>
              <w:rPr>
                <w:sz w:val="11"/>
                <w:szCs w:val="11"/>
                <w:color w:val="auto"/>
              </w:rPr>
            </w:pP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Treasury</w:t>
            </w:r>
          </w:p>
        </w:tc>
        <w:tc>
          <w:tcPr>
            <w:tcW w:w="8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980" w:type="dxa"/>
            <w:vAlign w:val="bottom"/>
            <w:gridSpan w:val="3"/>
            <w:vMerge w:val="continue"/>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1"/>
                <w:szCs w:val="11"/>
                <w:color w:val="auto"/>
              </w:rPr>
            </w:pPr>
          </w:p>
        </w:tc>
        <w:tc>
          <w:tcPr>
            <w:tcW w:w="6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336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Paid-In</w:t>
            </w: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Shareholders'</w:t>
            </w:r>
          </w:p>
        </w:tc>
        <w:tc>
          <w:tcPr>
            <w:tcW w:w="10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Issued</w:t>
            </w:r>
          </w:p>
        </w:tc>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6"/>
                <w:szCs w:val="16"/>
                <w:color w:val="auto"/>
              </w:rPr>
            </w:pPr>
          </w:p>
        </w:tc>
        <w:tc>
          <w:tcPr>
            <w:tcW w:w="620" w:type="dxa"/>
            <w:vAlign w:val="bottom"/>
          </w:tcPr>
          <w:p>
            <w:pPr>
              <w:jc w:val="right"/>
              <w:ind w:right="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1"/>
        </w:trPr>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33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BALANCE AT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3,466</w:t>
            </w:r>
          </w:p>
        </w:tc>
        <w:tc>
          <w:tcPr>
            <w:tcW w:w="0" w:type="dxa"/>
            <w:vAlign w:val="bottom"/>
          </w:tcPr>
          <w:p>
            <w:pPr>
              <w:spacing w:after="0"/>
              <w:rPr>
                <w:sz w:val="1"/>
                <w:szCs w:val="1"/>
                <w:color w:val="auto"/>
              </w:rPr>
            </w:pPr>
          </w:p>
        </w:tc>
      </w:tr>
      <w:tr>
        <w:trPr>
          <w:trHeight w:val="213"/>
        </w:trPr>
        <w:tc>
          <w:tcPr>
            <w:tcW w:w="3980" w:type="dxa"/>
            <w:vAlign w:val="bottom"/>
            <w:gridSpan w:val="2"/>
          </w:tcPr>
          <w:p>
            <w:pPr>
              <w:ind w:left="400"/>
              <w:spacing w:after="0"/>
              <w:rPr>
                <w:sz w:val="20"/>
                <w:szCs w:val="20"/>
                <w:color w:val="auto"/>
              </w:rPr>
            </w:pPr>
            <w:r>
              <w:rPr>
                <w:rFonts w:ascii="Arial" w:cs="Arial" w:eastAsia="Arial" w:hAnsi="Arial"/>
                <w:sz w:val="16"/>
                <w:szCs w:val="16"/>
                <w:color w:val="auto"/>
                <w:w w:val="94"/>
              </w:rPr>
              <w:t>—Impact of adoption of ASU 2016-02</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33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OPENING BALANCE 2019</w:t>
            </w: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3,458</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280"/>
              <w:spacing w:after="0"/>
              <w:rPr>
                <w:sz w:val="20"/>
                <w:szCs w:val="20"/>
                <w:color w:val="auto"/>
              </w:rPr>
            </w:pPr>
            <w:r>
              <w:rPr>
                <w:rFonts w:ascii="Arial" w:cs="Arial" w:eastAsia="Arial" w:hAnsi="Arial"/>
                <w:sz w:val="16"/>
                <w:szCs w:val="16"/>
                <w:color w:val="auto"/>
              </w:rPr>
              <w:t>Derivative instrument adjustment</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3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Share-based compensation plans</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280"/>
              <w:spacing w:after="0"/>
              <w:rPr>
                <w:sz w:val="20"/>
                <w:szCs w:val="20"/>
                <w:color w:val="auto"/>
              </w:rPr>
            </w:pPr>
            <w:r>
              <w:rPr>
                <w:rFonts w:ascii="Arial" w:cs="Arial" w:eastAsia="Arial" w:hAnsi="Arial"/>
                <w:sz w:val="16"/>
                <w:szCs w:val="16"/>
                <w:color w:val="auto"/>
              </w:rPr>
              <w:t>Repurchase of common stock</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9"/>
        </w:trPr>
        <w:tc>
          <w:tcPr>
            <w:tcW w:w="3980" w:type="dxa"/>
            <w:vAlign w:val="bottom"/>
            <w:gridSpan w:val="2"/>
          </w:tcPr>
          <w:p>
            <w:pPr>
              <w:ind w:left="380"/>
              <w:spacing w:after="0"/>
              <w:rPr>
                <w:sz w:val="20"/>
                <w:szCs w:val="20"/>
                <w:color w:val="auto"/>
              </w:rPr>
            </w:pPr>
            <w:r>
              <w:rPr>
                <w:rFonts w:ascii="Arial" w:cs="Arial" w:eastAsia="Arial" w:hAnsi="Arial"/>
                <w:sz w:val="18"/>
                <w:szCs w:val="18"/>
                <w:color w:val="auto"/>
                <w:w w:val="91"/>
              </w:rPr>
              <w:t>—</w:t>
            </w:r>
            <w:r>
              <w:rPr>
                <w:rFonts w:ascii="Arial" w:cs="Arial" w:eastAsia="Arial" w:hAnsi="Arial"/>
                <w:sz w:val="16"/>
                <w:szCs w:val="16"/>
                <w:color w:val="auto"/>
                <w:w w:val="91"/>
              </w:rPr>
              <w:t>Employee stock plan issuance</w:t>
            </w:r>
          </w:p>
        </w:tc>
        <w:tc>
          <w:tcPr>
            <w:tcW w:w="1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33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BALANCE AT MARCH 31, 2019</w:t>
            </w: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3,351</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69"/>
        </w:trPr>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ILG Acquisition purchase accounting</w:t>
            </w:r>
          </w:p>
        </w:tc>
        <w:tc>
          <w:tcPr>
            <w:tcW w:w="14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620" w:type="dxa"/>
            <w:vAlign w:val="bottom"/>
            <w:vMerge w:val="continue"/>
            <w:shd w:val="clear" w:color="auto" w:fill="CCEEFF"/>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adjustment</w:t>
            </w:r>
          </w:p>
        </w:tc>
        <w:tc>
          <w:tcPr>
            <w:tcW w:w="14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Derivative instrument adjustment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200"/>
              <w:spacing w:after="0"/>
              <w:rPr>
                <w:sz w:val="20"/>
                <w:szCs w:val="20"/>
                <w:color w:val="auto"/>
              </w:rPr>
            </w:pPr>
            <w:r>
              <w:rPr>
                <w:rFonts w:ascii="Arial" w:cs="Arial" w:eastAsia="Arial" w:hAnsi="Arial"/>
                <w:sz w:val="16"/>
                <w:szCs w:val="16"/>
                <w:color w:val="auto"/>
              </w:rPr>
              <w:t>Share-based compensation plans</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Repurchase of common stock</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200"/>
              <w:spacing w:after="0"/>
              <w:rPr>
                <w:sz w:val="20"/>
                <w:szCs w:val="20"/>
                <w:color w:val="auto"/>
              </w:rPr>
            </w:pPr>
            <w:r>
              <w:rPr>
                <w:rFonts w:ascii="Arial" w:cs="Arial" w:eastAsia="Arial" w:hAnsi="Arial"/>
                <w:sz w:val="16"/>
                <w:szCs w:val="16"/>
                <w:color w:val="auto"/>
              </w:rPr>
              <w:t>Dividends</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Employee stock plan issuance</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3360" w:type="dxa"/>
            <w:vAlign w:val="bottom"/>
          </w:tcPr>
          <w:p>
            <w:pPr>
              <w:ind w:left="100"/>
              <w:spacing w:after="0"/>
              <w:rPr>
                <w:sz w:val="20"/>
                <w:szCs w:val="20"/>
                <w:color w:val="auto"/>
              </w:rPr>
            </w:pPr>
            <w:r>
              <w:rPr>
                <w:rFonts w:ascii="Arial" w:cs="Arial" w:eastAsia="Arial" w:hAnsi="Arial"/>
                <w:sz w:val="16"/>
                <w:szCs w:val="16"/>
                <w:b w:val="1"/>
                <w:bCs w:val="1"/>
                <w:color w:val="auto"/>
              </w:rPr>
              <w:t>BALANCE AT JUNE 30, 2019</w:t>
            </w: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(1,004)</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3,730</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3,264</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3,270</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(loss) income</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6"/>
        </w:trPr>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200"/>
              <w:spacing w:after="0" w:line="166" w:lineRule="exact"/>
              <w:rPr>
                <w:sz w:val="20"/>
                <w:szCs w:val="20"/>
                <w:color w:val="auto"/>
              </w:rPr>
            </w:pPr>
            <w:r>
              <w:rPr>
                <w:rFonts w:ascii="Arial" w:cs="Arial" w:eastAsia="Arial" w:hAnsi="Arial"/>
                <w:sz w:val="16"/>
                <w:szCs w:val="16"/>
                <w:color w:val="auto"/>
              </w:rPr>
              <w:t>ILG Acquisition purchase accounting</w:t>
            </w:r>
          </w:p>
        </w:tc>
        <w:tc>
          <w:tcPr>
            <w:tcW w:w="140" w:type="dxa"/>
            <w:vAlign w:val="bottom"/>
          </w:tcPr>
          <w:p>
            <w:pPr>
              <w:spacing w:after="0"/>
              <w:rPr>
                <w:sz w:val="14"/>
                <w:szCs w:val="14"/>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620" w:type="dxa"/>
            <w:vAlign w:val="bottom"/>
            <w:vMerge w:val="continue"/>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6"/>
                <w:szCs w:val="16"/>
                <w:color w:val="auto"/>
              </w:rPr>
              <w:t>adjustment</w:t>
            </w:r>
          </w:p>
        </w:tc>
        <w:tc>
          <w:tcPr>
            <w:tcW w:w="14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200"/>
              <w:spacing w:after="0"/>
              <w:rPr>
                <w:sz w:val="20"/>
                <w:szCs w:val="20"/>
                <w:color w:val="auto"/>
              </w:rPr>
            </w:pPr>
            <w:r>
              <w:rPr>
                <w:rFonts w:ascii="Arial" w:cs="Arial" w:eastAsia="Arial" w:hAnsi="Arial"/>
                <w:sz w:val="16"/>
                <w:szCs w:val="16"/>
                <w:color w:val="auto"/>
              </w:rPr>
              <w:t>Derivative instrument adjustment</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Share-based compensation plans</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200"/>
              <w:spacing w:after="0"/>
              <w:rPr>
                <w:sz w:val="20"/>
                <w:szCs w:val="20"/>
                <w:color w:val="auto"/>
              </w:rPr>
            </w:pPr>
            <w:r>
              <w:rPr>
                <w:rFonts w:ascii="Arial" w:cs="Arial" w:eastAsia="Arial" w:hAnsi="Arial"/>
                <w:sz w:val="16"/>
                <w:szCs w:val="16"/>
                <w:color w:val="auto"/>
              </w:rPr>
              <w:t>Repurchase of common stock</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Dividends</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360" w:type="dxa"/>
            <w:vAlign w:val="bottom"/>
          </w:tcPr>
          <w:p>
            <w:pPr>
              <w:ind w:left="200"/>
              <w:spacing w:after="0"/>
              <w:rPr>
                <w:sz w:val="20"/>
                <w:szCs w:val="20"/>
                <w:color w:val="auto"/>
              </w:rPr>
            </w:pPr>
            <w:r>
              <w:rPr>
                <w:rFonts w:ascii="Arial" w:cs="Arial" w:eastAsia="Arial" w:hAnsi="Arial"/>
                <w:sz w:val="16"/>
                <w:szCs w:val="16"/>
                <w:color w:val="auto"/>
              </w:rPr>
              <w:t>Employee stock plan issuance</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33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BALANCE AT SEPTEMBER 30,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3,122</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bottom w:val="single" w:sz="8" w:color="auto"/>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99"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88" w:lineRule="exact"/>
        <w:rPr>
          <w:sz w:val="20"/>
          <w:szCs w:val="20"/>
          <w:color w:val="auto"/>
        </w:rPr>
      </w:pPr>
    </w:p>
    <w:p>
      <w:pPr>
        <w:ind w:left="420" w:hanging="394"/>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Interim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 Capitalized terms used and not specifically defined herein have the same meaning given those terms in our Annual Report on Form 10-K for the fiscal year ended December 31, 2019 (the “2019 Annual Report”). We use certain other terms that are defined within these Financial Statements.</w:t>
      </w:r>
    </w:p>
    <w:p>
      <w:pPr>
        <w:spacing w:after="0" w:line="5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(“VIEs”) for which Marriott Vacations Worldwide is the primary beneficiary in accordance with consolidation accounting guidance. References in these Financial Statements to net (loss) income attributable to common shareholders and MVW shareholders’ equity do not include noncontrolling interests, which represent the outside ownership of our consolidated non-wholly owned entities and are reported separately. Intercompany accounts and transactions between consolidated companies have been eliminated in consolidation.</w:t>
      </w:r>
    </w:p>
    <w:p>
      <w:pPr>
        <w:spacing w:after="0" w:line="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goodwill and intangibles valuation, property and equipment valuation, accounting for acquired vacation ownership notes receivable, vacation ownership notes receivable reserves, income taxes and loss contingencies. The uncertainty created by the COVID-19 pandemic (defined below), and efforts to mitigate it, has made it more challenging to make these estimates. Accordingly, ultimate results could differ materially from our estimates.</w:t>
      </w:r>
    </w:p>
    <w:p>
      <w:pPr>
        <w:spacing w:after="0" w:line="6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the impact of the COVID-19 pandemic (defined below) and seasonal and short-term variations.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2019 Annual Report.</w:t>
      </w:r>
    </w:p>
    <w:p>
      <w:pPr>
        <w:spacing w:after="0" w:line="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accompanying Financial Statements also reflect our adoption of new accounting standards. See Footnote 2 “Significant Accounting Policies and Recent Accounting Standards”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 Update</w:t>
      </w:r>
    </w:p>
    <w:p>
      <w:pPr>
        <w:spacing w:after="0" w:line="117"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In March 2020, the World Health Organization declared the coronavirus (COVID-19) a global pandemic (the “COVID-19 pandemic”). National, federal, state, and local governments have since implemented various travel restrictions, border closings, restrictions on public gatherings, mandatory quarantines, shelter-in-place mandates and limitations on business operations. The speed with which the effects of the COVID-19 pandemic have changed the global economic landscape, outlook and, in particular, the travel and hospitality industries, has been swift and unexpected.</w:t>
      </w:r>
    </w:p>
    <w:p>
      <w:pPr>
        <w:spacing w:after="0" w:line="4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results of operations during the first three quarters of 2020 include impacts related to the COVID-19 pandemic, which have been significantly adverse for our business, and the overall travel and hospitality industry in general. We began to see an adverse impact on occupancy in our Vacation Ownership business in mid-March 2020, which quickly accelerated later that month and continued into May 2020. While many of our resorts remained open for owner occupancy throughout April and May, most owners chose to postpone their arrival until a later date, which resulted in substantially lower than normal resort occupancy in the second and third quarters of 2020.</w:t>
      </w:r>
    </w:p>
    <w:p>
      <w:pPr>
        <w:spacing w:after="0" w:line="17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response to quickly evolving travel restrictions and restrictions on business operations, we closed all of our sales centers in March 2020, and beginning March 25, 2020, we closed our resorts for rental guests with stays at our branded North America vacation ownership resorts. Further, due to low occupancy rates and based on various governmental mandates and advisories, we closed several of our resorts and reduced operations and amenities at our resorts that remained open. The closure of our sales centers and low occupancy levels led to a material decrease in contract sales and rental revenues from our vacation ownership business beginning in the second quarter.</w:t>
      </w:r>
    </w:p>
    <w:p>
      <w:pPr>
        <w:spacing w:after="0" w:line="6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Based on these events and the uncertainty they created, we immediately began to focus on our liquidity, including quickly and substantially enhancing our cash holdings. In late-March, we drew down the remainder of our $600 million Revolving Corporate Credit Facility (as defined in Footnote 13 “Debt”). We issued senior secured debt in May, which we used to repay amounts outstanding on our Revolving Corporate Credit Facility. As of September 30, 2020, we had $660 million in cash and cash equivalents on hand, and $597 million of availability on our Revolving Corporate Credit Facility.</w:t>
      </w:r>
    </w:p>
    <w:p>
      <w:pPr>
        <w:spacing w:after="0" w:line="8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addition to accessing the capital markets, we believe we have made significant progress in bolstering our liquidity through cost reduction. These efforts include reducing capital expenditures; suspending hiring and salary increases; reducing executive and other associate salaries; implementing furloughs and reduced work weeks for most of our associates; and modifying vendor and supplier payment terms where possible.</w:t>
      </w:r>
    </w:p>
    <w:p>
      <w:pPr>
        <w:spacing w:after="0" w:line="5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late-May, as many government restrictions were beginning to be relaxed, owner occupancy at our resorts began to grow and we began reopening resorts to rental guests. As of September 30, 2020, over 95 percent of our vacation ownership resorts were open to owners and rental guests. We reopened certain sales centers in June and continued to open additional sales centers in July. As of September 30, 2020, over 80 percent of our sales centers had re-opened. However, extended or further closures of our sales centers may be required if demand declines again or if we are again impacted by government regulations requiring resort closures or restricting travel.</w:t>
      </w:r>
    </w:p>
    <w:p>
      <w:pPr>
        <w:spacing w:after="0" w:line="8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our Exchange &amp; Third-Party Management business, the closures of certain affiliated resorts and managed properties had a significant adverse impact on our business in the second quarter of 2020, with a large number of resorts closed or not taking reservations at the beginning of the second quarter, but by the end of September, over 90 percent of those affiliated resorts and managed properties had reopened. The closure of affiliated resorts and managed properties led to a decrease in management and exchange revenues. Our Aqua-Aston business was also negatively impacted by travel restrictions that significantly impacted the majority of the properties in Hawaii. Further resort and property closures may be required if demand declines again or if we are again impacted by government regulations requiring resort closures or restricting travel. The COVID-19 pandemic continues to depress the demand for vacation rentals due to “stay-at-home” recommendations or requirements, quarantines, and the reluctance of consumers to travel.</w:t>
      </w:r>
    </w:p>
    <w:p>
      <w:pPr>
        <w:spacing w:after="0" w:line="58"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During the second and third quarters of 2020, we continued the temporary adjustments implemented in the first quarter of 2020 to cancellation policies for near-term travel for customers who were unable or unwilling to travel due to the COVID-19 pandemic. We continue to monitor this unprecedented and rapidly evolving situation and are unable to predict its duration or severity.</w:t>
      </w:r>
    </w:p>
    <w:p>
      <w:pPr>
        <w:spacing w:after="0" w:line="7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COVID-19 pandemic, in September 2020, a workforce reduction plan was approved, which is expected to impact approximately 3,000 associates. We expect that we will incur approximately $25 to $30 million in restructuring and related charges primarily related to employee severance and benefit costs. In connection with this plan,we have recorded the following on our Income Statement for both the three and nine months ended September 30, 2020:</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Vacation Ownership</w:t>
            </w:r>
          </w:p>
        </w:tc>
        <w:tc>
          <w:tcPr>
            <w:tcW w:w="140" w:type="dxa"/>
            <w:vAlign w:val="bottom"/>
          </w:tcPr>
          <w:p>
            <w:pPr>
              <w:spacing w:after="0"/>
              <w:rPr>
                <w:sz w:val="16"/>
                <w:szCs w:val="16"/>
                <w:color w:val="auto"/>
              </w:rPr>
            </w:pPr>
          </w:p>
        </w:tc>
        <w:tc>
          <w:tcPr>
            <w:tcW w:w="1680" w:type="dxa"/>
            <w:vAlign w:val="bottom"/>
            <w:gridSpan w:val="2"/>
          </w:tcPr>
          <w:p>
            <w:pPr>
              <w:ind w:left="20"/>
              <w:spacing w:after="0"/>
              <w:rPr>
                <w:sz w:val="20"/>
                <w:szCs w:val="20"/>
                <w:color w:val="auto"/>
              </w:rPr>
            </w:pPr>
            <w:r>
              <w:rPr>
                <w:rFonts w:ascii="Arial" w:cs="Arial" w:eastAsia="Arial" w:hAnsi="Arial"/>
                <w:sz w:val="16"/>
                <w:szCs w:val="16"/>
                <w:b w:val="1"/>
                <w:bCs w:val="1"/>
                <w:color w:val="auto"/>
              </w:rPr>
              <w:t>Exchange &amp; Third-</w:t>
            </w:r>
          </w:p>
        </w:tc>
        <w:tc>
          <w:tcPr>
            <w:tcW w:w="100" w:type="dxa"/>
            <w:vAlign w:val="bottom"/>
          </w:tcPr>
          <w:p>
            <w:pPr>
              <w:spacing w:after="0"/>
              <w:rPr>
                <w:sz w:val="16"/>
                <w:szCs w:val="16"/>
                <w:color w:val="auto"/>
              </w:rPr>
            </w:pPr>
          </w:p>
        </w:tc>
        <w:tc>
          <w:tcPr>
            <w:tcW w:w="1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Pr>
          <w:p>
            <w:pPr>
              <w:spacing w:after="0"/>
              <w:rPr>
                <w:sz w:val="16"/>
                <w:szCs w:val="16"/>
                <w:color w:val="auto"/>
              </w:rPr>
            </w:pPr>
          </w:p>
        </w:tc>
        <w:tc>
          <w:tcPr>
            <w:tcW w:w="1320" w:type="dxa"/>
            <w:vAlign w:val="bottom"/>
            <w:vMerge w:val="restart"/>
          </w:tcPr>
          <w:p>
            <w:pPr>
              <w:jc w:val="right"/>
              <w:ind w:right="5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Party Management</w:t>
            </w:r>
          </w:p>
        </w:tc>
        <w:tc>
          <w:tcPr>
            <w:tcW w:w="10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reimbursement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center"/>
              <w:ind w:left="1254"/>
              <w:spacing w:after="0"/>
              <w:rPr>
                <w:sz w:val="20"/>
                <w:szCs w:val="20"/>
                <w:color w:val="auto"/>
              </w:rPr>
            </w:pPr>
            <w:r>
              <w:rPr>
                <w:rFonts w:ascii="Arial" w:cs="Arial" w:eastAsia="Arial" w:hAnsi="Arial"/>
                <w:sz w:val="18"/>
                <w:szCs w:val="18"/>
                <w:color w:val="auto"/>
                <w:w w:val="99"/>
              </w:rPr>
              <w:t>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Cost reimbursement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center"/>
              <w:ind w:left="1214"/>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center"/>
              <w:ind w:left="1214"/>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ind w:left="1360"/>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reclassified certain prior year amounts to conform to our current year presentation.</w:t>
      </w:r>
    </w:p>
    <w:p>
      <w:pPr>
        <w:spacing w:after="0" w:line="21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hanging="394"/>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AND RECENT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Accounting Standards Update 2016-13 –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w:t>
      </w:r>
    </w:p>
    <w:p>
      <w:pPr>
        <w:spacing w:after="0" w:line="62"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In the first quarter of 2020, we adopted ASU 2016-13, which replaces the incurred loss impairment methodology in current GAAP with a methodology that reflects expected credit losses and requires consideration of a broader range of reasonable and supportable information to inform credit loss estimates. The update is intended to provide financial statement users with more decision-useful information about the expected credit losses on financial instruments and other commitments to extend credit held by a reporting entity at each reporting date. The current expected credit loss model provides that an initial estimate of expected credit losses over the contractual life of the financial instrument is reflected in the allowance for credit losses and any changes to that estimate are recognized as adjustments to the allowance. ASU 2016-13 did not have a material impact on our financial statements or disclosures upon adoption.</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Vacation Ownership Notes Receivable</w:t>
      </w:r>
    </w:p>
    <w:p>
      <w:pPr>
        <w:spacing w:after="0" w:line="11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originated vacation ownership notes receivable are recorded net of a reserve that is calculated in accordance with ASC 606, so there was no material impact upon adoption of ASU 2016-13. Our acquired vacation ownership notes receivable have historically been accounted for using the expected cash flow method of recognizing discount accretion based on the expected cash flows of those instruments. Upon adoption of ASU 2016-13, we established a reserve for credit losses and a corresponding increase in the book value of the acquired vacation ownership notes receivable, resulting in no impact to the recorded balance. In addition, we recorded a noncredit discount of $2 million, which represents the difference between the amortized cost basis and the par value of our acquired vacation ownership notes receivable. The noncredit discount will be amortized to interest expense over the contractual life of the acquired vacation ownership notes receivable and is recorded as Financing expenses on our Income Statements. For additional information on our vacation ownership notes receivable, including information on the related reserves, see Footnote 6 “Vacation Ownership Notes Receivable.”</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Our Accounts receivable include amounts due from customers, principally credit card receivables, and amounts due from resort developers, members and managed properties. These amounts are typically due within one year and are presented net of an allowance for credit losses. Subsequent to our adoption of ASU 2016-13, we estimate expected credit losses for our accounts receivable by considering a number of factors, including previous loss history and the condition of the general economy, as well as any other significant events that may impact the collectibility of the specific accounts receivable. Accounts receivable also includes interest receivable on vacation ownership notes receivable. Write-offs of interest receivable are recorded as a reversal of previously recorded interest income. There was no material impact to our financial statements or disclosures as a result of our adoption of ASU 2016-13 for accounts receivable, and no material change in our allowance for credit losses during the first nine months of 2020.</w:t>
      </w:r>
    </w:p>
    <w:p>
      <w:pPr>
        <w:spacing w:after="0" w:line="5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 xml:space="preserve">Securities and Exchange Commission (“SEC”) Final Rule Release No. 33-10762, </w:t>
      </w:r>
      <w:r>
        <w:rPr>
          <w:rFonts w:ascii="Arial" w:cs="Arial" w:eastAsia="Arial" w:hAnsi="Arial"/>
          <w:sz w:val="18"/>
          <w:szCs w:val="18"/>
          <w:i w:val="1"/>
          <w:iCs w:val="1"/>
          <w:color w:val="auto"/>
        </w:rPr>
        <w:t>Financial Disclosures About Guarantors and Issuers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Guaranteed Securities and Affiliates Whose Securities Collateralize a Registrant’s Securities </w:t>
      </w:r>
      <w:r>
        <w:rPr>
          <w:rFonts w:ascii="Arial" w:cs="Arial" w:eastAsia="Arial" w:hAnsi="Arial"/>
          <w:sz w:val="18"/>
          <w:szCs w:val="18"/>
          <w:color w:val="auto"/>
        </w:rPr>
        <w:t>(“SEC Final Rule”)</w:t>
      </w:r>
    </w:p>
    <w:p>
      <w:pPr>
        <w:spacing w:after="0" w:line="6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In March 2020, the SEC issued the SEC Final Rule which simplifies the disclosure requirements related to registered securities under Rule 3-10 of Regulation S-X. The SEC Final Rule replaces the requirement for a parent entity to provide detailed disclosures regarding guarantors of registered debt offerings within the footnotes to the consolidated financial statements. Under the SEC Final Rule, a parent entity is required to present summarized financial information of the issuers’ and guarantors’ balance sheets and statements of operations on a consolidated basis. It also requires qualitative disclosures with respect to information about guarantors and the terms and conditions of guarantees. These disclosures may be provided outside the footnotes to a company’s consolidated financial statements. We early adopted the reporting requirements of the SEC Final Rule in the first quarter of 2020 and elected to provide these disclosures within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of our Quarterly Report on Form 10-Q.</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Accounting Standards Update 2019-12 –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w:t>
      </w:r>
    </w:p>
    <w:p>
      <w:pPr>
        <w:spacing w:after="0" w:line="11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December 2019, the FASB issued ASU 2019-12, which amends and simplifies existing guidance in an effort to reduce the complexity of accounting for income taxes while maintaining or enhancing the helpfulness of information provided to financial statement users. This update is effective for fiscal years beginning after December 15, 2020, including interim</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periods therein, with early adoption permitted. We expect to adopt ASU 2019-12 commencing in fiscal year 2021 and continue to evaluate the impact that adoption of this update will have on our financial statements and disclosures.</w:t>
      </w:r>
    </w:p>
    <w:p>
      <w:pPr>
        <w:spacing w:after="0" w:line="6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Accounting Standards Update 2020-04 –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(“ASU 2020-04”)</w:t>
      </w:r>
    </w:p>
    <w:p>
      <w:pPr>
        <w:spacing w:after="0" w:line="6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March 2020, the FASB issued ASU 2020-04, as amended, which provides optional expedients and exceptions to existing guidance on contract modifications and hedge accounting in an effort to ease the financial reporting burdens related to the expected market transition from the LIBOR and other interbank offered rates to alternative reference rates. This update can be adopted no later than December 1, 2022, with early adoption permitted. We expect to adopt ASU 2020-04 in fiscal year 2022 and continue to evaluate the impact that adoption of this update will have on our financial statements and disclosures.</w:t>
      </w:r>
    </w:p>
    <w:p>
      <w:pPr>
        <w:spacing w:after="0" w:line="80" w:lineRule="exact"/>
        <w:rPr>
          <w:sz w:val="20"/>
          <w:szCs w:val="20"/>
          <w:color w:val="auto"/>
        </w:rPr>
      </w:pPr>
    </w:p>
    <w:p>
      <w:pPr>
        <w:jc w:val="both"/>
        <w:ind w:right="120" w:firstLine="648"/>
        <w:spacing w:after="0" w:line="342" w:lineRule="auto"/>
        <w:rPr>
          <w:sz w:val="20"/>
          <w:szCs w:val="20"/>
          <w:color w:val="auto"/>
        </w:rPr>
      </w:pPr>
      <w:r>
        <w:rPr>
          <w:rFonts w:ascii="Arial" w:cs="Arial" w:eastAsia="Arial" w:hAnsi="Arial"/>
          <w:sz w:val="16"/>
          <w:szCs w:val="16"/>
          <w:color w:val="auto"/>
        </w:rPr>
        <w:t>Accounting Standards Update 2020-06 – “</w:t>
      </w:r>
      <w:r>
        <w:rPr>
          <w:rFonts w:ascii="Arial" w:cs="Arial" w:eastAsia="Arial" w:hAnsi="Arial"/>
          <w:sz w:val="16"/>
          <w:szCs w:val="16"/>
          <w:i w:val="1"/>
          <w:iCs w:val="1"/>
          <w:color w:val="auto"/>
        </w:rPr>
        <w:t>Debt — Debt With Conversion and Other Options (Subtopic 470-20) and Derivatives and Hedging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in Entity’s Own Equity (Subtopic 815-40): Accounting for Convertible Instruments and Contracts in an Entity’s Own Equity” </w:t>
      </w:r>
      <w:r>
        <w:rPr>
          <w:rFonts w:ascii="Arial" w:cs="Arial" w:eastAsia="Arial" w:hAnsi="Arial"/>
          <w:sz w:val="16"/>
          <w:szCs w:val="16"/>
          <w:color w:val="auto"/>
        </w:rPr>
        <w:t>(“ASU 2020-06”)</w:t>
      </w:r>
    </w:p>
    <w:p>
      <w:pPr>
        <w:spacing w:after="0" w:line="1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August 2020, the FASB issued ASU 2020-06, which amends and simplifies existing guidance in an effort to reduce the complexity of accounting for convertible instruments and to provide financial statement users with more meaningful information. ASU 2020-06 is effective for fiscal years beginning after December 15, 2021, including interim periods therein, with early adoption permitted. This update may be applied retrospectively or on a modified retrospective basis with the cumulative effect recognized as an adjustment to the opening balance of retained earnings on the date of adoption. Additionally, this update provides for a one-time irrevocable election by entities to apply the fair value option in accordance with ASC 825-10 for any liability-classified convertible securities, with the difference between the carrying amount and the fair value recorded as a cumulative-effect adjustment to opening retained earnings as of the beginning of the period of adoption. We are evaluating the impact that ASU 2020-06, including the timing of implementation, will have on our financial statements and disclosures.</w:t>
      </w:r>
    </w:p>
    <w:p>
      <w:pPr>
        <w:spacing w:after="0" w:line="242" w:lineRule="exact"/>
        <w:rPr>
          <w:sz w:val="20"/>
          <w:szCs w:val="20"/>
          <w:color w:val="auto"/>
        </w:rPr>
      </w:pPr>
    </w:p>
    <w:p>
      <w:pPr>
        <w:ind w:left="420" w:hanging="394"/>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New York</w:t>
      </w:r>
    </w:p>
    <w:p>
      <w:pPr>
        <w:spacing w:after="0" w:line="11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the first quarter of 2020, we acquired 57 completed vacation ownership units, as well as office and ancillary space, located at our Marriott Vacation Club Pulse, New York City property for $89 million, of which $22 million was a prepayment for future tranches of completed vacation ownership units and $20 million was paid in December 2019. We accounted for the transaction as an asset acquisition with the purchase price allocated to Other assets ($22 million) and Property and equipment ($67 million). See Footnote 11 “Contingencies and Commitments” for information on our remaining commitment to purchase future inventory and Footnote 16 “Variable Interest Entities” for additional information on this transaction and our activities relating to the VIE involved in this transaction.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Francisco, California</w:t>
      </w:r>
    </w:p>
    <w:p>
      <w:pPr>
        <w:spacing w:after="0" w:line="11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During the first quarter of 2020, we acquired 34 completed vacation ownership units located at our Marriott Vacation Club Pulse, San Francisco property for $26 million, of which $5 million was a prepayment for future tranches of completed vacation ownership units. We accounted for the transaction as an asset acquisition with the purchase price allocated to Inventory ($18 million), Other assets ($5 million), and Property and equipment ($3 million). See Footnote 11 “Contingencies and Commitments” for information on our remaining commitment to purchase future inventory and Footnote 16 “Variable Interest Entities” for additional information on this transaction and our activities relating to the VIE involved in this transaction.</w:t>
      </w:r>
    </w:p>
    <w:p>
      <w:pPr>
        <w:spacing w:after="0" w:line="5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During the third quarter of 2019, we acquired 78 completed vacation ownership units and a sales gallery located at our Marriott Vacation Club Pulse, San Francisco property for $58 million. We accounted for the transaction as an asset acquisition with the purchase price allocated to Inventory ($48 million) and Property &amp; equipment ($10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11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During the third quarter of 2020, we recorded a loss of $5 million in the (Losses) gains and other (expense) income, net line on our Income Statement for the three and nine months ended September 30, 2020 relating to the redemption of our interest in a joint venture in our Exchange &amp; Third-Party Management segment which was consolidated under the voting interest model. We received nominal cash proceeds and a note receivable which we measured at a fair value of $1 million using Level 3 inputs.</w:t>
      </w:r>
    </w:p>
    <w:p>
      <w:pPr>
        <w:spacing w:after="0" w:line="1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Additionally, during the third quarter of 2020, we disposed of excess Vacation Ownership segment land parcels in Orlando, Florida and Steamboat Springs, Colorado for combined proceeds of $15 million, as part of our strategic decision to reduce holdings in markets where we have excess supply. We recorded a combined net gain of $6 million in the (Losses) gains and other (expense) income, net line on our Income Statement for the three and nine months ended September 30, 2020 relating to these transactions.</w:t>
      </w:r>
    </w:p>
    <w:p>
      <w:pPr>
        <w:spacing w:after="0" w:line="250" w:lineRule="exact"/>
        <w:rPr>
          <w:sz w:val="20"/>
          <w:szCs w:val="20"/>
          <w:color w:val="auto"/>
        </w:rPr>
      </w:pPr>
    </w:p>
    <w:p>
      <w:pPr>
        <w:ind w:left="420" w:hanging="394"/>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RECEIVABLES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 by Segment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detail the sources of revenue by segment for the time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Three Months Ended September 30, 2020</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vMerge w:val="restart"/>
          </w:tcPr>
          <w:p>
            <w:pPr>
              <w:jc w:val="right"/>
              <w:ind w:right="51"/>
              <w:spacing w:after="0"/>
              <w:rPr>
                <w:sz w:val="20"/>
                <w:szCs w:val="20"/>
                <w:color w:val="auto"/>
              </w:rPr>
            </w:pPr>
            <w:r>
              <w:rPr>
                <w:rFonts w:ascii="Arial" w:cs="Arial" w:eastAsia="Arial" w:hAnsi="Arial"/>
                <w:sz w:val="16"/>
                <w:szCs w:val="16"/>
                <w:b w:val="1"/>
                <w:bCs w:val="1"/>
                <w:color w:val="auto"/>
                <w:w w:val="92"/>
              </w:rPr>
              <w:t>Vacation Ownership</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Exchange &amp; Third-</w:t>
            </w:r>
          </w:p>
        </w:tc>
        <w:tc>
          <w:tcPr>
            <w:tcW w:w="100" w:type="dxa"/>
            <w:vAlign w:val="bottom"/>
          </w:tcPr>
          <w:p>
            <w:pPr>
              <w:spacing w:after="0"/>
              <w:rPr>
                <w:sz w:val="13"/>
                <w:szCs w:val="13"/>
                <w:color w:val="auto"/>
              </w:rPr>
            </w:pPr>
          </w:p>
        </w:tc>
        <w:tc>
          <w:tcPr>
            <w:tcW w:w="1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Pr>
          <w:p>
            <w:pPr>
              <w:spacing w:after="0"/>
              <w:rPr>
                <w:sz w:val="13"/>
                <w:szCs w:val="13"/>
                <w:color w:val="auto"/>
              </w:rPr>
            </w:pPr>
          </w:p>
        </w:tc>
        <w:tc>
          <w:tcPr>
            <w:tcW w:w="13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Party Management</w:t>
            </w:r>
          </w:p>
        </w:tc>
        <w:tc>
          <w:tcPr>
            <w:tcW w:w="10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Ancillary revenues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Management fee revenues</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Exchange and other services revenues</w:t>
            </w: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Management and exchange</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 from contracts with customers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Financing</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4"/>
        </w:trPr>
        <w:tc>
          <w:tcPr>
            <w:tcW w:w="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Three Months Ended September 30, 2019</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vMerge w:val="restart"/>
          </w:tcPr>
          <w:p>
            <w:pPr>
              <w:jc w:val="right"/>
              <w:ind w:right="51"/>
              <w:spacing w:after="0"/>
              <w:rPr>
                <w:sz w:val="20"/>
                <w:szCs w:val="20"/>
                <w:color w:val="auto"/>
              </w:rPr>
            </w:pPr>
            <w:r>
              <w:rPr>
                <w:rFonts w:ascii="Arial" w:cs="Arial" w:eastAsia="Arial" w:hAnsi="Arial"/>
                <w:sz w:val="16"/>
                <w:szCs w:val="16"/>
                <w:b w:val="1"/>
                <w:bCs w:val="1"/>
                <w:color w:val="auto"/>
                <w:w w:val="92"/>
              </w:rPr>
              <w:t>Vacation Ownership</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Exchange &amp; Third-</w:t>
            </w:r>
          </w:p>
        </w:tc>
        <w:tc>
          <w:tcPr>
            <w:tcW w:w="100" w:type="dxa"/>
            <w:vAlign w:val="bottom"/>
          </w:tcPr>
          <w:p>
            <w:pPr>
              <w:spacing w:after="0"/>
              <w:rPr>
                <w:sz w:val="13"/>
                <w:szCs w:val="13"/>
                <w:color w:val="auto"/>
              </w:rPr>
            </w:pPr>
          </w:p>
        </w:tc>
        <w:tc>
          <w:tcPr>
            <w:tcW w:w="1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Pr>
          <w:p>
            <w:pPr>
              <w:spacing w:after="0"/>
              <w:rPr>
                <w:sz w:val="13"/>
                <w:szCs w:val="13"/>
                <w:color w:val="auto"/>
              </w:rPr>
            </w:pPr>
          </w:p>
        </w:tc>
        <w:tc>
          <w:tcPr>
            <w:tcW w:w="13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Party Management</w:t>
            </w:r>
          </w:p>
        </w:tc>
        <w:tc>
          <w:tcPr>
            <w:tcW w:w="10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gridSpan w:val="2"/>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Ancillary revenues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Management fee revenues</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Exchange and other services revenues</w:t>
            </w: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Management and exchange</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 from contracts with customers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gridSpan w:val="2"/>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Financing</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9"/>
        </w:trPr>
        <w:tc>
          <w:tcPr>
            <w:tcW w:w="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89"/>
              </w:rPr>
              <w:t>12</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Nine Months Ended September 30, 2020</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 in millions)</w:t>
            </w:r>
          </w:p>
        </w:tc>
        <w:tc>
          <w:tcPr>
            <w:tcW w:w="120" w:type="dxa"/>
            <w:vAlign w:val="bottom"/>
          </w:tcPr>
          <w:p>
            <w:pPr>
              <w:spacing w:after="0"/>
              <w:rPr>
                <w:sz w:val="13"/>
                <w:szCs w:val="13"/>
                <w:color w:val="auto"/>
              </w:rPr>
            </w:pPr>
          </w:p>
        </w:tc>
        <w:tc>
          <w:tcPr>
            <w:tcW w:w="1580" w:type="dxa"/>
            <w:vAlign w:val="bottom"/>
            <w:vMerge w:val="restart"/>
          </w:tcPr>
          <w:p>
            <w:pPr>
              <w:jc w:val="right"/>
              <w:ind w:right="51"/>
              <w:spacing w:after="0"/>
              <w:rPr>
                <w:sz w:val="20"/>
                <w:szCs w:val="20"/>
                <w:color w:val="auto"/>
              </w:rPr>
            </w:pPr>
            <w:r>
              <w:rPr>
                <w:rFonts w:ascii="Arial" w:cs="Arial" w:eastAsia="Arial" w:hAnsi="Arial"/>
                <w:sz w:val="16"/>
                <w:szCs w:val="16"/>
                <w:b w:val="1"/>
                <w:bCs w:val="1"/>
                <w:color w:val="auto"/>
                <w:w w:val="92"/>
              </w:rPr>
              <w:t>Vacation Ownership</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Exchange &amp; Third-</w:t>
            </w:r>
          </w:p>
        </w:tc>
        <w:tc>
          <w:tcPr>
            <w:tcW w:w="120" w:type="dxa"/>
            <w:vAlign w:val="bottom"/>
          </w:tcPr>
          <w:p>
            <w:pPr>
              <w:spacing w:after="0"/>
              <w:rPr>
                <w:sz w:val="13"/>
                <w:szCs w:val="13"/>
                <w:color w:val="auto"/>
              </w:rPr>
            </w:pPr>
          </w:p>
        </w:tc>
        <w:tc>
          <w:tcPr>
            <w:tcW w:w="1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Pr>
          <w:p>
            <w:pPr>
              <w:spacing w:after="0"/>
              <w:rPr>
                <w:sz w:val="13"/>
                <w:szCs w:val="13"/>
                <w:color w:val="auto"/>
              </w:rPr>
            </w:pPr>
          </w:p>
        </w:tc>
        <w:tc>
          <w:tcPr>
            <w:tcW w:w="136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Party Management</w:t>
            </w:r>
          </w:p>
        </w:tc>
        <w:tc>
          <w:tcPr>
            <w:tcW w:w="1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Ancillary revenues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20"/>
              <w:spacing w:after="0"/>
              <w:rPr>
                <w:sz w:val="20"/>
                <w:szCs w:val="20"/>
                <w:color w:val="auto"/>
              </w:rPr>
            </w:pPr>
            <w:r>
              <w:rPr>
                <w:rFonts w:ascii="Arial" w:cs="Arial" w:eastAsia="Arial" w:hAnsi="Arial"/>
                <w:sz w:val="18"/>
                <w:szCs w:val="18"/>
                <w:color w:val="auto"/>
              </w:rPr>
              <w:t>Management fee revenues</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Exchange and other services revenues</w:t>
            </w: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Management and exchange</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from contracts with customers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5"/>
        </w:trPr>
        <w:tc>
          <w:tcPr>
            <w:tcW w:w="4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Nine Months Ended September 30, 2019</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 in millions)</w:t>
            </w:r>
          </w:p>
        </w:tc>
        <w:tc>
          <w:tcPr>
            <w:tcW w:w="120" w:type="dxa"/>
            <w:vAlign w:val="bottom"/>
          </w:tcPr>
          <w:p>
            <w:pPr>
              <w:spacing w:after="0"/>
              <w:rPr>
                <w:sz w:val="13"/>
                <w:szCs w:val="13"/>
                <w:color w:val="auto"/>
              </w:rPr>
            </w:pPr>
          </w:p>
        </w:tc>
        <w:tc>
          <w:tcPr>
            <w:tcW w:w="1580" w:type="dxa"/>
            <w:vAlign w:val="bottom"/>
            <w:vMerge w:val="restart"/>
          </w:tcPr>
          <w:p>
            <w:pPr>
              <w:jc w:val="right"/>
              <w:ind w:right="51"/>
              <w:spacing w:after="0"/>
              <w:rPr>
                <w:sz w:val="20"/>
                <w:szCs w:val="20"/>
                <w:color w:val="auto"/>
              </w:rPr>
            </w:pPr>
            <w:r>
              <w:rPr>
                <w:rFonts w:ascii="Arial" w:cs="Arial" w:eastAsia="Arial" w:hAnsi="Arial"/>
                <w:sz w:val="16"/>
                <w:szCs w:val="16"/>
                <w:b w:val="1"/>
                <w:bCs w:val="1"/>
                <w:color w:val="auto"/>
                <w:w w:val="92"/>
              </w:rPr>
              <w:t>Vacation Ownership</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Exchange &amp; Third-</w:t>
            </w:r>
          </w:p>
        </w:tc>
        <w:tc>
          <w:tcPr>
            <w:tcW w:w="120" w:type="dxa"/>
            <w:vAlign w:val="bottom"/>
          </w:tcPr>
          <w:p>
            <w:pPr>
              <w:spacing w:after="0"/>
              <w:rPr>
                <w:sz w:val="13"/>
                <w:szCs w:val="13"/>
                <w:color w:val="auto"/>
              </w:rPr>
            </w:pPr>
          </w:p>
        </w:tc>
        <w:tc>
          <w:tcPr>
            <w:tcW w:w="1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Pr>
          <w:p>
            <w:pPr>
              <w:spacing w:after="0"/>
              <w:rPr>
                <w:sz w:val="13"/>
                <w:szCs w:val="13"/>
                <w:color w:val="auto"/>
              </w:rPr>
            </w:pPr>
          </w:p>
        </w:tc>
        <w:tc>
          <w:tcPr>
            <w:tcW w:w="136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Party Management</w:t>
            </w:r>
          </w:p>
        </w:tc>
        <w:tc>
          <w:tcPr>
            <w:tcW w:w="1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gridSpan w:val="2"/>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Ancillary revenues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20"/>
              <w:spacing w:after="0"/>
              <w:rPr>
                <w:sz w:val="20"/>
                <w:szCs w:val="20"/>
                <w:color w:val="auto"/>
              </w:rPr>
            </w:pPr>
            <w:r>
              <w:rPr>
                <w:rFonts w:ascii="Arial" w:cs="Arial" w:eastAsia="Arial" w:hAnsi="Arial"/>
                <w:sz w:val="18"/>
                <w:szCs w:val="18"/>
                <w:color w:val="auto"/>
              </w:rPr>
              <w:t>Management fee revenues</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Exchange and other services revenues</w:t>
            </w: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Management and exchange</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from contracts with customers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gridSpan w:val="2"/>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13</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Revenue from Contracts with Customers by Segment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detail the timing of revenue from contracts with customers by segment for the time periods presented.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6"/>
                <w:szCs w:val="16"/>
                <w:b w:val="1"/>
                <w:bCs w:val="1"/>
                <w:color w:val="auto"/>
                <w:w w:val="91"/>
              </w:rPr>
              <w:t>Three Months Ended September 30, 2020</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w w:val="96"/>
              </w:rPr>
              <w:t>Vacation Ownership</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Exchange &amp; Third-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7"/>
              </w:rPr>
              <w:t>Corporate and 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gridSpan w:val="3"/>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Party Management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gridSpan w:val="3"/>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Goods or services transferred at a point in time</w:t>
            </w:r>
          </w:p>
        </w:tc>
        <w:tc>
          <w:tcPr>
            <w:tcW w:w="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Revenue from contracts with customers</w:t>
            </w: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6"/>
                <w:szCs w:val="16"/>
                <w:b w:val="1"/>
                <w:bCs w:val="1"/>
                <w:color w:val="auto"/>
                <w:w w:val="91"/>
              </w:rPr>
              <w:t>Three Months Ended September 30, 2019</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w w:val="96"/>
              </w:rPr>
              <w:t>Vacation Ownership</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Exchange &amp; Third-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7"/>
              </w:rPr>
              <w:t>Corporate and 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gridSpan w:val="3"/>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Party Management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gridSpan w:val="3"/>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Goods or services transferred at a point in time</w:t>
            </w:r>
          </w:p>
        </w:tc>
        <w:tc>
          <w:tcPr>
            <w:tcW w:w="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Revenue from contracts with customers</w:t>
            </w: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6"/>
                <w:szCs w:val="16"/>
                <w:b w:val="1"/>
                <w:bCs w:val="1"/>
                <w:color w:val="auto"/>
                <w:w w:val="91"/>
              </w:rPr>
              <w:t>Nine Months Ended September 30, 2020</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7"/>
              </w:rPr>
              <w:t>Vacation Ownership</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3"/>
          </w:tcPr>
          <w:p>
            <w:pPr>
              <w:ind w:left="100"/>
              <w:spacing w:after="0" w:line="158" w:lineRule="exact"/>
              <w:rPr>
                <w:sz w:val="20"/>
                <w:szCs w:val="20"/>
                <w:color w:val="auto"/>
              </w:rPr>
            </w:pPr>
            <w:r>
              <w:rPr>
                <w:rFonts w:ascii="Arial" w:cs="Arial" w:eastAsia="Arial" w:hAnsi="Arial"/>
                <w:sz w:val="16"/>
                <w:szCs w:val="16"/>
                <w:b w:val="1"/>
                <w:bCs w:val="1"/>
                <w:color w:val="auto"/>
              </w:rPr>
              <w:t>Exchange &amp; Third-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Corporate and 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5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15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3"/>
          </w:tcPr>
          <w:p>
            <w:pPr>
              <w:ind w:left="100"/>
              <w:spacing w:after="0"/>
              <w:rPr>
                <w:sz w:val="20"/>
                <w:szCs w:val="20"/>
                <w:color w:val="auto"/>
              </w:rPr>
            </w:pPr>
            <w:r>
              <w:rPr>
                <w:rFonts w:ascii="Arial" w:cs="Arial" w:eastAsia="Arial" w:hAnsi="Arial"/>
                <w:sz w:val="16"/>
                <w:szCs w:val="16"/>
                <w:b w:val="1"/>
                <w:bCs w:val="1"/>
                <w:color w:val="auto"/>
              </w:rPr>
              <w:t>Party Management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Services transferred over time</w:t>
            </w:r>
          </w:p>
        </w:tc>
        <w:tc>
          <w:tcPr>
            <w:tcW w:w="600" w:type="dxa"/>
            <w:vAlign w:val="bottom"/>
            <w:tcBorders>
              <w:top w:val="single" w:sz="8" w:color="auto"/>
            </w:tcBorders>
            <w:gridSpan w:val="2"/>
            <w:shd w:val="clear" w:color="auto" w:fill="CCEEFF"/>
          </w:tcPr>
          <w:p>
            <w:pPr>
              <w:jc w:val="right"/>
              <w:ind w:right="415"/>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Goods or services transferred at a point in time</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5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 from contracts with customers</w:t>
            </w:r>
          </w:p>
        </w:tc>
        <w:tc>
          <w:tcPr>
            <w:tcW w:w="600" w:type="dxa"/>
            <w:vAlign w:val="bottom"/>
            <w:tcBorders>
              <w:top w:val="single" w:sz="8" w:color="auto"/>
              <w:bottom w:val="single" w:sz="8" w:color="auto"/>
            </w:tcBorders>
            <w:gridSpan w:val="2"/>
            <w:shd w:val="clear" w:color="auto" w:fill="CCEEFF"/>
          </w:tcPr>
          <w:p>
            <w:pPr>
              <w:jc w:val="right"/>
              <w:ind w:right="415"/>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gridSpan w:val="2"/>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58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6"/>
                <w:szCs w:val="16"/>
                <w:b w:val="1"/>
                <w:bCs w:val="1"/>
                <w:color w:val="auto"/>
                <w:w w:val="91"/>
              </w:rPr>
              <w:t>Nine Months Ended September 30, 2019</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7"/>
              </w:rPr>
              <w:t>Vacation Ownership</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3"/>
          </w:tcPr>
          <w:p>
            <w:pPr>
              <w:ind w:left="100"/>
              <w:spacing w:after="0" w:line="158" w:lineRule="exact"/>
              <w:rPr>
                <w:sz w:val="20"/>
                <w:szCs w:val="20"/>
                <w:color w:val="auto"/>
              </w:rPr>
            </w:pPr>
            <w:r>
              <w:rPr>
                <w:rFonts w:ascii="Arial" w:cs="Arial" w:eastAsia="Arial" w:hAnsi="Arial"/>
                <w:sz w:val="16"/>
                <w:szCs w:val="16"/>
                <w:b w:val="1"/>
                <w:bCs w:val="1"/>
                <w:color w:val="auto"/>
              </w:rPr>
              <w:t>Exchange &amp; Third-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Corporate and 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8"/>
                <w:szCs w:val="18"/>
                <w:color w:val="auto"/>
              </w:rPr>
            </w:pPr>
          </w:p>
        </w:tc>
        <w:tc>
          <w:tcPr>
            <w:tcW w:w="15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3"/>
          </w:tcPr>
          <w:p>
            <w:pPr>
              <w:ind w:left="100"/>
              <w:spacing w:after="0"/>
              <w:rPr>
                <w:sz w:val="20"/>
                <w:szCs w:val="20"/>
                <w:color w:val="auto"/>
              </w:rPr>
            </w:pPr>
            <w:r>
              <w:rPr>
                <w:rFonts w:ascii="Arial" w:cs="Arial" w:eastAsia="Arial" w:hAnsi="Arial"/>
                <w:sz w:val="16"/>
                <w:szCs w:val="16"/>
                <w:b w:val="1"/>
                <w:bCs w:val="1"/>
                <w:color w:val="auto"/>
              </w:rPr>
              <w:t>Party Management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Services transferred over time</w:t>
            </w:r>
          </w:p>
        </w:tc>
        <w:tc>
          <w:tcPr>
            <w:tcW w:w="600" w:type="dxa"/>
            <w:vAlign w:val="bottom"/>
            <w:tcBorders>
              <w:top w:val="single" w:sz="8" w:color="auto"/>
            </w:tcBorders>
            <w:gridSpan w:val="2"/>
            <w:shd w:val="clear" w:color="auto" w:fill="CCEEFF"/>
          </w:tcPr>
          <w:p>
            <w:pPr>
              <w:jc w:val="right"/>
              <w:ind w:right="415"/>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Goods or services transferred at a point in time</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5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 from contracts with customers</w:t>
            </w:r>
          </w:p>
        </w:tc>
        <w:tc>
          <w:tcPr>
            <w:tcW w:w="600" w:type="dxa"/>
            <w:vAlign w:val="bottom"/>
            <w:tcBorders>
              <w:top w:val="single" w:sz="8" w:color="auto"/>
              <w:bottom w:val="single" w:sz="8" w:color="auto"/>
            </w:tcBorders>
            <w:gridSpan w:val="2"/>
            <w:shd w:val="clear" w:color="auto" w:fill="CCEEFF"/>
          </w:tcPr>
          <w:p>
            <w:pPr>
              <w:jc w:val="right"/>
              <w:ind w:right="415"/>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gridSpan w:val="2"/>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Revenues were reduced during the third quarter and first three quarters of 2020 by $3 million and $58 million, respectively, due to changes in our estimates of variable consideration for performance obligations that were satisfied in prior periods. See Footnote 6 “Vacation Ownership Notes Receivable” for information on increases to our vacation ownership notes receivable reserve attributable to the COVID-19 pandemic.</w:t>
      </w:r>
    </w:p>
    <w:p>
      <w:pPr>
        <w:spacing w:after="0" w:line="1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from Contracts with Customers, Contract Assets &amp; Contract Liabilities</w:t>
      </w:r>
    </w:p>
    <w:p>
      <w:pPr>
        <w:spacing w:after="0" w:line="11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shows the composition of our receivables from contracts with customers and contract liabilities. We had no contract assets at either September 30, 2020 or December 31, 2019.</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8"/>
                <w:szCs w:val="18"/>
                <w:color w:val="auto"/>
              </w:rPr>
            </w:pPr>
          </w:p>
        </w:tc>
        <w:tc>
          <w:tcPr>
            <w:tcW w:w="2100" w:type="dxa"/>
            <w:vAlign w:val="bottom"/>
            <w:gridSpan w:val="2"/>
          </w:tcPr>
          <w:p>
            <w:pPr>
              <w:ind w:left="100"/>
              <w:spacing w:after="0"/>
              <w:rPr>
                <w:sz w:val="20"/>
                <w:szCs w:val="20"/>
                <w:color w:val="auto"/>
              </w:rPr>
            </w:pPr>
            <w:r>
              <w:rPr>
                <w:rFonts w:ascii="Arial" w:cs="Arial" w:eastAsia="Arial" w:hAnsi="Arial"/>
                <w:sz w:val="16"/>
                <w:szCs w:val="16"/>
                <w:b w:val="1"/>
                <w:bCs w:val="1"/>
                <w:color w:val="auto"/>
              </w:rPr>
              <w:t>At September 30, 2020</w:t>
            </w:r>
          </w:p>
        </w:tc>
        <w:tc>
          <w:tcPr>
            <w:tcW w:w="220" w:type="dxa"/>
            <w:vAlign w:val="bottom"/>
          </w:tcPr>
          <w:p>
            <w:pPr>
              <w:spacing w:after="0"/>
              <w:rPr>
                <w:sz w:val="18"/>
                <w:szCs w:val="18"/>
                <w:color w:val="auto"/>
              </w:rPr>
            </w:pPr>
          </w:p>
        </w:tc>
        <w:tc>
          <w:tcPr>
            <w:tcW w:w="1960" w:type="dxa"/>
            <w:vAlign w:val="bottom"/>
          </w:tcPr>
          <w:p>
            <w:pPr>
              <w:jc w:val="right"/>
              <w:ind w:right="251"/>
              <w:spacing w:after="0"/>
              <w:rPr>
                <w:sz w:val="20"/>
                <w:szCs w:val="20"/>
                <w:color w:val="auto"/>
              </w:rPr>
            </w:pPr>
            <w:r>
              <w:rPr>
                <w:rFonts w:ascii="Arial" w:cs="Arial" w:eastAsia="Arial" w:hAnsi="Arial"/>
                <w:sz w:val="16"/>
                <w:szCs w:val="16"/>
                <w:b w:val="1"/>
                <w:bCs w:val="1"/>
                <w:color w:val="auto"/>
                <w:w w:val="96"/>
              </w:rPr>
              <w:t>At December 31, 2019</w:t>
            </w:r>
          </w:p>
        </w:tc>
      </w:tr>
      <w:tr>
        <w:trPr>
          <w:trHeight w:val="212"/>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Receivables from Contracts with Customers</w:t>
            </w:r>
          </w:p>
        </w:tc>
        <w:tc>
          <w:tcPr>
            <w:tcW w:w="20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Vacation ownership notes receivable, net</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r>
      <w:tr>
        <w:trPr>
          <w:trHeight w:val="223"/>
        </w:trPr>
        <w:tc>
          <w:tcPr>
            <w:tcW w:w="67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96"/>
        </w:trPr>
        <w:tc>
          <w:tcPr>
            <w:tcW w:w="6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Contract Liabilities</w:t>
            </w:r>
          </w:p>
        </w:tc>
        <w:tc>
          <w:tcPr>
            <w:tcW w:w="2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Advance deposits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23"/>
        </w:trPr>
        <w:tc>
          <w:tcPr>
            <w:tcW w:w="67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r>
      <w:tr>
        <w:trPr>
          <w:trHeight w:val="20"/>
        </w:trPr>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Revenue recognized during the third quarter and first three quarters of 2020 that was included in our contract liabilities balance at December 31, 2019 was $69 million and $231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remaining performance obligations represent the expected transaction price allocated to our contracts that we expect to recognize</w:t>
      </w:r>
    </w:p>
    <w:p>
      <w:pPr>
        <w:spacing w:after="0" w:line="35"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as revenue in future periods when we perform under the contracts. At September 30, 2020, approximately 80 percent of this amount is expected to be recognized as revenue over the next two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Accounts receivable is comprised of amounts due from customers, primarily property owners’ associations, resort developers and members, credit card receivables, interest receivables, amounts due from taxing authorities, indemnification assets and other miscellaneous receivables. The following table shows the composition of our accounts receivable balances: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8"/>
                <w:szCs w:val="18"/>
                <w:color w:val="auto"/>
              </w:rPr>
            </w:pPr>
          </w:p>
        </w:tc>
        <w:tc>
          <w:tcPr>
            <w:tcW w:w="2100" w:type="dxa"/>
            <w:vAlign w:val="bottom"/>
            <w:gridSpan w:val="2"/>
          </w:tcPr>
          <w:p>
            <w:pPr>
              <w:ind w:left="100"/>
              <w:spacing w:after="0"/>
              <w:rPr>
                <w:sz w:val="20"/>
                <w:szCs w:val="20"/>
                <w:color w:val="auto"/>
              </w:rPr>
            </w:pPr>
            <w:r>
              <w:rPr>
                <w:rFonts w:ascii="Arial" w:cs="Arial" w:eastAsia="Arial" w:hAnsi="Arial"/>
                <w:sz w:val="16"/>
                <w:szCs w:val="16"/>
                <w:b w:val="1"/>
                <w:bCs w:val="1"/>
                <w:color w:val="auto"/>
              </w:rPr>
              <w:t>At September 30, 2020</w:t>
            </w:r>
          </w:p>
        </w:tc>
        <w:tc>
          <w:tcPr>
            <w:tcW w:w="220" w:type="dxa"/>
            <w:vAlign w:val="bottom"/>
          </w:tcPr>
          <w:p>
            <w:pPr>
              <w:spacing w:after="0"/>
              <w:rPr>
                <w:sz w:val="18"/>
                <w:szCs w:val="18"/>
                <w:color w:val="auto"/>
              </w:rPr>
            </w:pPr>
          </w:p>
        </w:tc>
        <w:tc>
          <w:tcPr>
            <w:tcW w:w="1960" w:type="dxa"/>
            <w:vAlign w:val="bottom"/>
          </w:tcPr>
          <w:p>
            <w:pPr>
              <w:jc w:val="right"/>
              <w:ind w:right="251"/>
              <w:spacing w:after="0"/>
              <w:rPr>
                <w:sz w:val="20"/>
                <w:szCs w:val="20"/>
                <w:color w:val="auto"/>
              </w:rPr>
            </w:pPr>
            <w:r>
              <w:rPr>
                <w:rFonts w:ascii="Arial" w:cs="Arial" w:eastAsia="Arial" w:hAnsi="Arial"/>
                <w:sz w:val="16"/>
                <w:szCs w:val="16"/>
                <w:b w:val="1"/>
                <w:bCs w:val="1"/>
                <w:color w:val="auto"/>
                <w:w w:val="96"/>
              </w:rPr>
              <w:t>At December 31, 2019</w:t>
            </w:r>
          </w:p>
        </w:tc>
      </w:tr>
      <w:tr>
        <w:trPr>
          <w:trHeight w:val="226"/>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from contracts with customers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Interest receivable</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receivable</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Indemnification asset</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67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r>
      <w:tr>
        <w:trPr>
          <w:trHeight w:val="20"/>
        </w:trPr>
        <w:tc>
          <w:tcPr>
            <w:tcW w:w="6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420" w:hanging="394"/>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Our provision for income taxes is calculated using an estimated annual effective tax rate, based upon expected annual income, less losses in certain jurisdictions, permanent items, statutory rates and planned tax strategies in the various jurisdictions in which we operate. However, discrete items related to prior year tax items are treated separately.</w:t>
      </w:r>
    </w:p>
    <w:p>
      <w:pPr>
        <w:spacing w:after="0" w:line="76"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Our interim effective tax rate was 19.8 percent and 404.4 percent for the three months ended September 30, 2020 and September 30, 2019, respectively. The change in the effective tax rate is predominately attributable to a pre-tax loss and benefits from the CARES Act (as defined below).</w:t>
      </w:r>
    </w:p>
    <w:p>
      <w:pPr>
        <w:spacing w:after="0" w:line="16"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Our interim effective tax rate was 28.7 percent and 43.2 percent for the nine months ended September 30, 2020 and September 30, 2019, respectively. The change in the effective tax rate is predominately attributable to a pre-tax loss, a release in uncertain tax benefits, and benefits from the CARES Act (as defined below).</w:t>
      </w:r>
    </w:p>
    <w:p>
      <w:pPr>
        <w:spacing w:after="0" w:line="76"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have considered the income tax accounting and disclosure implications of the relief provided by the Coronavirus Aid, Relief, and Economic Security Act (the “CARES Act”) enacted on March 27, 2020. As of September 30, 2020, we have evaluated the income tax provisions of the CARES Act and determined there to be a 4.4 percent benefit to the September 30, 2020 tax rate and a 3.9 percent benefit to the computation of the estimated effective tax rate for the year ended December 31, 2020. We will continue to evaluate the income tax provisions of the CARES Act and monitor the developments in the jurisdictions where we have significant operations for tax law changes that could have additional income tax accounting and disclosure implications.</w:t>
      </w:r>
    </w:p>
    <w:p>
      <w:pPr>
        <w:spacing w:after="0" w:line="1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Tax Benefits</w:t>
      </w:r>
    </w:p>
    <w:p>
      <w:pPr>
        <w:spacing w:after="0" w:line="11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the activity related to our unrecognized tax benefits (excluding interest and penalties) during the nine months ended September 30,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Unrecognized Tax Benefits</w:t>
            </w:r>
          </w:p>
        </w:tc>
      </w:tr>
      <w:tr>
        <w:trPr>
          <w:trHeight w:val="22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88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9240" w:type="dxa"/>
            <w:vAlign w:val="bottom"/>
          </w:tcPr>
          <w:p>
            <w:pPr>
              <w:ind w:left="220"/>
              <w:spacing w:after="0"/>
              <w:rPr>
                <w:sz w:val="20"/>
                <w:szCs w:val="20"/>
                <w:color w:val="auto"/>
              </w:rPr>
            </w:pPr>
            <w:r>
              <w:rPr>
                <w:rFonts w:ascii="Arial" w:cs="Arial" w:eastAsia="Arial" w:hAnsi="Arial"/>
                <w:sz w:val="18"/>
                <w:szCs w:val="18"/>
                <w:color w:val="auto"/>
              </w:rPr>
              <w:t>Increases related to tax positions taken during the current period</w:t>
            </w:r>
          </w:p>
        </w:tc>
        <w:tc>
          <w:tcPr>
            <w:tcW w:w="8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Decreases related to settlements with taxing authorities</w:t>
            </w: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Decreases related to tax positions taken during a prior period</w:t>
            </w:r>
          </w:p>
        </w:tc>
        <w:tc>
          <w:tcPr>
            <w:tcW w:w="8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The total unrecognized tax benefits related to uncertain income tax positions, which would affect the effective tax rate if recognized, was $7 million at September 30, 2020 and $21 million at December 31, 2019. The total amount of gross interest and penalties accrued was $18 million at September 30, 2020 and $41 million at December 31, 2019.</w:t>
      </w:r>
    </w:p>
    <w:p>
      <w:pPr>
        <w:spacing w:after="0" w:line="7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anticipate $4 million of unrecognized tax benefits, including interest and penalties, to be indemnified pursuant to a Tax Matters Agreement dated May 11, 2016 by and among Starwood Hotels &amp; Resorts Worldwide, Inc., Vistana Signature Experiences, Inc., and Interval Leisure Group, Inc., and consequently have recorded a corresponding indemnification asset. The unrecognized tax benefits, including accrued interest and penalties, are included in other liabilities on our Balance Sheet.</w:t>
      </w:r>
    </w:p>
    <w:p>
      <w:pPr>
        <w:spacing w:after="0" w:line="79"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Our income tax returns are subject to examination by relevant tax authorities. Certain of our returns are being audited in various jurisdictions for tax years 2013 through 2018. The amount of the unrecognized tax benefit may increase or decrease within the next twelve months as a result of audits or audit settlements.</w:t>
      </w:r>
    </w:p>
    <w:p>
      <w:pPr>
        <w:spacing w:after="0" w:line="234" w:lineRule="exact"/>
        <w:rPr>
          <w:sz w:val="20"/>
          <w:szCs w:val="20"/>
          <w:color w:val="auto"/>
        </w:rPr>
      </w:pPr>
    </w:p>
    <w:p>
      <w:pPr>
        <w:ind w:left="420" w:hanging="394"/>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VACATION OWNERSHIP NOTES RECEIVABLE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3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September 30, 2020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1"/>
              </w:rPr>
              <w:t>December 31, 2019</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3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6"/>
                <w:szCs w:val="16"/>
                <w:b w:val="1"/>
                <w:bCs w:val="1"/>
                <w:color w:val="auto"/>
                <w:w w:val="99"/>
              </w:rPr>
              <w:t>Originated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Acquired</w:t>
            </w:r>
          </w:p>
        </w:tc>
        <w:tc>
          <w:tcPr>
            <w:tcW w:w="280" w:type="dxa"/>
            <w:vAlign w:val="bottom"/>
          </w:tcPr>
          <w:p>
            <w:pPr>
              <w:spacing w:after="0"/>
              <w:rPr>
                <w:sz w:val="18"/>
                <w:szCs w:val="18"/>
                <w:color w:val="auto"/>
              </w:rPr>
            </w:pPr>
          </w:p>
        </w:tc>
        <w:tc>
          <w:tcPr>
            <w:tcW w:w="960" w:type="dxa"/>
            <w:vAlign w:val="bottom"/>
          </w:tcPr>
          <w:p>
            <w:pPr>
              <w:jc w:val="right"/>
              <w:ind w:right="352"/>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6"/>
                <w:szCs w:val="16"/>
                <w:b w:val="1"/>
                <w:bCs w:val="1"/>
                <w:color w:val="auto"/>
                <w:w w:val="99"/>
              </w:rPr>
              <w:t>Originated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Acquired</w:t>
            </w:r>
          </w:p>
        </w:tc>
        <w:tc>
          <w:tcPr>
            <w:tcW w:w="260" w:type="dxa"/>
            <w:vAlign w:val="bottom"/>
          </w:tcPr>
          <w:p>
            <w:pPr>
              <w:spacing w:after="0"/>
              <w:rPr>
                <w:sz w:val="18"/>
                <w:szCs w:val="18"/>
                <w:color w:val="auto"/>
              </w:rPr>
            </w:pPr>
          </w:p>
        </w:tc>
        <w:tc>
          <w:tcPr>
            <w:tcW w:w="980" w:type="dxa"/>
            <w:vAlign w:val="bottom"/>
          </w:tcPr>
          <w:p>
            <w:pPr>
              <w:jc w:val="right"/>
              <w:ind w:right="352"/>
              <w:spacing w:after="0"/>
              <w:rPr>
                <w:sz w:val="20"/>
                <w:szCs w:val="20"/>
                <w:color w:val="auto"/>
              </w:rPr>
            </w:pPr>
            <w:r>
              <w:rPr>
                <w:rFonts w:ascii="Arial" w:cs="Arial" w:eastAsia="Arial" w:hAnsi="Arial"/>
                <w:sz w:val="16"/>
                <w:szCs w:val="16"/>
                <w:b w:val="1"/>
                <w:bCs w:val="1"/>
                <w:color w:val="auto"/>
              </w:rPr>
              <w:t>Total</w:t>
            </w:r>
          </w:p>
        </w:tc>
      </w:tr>
      <w:tr>
        <w:trPr>
          <w:trHeight w:val="226"/>
        </w:trPr>
        <w:tc>
          <w:tcPr>
            <w:tcW w:w="31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Securitized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30"/>
        </w:trPr>
        <w:tc>
          <w:tcPr>
            <w:tcW w:w="3100" w:type="dxa"/>
            <w:vAlign w:val="bottom"/>
          </w:tcPr>
          <w:p>
            <w:pPr>
              <w:ind w:left="120"/>
              <w:spacing w:after="0"/>
              <w:rPr>
                <w:sz w:val="20"/>
                <w:szCs w:val="20"/>
                <w:color w:val="auto"/>
              </w:rPr>
            </w:pPr>
            <w:r>
              <w:rPr>
                <w:rFonts w:ascii="Arial" w:cs="Arial" w:eastAsia="Arial" w:hAnsi="Arial"/>
                <w:sz w:val="18"/>
                <w:szCs w:val="18"/>
                <w:color w:val="auto"/>
              </w:rPr>
              <w:t>Non-securitized</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10"/>
                <w:szCs w:val="10"/>
                <w:color w:val="auto"/>
              </w:rPr>
              <w:t>(1)</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3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Not eligible for securitization</w:t>
            </w:r>
            <w:r>
              <w:rPr>
                <w:rFonts w:ascii="Arial" w:cs="Arial" w:eastAsia="Arial" w:hAnsi="Arial"/>
                <w:sz w:val="10"/>
                <w:szCs w:val="10"/>
                <w:color w:val="auto"/>
              </w:rPr>
              <w:t>(1)</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23"/>
        </w:trPr>
        <w:tc>
          <w:tcPr>
            <w:tcW w:w="3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23"/>
        </w:trPr>
        <w:tc>
          <w:tcPr>
            <w:tcW w:w="3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r>
      <w:tr>
        <w:trPr>
          <w:trHeight w:val="21"/>
        </w:trPr>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9"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Refer to Footnote 7 “Financial Instruments” for a discussion of eligibility of our vacation ownership notes receivable for securitization.</w:t>
      </w:r>
    </w:p>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6"/>
                <w:szCs w:val="16"/>
                <w:b w:val="1"/>
                <w:bCs w:val="1"/>
                <w:color w:val="auto"/>
              </w:rPr>
              <w:t>Nine Months 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20" w:type="dxa"/>
            <w:vAlign w:val="bottom"/>
          </w:tcPr>
          <w:p>
            <w:pPr>
              <w:spacing w:after="0"/>
              <w:rPr>
                <w:sz w:val="13"/>
                <w:szCs w:val="13"/>
                <w:color w:val="auto"/>
              </w:rPr>
            </w:pPr>
          </w:p>
        </w:tc>
        <w:tc>
          <w:tcPr>
            <w:tcW w:w="16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September 30, 2020</w:t>
            </w:r>
          </w:p>
        </w:tc>
        <w:tc>
          <w:tcPr>
            <w:tcW w:w="162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color w:val="auto"/>
                <w:w w:val="95"/>
              </w:rPr>
              <w:t>September 30, 2019</w:t>
            </w:r>
          </w:p>
        </w:tc>
        <w:tc>
          <w:tcPr>
            <w:tcW w:w="140" w:type="dxa"/>
            <w:vAlign w:val="bottom"/>
          </w:tcPr>
          <w:p>
            <w:pPr>
              <w:spacing w:after="0"/>
              <w:rPr>
                <w:sz w:val="13"/>
                <w:szCs w:val="13"/>
                <w:color w:val="auto"/>
              </w:rPr>
            </w:pPr>
          </w:p>
        </w:tc>
        <w:tc>
          <w:tcPr>
            <w:tcW w:w="130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3"/>
                <w:szCs w:val="13"/>
                <w:color w:val="auto"/>
              </w:rPr>
            </w:pPr>
          </w:p>
        </w:tc>
        <w:tc>
          <w:tcPr>
            <w:tcW w:w="1180" w:type="dxa"/>
            <w:vAlign w:val="bottom"/>
          </w:tcPr>
          <w:p>
            <w:pPr>
              <w:jc w:val="right"/>
              <w:ind w:right="74"/>
              <w:spacing w:after="0" w:line="158" w:lineRule="exact"/>
              <w:rPr>
                <w:sz w:val="20"/>
                <w:szCs w:val="20"/>
                <w:color w:val="auto"/>
              </w:rPr>
            </w:pPr>
            <w:r>
              <w:rPr>
                <w:rFonts w:ascii="Arial" w:cs="Arial" w:eastAsia="Arial" w:hAnsi="Arial"/>
                <w:sz w:val="16"/>
                <w:szCs w:val="16"/>
                <w:b w:val="1"/>
                <w:bCs w:val="1"/>
                <w:color w:val="auto"/>
                <w:w w:val="91"/>
              </w:rPr>
              <w:t>September 30,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0" w:type="dxa"/>
            <w:vAlign w:val="bottom"/>
            <w:gridSpan w:val="3"/>
            <w:vMerge w:val="continue"/>
          </w:tcPr>
          <w:p>
            <w:pPr>
              <w:spacing w:after="0"/>
              <w:rPr>
                <w:sz w:val="18"/>
                <w:szCs w:val="18"/>
                <w:color w:val="auto"/>
              </w:rPr>
            </w:pPr>
          </w:p>
        </w:tc>
        <w:tc>
          <w:tcPr>
            <w:tcW w:w="16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2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color w:val="auto"/>
                <w:w w:val="90"/>
              </w:rPr>
              <w:t>Interest income associated with vacation ownership notes receivable —</w:t>
            </w:r>
          </w:p>
        </w:tc>
        <w:tc>
          <w:tcPr>
            <w:tcW w:w="380" w:type="dxa"/>
            <w:vAlign w:val="bottom"/>
            <w:tcBorders>
              <w:top w:val="single" w:sz="8" w:color="auto"/>
            </w:tcBorders>
            <w:vMerge w:val="restart"/>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vMerge w:val="restart"/>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securitized</w:t>
            </w:r>
          </w:p>
        </w:tc>
        <w:tc>
          <w:tcPr>
            <w:tcW w:w="38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20" w:type="dxa"/>
            <w:vAlign w:val="bottom"/>
          </w:tcPr>
          <w:p>
            <w:pPr>
              <w:ind w:left="20"/>
              <w:spacing w:after="0" w:line="176" w:lineRule="exact"/>
              <w:rPr>
                <w:sz w:val="20"/>
                <w:szCs w:val="20"/>
                <w:color w:val="auto"/>
              </w:rPr>
            </w:pPr>
            <w:r>
              <w:rPr>
                <w:rFonts w:ascii="Arial" w:cs="Arial" w:eastAsia="Arial" w:hAnsi="Arial"/>
                <w:sz w:val="18"/>
                <w:szCs w:val="18"/>
                <w:color w:val="auto"/>
                <w:w w:val="90"/>
              </w:rPr>
              <w:t>Interest income associated with vacation ownership notes receivable —</w:t>
            </w:r>
          </w:p>
        </w:tc>
        <w:tc>
          <w:tcPr>
            <w:tcW w:w="3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non-securitized</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2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interest income associated with vacation ownership notes</w:t>
            </w:r>
          </w:p>
        </w:tc>
        <w:tc>
          <w:tcPr>
            <w:tcW w:w="380" w:type="dxa"/>
            <w:vAlign w:val="bottom"/>
            <w:vMerge w:val="restart"/>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receivable</w:t>
            </w: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59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Impact on Vacation Ownership Notes Receivable Reserves</w:t>
      </w:r>
    </w:p>
    <w:p>
      <w:pPr>
        <w:spacing w:after="0" w:line="117"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We evaluated our vacation ownership notes receivable reserves in light of the COVID-19 pandemic, using the performance of our vacation ownership notes receivable in response to the 2008/2009 financial crisis as a reference point. Using this information, we increased our estimated default rates by approximately 50 percent for a 15-month period to align with the period over which we experienced increased defaults during the previous recessionary period. As a result, we increased our vacation ownership notes receivable reserves by $52 million in the first quarter of 2020. This was reflected as a $42 million reduction to Sale of vacation ownership products, a $10 million increase in Financing expenses, and a $15 million reduction in Cost of vacation ownership products on our Income Statement for the first three quarters of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Vacation Ownership Notes Receivable</w:t>
      </w:r>
    </w:p>
    <w:p>
      <w:pPr>
        <w:spacing w:after="0" w:line="11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part of the ILG Acquisition, we acquired existing portfolios of vacation ownership notes receivable. At acquisition, we recorded these vacation ownership notes receivable at fair value. Upon adoption of ASU 2016-13 on January 1, 2020, we established a reserve for credit losses and a corresponding increase in the book value of the acquired vacation ownership notes receivable, resulting in no impact to the recorded balance. In addition, we established a noncredit discount of $2 million, which represents the difference between the amortized cost basis and the par value of our acquired vacation ownership notes receivable. The noncredit discount will be amortized to interest expense over the contractual life of the acquired vacation ownership notes receivable and is recorded as Financing expenses on our Income Statements.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our acquired vacation ownership notes receivable reserve.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5260" w:type="dxa"/>
            <w:vAlign w:val="bottom"/>
            <w:tcBorders>
              <w:bottom w:val="single" w:sz="8" w:color="auto"/>
            </w:tcBorders>
            <w:gridSpan w:val="7"/>
          </w:tcPr>
          <w:p>
            <w:pPr>
              <w:jc w:val="right"/>
              <w:ind w:right="313"/>
              <w:spacing w:after="0"/>
              <w:rPr>
                <w:sz w:val="20"/>
                <w:szCs w:val="20"/>
                <w:color w:val="auto"/>
              </w:rPr>
            </w:pPr>
            <w:r>
              <w:rPr>
                <w:rFonts w:ascii="Arial" w:cs="Arial" w:eastAsia="Arial" w:hAnsi="Arial"/>
                <w:sz w:val="16"/>
                <w:szCs w:val="16"/>
                <w:b w:val="1"/>
                <w:bCs w:val="1"/>
                <w:color w:val="auto"/>
              </w:rPr>
              <w:t>Acquired Vacation Ownership Notes Receivable Reserve</w:t>
            </w:r>
          </w:p>
        </w:tc>
        <w:tc>
          <w:tcPr>
            <w:tcW w:w="540" w:type="dxa"/>
            <w:vAlign w:val="bottom"/>
            <w:tcBorders>
              <w:bottom w:val="single" w:sz="8" w:color="auto"/>
            </w:tcBorders>
          </w:tcPr>
          <w:p>
            <w:pPr>
              <w:spacing w:after="0"/>
              <w:rPr>
                <w:sz w:val="18"/>
                <w:szCs w:val="18"/>
                <w:color w:val="auto"/>
              </w:rPr>
            </w:pPr>
          </w:p>
        </w:tc>
      </w:tr>
      <w:tr>
        <w:trPr>
          <w:trHeight w:val="21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Non-Securitized</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Securitized</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Total</w:t>
            </w:r>
          </w:p>
        </w:tc>
        <w:tc>
          <w:tcPr>
            <w:tcW w:w="540" w:type="dxa"/>
            <w:vAlign w:val="bottom"/>
            <w:tcBorders>
              <w:bottom w:val="single" w:sz="8" w:color="auto"/>
            </w:tcBorders>
          </w:tcPr>
          <w:p>
            <w:pPr>
              <w:spacing w:after="0"/>
              <w:rPr>
                <w:sz w:val="18"/>
                <w:szCs w:val="18"/>
                <w:color w:val="auto"/>
              </w:rPr>
            </w:pPr>
          </w:p>
        </w:tc>
      </w:tr>
      <w:tr>
        <w:trPr>
          <w:trHeight w:val="22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 as reported</w:t>
            </w:r>
          </w:p>
        </w:tc>
        <w:tc>
          <w:tcPr>
            <w:tcW w:w="1520" w:type="dxa"/>
            <w:vAlign w:val="bottom"/>
            <w:shd w:val="clear" w:color="auto" w:fill="CCEEFF"/>
          </w:tcPr>
          <w:p>
            <w:pPr>
              <w:jc w:val="right"/>
              <w:ind w:right="131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73"/>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Impact of adoption of ASU 2016-13</w:t>
            </w:r>
          </w:p>
        </w:tc>
        <w:tc>
          <w:tcPr>
            <w:tcW w:w="1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Opening Balance at January 1, 2020</w:t>
            </w: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5440" w:type="dxa"/>
            <w:vAlign w:val="bottom"/>
          </w:tcPr>
          <w:p>
            <w:pPr>
              <w:ind w:left="220"/>
              <w:spacing w:after="0"/>
              <w:rPr>
                <w:sz w:val="20"/>
                <w:szCs w:val="20"/>
                <w:color w:val="auto"/>
              </w:rPr>
            </w:pPr>
            <w:r>
              <w:rPr>
                <w:rFonts w:ascii="Arial" w:cs="Arial" w:eastAsia="Arial" w:hAnsi="Arial"/>
                <w:sz w:val="18"/>
                <w:szCs w:val="18"/>
                <w:color w:val="auto"/>
              </w:rPr>
              <w:t>Securitizations</w:t>
            </w:r>
          </w:p>
        </w:tc>
        <w:tc>
          <w:tcPr>
            <w:tcW w:w="15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Clean-up call</w:t>
            </w: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Write-offs</w:t>
            </w:r>
          </w:p>
        </w:tc>
        <w:tc>
          <w:tcPr>
            <w:tcW w:w="15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(16)</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Recoveries</w:t>
            </w: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Increase in vacation ownership notes receivable reserve</w:t>
            </w:r>
            <w:r>
              <w:rPr>
                <w:rFonts w:ascii="Arial" w:cs="Arial" w:eastAsia="Arial" w:hAnsi="Arial"/>
                <w:sz w:val="9"/>
                <w:szCs w:val="9"/>
                <w:color w:val="auto"/>
              </w:rPr>
              <w:t>(1)</w:t>
            </w:r>
          </w:p>
        </w:tc>
        <w:tc>
          <w:tcPr>
            <w:tcW w:w="15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1520" w:type="dxa"/>
            <w:vAlign w:val="bottom"/>
            <w:tcBorders>
              <w:top w:val="single" w:sz="8" w:color="auto"/>
              <w:bottom w:val="single" w:sz="8" w:color="auto"/>
            </w:tcBorders>
            <w:shd w:val="clear" w:color="auto" w:fill="CCEEFF"/>
          </w:tcPr>
          <w:p>
            <w:pPr>
              <w:jc w:val="right"/>
              <w:ind w:right="1315"/>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ind w:right="127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1113"/>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40" w:hanging="652"/>
        <w:spacing w:after="0" w:line="227" w:lineRule="auto"/>
        <w:tabs>
          <w:tab w:leader="none" w:pos="64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Increase in vacation ownership notes receivable reserve includes $10 million ($2 million non-securitized and $8 million securitized) attributable to the increased reserve as a result of the COVID-19 pandemic.</w:t>
      </w:r>
    </w:p>
    <w:p>
      <w:pPr>
        <w:spacing w:after="0" w:line="20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following table shows future contractual principal payments, as well as interest rates, for our non-securitized and securitized acquired vacation ownership notes receivable at September 30,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gridSpan w:val="8"/>
          </w:tcPr>
          <w:p>
            <w:pPr>
              <w:jc w:val="center"/>
              <w:ind w:right="260"/>
              <w:spacing w:after="0"/>
              <w:rPr>
                <w:sz w:val="20"/>
                <w:szCs w:val="20"/>
                <w:color w:val="auto"/>
              </w:rPr>
            </w:pPr>
            <w:r>
              <w:rPr>
                <w:rFonts w:ascii="Arial" w:cs="Arial" w:eastAsia="Arial" w:hAnsi="Arial"/>
                <w:sz w:val="16"/>
                <w:szCs w:val="16"/>
                <w:b w:val="1"/>
                <w:bCs w:val="1"/>
                <w:color w:val="auto"/>
                <w:w w:val="91"/>
              </w:rPr>
              <w:t>Acquired Vacation Ownership Notes Receivable</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1"/>
              </w:rPr>
              <w:t>Non-Securitized</w:t>
            </w:r>
          </w:p>
        </w:tc>
        <w:tc>
          <w:tcPr>
            <w:tcW w:w="2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1"/>
              </w:rPr>
              <w:t>Securitized</w:t>
            </w:r>
          </w:p>
        </w:tc>
        <w:tc>
          <w:tcPr>
            <w:tcW w:w="2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w w:val="94"/>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remaining</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stated interest rate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3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center"/>
              <w:ind w:right="152"/>
              <w:spacing w:after="0" w:line="203" w:lineRule="exact"/>
              <w:rPr>
                <w:sz w:val="20"/>
                <w:szCs w:val="20"/>
                <w:color w:val="auto"/>
              </w:rPr>
            </w:pPr>
            <w:r>
              <w:rPr>
                <w:rFonts w:ascii="Arial" w:cs="Arial" w:eastAsia="Arial" w:hAnsi="Arial"/>
                <w:sz w:val="18"/>
                <w:szCs w:val="18"/>
                <w:color w:val="auto"/>
                <w:w w:val="90"/>
              </w:rPr>
              <w:t>13.4%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center"/>
              <w:ind w:right="171"/>
              <w:spacing w:after="0" w:line="203" w:lineRule="exact"/>
              <w:rPr>
                <w:sz w:val="20"/>
                <w:szCs w:val="20"/>
                <w:color w:val="auto"/>
              </w:rPr>
            </w:pPr>
            <w:r>
              <w:rPr>
                <w:rFonts w:ascii="Arial" w:cs="Arial" w:eastAsia="Arial" w:hAnsi="Arial"/>
                <w:sz w:val="18"/>
                <w:szCs w:val="18"/>
                <w:color w:val="auto"/>
                <w:w w:val="90"/>
              </w:rPr>
              <w:t>13.5%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center"/>
              <w:ind w:right="171"/>
              <w:spacing w:after="0" w:line="203" w:lineRule="exact"/>
              <w:rPr>
                <w:sz w:val="20"/>
                <w:szCs w:val="20"/>
                <w:color w:val="auto"/>
              </w:rPr>
            </w:pPr>
            <w:r>
              <w:rPr>
                <w:rFonts w:ascii="Arial" w:cs="Arial" w:eastAsia="Arial" w:hAnsi="Arial"/>
                <w:sz w:val="18"/>
                <w:szCs w:val="18"/>
                <w:color w:val="auto"/>
                <w:w w:val="93"/>
              </w:rPr>
              <w:t>13.4%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Range of stated interest rates</w:t>
            </w:r>
          </w:p>
        </w:tc>
        <w:tc>
          <w:tcPr>
            <w:tcW w:w="2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3.0% to 17.9%</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6.0% to 15.9%</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92"/>
              </w:rPr>
              <w:t>3.0% to 17.9%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jc w:val="right"/>
              <w:ind w:right="115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Originated Vacation Ownership Notes Receivable</w:t>
      </w:r>
    </w:p>
    <w:p>
      <w:pPr>
        <w:spacing w:after="0" w:line="11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Originated vacation ownership notes receivable represent vacation ownership notes receivable originated by Legacy-ILG subsequent to the Acquisition Date and all Legacy-MVW vacation ownership notes receivable. The following table shows future principal payments, net of reserves, as well as interest rates, for our originated non-securitized and securitized originated vacation ownership notes receivable at September 30, 2020.</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560" w:type="dxa"/>
            <w:vAlign w:val="bottom"/>
            <w:tcBorders>
              <w:bottom w:val="single" w:sz="8" w:color="auto"/>
            </w:tcBorders>
            <w:gridSpan w:val="7"/>
          </w:tcPr>
          <w:p>
            <w:pPr>
              <w:jc w:val="center"/>
              <w:ind w:right="171"/>
              <w:spacing w:after="0"/>
              <w:rPr>
                <w:sz w:val="20"/>
                <w:szCs w:val="20"/>
                <w:color w:val="auto"/>
              </w:rPr>
            </w:pPr>
            <w:r>
              <w:rPr>
                <w:rFonts w:ascii="Arial" w:cs="Arial" w:eastAsia="Arial" w:hAnsi="Arial"/>
                <w:sz w:val="16"/>
                <w:szCs w:val="16"/>
                <w:b w:val="1"/>
                <w:bCs w:val="1"/>
                <w:color w:val="auto"/>
                <w:w w:val="91"/>
              </w:rPr>
              <w:t>Originated Vacation Ownership Notes Receivable</w:t>
            </w:r>
          </w:p>
        </w:tc>
        <w:tc>
          <w:tcPr>
            <w:tcW w:w="0" w:type="dxa"/>
            <w:vAlign w:val="bottom"/>
          </w:tcPr>
          <w:p>
            <w:pPr>
              <w:spacing w:after="0"/>
              <w:rPr>
                <w:sz w:val="1"/>
                <w:szCs w:val="1"/>
                <w:color w:val="auto"/>
              </w:rPr>
            </w:pPr>
          </w:p>
        </w:tc>
      </w:tr>
      <w:tr>
        <w:trPr>
          <w:trHeight w:val="210"/>
        </w:trPr>
        <w:tc>
          <w:tcPr>
            <w:tcW w:w="53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Non-Securitized</w:t>
            </w:r>
          </w:p>
        </w:tc>
        <w:tc>
          <w:tcPr>
            <w:tcW w:w="26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Securitized</w:t>
            </w:r>
          </w:p>
        </w:tc>
        <w:tc>
          <w:tcPr>
            <w:tcW w:w="260" w:type="dxa"/>
            <w:vAlign w:val="bottom"/>
          </w:tcPr>
          <w:p>
            <w:pPr>
              <w:spacing w:after="0"/>
              <w:rPr>
                <w:sz w:val="18"/>
                <w:szCs w:val="18"/>
                <w:color w:val="auto"/>
              </w:rPr>
            </w:pPr>
          </w:p>
        </w:tc>
        <w:tc>
          <w:tcPr>
            <w:tcW w:w="1620" w:type="dxa"/>
            <w:vAlign w:val="bottom"/>
          </w:tcPr>
          <w:p>
            <w:pPr>
              <w:jc w:val="center"/>
              <w:ind w:right="17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26"/>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remaining</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stated interest rate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center"/>
              <w:ind w:right="152"/>
              <w:spacing w:after="0" w:line="203" w:lineRule="exact"/>
              <w:rPr>
                <w:sz w:val="20"/>
                <w:szCs w:val="20"/>
                <w:color w:val="auto"/>
              </w:rPr>
            </w:pPr>
            <w:r>
              <w:rPr>
                <w:rFonts w:ascii="Arial" w:cs="Arial" w:eastAsia="Arial" w:hAnsi="Arial"/>
                <w:sz w:val="18"/>
                <w:szCs w:val="18"/>
                <w:color w:val="auto"/>
                <w:w w:val="90"/>
              </w:rPr>
              <w:t>12.3%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center"/>
              <w:ind w:right="171"/>
              <w:spacing w:after="0" w:line="203" w:lineRule="exact"/>
              <w:rPr>
                <w:sz w:val="20"/>
                <w:szCs w:val="20"/>
                <w:color w:val="auto"/>
              </w:rPr>
            </w:pPr>
            <w:r>
              <w:rPr>
                <w:rFonts w:ascii="Arial" w:cs="Arial" w:eastAsia="Arial" w:hAnsi="Arial"/>
                <w:sz w:val="18"/>
                <w:szCs w:val="18"/>
                <w:color w:val="auto"/>
                <w:w w:val="90"/>
              </w:rPr>
              <w:t>12.7%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center"/>
              <w:ind w:right="171"/>
              <w:spacing w:after="0" w:line="203" w:lineRule="exact"/>
              <w:rPr>
                <w:sz w:val="20"/>
                <w:szCs w:val="20"/>
                <w:color w:val="auto"/>
              </w:rPr>
            </w:pPr>
            <w:r>
              <w:rPr>
                <w:rFonts w:ascii="Arial" w:cs="Arial" w:eastAsia="Arial" w:hAnsi="Arial"/>
                <w:sz w:val="18"/>
                <w:szCs w:val="18"/>
                <w:color w:val="auto"/>
                <w:w w:val="93"/>
              </w:rPr>
              <w:t>12.6%</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Range of stated interest rates</w:t>
            </w:r>
          </w:p>
        </w:tc>
        <w:tc>
          <w:tcPr>
            <w:tcW w:w="2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0.0% to 18.0%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0.0% to 17.5%</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92"/>
              </w:rPr>
              <w:t>0.0% to 18.0%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our originated vacation ownership notes receivable reserve.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00" w:type="dxa"/>
            <w:vAlign w:val="bottom"/>
          </w:tcPr>
          <w:p>
            <w:pPr>
              <w:spacing w:after="0"/>
              <w:rPr>
                <w:sz w:val="18"/>
                <w:szCs w:val="18"/>
                <w:color w:val="auto"/>
              </w:rPr>
            </w:pPr>
          </w:p>
        </w:tc>
        <w:tc>
          <w:tcPr>
            <w:tcW w:w="5240" w:type="dxa"/>
            <w:vAlign w:val="bottom"/>
            <w:tcBorders>
              <w:bottom w:val="single" w:sz="8" w:color="auto"/>
            </w:tcBorders>
            <w:gridSpan w:val="7"/>
          </w:tcPr>
          <w:p>
            <w:pPr>
              <w:jc w:val="right"/>
              <w:ind w:right="253"/>
              <w:spacing w:after="0"/>
              <w:rPr>
                <w:sz w:val="20"/>
                <w:szCs w:val="20"/>
                <w:color w:val="auto"/>
              </w:rPr>
            </w:pPr>
            <w:r>
              <w:rPr>
                <w:rFonts w:ascii="Arial" w:cs="Arial" w:eastAsia="Arial" w:hAnsi="Arial"/>
                <w:sz w:val="16"/>
                <w:szCs w:val="16"/>
                <w:b w:val="1"/>
                <w:bCs w:val="1"/>
                <w:color w:val="auto"/>
              </w:rPr>
              <w:t>Originated Vacation Ownership Notes Receivable Reserve</w:t>
            </w:r>
          </w:p>
        </w:tc>
        <w:tc>
          <w:tcPr>
            <w:tcW w:w="540" w:type="dxa"/>
            <w:vAlign w:val="bottom"/>
            <w:tcBorders>
              <w:bottom w:val="single" w:sz="8" w:color="auto"/>
            </w:tcBorders>
          </w:tcPr>
          <w:p>
            <w:pPr>
              <w:spacing w:after="0"/>
              <w:rPr>
                <w:sz w:val="18"/>
                <w:szCs w:val="18"/>
                <w:color w:val="auto"/>
              </w:rPr>
            </w:pPr>
          </w:p>
        </w:tc>
      </w:tr>
      <w:tr>
        <w:trPr>
          <w:trHeight w:val="21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Non-Securitized</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Securitized</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Total</w:t>
            </w:r>
          </w:p>
        </w:tc>
        <w:tc>
          <w:tcPr>
            <w:tcW w:w="540" w:type="dxa"/>
            <w:vAlign w:val="bottom"/>
            <w:tcBorders>
              <w:bottom w:val="single" w:sz="8" w:color="auto"/>
            </w:tcBorders>
          </w:tcPr>
          <w:p>
            <w:pPr>
              <w:spacing w:after="0"/>
              <w:rPr>
                <w:sz w:val="18"/>
                <w:szCs w:val="18"/>
                <w:color w:val="auto"/>
              </w:rPr>
            </w:pPr>
          </w:p>
        </w:tc>
      </w:tr>
      <w:tr>
        <w:trPr>
          <w:trHeight w:val="22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500" w:type="dxa"/>
            <w:vAlign w:val="bottom"/>
            <w:shd w:val="clear" w:color="auto" w:fill="CCEEFF"/>
          </w:tcPr>
          <w:p>
            <w:pPr>
              <w:jc w:val="right"/>
              <w:ind w:right="1315"/>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13"/>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29"/>
        </w:trPr>
        <w:tc>
          <w:tcPr>
            <w:tcW w:w="5400" w:type="dxa"/>
            <w:vAlign w:val="bottom"/>
          </w:tcPr>
          <w:p>
            <w:pPr>
              <w:ind w:left="220"/>
              <w:spacing w:after="0"/>
              <w:rPr>
                <w:sz w:val="20"/>
                <w:szCs w:val="20"/>
                <w:color w:val="auto"/>
              </w:rPr>
            </w:pPr>
            <w:r>
              <w:rPr>
                <w:rFonts w:ascii="Arial" w:cs="Arial" w:eastAsia="Arial" w:hAnsi="Arial"/>
                <w:sz w:val="18"/>
                <w:szCs w:val="18"/>
                <w:color w:val="auto"/>
              </w:rPr>
              <w:t>Increase in vacation ownership notes receivable reserve</w:t>
            </w:r>
            <w:r>
              <w:rPr>
                <w:rFonts w:ascii="Arial" w:cs="Arial" w:eastAsia="Arial" w:hAnsi="Arial"/>
                <w:sz w:val="9"/>
                <w:szCs w:val="9"/>
                <w:color w:val="auto"/>
              </w:rPr>
              <w:t>(1)</w:t>
            </w:r>
          </w:p>
        </w:tc>
        <w:tc>
          <w:tcPr>
            <w:tcW w:w="15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Securitizations</w:t>
            </w:r>
          </w:p>
        </w:tc>
        <w:tc>
          <w:tcPr>
            <w:tcW w:w="15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Clean-up call</w:t>
            </w:r>
          </w:p>
        </w:tc>
        <w:tc>
          <w:tcPr>
            <w:tcW w:w="15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Write-offs</w:t>
            </w:r>
          </w:p>
        </w:tc>
        <w:tc>
          <w:tcPr>
            <w:tcW w:w="15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5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5"/>
              </w:rPr>
              <w:t>Defaulted vacation ownership notes receivable repurchase activity</w:t>
            </w:r>
            <w:r>
              <w:rPr>
                <w:rFonts w:ascii="Arial" w:cs="Arial" w:eastAsia="Arial" w:hAnsi="Arial"/>
                <w:sz w:val="9"/>
                <w:szCs w:val="9"/>
                <w:color w:val="auto"/>
                <w:w w:val="95"/>
              </w:rPr>
              <w:t>(2)</w:t>
            </w:r>
          </w:p>
        </w:tc>
        <w:tc>
          <w:tcPr>
            <w:tcW w:w="1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1500" w:type="dxa"/>
            <w:vAlign w:val="bottom"/>
            <w:tcBorders>
              <w:bottom w:val="single" w:sz="8" w:color="auto"/>
            </w:tcBorders>
            <w:shd w:val="clear" w:color="auto" w:fill="CCEEFF"/>
          </w:tcPr>
          <w:p>
            <w:pPr>
              <w:jc w:val="right"/>
              <w:ind w:right="1315"/>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21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20" w:hanging="652"/>
        <w:spacing w:after="0" w:line="227"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Increase in vacation ownership notes receivable reserve includes $42 million ($16 million non-securitized and $26 million securitized) attributable to the increased reserve as a result of the COVID-19 pandemic.</w:t>
      </w:r>
    </w:p>
    <w:p>
      <w:pPr>
        <w:spacing w:after="0" w:line="40" w:lineRule="exact"/>
        <w:rPr>
          <w:rFonts w:ascii="Arial" w:cs="Arial" w:eastAsia="Arial" w:hAnsi="Arial"/>
          <w:sz w:val="23"/>
          <w:szCs w:val="23"/>
          <w:color w:val="auto"/>
          <w:vertAlign w:val="superscript"/>
        </w:rPr>
      </w:pPr>
    </w:p>
    <w:p>
      <w:pPr>
        <w:ind w:left="660" w:right="180" w:hanging="652"/>
        <w:spacing w:after="0" w:line="267" w:lineRule="auto"/>
        <w:tabs>
          <w:tab w:leader="none" w:pos="64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Decrease in securitized vacation ownership notes receivable reserve and increase in non-securitized vacation ownership notes receivable reserve were attributable to the transfer of the reserve when we voluntarily repurchased defaulted securitized vacation ownership notes receivable.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of Vacation Ownership Notes Receivable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Legacy-MVW Vacation Ownership Notes Receivable</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both Legacy-MVW non-securitized and securitized vacation ownership notes receivable, we estimated average remaining default rates of 7.35 percent as of September 30, 2020, and 7.04 percent as of December 31, 2019. A 0.5 percentage point increase in the estimated default rate would have resulted in an increase in the related vacation ownership notes receivable reserve of $7 million as of September 30, 2020, and $8 million as of December 31, 2019.</w:t>
      </w:r>
    </w:p>
    <w:p>
      <w:pPr>
        <w:spacing w:after="0" w:line="1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0" w:firstLine="648"/>
        <w:spacing w:after="0" w:line="274" w:lineRule="auto"/>
        <w:rPr>
          <w:sz w:val="20"/>
          <w:szCs w:val="20"/>
          <w:color w:val="auto"/>
        </w:rPr>
      </w:pPr>
      <w:r>
        <w:rPr>
          <w:rFonts w:ascii="Arial" w:cs="Arial" w:eastAsia="Arial" w:hAnsi="Arial"/>
          <w:sz w:val="18"/>
          <w:szCs w:val="18"/>
          <w:color w:val="auto"/>
        </w:rPr>
        <w:t>The following table shows our recorded investment in non-accrual Legacy-MVW vacation ownership notes receivable, which are vacation ownership notes receivable that are 90 days or more past due.</w:t>
      </w:r>
    </w:p>
    <w:p>
      <w:pPr>
        <w:ind w:left="6460"/>
        <w:spacing w:after="0"/>
        <w:rPr>
          <w:sz w:val="20"/>
          <w:szCs w:val="20"/>
          <w:color w:val="auto"/>
        </w:rPr>
      </w:pPr>
      <w:r>
        <w:rPr>
          <w:rFonts w:ascii="Arial" w:cs="Arial" w:eastAsia="Arial" w:hAnsi="Arial"/>
          <w:sz w:val="16"/>
          <w:szCs w:val="16"/>
          <w:b w:val="1"/>
          <w:bCs w:val="1"/>
          <w:color w:val="auto"/>
        </w:rPr>
        <w:t>Legacy-MVW Vacation Ownership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20320</wp:posOffset>
            </wp:positionV>
            <wp:extent cx="36772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5740" w:val="left"/>
          <w:tab w:leader="none" w:pos="7900" w:val="left"/>
          <w:tab w:leader="none" w:pos="10060" w:val="left"/>
        </w:tabs>
        <w:rPr>
          <w:sz w:val="20"/>
          <w:szCs w:val="20"/>
          <w:color w:val="auto"/>
        </w:rPr>
      </w:pPr>
      <w:r>
        <w:rPr>
          <w:rFonts w:ascii="Arial" w:cs="Arial" w:eastAsia="Arial" w:hAnsi="Arial"/>
          <w:sz w:val="14"/>
          <w:szCs w:val="14"/>
          <w:b w:val="1"/>
          <w:bCs w:val="1"/>
          <w:i w:val="1"/>
          <w:iCs w:val="1"/>
          <w:color w:val="auto"/>
        </w:rPr>
        <w:t>($ in millions)</w:t>
      </w:r>
      <w:r>
        <w:rPr>
          <w:sz w:val="20"/>
          <w:szCs w:val="20"/>
          <w:color w:val="auto"/>
        </w:rPr>
        <w:tab/>
      </w:r>
      <w:r>
        <w:rPr>
          <w:rFonts w:ascii="Arial" w:cs="Arial" w:eastAsia="Arial" w:hAnsi="Arial"/>
          <w:sz w:val="16"/>
          <w:szCs w:val="16"/>
          <w:b w:val="1"/>
          <w:bCs w:val="1"/>
          <w:color w:val="auto"/>
        </w:rPr>
        <w:t>Non-Securitized</w:t>
      </w:r>
      <w:r>
        <w:rPr>
          <w:sz w:val="20"/>
          <w:szCs w:val="20"/>
          <w:color w:val="auto"/>
        </w:rPr>
        <w:tab/>
      </w:r>
      <w:r>
        <w:rPr>
          <w:rFonts w:ascii="Arial" w:cs="Arial" w:eastAsia="Arial" w:hAnsi="Arial"/>
          <w:sz w:val="16"/>
          <w:szCs w:val="16"/>
          <w:b w:val="1"/>
          <w:bCs w:val="1"/>
          <w:color w:val="auto"/>
        </w:rPr>
        <w:t>Securitized</w:t>
      </w:r>
      <w:r>
        <w:rPr>
          <w:sz w:val="20"/>
          <w:szCs w:val="20"/>
          <w:color w:val="auto"/>
        </w:rPr>
        <w:tab/>
      </w:r>
      <w:r>
        <w:rPr>
          <w:rFonts w:ascii="Arial" w:cs="Arial" w:eastAsia="Arial" w:hAnsi="Arial"/>
          <w:sz w:val="15"/>
          <w:szCs w:val="15"/>
          <w:b w:val="1"/>
          <w:bCs w:val="1"/>
          <w:color w:val="auto"/>
        </w:rPr>
        <w:t>Total</w:t>
      </w:r>
    </w:p>
    <w:p>
      <w:pPr>
        <w:sectPr>
          <w:pgSz w:w="11900" w:h="16838" w:orient="portrait"/>
          <w:cols w:equalWidth="0" w:num="1">
            <w:col w:w="11240"/>
          </w:cols>
          <w:pgMar w:left="320" w:top="233" w:right="339" w:bottom="1440" w:gutter="0" w:footer="0" w:header="0"/>
        </w:sectPr>
      </w:pPr>
    </w:p>
    <w:p>
      <w:pPr>
        <w:spacing w:after="0" w:line="32"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Investment in vacation ownership notes receivable on non-accrual status at September 30, 2020</w:t>
      </w:r>
    </w:p>
    <w:p>
      <w:pPr>
        <w:ind w:left="20"/>
        <w:spacing w:after="0" w:line="234" w:lineRule="auto"/>
        <w:rPr>
          <w:sz w:val="20"/>
          <w:szCs w:val="20"/>
          <w:color w:val="auto"/>
        </w:rPr>
      </w:pPr>
      <w:r>
        <w:rPr>
          <w:rFonts w:ascii="Arial" w:cs="Arial" w:eastAsia="Arial" w:hAnsi="Arial"/>
          <w:sz w:val="18"/>
          <w:szCs w:val="18"/>
          <w:color w:val="auto"/>
        </w:rPr>
        <w:t>Investment in vacation ownership notes receivable on non-accrual status at December 31, 2019</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-153670</wp:posOffset>
            </wp:positionV>
            <wp:extent cx="7098030" cy="257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86</w:t>
            </w:r>
          </w:p>
        </w:tc>
        <w:tc>
          <w:tcPr>
            <w:tcW w:w="9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9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91"/>
        </w:trPr>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43</w:t>
            </w:r>
          </w:p>
        </w:tc>
        <w:tc>
          <w:tcPr>
            <w:tcW w:w="9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9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293" w:lineRule="exact"/>
        <w:rPr>
          <w:sz w:val="20"/>
          <w:szCs w:val="20"/>
          <w:color w:val="auto"/>
        </w:rPr>
      </w:pPr>
    </w:p>
    <w:p>
      <w:pPr>
        <w:sectPr>
          <w:pgSz w:w="11900" w:h="16838" w:orient="portrait"/>
          <w:cols w:equalWidth="0" w:num="3">
            <w:col w:w="5240" w:space="180"/>
            <w:col w:w="860" w:space="720"/>
            <w:col w:w="4240"/>
          </w:cols>
          <w:pgMar w:left="320" w:top="233" w:right="339" w:bottom="1440" w:gutter="0" w:footer="0" w:header="0"/>
          <w:type w:val="continuous"/>
        </w:sectPr>
      </w:pPr>
    </w:p>
    <w:p>
      <w:pPr>
        <w:spacing w:after="0" w:line="3" w:lineRule="exact"/>
        <w:rPr>
          <w:sz w:val="20"/>
          <w:szCs w:val="20"/>
          <w:color w:val="auto"/>
        </w:rPr>
      </w:pPr>
    </w:p>
    <w:p>
      <w:pPr>
        <w:ind w:right="740" w:firstLine="648"/>
        <w:spacing w:after="0" w:line="274"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Legacy-MVW vacation ownership notes receivable as of September 30, 2020.</w:t>
      </w:r>
    </w:p>
    <w:tbl>
      <w:tblPr>
        <w:tblLayout w:type="fixed"/>
        <w:tblInd w:w="0" w:type="dxa"/>
        <w:tblCellMar>
          <w:top w:w="0" w:type="dxa"/>
          <w:left w:w="0" w:type="dxa"/>
          <w:bottom w:w="0" w:type="dxa"/>
          <w:right w:w="0" w:type="dxa"/>
        </w:tblCellMar>
      </w:tblPr>
      <w:tr>
        <w:trPr>
          <w:trHeight w:val="213"/>
        </w:trPr>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5180" w:type="dxa"/>
            <w:vAlign w:val="bottom"/>
            <w:tcBorders>
              <w:bottom w:val="single" w:sz="8" w:color="auto"/>
            </w:tcBorders>
            <w:gridSpan w:val="7"/>
          </w:tcPr>
          <w:p>
            <w:pPr>
              <w:jc w:val="right"/>
              <w:ind w:right="373"/>
              <w:spacing w:after="0"/>
              <w:rPr>
                <w:sz w:val="20"/>
                <w:szCs w:val="20"/>
                <w:color w:val="auto"/>
              </w:rPr>
            </w:pPr>
            <w:r>
              <w:rPr>
                <w:rFonts w:ascii="Arial" w:cs="Arial" w:eastAsia="Arial" w:hAnsi="Arial"/>
                <w:sz w:val="16"/>
                <w:szCs w:val="16"/>
                <w:b w:val="1"/>
                <w:bCs w:val="1"/>
                <w:color w:val="auto"/>
              </w:rPr>
              <w:t>Legacy-MVW Vacation Ownership Notes Receivable</w:t>
            </w:r>
          </w:p>
        </w:tc>
        <w:tc>
          <w:tcPr>
            <w:tcW w:w="600" w:type="dxa"/>
            <w:vAlign w:val="bottom"/>
            <w:tcBorders>
              <w:bottom w:val="single" w:sz="8" w:color="auto"/>
            </w:tcBorders>
          </w:tcPr>
          <w:p>
            <w:pPr>
              <w:spacing w:after="0"/>
              <w:rPr>
                <w:sz w:val="18"/>
                <w:szCs w:val="18"/>
                <w:color w:val="auto"/>
              </w:rPr>
            </w:pPr>
          </w:p>
        </w:tc>
      </w:tr>
      <w:tr>
        <w:trPr>
          <w:trHeight w:val="210"/>
        </w:trPr>
        <w:tc>
          <w:tcPr>
            <w:tcW w:w="5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Non-Securitized</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Securitized</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Total</w:t>
            </w:r>
          </w:p>
        </w:tc>
        <w:tc>
          <w:tcPr>
            <w:tcW w:w="600" w:type="dxa"/>
            <w:vAlign w:val="bottom"/>
            <w:tcBorders>
              <w:bottom w:val="single" w:sz="8" w:color="auto"/>
            </w:tcBorders>
          </w:tcPr>
          <w:p>
            <w:pPr>
              <w:spacing w:after="0"/>
              <w:rPr>
                <w:sz w:val="18"/>
                <w:szCs w:val="18"/>
                <w:color w:val="auto"/>
              </w:rPr>
            </w:pPr>
          </w:p>
        </w:tc>
      </w:tr>
      <w:tr>
        <w:trPr>
          <w:trHeight w:val="226"/>
        </w:trPr>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31</w:t>
            </w:r>
          </w:p>
        </w:tc>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90 days past due</w:t>
            </w:r>
          </w:p>
        </w:tc>
        <w:tc>
          <w:tcPr>
            <w:tcW w:w="1480" w:type="dxa"/>
            <w:vAlign w:val="bottom"/>
            <w:shd w:val="clear" w:color="auto" w:fill="CCEEFF"/>
          </w:tcPr>
          <w:p>
            <w:pPr>
              <w:jc w:val="right"/>
              <w:ind w:right="1295"/>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5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220" w:type="dxa"/>
            <w:vAlign w:val="bottom"/>
          </w:tcPr>
          <w:p>
            <w:pPr>
              <w:ind w:left="20"/>
              <w:spacing w:after="0"/>
              <w:rPr>
                <w:sz w:val="20"/>
                <w:szCs w:val="20"/>
                <w:color w:val="auto"/>
              </w:rPr>
            </w:pPr>
            <w:r>
              <w:rPr>
                <w:rFonts w:ascii="Arial" w:cs="Arial" w:eastAsia="Arial" w:hAnsi="Arial"/>
                <w:sz w:val="18"/>
                <w:szCs w:val="18"/>
                <w:color w:val="auto"/>
                <w:w w:val="89"/>
              </w:rPr>
              <w:t>91</w:t>
            </w:r>
          </w:p>
        </w:tc>
        <w:tc>
          <w:tcPr>
            <w:tcW w:w="5180" w:type="dxa"/>
            <w:vAlign w:val="bottom"/>
          </w:tcPr>
          <w:p>
            <w:pPr>
              <w:ind w:left="40"/>
              <w:spacing w:after="0"/>
              <w:rPr>
                <w:sz w:val="20"/>
                <w:szCs w:val="20"/>
                <w:color w:val="auto"/>
              </w:rPr>
            </w:pPr>
            <w:r>
              <w:rPr>
                <w:rFonts w:ascii="Arial" w:cs="Arial" w:eastAsia="Arial" w:hAnsi="Arial"/>
                <w:sz w:val="18"/>
                <w:szCs w:val="18"/>
                <w:color w:val="auto"/>
              </w:rPr>
              <w:t>– 150 days past due</w:t>
            </w:r>
          </w:p>
        </w:tc>
        <w:tc>
          <w:tcPr>
            <w:tcW w:w="14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than 150 days past due</w:t>
            </w:r>
          </w:p>
        </w:tc>
        <w:tc>
          <w:tcPr>
            <w:tcW w:w="14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Total past due</w:t>
            </w:r>
          </w:p>
        </w:tc>
        <w:tc>
          <w:tcPr>
            <w:tcW w:w="14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4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167</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1,122</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2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Total vacation ownership notes receivable</w:t>
            </w:r>
          </w:p>
        </w:tc>
        <w:tc>
          <w:tcPr>
            <w:tcW w:w="1480" w:type="dxa"/>
            <w:vAlign w:val="bottom"/>
            <w:tcBorders>
              <w:bottom w:val="single" w:sz="8" w:color="auto"/>
            </w:tcBorders>
          </w:tcPr>
          <w:p>
            <w:pPr>
              <w:jc w:val="right"/>
              <w:ind w:right="1295"/>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260</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115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1,161</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05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r>
      <w:tr>
        <w:trPr>
          <w:trHeight w:val="20"/>
        </w:trPr>
        <w:tc>
          <w:tcPr>
            <w:tcW w:w="2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40" w:firstLine="648"/>
        <w:spacing w:after="0" w:line="274"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Legacy-MVW vacation ownership notes receivable as of December 31, 2019.</w:t>
      </w:r>
    </w:p>
    <w:tbl>
      <w:tblPr>
        <w:tblLayout w:type="fixed"/>
        <w:tblInd w:w="0" w:type="dxa"/>
        <w:tblCellMar>
          <w:top w:w="0" w:type="dxa"/>
          <w:left w:w="0" w:type="dxa"/>
          <w:bottom w:w="0" w:type="dxa"/>
          <w:right w:w="0" w:type="dxa"/>
        </w:tblCellMar>
      </w:tblPr>
      <w:tr>
        <w:trPr>
          <w:trHeight w:val="213"/>
        </w:trPr>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5180" w:type="dxa"/>
            <w:vAlign w:val="bottom"/>
            <w:tcBorders>
              <w:bottom w:val="single" w:sz="8" w:color="auto"/>
            </w:tcBorders>
            <w:gridSpan w:val="7"/>
          </w:tcPr>
          <w:p>
            <w:pPr>
              <w:jc w:val="right"/>
              <w:ind w:right="373"/>
              <w:spacing w:after="0"/>
              <w:rPr>
                <w:sz w:val="20"/>
                <w:szCs w:val="20"/>
                <w:color w:val="auto"/>
              </w:rPr>
            </w:pPr>
            <w:r>
              <w:rPr>
                <w:rFonts w:ascii="Arial" w:cs="Arial" w:eastAsia="Arial" w:hAnsi="Arial"/>
                <w:sz w:val="16"/>
                <w:szCs w:val="16"/>
                <w:b w:val="1"/>
                <w:bCs w:val="1"/>
                <w:color w:val="auto"/>
              </w:rPr>
              <w:t>Legacy-MVW Vacation Ownership Notes Receivable</w:t>
            </w:r>
          </w:p>
        </w:tc>
        <w:tc>
          <w:tcPr>
            <w:tcW w:w="600" w:type="dxa"/>
            <w:vAlign w:val="bottom"/>
            <w:tcBorders>
              <w:bottom w:val="single" w:sz="8" w:color="auto"/>
            </w:tcBorders>
          </w:tcPr>
          <w:p>
            <w:pPr>
              <w:spacing w:after="0"/>
              <w:rPr>
                <w:sz w:val="18"/>
                <w:szCs w:val="18"/>
                <w:color w:val="auto"/>
              </w:rPr>
            </w:pPr>
          </w:p>
        </w:tc>
      </w:tr>
      <w:tr>
        <w:trPr>
          <w:trHeight w:val="210"/>
        </w:trPr>
        <w:tc>
          <w:tcPr>
            <w:tcW w:w="5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Non-Securitized</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Securitized</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Total</w:t>
            </w:r>
          </w:p>
        </w:tc>
        <w:tc>
          <w:tcPr>
            <w:tcW w:w="600" w:type="dxa"/>
            <w:vAlign w:val="bottom"/>
            <w:tcBorders>
              <w:bottom w:val="single" w:sz="8" w:color="auto"/>
            </w:tcBorders>
          </w:tcPr>
          <w:p>
            <w:pPr>
              <w:spacing w:after="0"/>
              <w:rPr>
                <w:sz w:val="18"/>
                <w:szCs w:val="18"/>
                <w:color w:val="auto"/>
              </w:rPr>
            </w:pPr>
          </w:p>
        </w:tc>
      </w:tr>
      <w:tr>
        <w:trPr>
          <w:trHeight w:val="226"/>
        </w:trPr>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31</w:t>
            </w:r>
          </w:p>
        </w:tc>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90 days past due</w:t>
            </w:r>
          </w:p>
        </w:tc>
        <w:tc>
          <w:tcPr>
            <w:tcW w:w="1480" w:type="dxa"/>
            <w:vAlign w:val="bottom"/>
            <w:shd w:val="clear" w:color="auto" w:fill="CCEEFF"/>
          </w:tcPr>
          <w:p>
            <w:pPr>
              <w:jc w:val="right"/>
              <w:ind w:right="1295"/>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5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220" w:type="dxa"/>
            <w:vAlign w:val="bottom"/>
          </w:tcPr>
          <w:p>
            <w:pPr>
              <w:ind w:left="20"/>
              <w:spacing w:after="0"/>
              <w:rPr>
                <w:sz w:val="20"/>
                <w:szCs w:val="20"/>
                <w:color w:val="auto"/>
              </w:rPr>
            </w:pPr>
            <w:r>
              <w:rPr>
                <w:rFonts w:ascii="Arial" w:cs="Arial" w:eastAsia="Arial" w:hAnsi="Arial"/>
                <w:sz w:val="18"/>
                <w:szCs w:val="18"/>
                <w:color w:val="auto"/>
                <w:w w:val="89"/>
              </w:rPr>
              <w:t>91</w:t>
            </w:r>
          </w:p>
        </w:tc>
        <w:tc>
          <w:tcPr>
            <w:tcW w:w="5180" w:type="dxa"/>
            <w:vAlign w:val="bottom"/>
          </w:tcPr>
          <w:p>
            <w:pPr>
              <w:ind w:left="40"/>
              <w:spacing w:after="0"/>
              <w:rPr>
                <w:sz w:val="20"/>
                <w:szCs w:val="20"/>
                <w:color w:val="auto"/>
              </w:rPr>
            </w:pPr>
            <w:r>
              <w:rPr>
                <w:rFonts w:ascii="Arial" w:cs="Arial" w:eastAsia="Arial" w:hAnsi="Arial"/>
                <w:sz w:val="18"/>
                <w:szCs w:val="18"/>
                <w:color w:val="auto"/>
              </w:rPr>
              <w:t>– 150 days past due</w:t>
            </w:r>
          </w:p>
        </w:tc>
        <w:tc>
          <w:tcPr>
            <w:tcW w:w="14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than 150 days past due</w:t>
            </w:r>
          </w:p>
        </w:tc>
        <w:tc>
          <w:tcPr>
            <w:tcW w:w="14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Total past due</w:t>
            </w:r>
          </w:p>
        </w:tc>
        <w:tc>
          <w:tcPr>
            <w:tcW w:w="14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4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222</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1,254</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r>
      <w:tr>
        <w:trPr>
          <w:trHeight w:val="22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Total vacation ownership notes receivable</w:t>
            </w:r>
          </w:p>
        </w:tc>
        <w:tc>
          <w:tcPr>
            <w:tcW w:w="1480" w:type="dxa"/>
            <w:vAlign w:val="bottom"/>
            <w:tcBorders>
              <w:bottom w:val="single" w:sz="8" w:color="auto"/>
            </w:tcBorders>
          </w:tcPr>
          <w:p>
            <w:pPr>
              <w:jc w:val="right"/>
              <w:ind w:right="1295"/>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272</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115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1,298</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05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w:t>
            </w:r>
          </w:p>
        </w:tc>
      </w:tr>
      <w:tr>
        <w:trPr>
          <w:trHeight w:val="20"/>
        </w:trPr>
        <w:tc>
          <w:tcPr>
            <w:tcW w:w="2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following </w:t>
      </w:r>
      <w:r>
        <w:rPr>
          <w:rFonts w:ascii="Arial" w:cs="Arial" w:eastAsia="Arial" w:hAnsi="Arial"/>
          <w:sz w:val="18"/>
          <w:szCs w:val="18"/>
          <w:color w:val="212529"/>
        </w:rPr>
        <w:t>table details the origination year of our Legacy-MVW vacation ownership notes receivable as of</w:t>
      </w:r>
      <w:r>
        <w:rPr>
          <w:rFonts w:ascii="Arial" w:cs="Arial" w:eastAsia="Arial" w:hAnsi="Arial"/>
          <w:sz w:val="18"/>
          <w:szCs w:val="18"/>
          <w:color w:val="auto"/>
        </w:rPr>
        <w:t xml:space="preserve"> September 30, 2020</w:t>
      </w:r>
      <w:r>
        <w:rPr>
          <w:rFonts w:ascii="Arial" w:cs="Arial" w:eastAsia="Arial" w:hAnsi="Arial"/>
          <w:sz w:val="18"/>
          <w:szCs w:val="18"/>
          <w:color w:val="212529"/>
        </w:rPr>
        <w: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6"/>
          </w:tcPr>
          <w:p>
            <w:pPr>
              <w:jc w:val="right"/>
              <w:ind w:right="373"/>
              <w:spacing w:after="0"/>
              <w:rPr>
                <w:sz w:val="20"/>
                <w:szCs w:val="20"/>
                <w:color w:val="auto"/>
              </w:rPr>
            </w:pPr>
            <w:r>
              <w:rPr>
                <w:rFonts w:ascii="Arial" w:cs="Arial" w:eastAsia="Arial" w:hAnsi="Arial"/>
                <w:sz w:val="16"/>
                <w:szCs w:val="16"/>
                <w:b w:val="1"/>
                <w:bCs w:val="1"/>
                <w:color w:val="auto"/>
              </w:rPr>
              <w:t>Legacy-MVW Vacation Ownership Notes Receivable</w:t>
            </w:r>
          </w:p>
        </w:tc>
        <w:tc>
          <w:tcPr>
            <w:tcW w:w="620" w:type="dxa"/>
            <w:vAlign w:val="bottom"/>
            <w:tcBorders>
              <w:bottom w:val="single" w:sz="8" w:color="auto"/>
            </w:tcBorders>
          </w:tcPr>
          <w:p>
            <w:pPr>
              <w:spacing w:after="0"/>
              <w:rPr>
                <w:sz w:val="18"/>
                <w:szCs w:val="18"/>
                <w:color w:val="auto"/>
              </w:rPr>
            </w:pPr>
          </w:p>
        </w:tc>
      </w:tr>
      <w:tr>
        <w:trPr>
          <w:trHeight w:val="210"/>
        </w:trPr>
        <w:tc>
          <w:tcPr>
            <w:tcW w:w="53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Non-Securitized</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Securitized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53"/>
              <w:spacing w:after="0"/>
              <w:rPr>
                <w:sz w:val="20"/>
                <w:szCs w:val="20"/>
                <w:color w:val="auto"/>
              </w:rPr>
            </w:pPr>
            <w:r>
              <w:rPr>
                <w:rFonts w:ascii="Arial" w:cs="Arial" w:eastAsia="Arial" w:hAnsi="Arial"/>
                <w:sz w:val="16"/>
                <w:szCs w:val="16"/>
                <w:b w:val="1"/>
                <w:bCs w:val="1"/>
                <w:color w:val="auto"/>
              </w:rPr>
              <w:t>Total</w:t>
            </w:r>
          </w:p>
        </w:tc>
        <w:tc>
          <w:tcPr>
            <w:tcW w:w="620" w:type="dxa"/>
            <w:vAlign w:val="bottom"/>
          </w:tcPr>
          <w:p>
            <w:pPr>
              <w:spacing w:after="0"/>
              <w:rPr>
                <w:sz w:val="18"/>
                <w:szCs w:val="18"/>
                <w:color w:val="auto"/>
              </w:rPr>
            </w:pPr>
          </w:p>
        </w:tc>
      </w:tr>
      <w:tr>
        <w:trPr>
          <w:trHeight w:val="212"/>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of Origination</w:t>
            </w:r>
          </w:p>
        </w:tc>
        <w:tc>
          <w:tcPr>
            <w:tcW w:w="2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2020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1360" w:type="dxa"/>
            <w:vAlign w:val="bottom"/>
          </w:tcPr>
          <w:p>
            <w:pPr>
              <w:jc w:val="right"/>
              <w:ind w:right="117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2017</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2015 and Prior</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3"/>
        </w:trPr>
        <w:tc>
          <w:tcPr>
            <w:tcW w:w="53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117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1,161</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05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r>
      <w:tr>
        <w:trPr>
          <w:trHeight w:val="20"/>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Legacy-ILG Vacation Ownership Notes Receivable</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 September 30, 2020 and December 31, 2019, the weighted average FICO score within our consolidated Legacy-ILG vacation ownership notes receivable pools was 708 and 712, respectively, based upon the outstanding vacation ownership notes receivable balance at time of origination. The average estimated rate for all future defaults for our Legacy-ILG consolidated outstanding pool of vacation ownership notes receivable was 14.71 percent as of September 30, 2020 and 12.65 percent as of December 31, 2019. A 0.5 percentage point increase in the estimated default rate on the Legacy-ILG vacation ownership notes receivable would have resulted in an increase in the related vacation ownership notes receivable reserve of $3 million as of September 30, 2020, and $2 million as of December 31, 2019.</w:t>
      </w:r>
    </w:p>
    <w:p>
      <w:pPr>
        <w:spacing w:after="0" w:line="17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following table shows our recorded investment in non-accrual Legacy-ILG vacation ownership notes receivable, which are vacation ownership notes receivable that are 90 days or more past due.</w:t>
      </w:r>
    </w:p>
    <w:p>
      <w:pPr>
        <w:sectPr>
          <w:pgSz w:w="11900" w:h="16838" w:orient="portrait"/>
          <w:cols w:equalWidth="0" w:num="1">
            <w:col w:w="11240"/>
          </w:cols>
          <w:pgMar w:left="320" w:top="233" w:right="339" w:bottom="1440" w:gutter="0" w:footer="0" w:header="0"/>
        </w:sect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32"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Investment in vacation ownership notes receivable on non-accrual status at September 30, 2020</w:t>
      </w:r>
    </w:p>
    <w:p>
      <w:pPr>
        <w:ind w:left="20"/>
        <w:spacing w:after="0" w:line="234" w:lineRule="auto"/>
        <w:rPr>
          <w:sz w:val="20"/>
          <w:szCs w:val="20"/>
          <w:color w:val="auto"/>
        </w:rPr>
      </w:pPr>
      <w:r>
        <w:rPr>
          <w:rFonts w:ascii="Arial" w:cs="Arial" w:eastAsia="Arial" w:hAnsi="Arial"/>
          <w:sz w:val="18"/>
          <w:szCs w:val="18"/>
          <w:color w:val="auto"/>
        </w:rPr>
        <w:t>Investment in vacation ownership notes receivable on non-accrual status at December 31, 2019</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Legacy-ILG Vacation Ownership Notes Receivable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Non-Securitized</w:t>
            </w:r>
          </w:p>
        </w:tc>
        <w:tc>
          <w:tcPr>
            <w:tcW w:w="3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Securitized</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Total</w:t>
            </w:r>
          </w:p>
        </w:tc>
      </w:tr>
      <w:tr>
        <w:trPr>
          <w:trHeight w:val="307"/>
        </w:trPr>
        <w:tc>
          <w:tcPr>
            <w:tcW w:w="1540" w:type="dxa"/>
            <w:vAlign w:val="bottom"/>
          </w:tcPr>
          <w:p>
            <w:pPr>
              <w:jc w:val="right"/>
              <w:ind w:right="1353"/>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1480" w:type="dxa"/>
            <w:vAlign w:val="bottom"/>
          </w:tcPr>
          <w:p>
            <w:pPr>
              <w:jc w:val="right"/>
              <w:ind w:right="1273"/>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92"/>
        </w:trPr>
        <w:tc>
          <w:tcPr>
            <w:tcW w:w="1540" w:type="dxa"/>
            <w:vAlign w:val="bottom"/>
          </w:tcPr>
          <w:p>
            <w:pPr>
              <w:jc w:val="right"/>
              <w:ind w:right="1353"/>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480" w:type="dxa"/>
            <w:vAlign w:val="bottom"/>
          </w:tcPr>
          <w:p>
            <w:pPr>
              <w:jc w:val="right"/>
              <w:ind w:right="1273"/>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-454025</wp:posOffset>
            </wp:positionV>
            <wp:extent cx="7098030" cy="257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5240" w:space="160"/>
            <w:col w:w="5840"/>
          </w:cols>
          <w:pgMar w:left="320" w:top="233" w:right="339" w:bottom="1440" w:gutter="0" w:footer="0" w:header="0"/>
          <w:type w:val="continuous"/>
        </w:sectPr>
      </w:pPr>
    </w:p>
    <w:p>
      <w:pPr>
        <w:spacing w:after="0" w:line="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Legacy-ILG vacation ownership notes receivable as of September 30,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20" w:type="dxa"/>
            <w:vAlign w:val="bottom"/>
            <w:tcBorders>
              <w:bottom w:val="single" w:sz="8" w:color="auto"/>
            </w:tcBorders>
            <w:gridSpan w:val="6"/>
          </w:tcPr>
          <w:p>
            <w:pPr>
              <w:jc w:val="center"/>
              <w:ind w:left="792"/>
              <w:spacing w:after="0"/>
              <w:rPr>
                <w:sz w:val="20"/>
                <w:szCs w:val="20"/>
                <w:color w:val="auto"/>
              </w:rPr>
            </w:pPr>
            <w:r>
              <w:rPr>
                <w:rFonts w:ascii="Arial" w:cs="Arial" w:eastAsia="Arial" w:hAnsi="Arial"/>
                <w:sz w:val="16"/>
                <w:szCs w:val="16"/>
                <w:b w:val="1"/>
                <w:bCs w:val="1"/>
                <w:color w:val="auto"/>
                <w:w w:val="91"/>
              </w:rPr>
              <w:t>Legacy-ILG Vacation Ownership Notes Receivable</w:t>
            </w:r>
          </w:p>
        </w:tc>
        <w:tc>
          <w:tcPr>
            <w:tcW w:w="1120" w:type="dxa"/>
            <w:vAlign w:val="bottom"/>
            <w:tcBorders>
              <w:bottom w:val="single" w:sz="8" w:color="auto"/>
            </w:tcBorders>
          </w:tcPr>
          <w:p>
            <w:pPr>
              <w:spacing w:after="0"/>
              <w:rPr>
                <w:sz w:val="18"/>
                <w:szCs w:val="18"/>
                <w:color w:val="auto"/>
              </w:rPr>
            </w:pPr>
          </w:p>
        </w:tc>
      </w:tr>
      <w:tr>
        <w:trPr>
          <w:trHeight w:val="210"/>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Non-Securitized</w:t>
            </w:r>
          </w:p>
        </w:tc>
        <w:tc>
          <w:tcPr>
            <w:tcW w:w="34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Securitized</w:t>
            </w:r>
          </w:p>
        </w:tc>
        <w:tc>
          <w:tcPr>
            <w:tcW w:w="720" w:type="dxa"/>
            <w:vAlign w:val="bottom"/>
          </w:tcPr>
          <w:p>
            <w:pPr>
              <w:spacing w:after="0"/>
              <w:rPr>
                <w:sz w:val="18"/>
                <w:szCs w:val="18"/>
                <w:color w:val="auto"/>
              </w:rPr>
            </w:pPr>
          </w:p>
        </w:tc>
        <w:tc>
          <w:tcPr>
            <w:tcW w:w="1120" w:type="dxa"/>
            <w:vAlign w:val="bottom"/>
          </w:tcPr>
          <w:p>
            <w:pPr>
              <w:jc w:val="right"/>
              <w:ind w:right="651"/>
              <w:spacing w:after="0"/>
              <w:rPr>
                <w:sz w:val="20"/>
                <w:szCs w:val="20"/>
                <w:color w:val="auto"/>
              </w:rPr>
            </w:pPr>
            <w:r>
              <w:rPr>
                <w:rFonts w:ascii="Arial" w:cs="Arial" w:eastAsia="Arial" w:hAnsi="Arial"/>
                <w:sz w:val="16"/>
                <w:szCs w:val="16"/>
                <w:b w:val="1"/>
                <w:bCs w:val="1"/>
                <w:color w:val="auto"/>
                <w:w w:val="94"/>
              </w:rPr>
              <w:t>Total</w:t>
            </w:r>
          </w:p>
        </w:tc>
      </w:tr>
      <w:tr>
        <w:trPr>
          <w:trHeight w:val="226"/>
        </w:trPr>
        <w:tc>
          <w:tcPr>
            <w:tcW w:w="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31</w:t>
            </w:r>
          </w:p>
        </w:tc>
        <w:tc>
          <w:tcPr>
            <w:tcW w:w="5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90 days past due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220" w:type="dxa"/>
            <w:vAlign w:val="bottom"/>
          </w:tcPr>
          <w:p>
            <w:pPr>
              <w:ind w:left="20"/>
              <w:spacing w:after="0"/>
              <w:rPr>
                <w:sz w:val="20"/>
                <w:szCs w:val="20"/>
                <w:color w:val="auto"/>
              </w:rPr>
            </w:pPr>
            <w:r>
              <w:rPr>
                <w:rFonts w:ascii="Arial" w:cs="Arial" w:eastAsia="Arial" w:hAnsi="Arial"/>
                <w:sz w:val="18"/>
                <w:szCs w:val="18"/>
                <w:color w:val="auto"/>
                <w:w w:val="89"/>
              </w:rPr>
              <w:t>91</w:t>
            </w:r>
          </w:p>
        </w:tc>
        <w:tc>
          <w:tcPr>
            <w:tcW w:w="5180" w:type="dxa"/>
            <w:vAlign w:val="bottom"/>
          </w:tcPr>
          <w:p>
            <w:pPr>
              <w:ind w:left="40"/>
              <w:spacing w:after="0"/>
              <w:rPr>
                <w:sz w:val="20"/>
                <w:szCs w:val="20"/>
                <w:color w:val="auto"/>
              </w:rPr>
            </w:pPr>
            <w:r>
              <w:rPr>
                <w:rFonts w:ascii="Arial" w:cs="Arial" w:eastAsia="Arial" w:hAnsi="Arial"/>
                <w:sz w:val="18"/>
                <w:szCs w:val="18"/>
                <w:color w:val="auto"/>
              </w:rPr>
              <w:t>– 120 days past due</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than 120 days past due</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Total past due</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2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Total vacation ownership notes receivable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r>
      <w:tr>
        <w:trPr>
          <w:trHeight w:val="21"/>
        </w:trPr>
        <w:tc>
          <w:tcPr>
            <w:tcW w:w="2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Legacy-ILG vacation ownership notes receivable as of December 31, 2019.</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20" w:type="dxa"/>
            <w:vAlign w:val="bottom"/>
            <w:tcBorders>
              <w:bottom w:val="single" w:sz="8" w:color="auto"/>
            </w:tcBorders>
            <w:gridSpan w:val="6"/>
          </w:tcPr>
          <w:p>
            <w:pPr>
              <w:jc w:val="center"/>
              <w:ind w:left="792"/>
              <w:spacing w:after="0"/>
              <w:rPr>
                <w:sz w:val="20"/>
                <w:szCs w:val="20"/>
                <w:color w:val="auto"/>
              </w:rPr>
            </w:pPr>
            <w:r>
              <w:rPr>
                <w:rFonts w:ascii="Arial" w:cs="Arial" w:eastAsia="Arial" w:hAnsi="Arial"/>
                <w:sz w:val="16"/>
                <w:szCs w:val="16"/>
                <w:b w:val="1"/>
                <w:bCs w:val="1"/>
                <w:color w:val="auto"/>
                <w:w w:val="91"/>
              </w:rPr>
              <w:t>Legacy-ILG Vacation Ownership Notes Receivable</w:t>
            </w:r>
          </w:p>
        </w:tc>
        <w:tc>
          <w:tcPr>
            <w:tcW w:w="1120" w:type="dxa"/>
            <w:vAlign w:val="bottom"/>
            <w:tcBorders>
              <w:bottom w:val="single" w:sz="8" w:color="auto"/>
            </w:tcBorders>
          </w:tcPr>
          <w:p>
            <w:pPr>
              <w:spacing w:after="0"/>
              <w:rPr>
                <w:sz w:val="18"/>
                <w:szCs w:val="18"/>
                <w:color w:val="auto"/>
              </w:rPr>
            </w:pPr>
          </w:p>
        </w:tc>
      </w:tr>
      <w:tr>
        <w:trPr>
          <w:trHeight w:val="210"/>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Non-Securitized</w:t>
            </w:r>
          </w:p>
        </w:tc>
        <w:tc>
          <w:tcPr>
            <w:tcW w:w="34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Securitized</w:t>
            </w:r>
          </w:p>
        </w:tc>
        <w:tc>
          <w:tcPr>
            <w:tcW w:w="720" w:type="dxa"/>
            <w:vAlign w:val="bottom"/>
          </w:tcPr>
          <w:p>
            <w:pPr>
              <w:spacing w:after="0"/>
              <w:rPr>
                <w:sz w:val="18"/>
                <w:szCs w:val="18"/>
                <w:color w:val="auto"/>
              </w:rPr>
            </w:pPr>
          </w:p>
        </w:tc>
        <w:tc>
          <w:tcPr>
            <w:tcW w:w="1120" w:type="dxa"/>
            <w:vAlign w:val="bottom"/>
          </w:tcPr>
          <w:p>
            <w:pPr>
              <w:jc w:val="right"/>
              <w:ind w:right="651"/>
              <w:spacing w:after="0"/>
              <w:rPr>
                <w:sz w:val="20"/>
                <w:szCs w:val="20"/>
                <w:color w:val="auto"/>
              </w:rPr>
            </w:pPr>
            <w:r>
              <w:rPr>
                <w:rFonts w:ascii="Arial" w:cs="Arial" w:eastAsia="Arial" w:hAnsi="Arial"/>
                <w:sz w:val="16"/>
                <w:szCs w:val="16"/>
                <w:b w:val="1"/>
                <w:bCs w:val="1"/>
                <w:color w:val="auto"/>
                <w:w w:val="94"/>
              </w:rPr>
              <w:t>Total</w:t>
            </w:r>
          </w:p>
        </w:tc>
      </w:tr>
      <w:tr>
        <w:trPr>
          <w:trHeight w:val="226"/>
        </w:trPr>
        <w:tc>
          <w:tcPr>
            <w:tcW w:w="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31</w:t>
            </w:r>
          </w:p>
        </w:tc>
        <w:tc>
          <w:tcPr>
            <w:tcW w:w="5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90 days past due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220" w:type="dxa"/>
            <w:vAlign w:val="bottom"/>
          </w:tcPr>
          <w:p>
            <w:pPr>
              <w:ind w:left="20"/>
              <w:spacing w:after="0"/>
              <w:rPr>
                <w:sz w:val="20"/>
                <w:szCs w:val="20"/>
                <w:color w:val="auto"/>
              </w:rPr>
            </w:pPr>
            <w:r>
              <w:rPr>
                <w:rFonts w:ascii="Arial" w:cs="Arial" w:eastAsia="Arial" w:hAnsi="Arial"/>
                <w:sz w:val="18"/>
                <w:szCs w:val="18"/>
                <w:color w:val="auto"/>
                <w:w w:val="89"/>
              </w:rPr>
              <w:t>91</w:t>
            </w:r>
          </w:p>
        </w:tc>
        <w:tc>
          <w:tcPr>
            <w:tcW w:w="5180" w:type="dxa"/>
            <w:vAlign w:val="bottom"/>
          </w:tcPr>
          <w:p>
            <w:pPr>
              <w:ind w:left="40"/>
              <w:spacing w:after="0"/>
              <w:rPr>
                <w:sz w:val="20"/>
                <w:szCs w:val="20"/>
                <w:color w:val="auto"/>
              </w:rPr>
            </w:pPr>
            <w:r>
              <w:rPr>
                <w:rFonts w:ascii="Arial" w:cs="Arial" w:eastAsia="Arial" w:hAnsi="Arial"/>
                <w:sz w:val="18"/>
                <w:szCs w:val="18"/>
                <w:color w:val="auto"/>
              </w:rPr>
              <w:t>– 120 days past due</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than 120 days past due</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Total past due</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2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Total vacation ownership notes receivable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r>
      <w:tr>
        <w:trPr>
          <w:trHeight w:val="20"/>
        </w:trPr>
        <w:tc>
          <w:tcPr>
            <w:tcW w:w="2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74" w:lineRule="auto"/>
        <w:rPr>
          <w:sz w:val="20"/>
          <w:szCs w:val="20"/>
          <w:color w:val="auto"/>
        </w:rPr>
      </w:pPr>
      <w:r>
        <w:rPr>
          <w:rFonts w:ascii="Arial" w:cs="Arial" w:eastAsia="Arial" w:hAnsi="Arial"/>
          <w:sz w:val="18"/>
          <w:szCs w:val="18"/>
          <w:color w:val="auto"/>
        </w:rPr>
        <w:t>The following tables show the Legacy-ILG acquired vacation ownership notes receivable by brand and FICO score, before reserves. Vacation ownership notes receivable with no FICO score primarily relate to non-U.S. resident borrowers.</w:t>
      </w:r>
    </w:p>
    <w:tbl>
      <w:tblPr>
        <w:tblLayout w:type="fixed"/>
        <w:tblInd w:w="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940" w:type="dxa"/>
            <w:vAlign w:val="bottom"/>
            <w:tcBorders>
              <w:bottom w:val="single" w:sz="8" w:color="auto"/>
            </w:tcBorders>
            <w:gridSpan w:val="12"/>
          </w:tcPr>
          <w:p>
            <w:pPr>
              <w:jc w:val="center"/>
              <w:ind w:left="553"/>
              <w:spacing w:after="0"/>
              <w:rPr>
                <w:sz w:val="20"/>
                <w:szCs w:val="20"/>
                <w:color w:val="auto"/>
              </w:rPr>
            </w:pPr>
            <w:r>
              <w:rPr>
                <w:rFonts w:ascii="Arial" w:cs="Arial" w:eastAsia="Arial" w:hAnsi="Arial"/>
                <w:sz w:val="16"/>
                <w:szCs w:val="16"/>
                <w:b w:val="1"/>
                <w:bCs w:val="1"/>
                <w:color w:val="auto"/>
                <w:w w:val="90"/>
              </w:rPr>
              <w:t>Acquired Vacation Ownership Notes Receivable as of September 30, 2020</w:t>
            </w:r>
          </w:p>
        </w:tc>
        <w:tc>
          <w:tcPr>
            <w:tcW w:w="9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18"/>
                <w:szCs w:val="18"/>
                <w:color w:val="auto"/>
              </w:rPr>
            </w:pPr>
          </w:p>
        </w:tc>
        <w:tc>
          <w:tcPr>
            <w:tcW w:w="1040" w:type="dxa"/>
            <w:vAlign w:val="bottom"/>
          </w:tcPr>
          <w:p>
            <w:pPr>
              <w:jc w:val="right"/>
              <w:ind w:right="393"/>
              <w:spacing w:after="0"/>
              <w:rPr>
                <w:sz w:val="20"/>
                <w:szCs w:val="20"/>
                <w:color w:val="auto"/>
              </w:rPr>
            </w:pPr>
            <w:r>
              <w:rPr>
                <w:rFonts w:ascii="Arial" w:cs="Arial" w:eastAsia="Arial" w:hAnsi="Arial"/>
                <w:sz w:val="16"/>
                <w:szCs w:val="16"/>
                <w:b w:val="1"/>
                <w:bCs w:val="1"/>
                <w:color w:val="auto"/>
              </w:rPr>
              <w:t>700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ind w:left="120"/>
              <w:spacing w:after="0"/>
              <w:rPr>
                <w:sz w:val="20"/>
                <w:szCs w:val="20"/>
                <w:color w:val="auto"/>
              </w:rPr>
            </w:pPr>
            <w:r>
              <w:rPr>
                <w:rFonts w:ascii="Arial" w:cs="Arial" w:eastAsia="Arial" w:hAnsi="Arial"/>
                <w:sz w:val="16"/>
                <w:szCs w:val="16"/>
                <w:b w:val="1"/>
                <w:bCs w:val="1"/>
                <w:color w:val="auto"/>
              </w:rPr>
              <w:t>600 - 699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right="212"/>
              <w:spacing w:after="0"/>
              <w:rPr>
                <w:sz w:val="20"/>
                <w:szCs w:val="20"/>
                <w:color w:val="auto"/>
              </w:rPr>
            </w:pPr>
            <w:r>
              <w:rPr>
                <w:rFonts w:ascii="Arial" w:cs="Arial" w:eastAsia="Arial" w:hAnsi="Arial"/>
                <w:sz w:val="16"/>
                <w:szCs w:val="16"/>
                <w:b w:val="1"/>
                <w:bCs w:val="1"/>
                <w:color w:val="auto"/>
                <w:w w:val="93"/>
              </w:rPr>
              <w:t>&lt; 600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 Score</w:t>
            </w:r>
          </w:p>
        </w:tc>
        <w:tc>
          <w:tcPr>
            <w:tcW w:w="400" w:type="dxa"/>
            <w:vAlign w:val="bottom"/>
          </w:tcPr>
          <w:p>
            <w:pPr>
              <w:spacing w:after="0"/>
              <w:rPr>
                <w:sz w:val="18"/>
                <w:szCs w:val="18"/>
                <w:color w:val="auto"/>
              </w:rPr>
            </w:pPr>
          </w:p>
        </w:tc>
        <w:tc>
          <w:tcPr>
            <w:tcW w:w="9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9"/>
                <w:szCs w:val="19"/>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Sheraton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9"/>
                <w:szCs w:val="19"/>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48"/>
        </w:trPr>
        <w:tc>
          <w:tcPr>
            <w:tcW w:w="40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21"/>
                <w:szCs w:val="2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0"/>
        </w:trPr>
        <w:tc>
          <w:tcPr>
            <w:tcW w:w="4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gridSpan w:val="12"/>
          </w:tcPr>
          <w:p>
            <w:pPr>
              <w:jc w:val="center"/>
              <w:ind w:left="553"/>
              <w:spacing w:after="0"/>
              <w:rPr>
                <w:sz w:val="20"/>
                <w:szCs w:val="20"/>
                <w:color w:val="auto"/>
              </w:rPr>
            </w:pPr>
            <w:r>
              <w:rPr>
                <w:rFonts w:ascii="Arial" w:cs="Arial" w:eastAsia="Arial" w:hAnsi="Arial"/>
                <w:sz w:val="16"/>
                <w:szCs w:val="16"/>
                <w:b w:val="1"/>
                <w:bCs w:val="1"/>
                <w:color w:val="auto"/>
                <w:w w:val="90"/>
              </w:rPr>
              <w:t>Acquired Vacation Ownership Notes Receivable as of December 31, 2019</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18"/>
                <w:szCs w:val="18"/>
                <w:color w:val="auto"/>
              </w:rPr>
            </w:pPr>
          </w:p>
        </w:tc>
        <w:tc>
          <w:tcPr>
            <w:tcW w:w="1040" w:type="dxa"/>
            <w:vAlign w:val="bottom"/>
          </w:tcPr>
          <w:p>
            <w:pPr>
              <w:jc w:val="right"/>
              <w:ind w:right="393"/>
              <w:spacing w:after="0"/>
              <w:rPr>
                <w:sz w:val="20"/>
                <w:szCs w:val="20"/>
                <w:color w:val="auto"/>
              </w:rPr>
            </w:pPr>
            <w:r>
              <w:rPr>
                <w:rFonts w:ascii="Arial" w:cs="Arial" w:eastAsia="Arial" w:hAnsi="Arial"/>
                <w:sz w:val="16"/>
                <w:szCs w:val="16"/>
                <w:b w:val="1"/>
                <w:bCs w:val="1"/>
                <w:color w:val="auto"/>
              </w:rPr>
              <w:t>700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ind w:left="120"/>
              <w:spacing w:after="0"/>
              <w:rPr>
                <w:sz w:val="20"/>
                <w:szCs w:val="20"/>
                <w:color w:val="auto"/>
              </w:rPr>
            </w:pPr>
            <w:r>
              <w:rPr>
                <w:rFonts w:ascii="Arial" w:cs="Arial" w:eastAsia="Arial" w:hAnsi="Arial"/>
                <w:sz w:val="16"/>
                <w:szCs w:val="16"/>
                <w:b w:val="1"/>
                <w:bCs w:val="1"/>
                <w:color w:val="auto"/>
              </w:rPr>
              <w:t>600 - 699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right="212"/>
              <w:spacing w:after="0"/>
              <w:rPr>
                <w:sz w:val="20"/>
                <w:szCs w:val="20"/>
                <w:color w:val="auto"/>
              </w:rPr>
            </w:pPr>
            <w:r>
              <w:rPr>
                <w:rFonts w:ascii="Arial" w:cs="Arial" w:eastAsia="Arial" w:hAnsi="Arial"/>
                <w:sz w:val="16"/>
                <w:szCs w:val="16"/>
                <w:b w:val="1"/>
                <w:bCs w:val="1"/>
                <w:color w:val="auto"/>
                <w:w w:val="93"/>
              </w:rPr>
              <w:t>&lt; 600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 Score</w:t>
            </w:r>
          </w:p>
        </w:tc>
        <w:tc>
          <w:tcPr>
            <w:tcW w:w="400" w:type="dxa"/>
            <w:vAlign w:val="bottom"/>
          </w:tcPr>
          <w:p>
            <w:pPr>
              <w:spacing w:after="0"/>
              <w:rPr>
                <w:sz w:val="18"/>
                <w:szCs w:val="18"/>
                <w:color w:val="auto"/>
              </w:rPr>
            </w:pPr>
          </w:p>
        </w:tc>
        <w:tc>
          <w:tcPr>
            <w:tcW w:w="9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9"/>
                <w:szCs w:val="19"/>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Sheraton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9"/>
                <w:szCs w:val="19"/>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48"/>
        </w:trPr>
        <w:tc>
          <w:tcPr>
            <w:tcW w:w="40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21"/>
                <w:szCs w:val="2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3"/>
        </w:trPr>
        <w:tc>
          <w:tcPr>
            <w:tcW w:w="4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40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firstLine="648"/>
        <w:spacing w:after="0" w:line="290" w:lineRule="auto"/>
        <w:rPr>
          <w:sz w:val="20"/>
          <w:szCs w:val="20"/>
          <w:color w:val="auto"/>
        </w:rPr>
      </w:pPr>
      <w:r>
        <w:rPr>
          <w:rFonts w:ascii="Arial" w:cs="Arial" w:eastAsia="Arial" w:hAnsi="Arial"/>
          <w:sz w:val="17"/>
          <w:szCs w:val="17"/>
          <w:color w:val="auto"/>
        </w:rPr>
        <w:t xml:space="preserve">The following </w:t>
      </w:r>
      <w:r>
        <w:rPr>
          <w:rFonts w:ascii="Arial" w:cs="Arial" w:eastAsia="Arial" w:hAnsi="Arial"/>
          <w:sz w:val="17"/>
          <w:szCs w:val="17"/>
          <w:color w:val="212529"/>
        </w:rPr>
        <w:t>table details the origination year of our Legacy-ILG acquired vacation ownership notes receivable by brand and FICO score as of</w:t>
      </w:r>
      <w:r>
        <w:rPr>
          <w:rFonts w:ascii="Arial" w:cs="Arial" w:eastAsia="Arial" w:hAnsi="Arial"/>
          <w:sz w:val="17"/>
          <w:szCs w:val="17"/>
          <w:color w:val="auto"/>
        </w:rPr>
        <w:t xml:space="preserve"> September 30, 2020</w:t>
      </w:r>
      <w:r>
        <w:rPr>
          <w:rFonts w:ascii="Arial" w:cs="Arial" w:eastAsia="Arial" w:hAnsi="Arial"/>
          <w:sz w:val="17"/>
          <w:szCs w:val="17"/>
          <w:color w:val="212529"/>
        </w:rPr>
        <w:t>. Vacation ownership notes receivable with no FICO score primarily relate to non-U.S. resident borrowers.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9"/>
          </w:tcPr>
          <w:p>
            <w:pPr>
              <w:jc w:val="center"/>
              <w:ind w:right="80"/>
              <w:spacing w:after="0"/>
              <w:rPr>
                <w:sz w:val="20"/>
                <w:szCs w:val="20"/>
                <w:color w:val="auto"/>
              </w:rPr>
            </w:pPr>
            <w:r>
              <w:rPr>
                <w:rFonts w:ascii="Arial" w:cs="Arial" w:eastAsia="Arial" w:hAnsi="Arial"/>
                <w:sz w:val="16"/>
                <w:szCs w:val="16"/>
                <w:b w:val="1"/>
                <w:bCs w:val="1"/>
                <w:color w:val="auto"/>
                <w:w w:val="91"/>
              </w:rPr>
              <w:t>Acquired Vacation Ownership Notes Receivable - Westin</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60" w:type="dxa"/>
            <w:vAlign w:val="bottom"/>
          </w:tcPr>
          <w:p>
            <w:pPr>
              <w:jc w:val="right"/>
              <w:ind w:right="33"/>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8"/>
                <w:szCs w:val="18"/>
                <w:color w:val="auto"/>
              </w:rPr>
            </w:pPr>
          </w:p>
        </w:tc>
        <w:tc>
          <w:tcPr>
            <w:tcW w:w="1140" w:type="dxa"/>
            <w:vAlign w:val="bottom"/>
            <w:gridSpan w:val="3"/>
          </w:tcPr>
          <w:p>
            <w:pPr>
              <w:jc w:val="right"/>
              <w:ind w:right="52"/>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right="212"/>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2015 &amp; Prior</w:t>
            </w:r>
          </w:p>
        </w:tc>
        <w:tc>
          <w:tcPr>
            <w:tcW w:w="3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880" w:type="dxa"/>
            <w:vAlign w:val="bottom"/>
          </w:tcPr>
          <w:p>
            <w:pPr>
              <w:ind w:left="20"/>
              <w:spacing w:after="0"/>
              <w:rPr>
                <w:sz w:val="20"/>
                <w:szCs w:val="20"/>
                <w:color w:val="auto"/>
              </w:rPr>
            </w:pPr>
            <w:r>
              <w:rPr>
                <w:rFonts w:ascii="Arial" w:cs="Arial" w:eastAsia="Arial" w:hAnsi="Arial"/>
                <w:sz w:val="16"/>
                <w:szCs w:val="16"/>
                <w:color w:val="auto"/>
              </w:rPr>
              <w:t>- 699</w:t>
            </w:r>
          </w:p>
        </w:tc>
        <w:tc>
          <w:tcPr>
            <w:tcW w:w="9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9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30"/>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9"/>
          </w:tcPr>
          <w:p>
            <w:pPr>
              <w:jc w:val="center"/>
              <w:ind w:right="80"/>
              <w:spacing w:after="0"/>
              <w:rPr>
                <w:sz w:val="20"/>
                <w:szCs w:val="20"/>
                <w:color w:val="auto"/>
              </w:rPr>
            </w:pPr>
            <w:r>
              <w:rPr>
                <w:rFonts w:ascii="Arial" w:cs="Arial" w:eastAsia="Arial" w:hAnsi="Arial"/>
                <w:sz w:val="16"/>
                <w:szCs w:val="16"/>
                <w:b w:val="1"/>
                <w:bCs w:val="1"/>
                <w:color w:val="auto"/>
                <w:w w:val="90"/>
              </w:rPr>
              <w:t>Acquired Vacation Ownership Notes Receivable - Sheraton</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10"/>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60" w:type="dxa"/>
            <w:vAlign w:val="bottom"/>
          </w:tcPr>
          <w:p>
            <w:pPr>
              <w:jc w:val="right"/>
              <w:ind w:right="33"/>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8"/>
                <w:szCs w:val="18"/>
                <w:color w:val="auto"/>
              </w:rPr>
            </w:pPr>
          </w:p>
        </w:tc>
        <w:tc>
          <w:tcPr>
            <w:tcW w:w="1140" w:type="dxa"/>
            <w:vAlign w:val="bottom"/>
            <w:gridSpan w:val="3"/>
          </w:tcPr>
          <w:p>
            <w:pPr>
              <w:jc w:val="right"/>
              <w:ind w:right="52"/>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right="212"/>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2015 &amp; Prior</w:t>
            </w:r>
          </w:p>
        </w:tc>
        <w:tc>
          <w:tcPr>
            <w:tcW w:w="3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880" w:type="dxa"/>
            <w:vAlign w:val="bottom"/>
          </w:tcPr>
          <w:p>
            <w:pPr>
              <w:ind w:left="20"/>
              <w:spacing w:after="0"/>
              <w:rPr>
                <w:sz w:val="20"/>
                <w:szCs w:val="20"/>
                <w:color w:val="auto"/>
              </w:rPr>
            </w:pPr>
            <w:r>
              <w:rPr>
                <w:rFonts w:ascii="Arial" w:cs="Arial" w:eastAsia="Arial" w:hAnsi="Arial"/>
                <w:sz w:val="16"/>
                <w:szCs w:val="16"/>
                <w:color w:val="auto"/>
              </w:rPr>
              <w:t>- 699</w:t>
            </w:r>
          </w:p>
        </w:tc>
        <w:tc>
          <w:tcPr>
            <w:tcW w:w="9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9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16"/>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12"/>
          </w:tcPr>
          <w:p>
            <w:pPr>
              <w:jc w:val="center"/>
              <w:spacing w:after="0"/>
              <w:rPr>
                <w:sz w:val="20"/>
                <w:szCs w:val="20"/>
                <w:color w:val="auto"/>
              </w:rPr>
            </w:pPr>
            <w:r>
              <w:rPr>
                <w:rFonts w:ascii="Arial" w:cs="Arial" w:eastAsia="Arial" w:hAnsi="Arial"/>
                <w:sz w:val="16"/>
                <w:szCs w:val="16"/>
                <w:b w:val="1"/>
                <w:bCs w:val="1"/>
                <w:color w:val="auto"/>
                <w:w w:val="92"/>
              </w:rPr>
              <w:t>Acquired Vacation Ownership Notes Receivable - Hyatt and Other</w:t>
            </w: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10"/>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60" w:type="dxa"/>
            <w:vAlign w:val="bottom"/>
          </w:tcPr>
          <w:p>
            <w:pPr>
              <w:jc w:val="right"/>
              <w:ind w:right="33"/>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8"/>
                <w:szCs w:val="18"/>
                <w:color w:val="auto"/>
              </w:rPr>
            </w:pPr>
          </w:p>
        </w:tc>
        <w:tc>
          <w:tcPr>
            <w:tcW w:w="1140" w:type="dxa"/>
            <w:vAlign w:val="bottom"/>
            <w:gridSpan w:val="3"/>
          </w:tcPr>
          <w:p>
            <w:pPr>
              <w:jc w:val="right"/>
              <w:ind w:right="52"/>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right="212"/>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2015 &amp; Prior</w:t>
            </w:r>
          </w:p>
        </w:tc>
        <w:tc>
          <w:tcPr>
            <w:tcW w:w="3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26"/>
        </w:trPr>
        <w:tc>
          <w:tcPr>
            <w:tcW w:w="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700</w:t>
            </w:r>
          </w:p>
        </w:tc>
        <w:tc>
          <w:tcPr>
            <w:tcW w:w="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280" w:type="dxa"/>
            <w:vAlign w:val="bottom"/>
          </w:tcPr>
          <w:p>
            <w:pPr>
              <w:ind w:left="20"/>
              <w:spacing w:after="0"/>
              <w:rPr>
                <w:sz w:val="20"/>
                <w:szCs w:val="20"/>
                <w:color w:val="auto"/>
              </w:rPr>
            </w:pPr>
            <w:r>
              <w:rPr>
                <w:rFonts w:ascii="Arial" w:cs="Arial" w:eastAsia="Arial" w:hAnsi="Arial"/>
                <w:sz w:val="16"/>
                <w:szCs w:val="16"/>
                <w:color w:val="auto"/>
                <w:w w:val="89"/>
              </w:rPr>
              <w:t>600</w:t>
            </w:r>
          </w:p>
        </w:tc>
        <w:tc>
          <w:tcPr>
            <w:tcW w:w="880" w:type="dxa"/>
            <w:vAlign w:val="bottom"/>
          </w:tcPr>
          <w:p>
            <w:pPr>
              <w:ind w:left="20"/>
              <w:spacing w:after="0"/>
              <w:rPr>
                <w:sz w:val="20"/>
                <w:szCs w:val="20"/>
                <w:color w:val="auto"/>
              </w:rPr>
            </w:pPr>
            <w:r>
              <w:rPr>
                <w:rFonts w:ascii="Arial" w:cs="Arial" w:eastAsia="Arial" w:hAnsi="Arial"/>
                <w:sz w:val="16"/>
                <w:szCs w:val="16"/>
                <w:color w:val="auto"/>
              </w:rPr>
              <w:t>- 699</w:t>
            </w:r>
          </w:p>
        </w:tc>
        <w:tc>
          <w:tcPr>
            <w:tcW w:w="9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No Score</w:t>
            </w:r>
          </w:p>
        </w:tc>
        <w:tc>
          <w:tcPr>
            <w:tcW w:w="9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tables show the Legacy-ILG originated vacation ownership notes receivable by brand and FICO score, before reserves. Vacation ownership notes receivable with no FICO score primarily relate to non-U.S. resident borrowers.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960" w:type="dxa"/>
            <w:vAlign w:val="bottom"/>
            <w:tcBorders>
              <w:bottom w:val="single" w:sz="8" w:color="auto"/>
            </w:tcBorders>
            <w:gridSpan w:val="12"/>
          </w:tcPr>
          <w:p>
            <w:pPr>
              <w:jc w:val="center"/>
              <w:ind w:left="533"/>
              <w:spacing w:after="0"/>
              <w:rPr>
                <w:sz w:val="20"/>
                <w:szCs w:val="20"/>
                <w:color w:val="auto"/>
              </w:rPr>
            </w:pPr>
            <w:r>
              <w:rPr>
                <w:rFonts w:ascii="Arial" w:cs="Arial" w:eastAsia="Arial" w:hAnsi="Arial"/>
                <w:sz w:val="16"/>
                <w:szCs w:val="16"/>
                <w:b w:val="1"/>
                <w:bCs w:val="1"/>
                <w:color w:val="auto"/>
                <w:w w:val="90"/>
              </w:rPr>
              <w:t>Originated Vacation Ownership Notes Receivable as of September 30, 2020</w:t>
            </w: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18"/>
                <w:szCs w:val="18"/>
                <w:color w:val="auto"/>
              </w:rPr>
            </w:pPr>
          </w:p>
        </w:tc>
        <w:tc>
          <w:tcPr>
            <w:tcW w:w="1040" w:type="dxa"/>
            <w:vAlign w:val="bottom"/>
          </w:tcPr>
          <w:p>
            <w:pPr>
              <w:jc w:val="right"/>
              <w:ind w:right="393"/>
              <w:spacing w:after="0"/>
              <w:rPr>
                <w:sz w:val="20"/>
                <w:szCs w:val="20"/>
                <w:color w:val="auto"/>
              </w:rPr>
            </w:pPr>
            <w:r>
              <w:rPr>
                <w:rFonts w:ascii="Arial" w:cs="Arial" w:eastAsia="Arial" w:hAnsi="Arial"/>
                <w:sz w:val="16"/>
                <w:szCs w:val="16"/>
                <w:b w:val="1"/>
                <w:bCs w:val="1"/>
                <w:color w:val="auto"/>
              </w:rPr>
              <w:t>700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ind w:left="120"/>
              <w:spacing w:after="0"/>
              <w:rPr>
                <w:sz w:val="20"/>
                <w:szCs w:val="20"/>
                <w:color w:val="auto"/>
              </w:rPr>
            </w:pPr>
            <w:r>
              <w:rPr>
                <w:rFonts w:ascii="Arial" w:cs="Arial" w:eastAsia="Arial" w:hAnsi="Arial"/>
                <w:sz w:val="16"/>
                <w:szCs w:val="16"/>
                <w:b w:val="1"/>
                <w:bCs w:val="1"/>
                <w:color w:val="auto"/>
              </w:rPr>
              <w:t>600 - 699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right="212"/>
              <w:spacing w:after="0"/>
              <w:rPr>
                <w:sz w:val="20"/>
                <w:szCs w:val="20"/>
                <w:color w:val="auto"/>
              </w:rPr>
            </w:pPr>
            <w:r>
              <w:rPr>
                <w:rFonts w:ascii="Arial" w:cs="Arial" w:eastAsia="Arial" w:hAnsi="Arial"/>
                <w:sz w:val="16"/>
                <w:szCs w:val="16"/>
                <w:b w:val="1"/>
                <w:bCs w:val="1"/>
                <w:color w:val="auto"/>
                <w:w w:val="93"/>
              </w:rPr>
              <w:t>&lt; 600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 Score</w:t>
            </w:r>
          </w:p>
        </w:tc>
        <w:tc>
          <w:tcPr>
            <w:tcW w:w="420" w:type="dxa"/>
            <w:vAlign w:val="bottom"/>
          </w:tcPr>
          <w:p>
            <w:pPr>
              <w:spacing w:after="0"/>
              <w:rPr>
                <w:sz w:val="18"/>
                <w:szCs w:val="18"/>
                <w:color w:val="auto"/>
              </w:rPr>
            </w:pPr>
          </w:p>
        </w:tc>
        <w:tc>
          <w:tcPr>
            <w:tcW w:w="9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9"/>
                <w:szCs w:val="19"/>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Sheraton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9"/>
                <w:szCs w:val="19"/>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r>
      <w:tr>
        <w:trPr>
          <w:trHeight w:val="223"/>
        </w:trPr>
        <w:tc>
          <w:tcPr>
            <w:tcW w:w="40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19"/>
                <w:szCs w:val="19"/>
                <w:color w:val="auto"/>
              </w:rPr>
            </w:pPr>
          </w:p>
        </w:tc>
      </w:tr>
      <w:tr>
        <w:trPr>
          <w:trHeight w:val="21"/>
        </w:trPr>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6"/>
        </w:trPr>
        <w:tc>
          <w:tcPr>
            <w:tcW w:w="4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12"/>
          </w:tcPr>
          <w:p>
            <w:pPr>
              <w:jc w:val="center"/>
              <w:ind w:left="533"/>
              <w:spacing w:after="0"/>
              <w:rPr>
                <w:sz w:val="20"/>
                <w:szCs w:val="20"/>
                <w:color w:val="auto"/>
              </w:rPr>
            </w:pPr>
            <w:r>
              <w:rPr>
                <w:rFonts w:ascii="Arial" w:cs="Arial" w:eastAsia="Arial" w:hAnsi="Arial"/>
                <w:sz w:val="16"/>
                <w:szCs w:val="16"/>
                <w:b w:val="1"/>
                <w:bCs w:val="1"/>
                <w:color w:val="auto"/>
                <w:w w:val="90"/>
              </w:rPr>
              <w:t>Originated Vacation Ownership Notes Receivable as of December 31, 2019</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18"/>
                <w:szCs w:val="18"/>
                <w:color w:val="auto"/>
              </w:rPr>
            </w:pPr>
          </w:p>
        </w:tc>
        <w:tc>
          <w:tcPr>
            <w:tcW w:w="1040" w:type="dxa"/>
            <w:vAlign w:val="bottom"/>
          </w:tcPr>
          <w:p>
            <w:pPr>
              <w:jc w:val="right"/>
              <w:ind w:right="393"/>
              <w:spacing w:after="0"/>
              <w:rPr>
                <w:sz w:val="20"/>
                <w:szCs w:val="20"/>
                <w:color w:val="auto"/>
              </w:rPr>
            </w:pPr>
            <w:r>
              <w:rPr>
                <w:rFonts w:ascii="Arial" w:cs="Arial" w:eastAsia="Arial" w:hAnsi="Arial"/>
                <w:sz w:val="16"/>
                <w:szCs w:val="16"/>
                <w:b w:val="1"/>
                <w:bCs w:val="1"/>
                <w:color w:val="auto"/>
              </w:rPr>
              <w:t>700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ind w:left="120"/>
              <w:spacing w:after="0"/>
              <w:rPr>
                <w:sz w:val="20"/>
                <w:szCs w:val="20"/>
                <w:color w:val="auto"/>
              </w:rPr>
            </w:pPr>
            <w:r>
              <w:rPr>
                <w:rFonts w:ascii="Arial" w:cs="Arial" w:eastAsia="Arial" w:hAnsi="Arial"/>
                <w:sz w:val="16"/>
                <w:szCs w:val="16"/>
                <w:b w:val="1"/>
                <w:bCs w:val="1"/>
                <w:color w:val="auto"/>
              </w:rPr>
              <w:t>600 - 699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right="212"/>
              <w:spacing w:after="0"/>
              <w:rPr>
                <w:sz w:val="20"/>
                <w:szCs w:val="20"/>
                <w:color w:val="auto"/>
              </w:rPr>
            </w:pPr>
            <w:r>
              <w:rPr>
                <w:rFonts w:ascii="Arial" w:cs="Arial" w:eastAsia="Arial" w:hAnsi="Arial"/>
                <w:sz w:val="16"/>
                <w:szCs w:val="16"/>
                <w:b w:val="1"/>
                <w:bCs w:val="1"/>
                <w:color w:val="auto"/>
                <w:w w:val="93"/>
              </w:rPr>
              <w:t>&lt; 600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 Score</w:t>
            </w:r>
          </w:p>
        </w:tc>
        <w:tc>
          <w:tcPr>
            <w:tcW w:w="420" w:type="dxa"/>
            <w:vAlign w:val="bottom"/>
          </w:tcPr>
          <w:p>
            <w:pPr>
              <w:spacing w:after="0"/>
              <w:rPr>
                <w:sz w:val="18"/>
                <w:szCs w:val="18"/>
                <w:color w:val="auto"/>
              </w:rPr>
            </w:pPr>
          </w:p>
        </w:tc>
        <w:tc>
          <w:tcPr>
            <w:tcW w:w="9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Westin</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9"/>
                <w:szCs w:val="19"/>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Sheraton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9"/>
                <w:szCs w:val="19"/>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Hyatt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223"/>
        </w:trPr>
        <w:tc>
          <w:tcPr>
            <w:tcW w:w="40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4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40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7"/>
          <w:szCs w:val="17"/>
          <w:color w:val="auto"/>
        </w:rPr>
        <w:t>The following tables detail the origination year of our Legacy-ILG originated vacation ownership notes receivable by brand and FICO score as of September 30, 2020. Vacation ownership notes receivable with no FICO score primarily relate to non-U.S. resident borrowers.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gridSpan w:val="13"/>
          </w:tcPr>
          <w:p>
            <w:pPr>
              <w:jc w:val="center"/>
              <w:ind w:right="100"/>
              <w:spacing w:after="0"/>
              <w:rPr>
                <w:sz w:val="20"/>
                <w:szCs w:val="20"/>
                <w:color w:val="auto"/>
              </w:rPr>
            </w:pPr>
            <w:r>
              <w:rPr>
                <w:rFonts w:ascii="Arial" w:cs="Arial" w:eastAsia="Arial" w:hAnsi="Arial"/>
                <w:sz w:val="16"/>
                <w:szCs w:val="16"/>
                <w:b w:val="1"/>
                <w:bCs w:val="1"/>
                <w:color w:val="auto"/>
                <w:w w:val="90"/>
              </w:rPr>
              <w:t>Originated Vacation Ownership Notes Receivable - Westin</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ind w:left="200"/>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51"/>
              <w:spacing w:after="0"/>
              <w:rPr>
                <w:sz w:val="20"/>
                <w:szCs w:val="20"/>
                <w:color w:val="auto"/>
              </w:rPr>
            </w:pPr>
            <w:r>
              <w:rPr>
                <w:rFonts w:ascii="Arial" w:cs="Arial" w:eastAsia="Arial" w:hAnsi="Arial"/>
                <w:sz w:val="16"/>
                <w:szCs w:val="16"/>
                <w:b w:val="1"/>
                <w:bCs w:val="1"/>
                <w:color w:val="auto"/>
                <w:w w:val="95"/>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ind w:left="200"/>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2015 &amp; Prior</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r>
      <w:tr>
        <w:trPr>
          <w:trHeight w:val="226"/>
        </w:trPr>
        <w:tc>
          <w:tcPr>
            <w:tcW w:w="1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700 +</w:t>
            </w: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66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9"/>
                <w:szCs w:val="19"/>
                <w:color w:val="auto"/>
              </w:rPr>
            </w:pPr>
          </w:p>
        </w:tc>
      </w:tr>
      <w:tr>
        <w:trPr>
          <w:trHeight w:val="230"/>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600 - 699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9"/>
                <w:szCs w:val="19"/>
                <w:color w:val="auto"/>
              </w:rPr>
            </w:pPr>
          </w:p>
        </w:tc>
      </w:tr>
      <w:tr>
        <w:trPr>
          <w:trHeight w:val="229"/>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6"/>
                <w:szCs w:val="16"/>
                <w:color w:val="auto"/>
              </w:rPr>
              <w:t>No Score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13"/>
          </w:tcPr>
          <w:p>
            <w:pPr>
              <w:jc w:val="center"/>
              <w:ind w:right="60"/>
              <w:spacing w:after="0"/>
              <w:rPr>
                <w:sz w:val="20"/>
                <w:szCs w:val="20"/>
                <w:color w:val="auto"/>
              </w:rPr>
            </w:pPr>
            <w:r>
              <w:rPr>
                <w:rFonts w:ascii="Arial" w:cs="Arial" w:eastAsia="Arial" w:hAnsi="Arial"/>
                <w:sz w:val="16"/>
                <w:szCs w:val="16"/>
                <w:b w:val="1"/>
                <w:bCs w:val="1"/>
                <w:color w:val="auto"/>
                <w:w w:val="91"/>
              </w:rPr>
              <w:t>Originated Vacation Ownership Notes Receivable - Sheraton</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ind w:left="220"/>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31"/>
              <w:spacing w:after="0"/>
              <w:rPr>
                <w:sz w:val="20"/>
                <w:szCs w:val="20"/>
                <w:color w:val="auto"/>
              </w:rPr>
            </w:pPr>
            <w:r>
              <w:rPr>
                <w:rFonts w:ascii="Arial" w:cs="Arial" w:eastAsia="Arial" w:hAnsi="Arial"/>
                <w:sz w:val="16"/>
                <w:szCs w:val="16"/>
                <w:b w:val="1"/>
                <w:bCs w:val="1"/>
                <w:color w:val="auto"/>
                <w:w w:val="89"/>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ind w:left="220"/>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b w:val="1"/>
                <w:bCs w:val="1"/>
                <w:color w:val="auto"/>
              </w:rPr>
              <w:t>2015 &amp; Prior</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1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700 +</w:t>
            </w: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9"/>
              </w:rPr>
              <w:t>61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 w:type="dxa"/>
            <w:vAlign w:val="bottom"/>
            <w:tcBorders>
              <w:left w:val="single" w:sz="8" w:color="CCEEFF"/>
            </w:tcBorders>
          </w:tcPr>
          <w:p>
            <w:pPr>
              <w:spacing w:after="0"/>
              <w:rPr>
                <w:sz w:val="19"/>
                <w:szCs w:val="19"/>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600 - 699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ind w:left="800"/>
              <w:spacing w:after="0"/>
              <w:rPr>
                <w:sz w:val="20"/>
                <w:szCs w:val="20"/>
                <w:color w:val="auto"/>
              </w:rPr>
            </w:pPr>
            <w:r>
              <w:rPr>
                <w:rFonts w:ascii="Arial" w:cs="Arial" w:eastAsia="Arial" w:hAnsi="Arial"/>
                <w:sz w:val="18"/>
                <w:szCs w:val="18"/>
                <w:color w:val="auto"/>
                <w:w w:val="99"/>
              </w:rPr>
              <w:t>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9"/>
              </w:rPr>
              <w:t>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left w:val="single" w:sz="8" w:color="CCEEFF"/>
            </w:tcBorders>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auto"/>
              </w:rPr>
              <w:t>No Score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ind w:left="800"/>
              <w:spacing w:after="0"/>
              <w:rPr>
                <w:sz w:val="20"/>
                <w:szCs w:val="20"/>
                <w:color w:val="auto"/>
              </w:rPr>
            </w:pPr>
            <w:r>
              <w:rPr>
                <w:rFonts w:ascii="Arial" w:cs="Arial" w:eastAsia="Arial" w:hAnsi="Arial"/>
                <w:sz w:val="18"/>
                <w:szCs w:val="18"/>
                <w:color w:val="auto"/>
                <w:w w:val="99"/>
              </w:rPr>
              <w:t>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0" w:type="dxa"/>
            <w:vAlign w:val="bottom"/>
            <w:tcBorders>
              <w:left w:val="single" w:sz="8" w:color="CCEEFF"/>
            </w:tcBorders>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12"/>
          </w:tcPr>
          <w:p>
            <w:pPr>
              <w:jc w:val="center"/>
              <w:ind w:right="200"/>
              <w:spacing w:after="0"/>
              <w:rPr>
                <w:sz w:val="20"/>
                <w:szCs w:val="20"/>
                <w:color w:val="auto"/>
              </w:rPr>
            </w:pPr>
            <w:r>
              <w:rPr>
                <w:rFonts w:ascii="Arial" w:cs="Arial" w:eastAsia="Arial" w:hAnsi="Arial"/>
                <w:sz w:val="16"/>
                <w:szCs w:val="16"/>
                <w:b w:val="1"/>
                <w:bCs w:val="1"/>
                <w:color w:val="auto"/>
                <w:w w:val="92"/>
              </w:rPr>
              <w:t>Originated Vacation Ownership Notes Receivable - Hyatt</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ind w:left="220"/>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31"/>
              <w:spacing w:after="0"/>
              <w:rPr>
                <w:sz w:val="20"/>
                <w:szCs w:val="20"/>
                <w:color w:val="auto"/>
              </w:rPr>
            </w:pPr>
            <w:r>
              <w:rPr>
                <w:rFonts w:ascii="Arial" w:cs="Arial" w:eastAsia="Arial" w:hAnsi="Arial"/>
                <w:sz w:val="16"/>
                <w:szCs w:val="16"/>
                <w:b w:val="1"/>
                <w:bCs w:val="1"/>
                <w:color w:val="auto"/>
                <w:w w:val="89"/>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ind w:left="220"/>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b w:val="1"/>
                <w:bCs w:val="1"/>
                <w:color w:val="auto"/>
              </w:rPr>
              <w:t>2015 &amp; Prior</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1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700 +</w:t>
            </w: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9"/>
              </w:rPr>
              <w:t>10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left w:val="single" w:sz="8" w:color="CCEEFF"/>
            </w:tcBorders>
          </w:tcPr>
          <w:p>
            <w:pPr>
              <w:spacing w:after="0"/>
              <w:rPr>
                <w:sz w:val="19"/>
                <w:szCs w:val="19"/>
                <w:color w:val="auto"/>
              </w:rPr>
            </w:pPr>
          </w:p>
        </w:tc>
      </w:tr>
      <w:tr>
        <w:trPr>
          <w:trHeight w:val="23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600 - 699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&lt; 600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left w:val="single" w:sz="8" w:color="CCEEFF"/>
            </w:tcBorders>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auto"/>
              </w:rPr>
              <w:t>No Score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9"/>
              </w:rPr>
              <w:t>14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left w:val="single" w:sz="8" w:color="CCEEFF"/>
            </w:tcBorders>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ind w:left="12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6"/>
        </w:trPr>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hanging="394"/>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receivable, Accounts payable, Advance deposits and Accrued liabilities, all of which had fair values approximating their carrying amounts due to the short maturities and liquidity of these instruments.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6"/>
          </w:tcPr>
          <w:p>
            <w:pPr>
              <w:ind w:left="440"/>
              <w:spacing w:after="0"/>
              <w:rPr>
                <w:sz w:val="20"/>
                <w:szCs w:val="20"/>
                <w:color w:val="auto"/>
              </w:rPr>
            </w:pPr>
            <w:r>
              <w:rPr>
                <w:rFonts w:ascii="Arial" w:cs="Arial" w:eastAsia="Arial" w:hAnsi="Arial"/>
                <w:sz w:val="16"/>
                <w:szCs w:val="16"/>
                <w:b w:val="1"/>
                <w:bCs w:val="1"/>
                <w:color w:val="auto"/>
              </w:rPr>
              <w:t>At September 30, 2020</w:t>
            </w:r>
          </w:p>
        </w:tc>
        <w:tc>
          <w:tcPr>
            <w:tcW w:w="260" w:type="dxa"/>
            <w:vAlign w:val="bottom"/>
          </w:tcPr>
          <w:p>
            <w:pPr>
              <w:spacing w:after="0"/>
              <w:rPr>
                <w:sz w:val="18"/>
                <w:szCs w:val="18"/>
                <w:color w:val="auto"/>
              </w:rPr>
            </w:pPr>
          </w:p>
        </w:tc>
        <w:tc>
          <w:tcPr>
            <w:tcW w:w="272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At December 31, 2019</w:t>
            </w:r>
          </w:p>
        </w:tc>
        <w:tc>
          <w:tcPr>
            <w:tcW w:w="0" w:type="dxa"/>
            <w:vAlign w:val="bottom"/>
          </w:tcPr>
          <w:p>
            <w:pPr>
              <w:spacing w:after="0"/>
              <w:rPr>
                <w:sz w:val="1"/>
                <w:szCs w:val="1"/>
                <w:color w:val="auto"/>
              </w:rPr>
            </w:pPr>
          </w:p>
        </w:tc>
      </w:tr>
      <w:tr>
        <w:trPr>
          <w:trHeight w:val="158"/>
        </w:trPr>
        <w:tc>
          <w:tcPr>
            <w:tcW w:w="51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7"/>
              </w:rPr>
              <w:t>Carrying</w:t>
            </w: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232"/>
              <w:spacing w:after="0" w:line="158" w:lineRule="exact"/>
              <w:rPr>
                <w:sz w:val="20"/>
                <w:szCs w:val="20"/>
                <w:color w:val="auto"/>
              </w:rPr>
            </w:pPr>
            <w:r>
              <w:rPr>
                <w:rFonts w:ascii="Arial" w:cs="Arial" w:eastAsia="Arial" w:hAnsi="Arial"/>
                <w:sz w:val="16"/>
                <w:szCs w:val="16"/>
                <w:b w:val="1"/>
                <w:bCs w:val="1"/>
                <w:color w:val="auto"/>
                <w:w w:val="95"/>
              </w:rPr>
              <w:t>Fair</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7"/>
              </w:rPr>
              <w:t>Carrying</w:t>
            </w: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252"/>
              <w:spacing w:after="0" w:line="158"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Value</w:t>
            </w:r>
          </w:p>
        </w:tc>
        <w:tc>
          <w:tcPr>
            <w:tcW w:w="2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320" w:type="dxa"/>
            <w:vAlign w:val="bottom"/>
          </w:tcPr>
          <w:p>
            <w:pPr>
              <w:spacing w:after="0"/>
              <w:rPr>
                <w:sz w:val="18"/>
                <w:szCs w:val="18"/>
                <w:color w:val="auto"/>
              </w:rPr>
            </w:pPr>
          </w:p>
        </w:tc>
        <w:tc>
          <w:tcPr>
            <w:tcW w:w="1120" w:type="dxa"/>
            <w:vAlign w:val="bottom"/>
          </w:tcPr>
          <w:p>
            <w:pPr>
              <w:jc w:val="center"/>
              <w:ind w:right="232"/>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26"/>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w:t>
            </w: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financial assets</w:t>
            </w: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Securitized debt, net</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2025 Notes,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Notes, net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2028 Notes,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net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Revolving Corporate Credit Facility,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net</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3"/>
        </w:trPr>
        <w:tc>
          <w:tcPr>
            <w:tcW w:w="5160" w:type="dxa"/>
            <w:vAlign w:val="bottom"/>
          </w:tcPr>
          <w:p>
            <w:pPr>
              <w:ind w:left="220"/>
              <w:spacing w:after="0"/>
              <w:rPr>
                <w:sz w:val="20"/>
                <w:szCs w:val="20"/>
                <w:color w:val="auto"/>
              </w:rPr>
            </w:pPr>
            <w:r>
              <w:rPr>
                <w:rFonts w:ascii="Arial" w:cs="Arial" w:eastAsia="Arial" w:hAnsi="Arial"/>
                <w:sz w:val="18"/>
                <w:szCs w:val="18"/>
                <w:color w:val="auto"/>
              </w:rPr>
              <w:t>Total financial liabilities</w:t>
            </w: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w:t>
            </w: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1"/>
        </w:trPr>
        <w:tc>
          <w:tcPr>
            <w:tcW w:w="5160" w:type="dxa"/>
            <w:vAlign w:val="bottom"/>
            <w:vMerge w:val="restart"/>
          </w:tcPr>
          <w:p>
            <w:pPr>
              <w:spacing w:after="0"/>
              <w:rPr>
                <w:sz w:val="20"/>
                <w:szCs w:val="20"/>
                <w:color w:val="auto"/>
              </w:rPr>
            </w:pPr>
            <w:r>
              <w:rPr>
                <w:rFonts w:ascii="Arial" w:cs="Arial" w:eastAsia="Arial" w:hAnsi="Arial"/>
                <w:sz w:val="18"/>
                <w:szCs w:val="18"/>
                <w:i w:val="1"/>
                <w:iCs w:val="1"/>
                <w:color w:val="auto"/>
              </w:rPr>
              <w:t>Vacation Ownership Notes Receivable</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51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6"/>
          </w:tcPr>
          <w:p>
            <w:pPr>
              <w:ind w:left="460"/>
              <w:spacing w:after="0"/>
              <w:rPr>
                <w:sz w:val="20"/>
                <w:szCs w:val="20"/>
                <w:color w:val="auto"/>
              </w:rPr>
            </w:pPr>
            <w:r>
              <w:rPr>
                <w:rFonts w:ascii="Arial" w:cs="Arial" w:eastAsia="Arial" w:hAnsi="Arial"/>
                <w:sz w:val="16"/>
                <w:szCs w:val="16"/>
                <w:b w:val="1"/>
                <w:bCs w:val="1"/>
                <w:color w:val="auto"/>
              </w:rPr>
              <w:t>At September 30, 2020</w:t>
            </w:r>
          </w:p>
        </w:tc>
        <w:tc>
          <w:tcPr>
            <w:tcW w:w="260" w:type="dxa"/>
            <w:vAlign w:val="bottom"/>
          </w:tcPr>
          <w:p>
            <w:pPr>
              <w:spacing w:after="0"/>
              <w:rPr>
                <w:sz w:val="20"/>
                <w:szCs w:val="20"/>
                <w:color w:val="auto"/>
              </w:rPr>
            </w:pPr>
          </w:p>
        </w:tc>
        <w:tc>
          <w:tcPr>
            <w:tcW w:w="272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At December 31, 2019</w:t>
            </w:r>
          </w:p>
        </w:tc>
        <w:tc>
          <w:tcPr>
            <w:tcW w:w="0" w:type="dxa"/>
            <w:vAlign w:val="bottom"/>
          </w:tcPr>
          <w:p>
            <w:pPr>
              <w:spacing w:after="0"/>
              <w:rPr>
                <w:sz w:val="1"/>
                <w:szCs w:val="1"/>
                <w:color w:val="auto"/>
              </w:rPr>
            </w:pPr>
          </w:p>
        </w:tc>
      </w:tr>
      <w:tr>
        <w:trPr>
          <w:trHeight w:val="159"/>
        </w:trPr>
        <w:tc>
          <w:tcPr>
            <w:tcW w:w="5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7"/>
              </w:rPr>
              <w:t>Carrying</w:t>
            </w: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212"/>
              <w:spacing w:after="0" w:line="158" w:lineRule="exact"/>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7"/>
              </w:rPr>
              <w:t>Carrying</w:t>
            </w: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252"/>
              <w:spacing w:after="0" w:line="158"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Value</w:t>
            </w:r>
          </w:p>
        </w:tc>
        <w:tc>
          <w:tcPr>
            <w:tcW w:w="2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320" w:type="dxa"/>
            <w:vAlign w:val="bottom"/>
          </w:tcPr>
          <w:p>
            <w:pPr>
              <w:spacing w:after="0"/>
              <w:rPr>
                <w:sz w:val="18"/>
                <w:szCs w:val="18"/>
                <w:color w:val="auto"/>
              </w:rPr>
            </w:pPr>
          </w:p>
        </w:tc>
        <w:tc>
          <w:tcPr>
            <w:tcW w:w="1120" w:type="dxa"/>
            <w:vAlign w:val="bottom"/>
          </w:tcPr>
          <w:p>
            <w:pPr>
              <w:jc w:val="center"/>
              <w:ind w:right="232"/>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Securitized</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60"/>
              <w:spacing w:after="0"/>
              <w:rPr>
                <w:sz w:val="20"/>
                <w:szCs w:val="20"/>
                <w:color w:val="auto"/>
              </w:rPr>
            </w:pPr>
            <w:r>
              <w:rPr>
                <w:rFonts w:ascii="Arial" w:cs="Arial" w:eastAsia="Arial" w:hAnsi="Arial"/>
                <w:sz w:val="18"/>
                <w:szCs w:val="18"/>
                <w:color w:val="auto"/>
              </w:rPr>
              <w:t>Eligible for securitization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Not eligible for securitization</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Non-securitized</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4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18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Other assets include $45 million of company owned insurance policies (the “COLI policies”), acquired on the lives of certain participants in the Marriott Vacations Worldwide Deferred Compensation Plan, that are held in a rabbi trust. The carrying value of the COLI policies is equal to their cash surrender value (Level 2 inputs). In addition, we have investments in marketable securities of $6 million that are marked to market as trading securities using quoted market prices (Level 1 inputs).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Securitized Debt</w:t>
      </w:r>
    </w:p>
    <w:p>
      <w:pPr>
        <w:spacing w:after="0" w:line="11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Notes, 2026 Notes and 2028 Notes</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estimate the fair value of our 2025 Notes, 2026 Notes and 2028 Notes (each as defined in Footnote 13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117"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We estimate the fair value of our Term Loan (as defined in Footnote 13 “Debt”) using quotes from securities dealers as of the last trading day for the quarter; however these notes have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Corporate Credit Facility</w:t>
      </w:r>
    </w:p>
    <w:p>
      <w:pPr>
        <w:spacing w:after="0" w:line="117"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We estimate that the fair value of our Revolving Corporate Credit Facility (as defined in Footnote 13 “Debt”) approximates its gross carrying value as the contractual interest rate is variable plus an applicable margin. We concluded that this fair value measurement should be categorized within Level 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estimate the fair value of our Convertible Notes (as defined in Footnote 13 “Debt”)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 The difference between the carrying value and the fair value is primarily attributed to the underlying conversion feature and the spread between the conversion price and the market value of the shares underlying the Convertible Notes.</w:t>
      </w:r>
    </w:p>
    <w:p>
      <w:pPr>
        <w:spacing w:after="0" w:line="1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hanging="394"/>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Basic (loss) earnings per common share attributable to common shareholders is calculated by dividing net (loss) income attributable to common shareholders by the weighted average number of shares of common stock outstanding during the reporting period. Treasury stock is excluded from the weighted average number of shares of common stock outstanding. Diluted earnings per common share attributable to common shareholders is calculated to give effect to all potentially dilutive common shares that were outstanding during the reporting period, except in periods when there is a loss because the inclusion of the potential common shares would have an anti-dilutive effect. The dilutive effect of outstanding equity-based compensation awards is reflected in diluted earnings per common share applicable to common shareholders by application of the treasury stock method using average market prices during the period.</w:t>
      </w:r>
    </w:p>
    <w:p>
      <w:pPr>
        <w:spacing w:after="0" w:line="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calculation of diluted earnings per share attributable to common shareholders reflects our intent to settle conversions of the Convertible Notes through a combination settlement, which contemplates repayment in cash of the principal amount and repayment in shares of our common stock of any excess of the conversion value over the principal amount (the “conversion premium”). Therefore, we include only the shares that may be issued with respect to any conversion premium in total dilutive weighted average shares outstanding, which we calculate using the treasury stock method. As no conversion premium existed as of September 30, 2020 or September 30, 2019, there was no dilutive impact from the Convertible Notes for either the third quarter or first three quarters of 2020 or 2019.</w:t>
      </w:r>
    </w:p>
    <w:p>
      <w:pPr>
        <w:spacing w:after="0" w:line="8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shares issuable on exercise of the Warrants (as defined in Footnote 13 “Debt”) sold in connection with the issuance of the Convertible Notes will not impact the total dilutive weighted average shares outstanding unless and until the price of our common stock exceeds the strike price. If and when the price of our common stock exceeds the strike price of the Warrants, we will include the dilutive effect of the additional shares that may be issued upon exercise of the Warrants in total dilutive weighted average shares outstanding, which we calculate using the treasury stock method. The Convertible Note Hedges (as defined in Footnote 13 “Debt”) purchased in connection with the issuance of the Convertible Notes are considered to be anti-dilutive and do not impact our calculation of diluted earnings per share attributable to common shareholders for any periods presented herein.</w:t>
      </w:r>
    </w:p>
    <w:p>
      <w:pPr>
        <w:spacing w:after="0" w:line="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table below illustrates the reconciliation of the earnings and number of shares used in our calculation of basic and diluted (loss) earnings per share attributable to common shareholders.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Nine Months Ended</w:t>
            </w:r>
          </w:p>
        </w:tc>
        <w:tc>
          <w:tcPr>
            <w:tcW w:w="640" w:type="dxa"/>
            <w:vAlign w:val="bottom"/>
            <w:tcBorders>
              <w:bottom w:val="single" w:sz="8" w:color="auto"/>
            </w:tcBorders>
          </w:tcPr>
          <w:p>
            <w:pPr>
              <w:spacing w:after="0"/>
              <w:rPr>
                <w:sz w:val="18"/>
                <w:szCs w:val="18"/>
                <w:color w:val="auto"/>
              </w:rPr>
            </w:pPr>
          </w:p>
        </w:tc>
      </w:tr>
      <w:tr>
        <w:trPr>
          <w:trHeight w:val="210"/>
        </w:trPr>
        <w:tc>
          <w:tcPr>
            <w:tcW w:w="4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2020</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2019</w:t>
            </w:r>
          </w:p>
        </w:tc>
        <w:tc>
          <w:tcPr>
            <w:tcW w:w="100" w:type="dxa"/>
            <w:vAlign w:val="bottom"/>
          </w:tcPr>
          <w:p>
            <w:pPr>
              <w:spacing w:after="0"/>
              <w:rPr>
                <w:sz w:val="18"/>
                <w:szCs w:val="18"/>
                <w:color w:val="auto"/>
              </w:rPr>
            </w:pP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2020</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September 30, 2019</w:t>
            </w:r>
            <w:r>
              <w:rPr>
                <w:rFonts w:ascii="Arial" w:cs="Arial" w:eastAsia="Arial" w:hAnsi="Arial"/>
                <w:sz w:val="9"/>
                <w:szCs w:val="9"/>
                <w:b w:val="1"/>
                <w:bCs w:val="1"/>
                <w:color w:val="auto"/>
                <w:w w:val="92"/>
              </w:rPr>
              <w:t>(1)</w:t>
            </w:r>
          </w:p>
        </w:tc>
      </w:tr>
      <w:tr>
        <w:trPr>
          <w:trHeight w:val="199"/>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93"/>
              </w:rPr>
              <w:t>Computation of Basic (Loss) Earnings Per Share Attributable to</w:t>
            </w:r>
          </w:p>
        </w:tc>
        <w:tc>
          <w:tcPr>
            <w:tcW w:w="1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w w:val="79"/>
              </w:rPr>
              <w:t>Common Shareholders</w:t>
            </w: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8"/>
                <w:szCs w:val="18"/>
                <w:color w:val="auto"/>
              </w:rPr>
              <w:t>Net (loss) income attributable to common shareholders</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880" w:type="dxa"/>
            <w:vAlign w:val="bottom"/>
          </w:tcPr>
          <w:p>
            <w:pPr>
              <w:jc w:val="right"/>
              <w:ind w:right="69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for basic (loss) earnings per share</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23"/>
        </w:trPr>
        <w:tc>
          <w:tcPr>
            <w:tcW w:w="4820" w:type="dxa"/>
            <w:vAlign w:val="bottom"/>
          </w:tcPr>
          <w:p>
            <w:pPr>
              <w:ind w:left="220"/>
              <w:spacing w:after="0"/>
              <w:rPr>
                <w:sz w:val="20"/>
                <w:szCs w:val="20"/>
                <w:color w:val="auto"/>
              </w:rPr>
            </w:pPr>
            <w:r>
              <w:rPr>
                <w:rFonts w:ascii="Arial" w:cs="Arial" w:eastAsia="Arial" w:hAnsi="Arial"/>
                <w:sz w:val="18"/>
                <w:szCs w:val="18"/>
                <w:color w:val="auto"/>
              </w:rPr>
              <w:t>Basic (loss) earnings per share</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9"/>
                <w:szCs w:val="19"/>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3"/>
        </w:trPr>
        <w:tc>
          <w:tcPr>
            <w:tcW w:w="6440" w:type="dxa"/>
            <w:vAlign w:val="bottom"/>
            <w:gridSpan w:val="4"/>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w w:val="89"/>
              </w:rPr>
              <w:t>Computation of Diluted (Loss) Earnings Per Share Attributable to Common Shareholders</w:t>
            </w:r>
          </w:p>
        </w:tc>
        <w:tc>
          <w:tcPr>
            <w:tcW w:w="8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8"/>
                <w:szCs w:val="18"/>
                <w:color w:val="auto"/>
              </w:rPr>
              <w:t>Net (loss) income attributable to common shareholders</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880" w:type="dxa"/>
            <w:vAlign w:val="bottom"/>
          </w:tcPr>
          <w:p>
            <w:pPr>
              <w:jc w:val="right"/>
              <w:ind w:right="69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for basic (loss) earnings per share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29"/>
        </w:trPr>
        <w:tc>
          <w:tcPr>
            <w:tcW w:w="4820" w:type="dxa"/>
            <w:vAlign w:val="bottom"/>
          </w:tcPr>
          <w:p>
            <w:pPr>
              <w:ind w:left="220"/>
              <w:spacing w:after="0"/>
              <w:rPr>
                <w:sz w:val="20"/>
                <w:szCs w:val="20"/>
                <w:color w:val="auto"/>
              </w:rPr>
            </w:pPr>
            <w:r>
              <w:rPr>
                <w:rFonts w:ascii="Arial" w:cs="Arial" w:eastAsia="Arial" w:hAnsi="Arial"/>
                <w:sz w:val="18"/>
                <w:szCs w:val="18"/>
                <w:color w:val="auto"/>
              </w:rPr>
              <w:t>Effect of dilutive shares outstanding</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4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Employee stock options and SARs</w:t>
            </w: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4820" w:type="dxa"/>
            <w:vAlign w:val="bottom"/>
          </w:tcPr>
          <w:p>
            <w:pPr>
              <w:ind w:left="460"/>
              <w:spacing w:after="0"/>
              <w:rPr>
                <w:sz w:val="20"/>
                <w:szCs w:val="20"/>
                <w:color w:val="auto"/>
              </w:rPr>
            </w:pPr>
            <w:r>
              <w:rPr>
                <w:rFonts w:ascii="Arial" w:cs="Arial" w:eastAsia="Arial" w:hAnsi="Arial"/>
                <w:sz w:val="18"/>
                <w:szCs w:val="18"/>
                <w:color w:val="auto"/>
              </w:rPr>
              <w:t>Restricted stock units</w:t>
            </w:r>
          </w:p>
        </w:tc>
        <w:tc>
          <w:tcPr>
            <w:tcW w:w="4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48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Shares for diluted (loss) earnings per share</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23"/>
        </w:trPr>
        <w:tc>
          <w:tcPr>
            <w:tcW w:w="4820" w:type="dxa"/>
            <w:vAlign w:val="bottom"/>
          </w:tcPr>
          <w:p>
            <w:pPr>
              <w:ind w:left="220"/>
              <w:spacing w:after="0"/>
              <w:rPr>
                <w:sz w:val="20"/>
                <w:szCs w:val="20"/>
                <w:color w:val="auto"/>
              </w:rPr>
            </w:pPr>
            <w:r>
              <w:rPr>
                <w:rFonts w:ascii="Arial" w:cs="Arial" w:eastAsia="Arial" w:hAnsi="Arial"/>
                <w:sz w:val="18"/>
                <w:szCs w:val="18"/>
                <w:color w:val="auto"/>
              </w:rPr>
              <w:t>Diluted (loss) earnings per share</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9"/>
                <w:szCs w:val="19"/>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4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660" w:right="120" w:hanging="652"/>
        <w:spacing w:after="0" w:line="269" w:lineRule="auto"/>
        <w:tabs>
          <w:tab w:leader="none" w:pos="64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The computations of diluted earnings per share attributable to common shareholders exclude approximately 401,000 shares of common stock, the maximum number of shares issuable as of September 30, 2019, upon the vesting of certain performance-based awards, because the performance conditions required to be met for the shares subject to such awards to vest were not achieved by the end of the reporting period.</w:t>
      </w:r>
    </w:p>
    <w:p>
      <w:pPr>
        <w:spacing w:after="0" w:line="73"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In accordance with the applicable accounting guidance for calculating earnings per share, for the first three quarters of 2019, we excluded from our calculation of diluted earnings per share 249,737 shares underlying stock appreciation rights (“SARs”) that may settle in shares of common stock because the exercise prices of such SARs, which ranged from $97.53 to $143.38, were greater than the average market price for the applicable period.</w:t>
      </w:r>
    </w:p>
    <w:p>
      <w:pPr>
        <w:spacing w:after="0" w:line="13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b w:val="1"/>
          <w:bCs w:val="1"/>
          <w:color w:val="auto"/>
        </w:rPr>
        <w:t>9.</w:t>
        <w:tab/>
        <w:t>INVENTORY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8"/>
                <w:szCs w:val="18"/>
                <w:color w:val="auto"/>
              </w:rPr>
            </w:pPr>
          </w:p>
        </w:tc>
        <w:tc>
          <w:tcPr>
            <w:tcW w:w="2100" w:type="dxa"/>
            <w:vAlign w:val="bottom"/>
            <w:gridSpan w:val="2"/>
          </w:tcPr>
          <w:p>
            <w:pPr>
              <w:ind w:left="100"/>
              <w:spacing w:after="0"/>
              <w:rPr>
                <w:sz w:val="20"/>
                <w:szCs w:val="20"/>
                <w:color w:val="auto"/>
              </w:rPr>
            </w:pPr>
            <w:r>
              <w:rPr>
                <w:rFonts w:ascii="Arial" w:cs="Arial" w:eastAsia="Arial" w:hAnsi="Arial"/>
                <w:sz w:val="16"/>
                <w:szCs w:val="16"/>
                <w:b w:val="1"/>
                <w:bCs w:val="1"/>
                <w:color w:val="auto"/>
              </w:rPr>
              <w:t>At September 30, 2020</w:t>
            </w:r>
          </w:p>
        </w:tc>
        <w:tc>
          <w:tcPr>
            <w:tcW w:w="220" w:type="dxa"/>
            <w:vAlign w:val="bottom"/>
          </w:tcPr>
          <w:p>
            <w:pPr>
              <w:spacing w:after="0"/>
              <w:rPr>
                <w:sz w:val="18"/>
                <w:szCs w:val="18"/>
                <w:color w:val="auto"/>
              </w:rPr>
            </w:pPr>
          </w:p>
        </w:tc>
        <w:tc>
          <w:tcPr>
            <w:tcW w:w="1960" w:type="dxa"/>
            <w:vAlign w:val="bottom"/>
          </w:tcPr>
          <w:p>
            <w:pPr>
              <w:jc w:val="right"/>
              <w:ind w:right="252"/>
              <w:spacing w:after="0"/>
              <w:rPr>
                <w:sz w:val="20"/>
                <w:szCs w:val="20"/>
                <w:color w:val="auto"/>
              </w:rPr>
            </w:pPr>
            <w:r>
              <w:rPr>
                <w:rFonts w:ascii="Arial" w:cs="Arial" w:eastAsia="Arial" w:hAnsi="Arial"/>
                <w:sz w:val="16"/>
                <w:szCs w:val="16"/>
                <w:b w:val="1"/>
                <w:bCs w:val="1"/>
                <w:color w:val="auto"/>
                <w:w w:val="96"/>
              </w:rPr>
              <w:t>At December 31, 2019</w:t>
            </w:r>
          </w:p>
        </w:tc>
      </w:tr>
      <w:tr>
        <w:trPr>
          <w:trHeight w:val="226"/>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r>
              <w:rPr>
                <w:rFonts w:ascii="Arial" w:cs="Arial" w:eastAsia="Arial" w:hAnsi="Arial"/>
                <w:sz w:val="9"/>
                <w:szCs w:val="9"/>
                <w:color w:val="auto"/>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Work-in-progress</w:t>
            </w:r>
          </w:p>
        </w:tc>
        <w:tc>
          <w:tcPr>
            <w:tcW w:w="200" w:type="dxa"/>
            <w:vAlign w:val="bottom"/>
          </w:tcPr>
          <w:p>
            <w:pPr>
              <w:spacing w:after="0"/>
              <w:rPr>
                <w:sz w:val="19"/>
                <w:szCs w:val="19"/>
                <w:color w:val="auto"/>
              </w:rPr>
            </w:pP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67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Real estate inventory</w:t>
            </w:r>
          </w:p>
        </w:tc>
        <w:tc>
          <w:tcPr>
            <w:tcW w:w="20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29"/>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6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540" w:hanging="652"/>
        <w:spacing w:after="0" w:line="227" w:lineRule="auto"/>
        <w:tabs>
          <w:tab w:leader="none" w:pos="64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completed inventory that is registered for sale as vacation ownership interests and inventory expected to be acquired pursuant to estimated future foreclosures.</w:t>
      </w:r>
    </w:p>
    <w:p>
      <w:pPr>
        <w:spacing w:after="0" w:line="94"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We value vacation ownership products at the lower of cost or fair market value less costs to sell, in accordance with applicable accounting guidance, and we record operating supplies at the lower of cost (using the first-in, first-out method) or net realizable value. Product cost true-up activity relating to vacation ownership products increased carrying values of inventory by $4 million during the first three quarters of 2020 and by $2 million during the first three quarters of 2019. Additionally, during the third quarter and the first three quarters of 2020, we recorded $1 million and $6 million, respectively, of inventory impairments.</w:t>
      </w:r>
    </w:p>
    <w:p>
      <w:pPr>
        <w:spacing w:after="0" w:line="8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to the above, at September 30, 2020, we had $173 million of completed vacation ownership units which are classified as a component of Property and equipment until the time at which they are legally registered for sale as vacation ownership products. We also have $42 million and $38 million of deposits on future purchases of inventory at September 30, 2020 and December 31, 2019, respectively, which are included in the Other assets line on our Balance Sheets.</w:t>
      </w:r>
    </w:p>
    <w:p>
      <w:pPr>
        <w:spacing w:after="0" w:line="250" w:lineRule="exact"/>
        <w:rPr>
          <w:sz w:val="20"/>
          <w:szCs w:val="20"/>
          <w:color w:val="auto"/>
        </w:rPr>
      </w:pPr>
    </w:p>
    <w:p>
      <w:pPr>
        <w:ind w:left="500" w:hanging="474"/>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details the carrying amount of our goodwill at September 30, 2020 and December 31, 2019, and reflects goodwill attributed to the ILG Acquisition.</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23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w w:val="97"/>
              </w:rPr>
              <w:t>Vacation Ownership Segment</w:t>
            </w:r>
          </w:p>
        </w:tc>
        <w:tc>
          <w:tcPr>
            <w:tcW w:w="160" w:type="dxa"/>
            <w:vAlign w:val="bottom"/>
          </w:tcPr>
          <w:p>
            <w:pPr>
              <w:spacing w:after="0"/>
              <w:rPr>
                <w:sz w:val="16"/>
                <w:szCs w:val="16"/>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Exchange &amp; Third-Party</w:t>
            </w:r>
          </w:p>
        </w:tc>
        <w:tc>
          <w:tcPr>
            <w:tcW w:w="280" w:type="dxa"/>
            <w:vAlign w:val="bottom"/>
          </w:tcPr>
          <w:p>
            <w:pPr>
              <w:spacing w:after="0"/>
              <w:rPr>
                <w:sz w:val="16"/>
                <w:szCs w:val="16"/>
                <w:color w:val="auto"/>
              </w:rPr>
            </w:pPr>
          </w:p>
        </w:tc>
        <w:tc>
          <w:tcPr>
            <w:tcW w:w="192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Total Consolidated</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3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Management Segment</w:t>
            </w:r>
          </w:p>
        </w:tc>
        <w:tc>
          <w:tcPr>
            <w:tcW w:w="28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920" w:type="dxa"/>
            <w:vAlign w:val="bottom"/>
            <w:tcBorders>
              <w:top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30"/>
        </w:trPr>
        <w:tc>
          <w:tcPr>
            <w:tcW w:w="440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9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adjustments</w:t>
            </w:r>
          </w:p>
        </w:tc>
        <w:tc>
          <w:tcPr>
            <w:tcW w:w="9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Balance at March 31, 2020</w:t>
            </w:r>
          </w:p>
        </w:tc>
        <w:tc>
          <w:tcPr>
            <w:tcW w:w="9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w:t>
            </w:r>
          </w:p>
        </w:tc>
        <w:tc>
          <w:tcPr>
            <w:tcW w:w="9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220"/>
              <w:spacing w:after="0"/>
              <w:rPr>
                <w:sz w:val="20"/>
                <w:szCs w:val="20"/>
                <w:color w:val="auto"/>
              </w:rPr>
            </w:pPr>
            <w:r>
              <w:rPr>
                <w:rFonts w:ascii="Arial" w:cs="Arial" w:eastAsia="Arial" w:hAnsi="Arial"/>
                <w:sz w:val="18"/>
                <w:szCs w:val="18"/>
                <w:color w:val="auto"/>
              </w:rPr>
              <w:t>Foreign exchange adjustments</w:t>
            </w:r>
          </w:p>
        </w:tc>
        <w:tc>
          <w:tcPr>
            <w:tcW w:w="9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9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30"/>
        </w:trPr>
        <w:tc>
          <w:tcPr>
            <w:tcW w:w="4400" w:type="dxa"/>
            <w:vAlign w:val="bottom"/>
          </w:tcPr>
          <w:p>
            <w:pPr>
              <w:ind w:left="220"/>
              <w:spacing w:after="0"/>
              <w:rPr>
                <w:sz w:val="20"/>
                <w:szCs w:val="20"/>
                <w:color w:val="auto"/>
              </w:rPr>
            </w:pPr>
            <w:r>
              <w:rPr>
                <w:rFonts w:ascii="Arial" w:cs="Arial" w:eastAsia="Arial" w:hAnsi="Arial"/>
                <w:sz w:val="18"/>
                <w:szCs w:val="18"/>
                <w:color w:val="auto"/>
              </w:rPr>
              <w:t>Impairment</w:t>
            </w:r>
          </w:p>
        </w:tc>
        <w:tc>
          <w:tcPr>
            <w:tcW w:w="9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adjustments</w:t>
            </w:r>
          </w:p>
        </w:tc>
        <w:tc>
          <w:tcPr>
            <w:tcW w:w="9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Balance at September 30, 2020</w:t>
            </w:r>
          </w:p>
        </w:tc>
        <w:tc>
          <w:tcPr>
            <w:tcW w:w="92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Q1 2020</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connection with the preparation of our Financial Statements for the first quarter of 2020, we initially concluded that it was more likely than not that the fair value of both of our reporting units was below their respective carrying amounts. The factors that led to this conclusion were related to the COVID-19 pandemic and included: (i) the substantial decline in our stock price and market capitalization; (ii) the closure of substantially all of our Vacation Ownership reporting unit sales centers; (iii) the government stay-at-home orders in place in many of the jurisdictions in which we operate; (iv) our planned furloughs and reduced work schedule arrangements; (v) the impact of travel restrictions on the hospitality industry; and (vi) the macroeconomic fallout from the COVID-19 pandemic.</w:t>
      </w:r>
    </w:p>
    <w:p>
      <w:pPr>
        <w:spacing w:after="0" w:line="17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utilized a combination of the income and market approaches to estimate the fair value of our reporting units (Level 3). We concluded that there was no impairment of the Vacation Ownership reporting unit as declines in expected future operating results were not substantial enough to cause the fair value of the reporting unit to be below its carrying amount. We recognized a non-cash impairment charge of $73 million in the Impairment line on our Income Statement during the first quarter of 2020 related to the Exchange &amp; Third-Party Management reporting unit, which was primarily driven by the change in expected future operating results as a result of the impact of the COVID-19 pandemic.</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Q2 2020 and Q3 2020</w:t>
      </w:r>
    </w:p>
    <w:p>
      <w:pPr>
        <w:spacing w:after="0" w:line="11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connection with the preparation of our Financial Statements for the second and third quarters of 2020, we concluded that an interim quantitative impairment test was required for our Exchange &amp; Third-Party Management reporting unit because of the impairment charge we recognized for this reporting unit in the first quarter of 2020. We utilized a combination of the income and market approaches to estimate the fair value of this reporting unit (Level 3) consistent with the methodology used in the first quarter of 2020. We concluded that there was no further impairment of the Exchange &amp; Third-Party Management reporting unit as of the end of each of the second and third quarters of 2020 from the first quarter of 2020, as future expected operating results had improved slightly in comparison to the projections used in the first quarter, resulting in a fair value of the reporting unit in excess of its carrying amount. We performed a qualitative analysis of the impact of recent events, including business and industry specific considerations, on the fair value of our Vacation Ownership reporting unit as of the end of each of the second and third quarters of 2020 and determined that an interim quantitative impairment test was not required.</w:t>
      </w:r>
    </w:p>
    <w:p>
      <w:pPr>
        <w:spacing w:after="0" w:line="73"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While the goodwill of our reporting units are not impaired as of the third quarter of 2020, we cannot assure you that goodwill will not be impaired in future periods. We will continue to monitor the operating results, cash flow forecasts and impact from changes in market conditions, as well as impacts of COVID-19 for these reporting units.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activity related to our intangible assets, all of which are related to the Exchange &amp; Third-Party Management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segment.</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90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1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3"/>
              </w:rPr>
              <w:t>Trade Names and Trademarks</w:t>
            </w:r>
          </w:p>
        </w:tc>
      </w:tr>
      <w:tr>
        <w:trPr>
          <w:trHeight w:val="22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89"/>
              </w:rPr>
              <w:t>82</w:t>
            </w:r>
          </w:p>
        </w:tc>
      </w:tr>
      <w:tr>
        <w:trPr>
          <w:trHeight w:val="230"/>
        </w:trPr>
        <w:tc>
          <w:tcPr>
            <w:tcW w:w="9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Impairment</w:t>
            </w:r>
          </w:p>
        </w:tc>
        <w:tc>
          <w:tcPr>
            <w:tcW w:w="9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93"/>
              </w:rPr>
              <w:t>(18)</w:t>
            </w:r>
          </w:p>
        </w:tc>
      </w:tr>
      <w:tr>
        <w:trPr>
          <w:trHeight w:val="22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89"/>
              </w:rPr>
              <w:t>64</w:t>
            </w:r>
          </w:p>
        </w:tc>
      </w:tr>
      <w:tr>
        <w:trPr>
          <w:trHeight w:val="230"/>
        </w:trPr>
        <w:tc>
          <w:tcPr>
            <w:tcW w:w="9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Impairment</w:t>
            </w:r>
          </w:p>
        </w:tc>
        <w:tc>
          <w:tcPr>
            <w:tcW w:w="9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99"/>
              </w:rPr>
              <w:t>—</w:t>
            </w:r>
          </w:p>
        </w:tc>
      </w:tr>
      <w:tr>
        <w:trPr>
          <w:trHeight w:val="22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89"/>
              </w:rPr>
              <w:t>64</w:t>
            </w:r>
          </w:p>
        </w:tc>
      </w:tr>
      <w:tr>
        <w:trPr>
          <w:trHeight w:val="230"/>
        </w:trPr>
        <w:tc>
          <w:tcPr>
            <w:tcW w:w="9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Impairment</w:t>
            </w:r>
          </w:p>
        </w:tc>
        <w:tc>
          <w:tcPr>
            <w:tcW w:w="9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99"/>
              </w:rPr>
              <w:t>—</w:t>
            </w:r>
          </w:p>
        </w:tc>
      </w:tr>
      <w:tr>
        <w:trPr>
          <w:trHeight w:val="248"/>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89"/>
              </w:rPr>
              <w:t>64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212529"/>
        </w:rPr>
        <w:t xml:space="preserve">In connection with the preparation of the Financial Statements for the first quarter of 2020, we concluded that it was more likely than not that the fair value of our indefinite lived intangibles was below their carrying amounts. The factors that led to this conclusion were related to the COVID-19 pandemic and included: (i) </w:t>
      </w:r>
      <w:r>
        <w:rPr>
          <w:rFonts w:ascii="Arial" w:cs="Arial" w:eastAsia="Arial" w:hAnsi="Arial"/>
          <w:sz w:val="18"/>
          <w:szCs w:val="18"/>
          <w:color w:val="000000"/>
        </w:rPr>
        <w:t>the government stay-at-home orders in place in many of the jurisdictions in which we operate</w:t>
      </w:r>
      <w:r>
        <w:rPr>
          <w:rFonts w:ascii="Arial" w:cs="Arial" w:eastAsia="Arial" w:hAnsi="Arial"/>
          <w:sz w:val="18"/>
          <w:szCs w:val="18"/>
          <w:color w:val="212529"/>
        </w:rPr>
        <w:t>; (ii) the impact of travel restrictions on the hospitality industry; and (iii) the macroeconomic fallout from the COVID-19 pandemic.</w:t>
      </w:r>
    </w:p>
    <w:p>
      <w:pPr>
        <w:spacing w:after="0" w:line="79"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212529"/>
        </w:rPr>
        <w:t>We used the relief of royalty method in calculating the fair value of the trade names and trademarks (Level 3). We recognized a non-cash impairment charge of $18 million in the Impairment line on our Income Statement during the first quarter of 2020, which was primarily attributed to the decline in estimated near-term revenues and related recovery of long-term revenues attributed to the impact of the COVID-19 pandemic.</w:t>
      </w:r>
    </w:p>
    <w:p>
      <w:pPr>
        <w:spacing w:after="0" w:line="229" w:lineRule="exact"/>
        <w:rPr>
          <w:sz w:val="20"/>
          <w:szCs w:val="20"/>
          <w:color w:val="auto"/>
        </w:rPr>
      </w:pPr>
    </w:p>
    <w:p>
      <w:pPr>
        <w:ind w:left="500" w:hanging="474"/>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2020, we had the following commitments outstanding:</w:t>
      </w:r>
    </w:p>
    <w:p>
      <w:pPr>
        <w:spacing w:after="0" w:line="117" w:lineRule="exact"/>
        <w:rPr>
          <w:sz w:val="20"/>
          <w:szCs w:val="20"/>
          <w:color w:val="auto"/>
        </w:rPr>
      </w:pPr>
    </w:p>
    <w:p>
      <w:pPr>
        <w:ind w:left="980" w:right="260" w:hanging="324"/>
        <w:spacing w:after="0" w:line="311" w:lineRule="auto"/>
        <w:tabs>
          <w:tab w:leader="none" w:pos="9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have various contracts for the use of information technology hardware and software that we use in the normal course of business. Our aggregate commitments under these contracts were $83 million, of which we expect $16 million, $26 million, $19 million, $13 million, $6 million, and $3 million will be paid in the remainder of 2020, 2021, 2022, 2023, 2024, and thereafter, respectively.</w:t>
      </w:r>
    </w:p>
    <w:p>
      <w:pPr>
        <w:spacing w:after="0" w:line="13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right="60" w:hanging="324"/>
        <w:spacing w:after="0" w:line="279" w:lineRule="auto"/>
        <w:tabs>
          <w:tab w:leader="none" w:pos="975"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have a remaining commitment to purchase an operating property that we manage, located in New York, New York for $97 million. We expect to acquire the remaining units in the property, in their current form, in two transactions during 2021. See Footnote 3 “Acquisitions and Dispositions” for information on the purchase that occurred during the first quarter of 2020 and Footnote 16 “Variable Interest Entities” for additional information on this transaction and our activities relating to the VIE involved in this transaction.</w:t>
      </w:r>
    </w:p>
    <w:p>
      <w:pPr>
        <w:spacing w:after="0" w:line="63" w:lineRule="exact"/>
        <w:rPr>
          <w:rFonts w:ascii="Arial" w:cs="Arial" w:eastAsia="Arial" w:hAnsi="Arial"/>
          <w:sz w:val="17"/>
          <w:szCs w:val="17"/>
          <w:color w:val="auto"/>
        </w:rPr>
      </w:pPr>
    </w:p>
    <w:p>
      <w:pPr>
        <w:ind w:left="980" w:right="140" w:hanging="324"/>
        <w:spacing w:after="0" w:line="259"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 remaining commitment to purchase 88 vacation ownership units located in Bali, Indonesia for use in our Vacation Ownership segment, contingent upon completion of construction to agreed-upon standards. We expect to complete the acquisition in 2021 and to make the remaining payments with respect to these units when specific construction milestones are completed, as follows: $1 million in 2020, $21 million in 2021, and $2 million in 2022.</w:t>
      </w:r>
    </w:p>
    <w:p>
      <w:pPr>
        <w:spacing w:after="0" w:line="78" w:lineRule="exact"/>
        <w:rPr>
          <w:rFonts w:ascii="Arial" w:cs="Arial" w:eastAsia="Arial" w:hAnsi="Arial"/>
          <w:sz w:val="18"/>
          <w:szCs w:val="18"/>
          <w:color w:val="auto"/>
        </w:rPr>
      </w:pPr>
    </w:p>
    <w:p>
      <w:pPr>
        <w:ind w:left="980" w:hanging="324"/>
        <w:spacing w:after="0" w:line="25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 remaining commitment to purchase an operating property that we manage, located in San Francisco, California for $88 million. We expect to acquire the operating property over time and are committed to make payments for the operating property as follows: $32 million in 2021, $24 million in 2022, and $32 million in 2023. See Footnote 3 “Acquisitions and Dispositions” for information on the purchase that occurred during the first quarter of 2020 and Footnote 16 “Variable Interest Entities” for additional information on this transaction and our activities relating to the VIE involved in this transaction.</w:t>
      </w:r>
    </w:p>
    <w:p>
      <w:pPr>
        <w:spacing w:after="0" w:line="79" w:lineRule="exact"/>
        <w:rPr>
          <w:rFonts w:ascii="Arial" w:cs="Arial" w:eastAsia="Arial" w:hAnsi="Arial"/>
          <w:sz w:val="18"/>
          <w:szCs w:val="18"/>
          <w:color w:val="auto"/>
        </w:rPr>
      </w:pPr>
    </w:p>
    <w:p>
      <w:pPr>
        <w:ind w:left="980" w:right="380" w:hanging="324"/>
        <w:spacing w:after="0" w:line="259"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first quarter of 2020, we assigned a commitment to purchase a property located in Waikiki, Hawaii to a third party. If we are unable to negotiate a capital efficient inventory arrangement, we are committed to purchase the property, in its then current form, for $98 million in 2021, unless it has been sold to another party. See Footnote 16 “Variable Interest Entities” for additional information on this transaction and our activities relating to the VIE involved in this transaction.</w:t>
      </w:r>
    </w:p>
    <w:p>
      <w:pPr>
        <w:spacing w:after="0" w:line="7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Surety bonds issued as of September 30, 2020 totaled $75 million, the majority of which were requested by federal, state, or local governments in connection with our operations.</w:t>
      </w:r>
    </w:p>
    <w:p>
      <w:pPr>
        <w:spacing w:after="0" w:line="6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September 30, 2020, we had $3 million of letters of credit outstanding under our Revolving Corporate Credit Facility (as defined in Footnote 13 “Debt”). In addition, as of September 30, 2020, we had $2 million in letters of credit outstanding related to and in lieu of reserves required for several vacation ownership notes receivable securitization transactions outstanding. These letters of credit are not issued pursuant to, nor do they impact our borrowing capacity under, the Revolving Corporate Credit Facility.</w:t>
      </w:r>
    </w:p>
    <w:p>
      <w:pPr>
        <w:spacing w:after="0" w:line="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estimate the cash outflow associated with completing the phases of our existing portfolio of vacation ownership projects currently under development will be approximately $4 million, of which $2 million is included within liabilities on our Balance Sheet at September 30, 2020. This estimate is based on our current development plans, which remain subject to change, and we expect the phases currently under development will be completed by the end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Certain of our rental management agreements in our Exchange &amp; Third-Party Management segment provide for owners of properties we manage to receive specified percentages or guaranteed amounts of the rental revenue generated under our management. In these cases, the operating expenses for the rental operations are paid from the revenue generated by the rentals, the owners are then paid their contractual percentages or guaranteed amounts, and our vacation rental business either retains the balance (if any) as its fee or makes up the deficit. At September 30, 2020, our maximum exposure under fixed dollar guarantees was $28 million, of which $3 million, $10 million, $6 million, $3 million, $2 million and $4 million relate to the remainder of 2020, 2021, 2022, 2023, 2024 and thereafter, respectively. Based on the impact of the COVID-19 pandemic on our rental operations, we declared the occurrence of a force majeure event under many of these agreements, generally effective as of April 1, 2020. As a result, owner distributions made under such agreements will be paid on a net operating income basis, rather than as guaranteed amounts, until such time as force majeure event conditions abate.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March 2017, RCHFU, L.L.C. and other owners at The Ritz-Carlton Club, Aspen Highlands (“RCC Aspen Highlands”) filed a complaint in an action pending in the U.S. District Court for the District of Colorado against us and certain third parties, alleging that their fractional interests were devalued by the affiliation of the RCC Aspen Highlands and other Ritz-Carlton Clubs with our points-based Marriott Vacation Club Destinations (“MVCD”) program. The plaintiffs are seeking compensatory damages, disgorgement, punitive damages, fees and costs. A trial is scheduled to begin in January 2021.</w:t>
      </w:r>
    </w:p>
    <w:p>
      <w:pPr>
        <w:spacing w:after="0" w:line="17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May 2016, a purported class-action lawsuit was filed in the U.S. District Court for the Middle District of Florida by Anthony and Beth Lennen against us and certain third parties. The complaint challenged the characterization of the beneficial interests in the MVCD trust that are sold to customers as real estate interests under Florida law, the structure of the trust, and associated operational aspects of the trust. The plaintiffs sought declaratory relief, an unwinding of the MVCD product, and punitive damages. In August 2019, the District Court granted our motion for judgment on the pleadings and dismissed the case. The plaintiffs have appealed the ruling.</w:t>
      </w:r>
    </w:p>
    <w:p>
      <w:pPr>
        <w:spacing w:after="0" w:line="8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December 2016, Flora and Bruce Gillespie and other owners and former owners of fractional interests at the Fifth and Fifty-Fifth Residence Club located within The St. Regis, New York (the “St. Regis NY Club”) filed an action in the U.S. District Court for the Southern District of New York against ILG, certain of its subsidiaries, and certain third parties alleging that the sale of less than all interests offered in the fractional offering plan, the amendment of the plan to include additional units, and the rental of unsold fractional interests by the plan’s sponsor breached the relevant agreements and harmed the value of plaintiffs’ fractional interests. The plaintiffs sought compensatory damages, rescission, disgorgement, fees and costs. In May 2020, the court granted our motion for summary judgment and dismissed the case. The plaintiffs appealed the ruling. The parties subsequently settled the matter for a waiver of our claim of attorney fees, and on October 13, 2020, the plaintiffs dismissed their appeal with prejudice.</w:t>
      </w:r>
    </w:p>
    <w:p>
      <w:pPr>
        <w:spacing w:after="0" w:line="58"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In February 2019, the owners’ association for the St. Regis NY Club filed a lawsuit in the Supreme Court for the State of New York, New York County, Commercial Division against ILG and several of its subsidiaries and certain third parties. The operative complaint alleges that the defendants breached their fiduciary duties related to sale and rental practices, aided and abetted certain breaches of fiduciary duty, engaged in self-dealing as the sponsor and manager of the club, tortiously interfered with the management agreement, was unjustly enriched, and engaged in anticompetitive conduct. The plaintiff is seeking unspecified damages, punitive damages and disgorgement of payments under the management and purchase agreements.</w:t>
      </w:r>
    </w:p>
    <w:p>
      <w:pPr>
        <w:spacing w:after="0" w:line="5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April 2019, a purported class-action lawsuit was filed by Alan and Marjorie Helman and others against us in the Superior Court of the Virgin Islands, Division of St. Thomas alleging that their fractional interests were devalued by the affiliation of The Ritz-Carlton Club, St. Thomas and other Ritz-Carlton Clubs with our MVCD program. The lawsuit was subsequently removed to the U.S. District Court for the District of the Virgin Islands. The plaintiffs are seeking unspecified damages, disgorgement of profits, fees and costs.</w:t>
      </w:r>
    </w:p>
    <w:p>
      <w:pPr>
        <w:spacing w:after="0" w:line="7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May 2019, the G.A. Resort Condominium Association Inc., the owners’ association for the fractional owners at the Hyatt Residence Club Grand Aspen resort (“HRC Grand Aspen”) filed a lawsuit against us in the District Court for the County of Pitkin, Colorado relating to the transfer of ownership of developer-owned fractional interests at HRC Grand Aspen to the HPC Trust Club for sale and use as a part of the Hyatt Residence Club Portfolio Program. The lawsuit was subsequently removed to the U.S. District Court for the District of Colorado. The plaintiff is seeking termination of the management agreement with the owners’ association, the annulment of certain amendments to governing documents at HRC Grand Aspen, the removal of fractional interests at HRC Grand Aspen from the HPC Trust Club, unspecified damages, disgorgement of profits, fees and costs. In July 2020, the District Court granted our motion to dismiss claims against ILG and MVWC. Certain claims remain pending against other defendants, including certain of our subsidiaries. On September 14, 2020, the Magistrate Judge issued a report and recommendation that the District Court grant our motion to dismiss all the remaining claims against us.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we have meritorious defenses to the claims in each of the above matters and intend to vigorously defend each matter.</w:t>
      </w:r>
    </w:p>
    <w:p>
      <w:pPr>
        <w:spacing w:after="0" w:line="11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the ordinary course of our business, various claims and lawsuits have been filed or are pending against us. A number of these lawsuits and claims may exist at any given time. Additionally, the COVID-19 pandemic may give rise to various claims and lawsuits from owners, members and other parties.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not accrued for any of the pending matters described above and we cannot estimate a range of the potential liability associated with these pending matters, if any, at this time. We have accrued for other claims and lawsuits, but the amount accrued is not material in the aggregate. For matters not requiring accrual, we do not believe that the ultimate outcome of such matters, individually and in the aggregate, will materially harm our financial position, cash flows, or overall trends in results of operations based on information currently available. However, legal proceedings are inherently uncertain, and while we believe that our accruals are adequate and/or we have valid defenses to the claims asserted, unfavorable rulings could occur that could, individually or in the aggregate, have a material adverse effect on our business, financial condition, or operating results.</w:t>
      </w:r>
    </w:p>
    <w:p>
      <w:pPr>
        <w:spacing w:after="0" w:line="15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That Have Not Yet Commenced</w:t>
      </w:r>
    </w:p>
    <w:p>
      <w:pPr>
        <w:spacing w:after="0" w:line="11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During the first quarter of 2020, we entered into a finance lease arrangement for our new global headquarters in Orlando, Florida. The new office building is expected to be completed in 2023, at which time the lease term will commence and a right-of-use asset and corresponding liability will be recorded on our balance sheet. The initial lease term is approximately 16 years with total lease payments of $129 million for the aforementioned period. During the second quarter of 2020, in response to the COVID-19 pandemic and our ongoing evaluation of future space needs, we entered into a standstill arrangement with the developer/lessor. The agreement provides for a standstill on certain project spending for several months, extends certain deliverable dates pertaining to the development and lease, and grants MVW a limited termination option in exchange for reimbursement of certain developer soft costs. Subsequent to the end of the third quarter of 2020, we amended our standstill agreement with the developer/lessor to further extend certain deliverable dates pertaining to the development and lease agreements into 2021.</w:t>
      </w:r>
    </w:p>
    <w:p>
      <w:pPr>
        <w:spacing w:after="0" w:line="242" w:lineRule="exact"/>
        <w:rPr>
          <w:sz w:val="20"/>
          <w:szCs w:val="20"/>
          <w:color w:val="auto"/>
        </w:rPr>
      </w:pPr>
    </w:p>
    <w:p>
      <w:pPr>
        <w:ind w:left="500" w:hanging="474"/>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SECURITIZED DEBT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securitized debt, net of unamortized debt discount and issuance costs.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8"/>
                <w:szCs w:val="18"/>
                <w:color w:val="auto"/>
              </w:rPr>
            </w:pPr>
          </w:p>
        </w:tc>
        <w:tc>
          <w:tcPr>
            <w:tcW w:w="2080" w:type="dxa"/>
            <w:vAlign w:val="bottom"/>
            <w:gridSpan w:val="2"/>
          </w:tcPr>
          <w:p>
            <w:pPr>
              <w:ind w:left="100"/>
              <w:spacing w:after="0"/>
              <w:rPr>
                <w:sz w:val="20"/>
                <w:szCs w:val="20"/>
                <w:color w:val="auto"/>
              </w:rPr>
            </w:pPr>
            <w:r>
              <w:rPr>
                <w:rFonts w:ascii="Arial" w:cs="Arial" w:eastAsia="Arial" w:hAnsi="Arial"/>
                <w:sz w:val="16"/>
                <w:szCs w:val="16"/>
                <w:b w:val="1"/>
                <w:bCs w:val="1"/>
                <w:color w:val="auto"/>
              </w:rPr>
              <w:t>At September 30, 2020</w:t>
            </w:r>
          </w:p>
        </w:tc>
        <w:tc>
          <w:tcPr>
            <w:tcW w:w="220" w:type="dxa"/>
            <w:vAlign w:val="bottom"/>
          </w:tcPr>
          <w:p>
            <w:pPr>
              <w:spacing w:after="0"/>
              <w:rPr>
                <w:sz w:val="18"/>
                <w:szCs w:val="18"/>
                <w:color w:val="auto"/>
              </w:rPr>
            </w:pPr>
          </w:p>
        </w:tc>
        <w:tc>
          <w:tcPr>
            <w:tcW w:w="1980" w:type="dxa"/>
            <w:vAlign w:val="bottom"/>
          </w:tcPr>
          <w:p>
            <w:pPr>
              <w:jc w:val="right"/>
              <w:ind w:right="251"/>
              <w:spacing w:after="0"/>
              <w:rPr>
                <w:sz w:val="20"/>
                <w:szCs w:val="20"/>
                <w:color w:val="auto"/>
              </w:rPr>
            </w:pPr>
            <w:r>
              <w:rPr>
                <w:rFonts w:ascii="Arial" w:cs="Arial" w:eastAsia="Arial" w:hAnsi="Arial"/>
                <w:sz w:val="16"/>
                <w:szCs w:val="16"/>
                <w:b w:val="1"/>
                <w:bCs w:val="1"/>
                <w:color w:val="auto"/>
                <w:w w:val="97"/>
              </w:rPr>
              <w:t>At December 31, 2019</w:t>
            </w:r>
          </w:p>
        </w:tc>
      </w:tr>
      <w:tr>
        <w:trPr>
          <w:trHeight w:val="226"/>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9"/>
                <w:szCs w:val="9"/>
                <w:color w:val="auto"/>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 and issuance costs</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6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r>
      <w:tr>
        <w:trPr>
          <w:trHeight w:val="257"/>
        </w:trPr>
        <w:tc>
          <w:tcPr>
            <w:tcW w:w="6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Credit Facility, gross</w:t>
            </w:r>
          </w:p>
        </w:tc>
        <w:tc>
          <w:tcPr>
            <w:tcW w:w="2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Unamortized debt issuance costs</w:t>
            </w:r>
            <w:r>
              <w:rPr>
                <w:rFonts w:ascii="Arial" w:cs="Arial" w:eastAsia="Arial" w:hAnsi="Arial"/>
                <w:sz w:val="9"/>
                <w:szCs w:val="9"/>
                <w:color w:val="auto"/>
              </w:rPr>
              <w:t>(2)</w:t>
            </w:r>
          </w:p>
        </w:tc>
        <w:tc>
          <w:tcPr>
            <w:tcW w:w="200" w:type="dxa"/>
            <w:vAlign w:val="bottom"/>
          </w:tcPr>
          <w:p>
            <w:pPr>
              <w:spacing w:after="0"/>
              <w:rPr>
                <w:sz w:val="19"/>
                <w:szCs w:val="19"/>
                <w:color w:val="auto"/>
              </w:rPr>
            </w:pP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7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56"/>
        </w:trPr>
        <w:tc>
          <w:tcPr>
            <w:tcW w:w="6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7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w:t>
            </w: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ectPr>
          <w:pgSz w:w="11900" w:h="16838" w:orient="portrait"/>
          <w:cols w:equalWidth="0" w:num="1">
            <w:col w:w="11240"/>
          </w:cols>
          <w:pgMar w:left="320" w:top="341" w:right="339" w:bottom="1440" w:gutter="0" w:footer="0" w:header="0"/>
        </w:sectPr>
      </w:pPr>
    </w:p>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Interest rates as of September 30, 2020 range from 2.2% to 4.4%, with a weighted average interest rate of 2.7%</w:t>
      </w:r>
    </w:p>
    <w:p>
      <w:pPr>
        <w:spacing w:after="0" w:line="63" w:lineRule="exact"/>
        <w:rPr>
          <w:sz w:val="20"/>
          <w:szCs w:val="20"/>
          <w:color w:val="auto"/>
        </w:rPr>
      </w:pPr>
    </w:p>
    <w:p>
      <w:pPr>
        <w:ind w:left="20" w:right="420" w:hanging="11"/>
        <w:spacing w:after="0" w:line="277" w:lineRule="auto"/>
        <w:rPr>
          <w:sz w:val="20"/>
          <w:szCs w:val="20"/>
          <w:color w:val="auto"/>
        </w:rPr>
      </w:pPr>
      <w:r>
        <w:rPr>
          <w:rFonts w:ascii="Arial" w:cs="Arial" w:eastAsia="Arial" w:hAnsi="Arial"/>
          <w:sz w:val="18"/>
          <w:szCs w:val="18"/>
          <w:color w:val="auto"/>
        </w:rPr>
        <w:t>Excludes $1 million of unamortized debt issuance costs as of September 30, 2020, as no cash borrowings were outstanding on the Warehouse Credit Facility at that time</w:t>
      </w:r>
    </w:p>
    <w:p>
      <w:pPr>
        <w:spacing w:after="0" w:line="170" w:lineRule="exact"/>
        <w:rPr>
          <w:sz w:val="20"/>
          <w:szCs w:val="20"/>
          <w:color w:val="auto"/>
        </w:rPr>
      </w:pPr>
    </w:p>
    <w:p>
      <w:pPr>
        <w:sectPr>
          <w:pgSz w:w="11900" w:h="16838" w:orient="portrait"/>
          <w:cols w:equalWidth="0" w:num="2">
            <w:col w:w="140" w:space="500"/>
            <w:col w:w="10600"/>
          </w:cols>
          <w:pgMar w:left="320" w:top="341" w:right="339" w:bottom="1440" w:gutter="0" w:footer="0" w:header="0"/>
          <w:type w:val="continuous"/>
        </w:sectPr>
      </w:pPr>
    </w:p>
    <w:p>
      <w:pPr>
        <w:ind w:right="60" w:firstLine="648"/>
        <w:spacing w:after="0" w:line="277" w:lineRule="auto"/>
        <w:rPr>
          <w:sz w:val="20"/>
          <w:szCs w:val="20"/>
          <w:color w:val="auto"/>
        </w:rPr>
      </w:pPr>
      <w:r>
        <w:rPr>
          <w:rFonts w:ascii="Arial" w:cs="Arial" w:eastAsia="Arial" w:hAnsi="Arial"/>
          <w:sz w:val="18"/>
          <w:szCs w:val="18"/>
          <w:color w:val="auto"/>
        </w:rPr>
        <w:t>All of our securitized debt is non-recourse to us. See Footnote 16 “Variable Interest Entities” for a discussion of the collateral for the non-recourse debt associated with our securitized debt.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scheduled future principal payments for our securitized debt as of September 30,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jc w:val="right"/>
              <w:ind w:right="712"/>
              <w:spacing w:after="0"/>
              <w:rPr>
                <w:sz w:val="20"/>
                <w:szCs w:val="20"/>
                <w:color w:val="auto"/>
              </w:rPr>
            </w:pPr>
            <w:r>
              <w:rPr>
                <w:rFonts w:ascii="Arial" w:cs="Arial" w:eastAsia="Arial" w:hAnsi="Arial"/>
                <w:sz w:val="16"/>
                <w:szCs w:val="16"/>
                <w:b w:val="1"/>
                <w:bCs w:val="1"/>
                <w:color w:val="auto"/>
              </w:rPr>
              <w:t>Vacation Ownership</w:t>
            </w:r>
          </w:p>
        </w:tc>
        <w:tc>
          <w:tcPr>
            <w:tcW w:w="0" w:type="dxa"/>
            <w:vAlign w:val="bottom"/>
          </w:tcPr>
          <w:p>
            <w:pPr>
              <w:spacing w:after="0"/>
              <w:rPr>
                <w:sz w:val="1"/>
                <w:szCs w:val="1"/>
                <w:color w:val="auto"/>
              </w:rPr>
            </w:pPr>
          </w:p>
        </w:tc>
      </w:tr>
      <w:tr>
        <w:trPr>
          <w:trHeight w:val="213"/>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6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w w:val="94"/>
              </w:rPr>
              <w:t>Notes Receivable Securitizations</w:t>
            </w:r>
          </w:p>
        </w:tc>
        <w:tc>
          <w:tcPr>
            <w:tcW w:w="0" w:type="dxa"/>
            <w:vAlign w:val="bottom"/>
          </w:tcPr>
          <w:p>
            <w:pPr>
              <w:spacing w:after="0"/>
              <w:rPr>
                <w:sz w:val="1"/>
                <w:szCs w:val="1"/>
                <w:color w:val="auto"/>
              </w:rPr>
            </w:pPr>
          </w:p>
        </w:tc>
      </w:tr>
      <w:tr>
        <w:trPr>
          <w:trHeight w:val="19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Payments Year</w:t>
            </w:r>
          </w:p>
        </w:tc>
        <w:tc>
          <w:tcPr>
            <w:tcW w:w="4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2020, remaining</w:t>
            </w:r>
          </w:p>
        </w:tc>
        <w:tc>
          <w:tcPr>
            <w:tcW w:w="48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7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w:t>
            </w:r>
          </w:p>
        </w:tc>
        <w:tc>
          <w:tcPr>
            <w:tcW w:w="4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2022</w:t>
            </w:r>
          </w:p>
        </w:tc>
        <w:tc>
          <w:tcPr>
            <w:tcW w:w="4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4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2024</w:t>
            </w:r>
          </w:p>
        </w:tc>
        <w:tc>
          <w:tcPr>
            <w:tcW w:w="4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46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600" w:type="dxa"/>
            <w:vAlign w:val="bottom"/>
            <w:vMerge w:val="restart"/>
          </w:tcPr>
          <w:p>
            <w:pPr>
              <w:jc w:val="right"/>
              <w:ind w:right="2090"/>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362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6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 Securitizations</w:t>
      </w:r>
    </w:p>
    <w:p>
      <w:pPr>
        <w:spacing w:after="0" w:line="117"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third quarter and first three quarters of 2020, and as of September 30, 2020, no securitized vacation ownership notes receivable pools were out of compliance with their respective established parameters. As of September 30, 2020, we had 12 securitized vacation ownership notes receivable pools outstanding.</w:t>
      </w:r>
    </w:p>
    <w:p>
      <w:pPr>
        <w:spacing w:after="0" w:line="58" w:lineRule="exact"/>
        <w:rPr>
          <w:sz w:val="20"/>
          <w:szCs w:val="20"/>
          <w:color w:val="auto"/>
        </w:rPr>
      </w:pPr>
    </w:p>
    <w:p>
      <w:pPr>
        <w:jc w:val="both"/>
        <w:ind w:right="480" w:firstLine="648"/>
        <w:spacing w:after="0" w:line="342"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1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During the third quarter of 2020, we completed the securitization of a pool of $383 million of vacation ownership notes receivable. In connection with the securitization, investors purchased in a private placement $375 million in vacation ownership loan backed notes from MVW 2020-1 LLC (the “2020-1 LLC”). Four classes of vacation ownership loan backed notes were issued by the 2020-1 LLC: $238 million of Class A Notes, $72 million of Class B Notes, $44 million of Class C Notes, and $21 million of Class D Notes. The Class A Notes have an interest rate of 1.74 percent, the Class B Notes have an interest rate of 2.73 percent, the Class C Notes have an interest rate of 4.21 percent, and the Class D Notes have an interest rate of 7.14 percent, for an overall weighted average interest rate of 2.53 percent. Of the $375 million in proceeds from the transaction, $300 million was used to repay all outstanding amounts previously drawn under the Warehouse Credit Facility, as defined below, $7 million was used to pay transaction expenses and fund required reserves, and the remainder will be used for general corporate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Facility</w:t>
      </w:r>
    </w:p>
    <w:p>
      <w:pPr>
        <w:spacing w:after="0" w:line="11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warehouse credit facility (the “Warehouse Credit Facility”) allows for the securitization of vacation ownership notes receivable on a revolving non-recourse basis through December 20, 2021. During the first quarter of 2020, we securitized vacation ownership notes receivable under our Warehouse Credit Facility. The carrying amount of the vacation ownership notes receivable securitized was $240 million. The average advance rate was 84 percent, which resulted in gross proceeds of $202 million. Net proceeds were $201 million due to the funding of reserve accounts of $1 million.</w:t>
      </w:r>
    </w:p>
    <w:p>
      <w:pPr>
        <w:spacing w:after="0" w:line="4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During the second quarter of 2020, we securitized vacation ownership notes receivable under our Warehouse Credit Facility. The carrying amount of the vacation ownership notes receivable securitized was $132 million. The average advance rate was 86 percent, which resulted in gross proceeds of $113 million. Net proceeds were $113 million due to the funding of reserve accounts of less than $1 million.</w:t>
      </w:r>
    </w:p>
    <w:p>
      <w:pPr>
        <w:spacing w:after="0" w:line="7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Additionally, during the second quarter of 2020, we amended our Warehouse Credit Facility to increase the borrowing capacity by $181 million, to $531 million. The revolving period for the existing $350 million remains the same and will terminate in December 2021, if not renewed or terminated earlier. As part of this amendment, the interest rate increased from primarily LIBOR plus 1.1% to primarily LIBOR plus 1.4%. During the third quarter of 2020, we terminated the additional $181 million capacity of the Warehouse Credit Facility.</w:t>
      </w:r>
    </w:p>
    <w:p>
      <w:pPr>
        <w:spacing w:after="0" w:line="1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0" w:hanging="474"/>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debt balances, net of unamortized debt discount and issuance costs.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0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8"/>
                <w:szCs w:val="18"/>
                <w:color w:val="auto"/>
              </w:rPr>
            </w:pPr>
          </w:p>
        </w:tc>
        <w:tc>
          <w:tcPr>
            <w:tcW w:w="1980" w:type="dxa"/>
            <w:vAlign w:val="bottom"/>
            <w:gridSpan w:val="2"/>
          </w:tcPr>
          <w:p>
            <w:pPr>
              <w:ind w:left="80"/>
              <w:spacing w:after="0"/>
              <w:rPr>
                <w:sz w:val="20"/>
                <w:szCs w:val="20"/>
                <w:color w:val="auto"/>
              </w:rPr>
            </w:pPr>
            <w:r>
              <w:rPr>
                <w:rFonts w:ascii="Arial" w:cs="Arial" w:eastAsia="Arial" w:hAnsi="Arial"/>
                <w:sz w:val="16"/>
                <w:szCs w:val="16"/>
                <w:b w:val="1"/>
                <w:bCs w:val="1"/>
                <w:color w:val="auto"/>
              </w:rPr>
              <w:t>At September 30, 2020</w:t>
            </w:r>
          </w:p>
        </w:tc>
        <w:tc>
          <w:tcPr>
            <w:tcW w:w="180" w:type="dxa"/>
            <w:vAlign w:val="bottom"/>
          </w:tcPr>
          <w:p>
            <w:pPr>
              <w:spacing w:after="0"/>
              <w:rPr>
                <w:sz w:val="18"/>
                <w:szCs w:val="18"/>
                <w:color w:val="auto"/>
              </w:rPr>
            </w:pPr>
          </w:p>
        </w:tc>
        <w:tc>
          <w:tcPr>
            <w:tcW w:w="1860" w:type="dxa"/>
            <w:vAlign w:val="bottom"/>
          </w:tcPr>
          <w:p>
            <w:pPr>
              <w:jc w:val="right"/>
              <w:ind w:right="170"/>
              <w:spacing w:after="0"/>
              <w:rPr>
                <w:sz w:val="20"/>
                <w:szCs w:val="20"/>
                <w:color w:val="auto"/>
              </w:rPr>
            </w:pPr>
            <w:r>
              <w:rPr>
                <w:rFonts w:ascii="Arial" w:cs="Arial" w:eastAsia="Arial" w:hAnsi="Arial"/>
                <w:sz w:val="16"/>
                <w:szCs w:val="16"/>
                <w:b w:val="1"/>
                <w:bCs w:val="1"/>
                <w:color w:val="auto"/>
                <w:w w:val="95"/>
              </w:rPr>
              <w:t>At December 31, 2019</w:t>
            </w:r>
          </w:p>
        </w:tc>
      </w:tr>
      <w:tr>
        <w:trPr>
          <w:trHeight w:val="212"/>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16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29"/>
        </w:trPr>
        <w:tc>
          <w:tcPr>
            <w:tcW w:w="7000" w:type="dxa"/>
            <w:vAlign w:val="bottom"/>
          </w:tcPr>
          <w:p>
            <w:pPr>
              <w:ind w:left="400"/>
              <w:spacing w:after="0"/>
              <w:rPr>
                <w:sz w:val="20"/>
                <w:szCs w:val="20"/>
                <w:color w:val="auto"/>
              </w:rPr>
            </w:pPr>
            <w:r>
              <w:rPr>
                <w:rFonts w:ascii="Arial" w:cs="Arial" w:eastAsia="Arial" w:hAnsi="Arial"/>
                <w:sz w:val="18"/>
                <w:szCs w:val="18"/>
                <w:color w:val="auto"/>
              </w:rPr>
              <w:t>2025 Notes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Unamortized debt discount and issuance costs</w:t>
            </w:r>
          </w:p>
        </w:tc>
        <w:tc>
          <w:tcPr>
            <w:tcW w:w="1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Senior Unsecured Notes</w:t>
            </w: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2026 Notes</w:t>
            </w: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70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Unamortized debt discount and issuance costs</w:t>
            </w: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57"/>
        </w:trPr>
        <w:tc>
          <w:tcPr>
            <w:tcW w:w="7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29"/>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2028 Notes</w:t>
            </w: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29"/>
        </w:trPr>
        <w:tc>
          <w:tcPr>
            <w:tcW w:w="70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Unamortized debt discount and issuance costs</w:t>
            </w: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57"/>
        </w:trPr>
        <w:tc>
          <w:tcPr>
            <w:tcW w:w="7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29"/>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Corporate Credit Facility</w:t>
            </w: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7000" w:type="dxa"/>
            <w:vAlign w:val="bottom"/>
          </w:tcPr>
          <w:p>
            <w:pPr>
              <w:ind w:left="400"/>
              <w:spacing w:after="0"/>
              <w:rPr>
                <w:sz w:val="20"/>
                <w:szCs w:val="20"/>
                <w:color w:val="auto"/>
              </w:rPr>
            </w:pPr>
            <w:r>
              <w:rPr>
                <w:rFonts w:ascii="Arial" w:cs="Arial" w:eastAsia="Arial" w:hAnsi="Arial"/>
                <w:sz w:val="18"/>
                <w:szCs w:val="18"/>
                <w:color w:val="auto"/>
              </w:rPr>
              <w:t>Term Loan</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893</w:t>
            </w:r>
          </w:p>
        </w:tc>
      </w:tr>
      <w:tr>
        <w:trPr>
          <w:trHeight w:val="230"/>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Unamortized debt discount and issuance costs</w:t>
            </w:r>
          </w:p>
        </w:tc>
        <w:tc>
          <w:tcPr>
            <w:tcW w:w="1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7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881</w:t>
            </w:r>
          </w:p>
        </w:tc>
      </w:tr>
      <w:tr>
        <w:trPr>
          <w:trHeight w:val="257"/>
        </w:trPr>
        <w:tc>
          <w:tcPr>
            <w:tcW w:w="7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r>
      <w:tr>
        <w:trPr>
          <w:trHeight w:val="230"/>
        </w:trPr>
        <w:tc>
          <w:tcPr>
            <w:tcW w:w="7000" w:type="dxa"/>
            <w:vAlign w:val="bottom"/>
          </w:tcPr>
          <w:p>
            <w:pPr>
              <w:ind w:left="400"/>
              <w:spacing w:after="0"/>
              <w:rPr>
                <w:sz w:val="20"/>
                <w:szCs w:val="20"/>
                <w:color w:val="auto"/>
              </w:rPr>
            </w:pPr>
            <w:r>
              <w:rPr>
                <w:rFonts w:ascii="Arial" w:cs="Arial" w:eastAsia="Arial" w:hAnsi="Arial"/>
                <w:sz w:val="18"/>
                <w:szCs w:val="18"/>
                <w:color w:val="auto"/>
              </w:rPr>
              <w:t>Revolving Corporate Credit Facility</w:t>
            </w:r>
          </w:p>
        </w:tc>
        <w:tc>
          <w:tcPr>
            <w:tcW w:w="160" w:type="dxa"/>
            <w:vAlign w:val="bottom"/>
          </w:tcPr>
          <w:p>
            <w:pPr>
              <w:spacing w:after="0"/>
              <w:rPr>
                <w:sz w:val="19"/>
                <w:szCs w:val="19"/>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Unamortized debt issuance costs</w:t>
            </w:r>
            <w:r>
              <w:rPr>
                <w:rFonts w:ascii="Arial" w:cs="Arial" w:eastAsia="Arial" w:hAnsi="Arial"/>
                <w:sz w:val="9"/>
                <w:szCs w:val="9"/>
                <w:color w:val="auto"/>
              </w:rPr>
              <w:t>(1)</w:t>
            </w:r>
          </w:p>
        </w:tc>
        <w:tc>
          <w:tcPr>
            <w:tcW w:w="1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0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57"/>
        </w:trPr>
        <w:tc>
          <w:tcPr>
            <w:tcW w:w="7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Convertible Notes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discount and issuance costs</w:t>
            </w:r>
          </w:p>
        </w:tc>
        <w:tc>
          <w:tcPr>
            <w:tcW w:w="1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7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57"/>
        </w:trPr>
        <w:tc>
          <w:tcPr>
            <w:tcW w:w="7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r>
      <w:tr>
        <w:trPr>
          <w:trHeight w:val="230"/>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Finance leases</w:t>
            </w: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7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460" w:hanging="652"/>
        <w:spacing w:after="0" w:line="227" w:lineRule="auto"/>
        <w:tabs>
          <w:tab w:leader="none" w:pos="64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Excludes $3 million of unamortized debt issuance costs as of September 30, 2020, as no cash borrowings were outstanding on the Revolving Corporate Credit Facility at that time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scheduled future principal payments for our debt, excluding finance leases, as of September 30,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2025 Notes</w:t>
            </w:r>
          </w:p>
        </w:tc>
        <w:tc>
          <w:tcPr>
            <w:tcW w:w="20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2026 Notes</w:t>
            </w:r>
          </w:p>
        </w:tc>
        <w:tc>
          <w:tcPr>
            <w:tcW w:w="2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2028 Notes</w:t>
            </w: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Term Loan</w:t>
            </w:r>
          </w:p>
        </w:tc>
        <w:tc>
          <w:tcPr>
            <w:tcW w:w="140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Convertible Notes</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199"/>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Payments Year</w:t>
            </w: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2020, remaining</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r>
      <w:tr>
        <w:trPr>
          <w:trHeight w:val="223"/>
        </w:trPr>
        <w:tc>
          <w:tcPr>
            <w:tcW w:w="3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2,717</w:t>
            </w: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06"/>
        </w:trPr>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32</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66"/>
        </w:trPr>
        <w:tc>
          <w:tcPr>
            <w:tcW w:w="3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second quarter of 2020, we issued $500 million aggregate principal amount of 6.125% Senior Secured Notes due September 15, 2025 (the “2025 Notes”). The 2025 Notes are pari passu with and secured by the same collateral as our Corporate Credit Facility. We pay interest on the 2025 Notes on May 15 and November 15 of each year, commencing on November 15, 2020. We received net proceeds of approximately $493 million from the offering of the 2025 Notes, after deducting offering expenses and the underwriting discount, which were used to repay all amounts outstanding at that time on the Revolving Corporate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Senior Unsecured Notes include the following:</w:t>
      </w:r>
    </w:p>
    <w:p>
      <w:pPr>
        <w:spacing w:after="0" w:line="63" w:lineRule="exact"/>
        <w:rPr>
          <w:sz w:val="20"/>
          <w:szCs w:val="20"/>
          <w:color w:val="auto"/>
        </w:rPr>
      </w:pPr>
    </w:p>
    <w:p>
      <w:pPr>
        <w:ind w:left="980" w:right="6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$750 million aggregate principal amount of 6.500% Senior Unsecured Notes due 2026 issued in the third quarter of 2018 with a maturity date of September 15, 2026 (the “2026 Notes”); and</w:t>
      </w:r>
    </w:p>
    <w:p>
      <w:pPr>
        <w:spacing w:after="0" w:line="8"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$350 million aggregate principal amount of 4.750% Senior Unsecured Notes due 2028 issued in the fourth quarter of 2019 with a maturity date of January 15, 2028 (the “2028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Credit Facility</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corporate credit facility (“Corporate Credit Facility”), which provides support for our business, including ongoing liquidity and letters of credit, includes a $900 million term loan facility (the “Term Loan”), which matures on August 31, 2025, and a revolving credit facility with a borrowing capacity of $600 million (the “Revolving Corporate Credit Facility”), including a letter of credit sub-facility of $75 million, that terminates on August 31, 2023.</w:t>
      </w:r>
    </w:p>
    <w:p>
      <w:pPr>
        <w:spacing w:after="0" w:line="7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Term Loan bears interest at LIBOR plus 1.75 percent. Borrowings under the Revolving Corporate Credit Facility generally bear interest at a floating rate plus an applicable margin that varies from 0.50 percent to 2.75 percent depending on the type of loan and our credit rating. In addition, we pay a commitment fee on the unused availability under the Revolving Corporate Credit Facility at a rate that varies from 20 to 40 basis points per annum, also depending on our credit rating. As of September 30, 2020, we were in compliance with the applicable financial and operating covenants under the Corporate Credit Facility.</w:t>
      </w:r>
    </w:p>
    <w:p>
      <w:pPr>
        <w:spacing w:after="0" w:line="8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May 2020, we entered into a waiver (the “Waiver”) to the agreement that governs the Corporate Credit Facility. The Waiver, among other things, suspends the requirement to comply with the leverage covenant in the Revolving Corporate Credit Facility for up to four quarters, commencing with the fiscal quarter ending June 30, 2020. We are required to maintain monthly minimum liquidity of at least $300 million until the later of March 31, 2021 or the end of the suspension period. In addition, for the duration of the period during which the waiver of the leverage covenant remains in effect, we are prohibited from making certain restricted payments, including share repurchases and dividends. If we are not in compliance with the leverage covenant at the end of the suspension period, we will seek to negotiate with our lenders to amend such covenant, as needed.</w:t>
      </w:r>
    </w:p>
    <w:p>
      <w:pPr>
        <w:spacing w:after="0" w:line="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Prior to 2020, we entered into $250 million of interest rate swaps under which we pay a fixed rate of 2.9625 percent and receive a floating interest rate through September 2023 and $200 million of interest rate swaps under which we pay a fixed rate of 2.2480 percent and receive a floating interest rate through April 2024, in each case to hedge a portion of our interest rate risk on the Term Loan. We also entered into a $100 million interest rate collar with a cap strike rate of 2.5000 percent and a floor strike rate of 1.8810 percent through April 2024 to further hedge our interest rate risk on the Term Loan. Both the interest rate swaps and the interest rate collar have been designated and qualify as cash flow hedges of interest rate risk and recorded in Other liabilities on our Balance Sheet as of September 30, 2020 and December 31, 2019. We characterize payments we make in connection with these derivative instruments as interest expense and a reclassification of accumulated other comprehensive income for presentation purposes.</w:t>
      </w:r>
    </w:p>
    <w:p>
      <w:pPr>
        <w:spacing w:after="0" w:line="15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activity in accumulated other comprehensive loss related to our derivative instruments: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9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1"/>
              <w:spacing w:after="0"/>
              <w:rPr>
                <w:sz w:val="20"/>
                <w:szCs w:val="20"/>
                <w:color w:val="auto"/>
              </w:rPr>
            </w:pPr>
            <w:r>
              <w:rPr>
                <w:rFonts w:ascii="Arial" w:cs="Arial" w:eastAsia="Arial" w:hAnsi="Arial"/>
                <w:sz w:val="16"/>
                <w:szCs w:val="16"/>
                <w:b w:val="1"/>
                <w:bCs w:val="1"/>
                <w:color w:val="auto"/>
              </w:rPr>
              <w:t>2019</w:t>
            </w:r>
          </w:p>
        </w:tc>
      </w:tr>
      <w:tr>
        <w:trPr>
          <w:trHeight w:val="22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 adjustment balance, January 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940" w:type="dxa"/>
            <w:vAlign w:val="bottom"/>
          </w:tcPr>
          <w:p>
            <w:pPr>
              <w:ind w:left="200"/>
              <w:spacing w:after="0"/>
              <w:rPr>
                <w:sz w:val="20"/>
                <w:szCs w:val="20"/>
                <w:color w:val="auto"/>
              </w:rPr>
            </w:pPr>
            <w:r>
              <w:rPr>
                <w:rFonts w:ascii="Arial" w:cs="Arial" w:eastAsia="Arial" w:hAnsi="Arial"/>
                <w:sz w:val="18"/>
                <w:szCs w:val="18"/>
                <w:color w:val="auto"/>
              </w:rPr>
              <w:t>Other comprehensive loss before reclassifications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Reclassification to Income Statement</w:t>
            </w:r>
          </w:p>
        </w:tc>
        <w:tc>
          <w:tcPr>
            <w:tcW w:w="4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other comprehensive loss</w:t>
            </w:r>
          </w:p>
        </w:tc>
        <w:tc>
          <w:tcPr>
            <w:tcW w:w="4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 adjustment balance, March 31</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6940" w:type="dxa"/>
            <w:vAlign w:val="bottom"/>
          </w:tcPr>
          <w:p>
            <w:pPr>
              <w:ind w:left="200"/>
              <w:spacing w:after="0"/>
              <w:rPr>
                <w:sz w:val="20"/>
                <w:szCs w:val="20"/>
                <w:color w:val="auto"/>
              </w:rPr>
            </w:pPr>
            <w:r>
              <w:rPr>
                <w:rFonts w:ascii="Arial" w:cs="Arial" w:eastAsia="Arial" w:hAnsi="Arial"/>
                <w:sz w:val="18"/>
                <w:szCs w:val="18"/>
                <w:color w:val="auto"/>
              </w:rPr>
              <w:t>Other comprehensive loss before reclassifications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Reclassification to Income Statement</w:t>
            </w:r>
          </w:p>
        </w:tc>
        <w:tc>
          <w:tcPr>
            <w:tcW w:w="4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other comprehensive loss</w:t>
            </w:r>
          </w:p>
        </w:tc>
        <w:tc>
          <w:tcPr>
            <w:tcW w:w="4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 adjustment balance, June 30</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6940" w:type="dxa"/>
            <w:vAlign w:val="bottom"/>
          </w:tcPr>
          <w:p>
            <w:pPr>
              <w:ind w:left="200"/>
              <w:spacing w:after="0"/>
              <w:rPr>
                <w:sz w:val="20"/>
                <w:szCs w:val="20"/>
                <w:color w:val="auto"/>
              </w:rPr>
            </w:pPr>
            <w:r>
              <w:rPr>
                <w:rFonts w:ascii="Arial" w:cs="Arial" w:eastAsia="Arial" w:hAnsi="Arial"/>
                <w:sz w:val="18"/>
                <w:szCs w:val="18"/>
                <w:color w:val="auto"/>
              </w:rPr>
              <w:t>Other comprehensive gain (loss) before reclassifications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Reclassification to Income Statement</w:t>
            </w:r>
          </w:p>
        </w:tc>
        <w:tc>
          <w:tcPr>
            <w:tcW w:w="4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other comprehensive loss</w:t>
            </w:r>
          </w:p>
        </w:tc>
        <w:tc>
          <w:tcPr>
            <w:tcW w:w="4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instrument adjustment balance, September 30</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During 2017, we issued $230 million of aggregate principal amount of convertible senior notes (the “Convertible Notes”) that bear interest at a rate of 1.50 percent, payable in cash semi-annually. The conversion rate is subject to adjustment for certain events as described in the indenture governing the notes. Upon conversion, we will pay or deliver, as the case may be, cash, shares of our common stock or a combination of cash and shares of our common stock, at our election. It is our intent to settle conversions of the Convertible Notes through combination settlement, which contemplates repayment in cash of the principal amount and repayment in shares of our common stock of any excess of the conversion value over the principal amount. As of September 30, 2020, the effective interest rate was 4.7% and the remaining discount amortization period was 2.0 years.</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net carrying value of the Convertible Notes.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9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8"/>
                <w:szCs w:val="18"/>
                <w:color w:val="auto"/>
              </w:rPr>
            </w:pPr>
          </w:p>
        </w:tc>
        <w:tc>
          <w:tcPr>
            <w:tcW w:w="2000" w:type="dxa"/>
            <w:vAlign w:val="bottom"/>
            <w:gridSpan w:val="2"/>
          </w:tcPr>
          <w:p>
            <w:pPr>
              <w:ind w:left="80"/>
              <w:spacing w:after="0"/>
              <w:rPr>
                <w:sz w:val="20"/>
                <w:szCs w:val="20"/>
                <w:color w:val="auto"/>
              </w:rPr>
            </w:pPr>
            <w:r>
              <w:rPr>
                <w:rFonts w:ascii="Arial" w:cs="Arial" w:eastAsia="Arial" w:hAnsi="Arial"/>
                <w:sz w:val="16"/>
                <w:szCs w:val="16"/>
                <w:b w:val="1"/>
                <w:bCs w:val="1"/>
                <w:color w:val="auto"/>
              </w:rPr>
              <w:t>At September 30, 2020</w:t>
            </w:r>
          </w:p>
        </w:tc>
        <w:tc>
          <w:tcPr>
            <w:tcW w:w="180" w:type="dxa"/>
            <w:vAlign w:val="bottom"/>
          </w:tcPr>
          <w:p>
            <w:pPr>
              <w:spacing w:after="0"/>
              <w:rPr>
                <w:sz w:val="18"/>
                <w:szCs w:val="18"/>
                <w:color w:val="auto"/>
              </w:rPr>
            </w:pPr>
          </w:p>
        </w:tc>
        <w:tc>
          <w:tcPr>
            <w:tcW w:w="1860" w:type="dxa"/>
            <w:vAlign w:val="bottom"/>
          </w:tcPr>
          <w:p>
            <w:pPr>
              <w:jc w:val="right"/>
              <w:ind w:right="172"/>
              <w:spacing w:after="0"/>
              <w:rPr>
                <w:sz w:val="20"/>
                <w:szCs w:val="20"/>
                <w:color w:val="auto"/>
              </w:rPr>
            </w:pPr>
            <w:r>
              <w:rPr>
                <w:rFonts w:ascii="Arial" w:cs="Arial" w:eastAsia="Arial" w:hAnsi="Arial"/>
                <w:sz w:val="16"/>
                <w:szCs w:val="16"/>
                <w:b w:val="1"/>
                <w:bCs w:val="1"/>
                <w:color w:val="auto"/>
                <w:w w:val="95"/>
              </w:rPr>
              <w:t>At December 31, 2019</w:t>
            </w:r>
          </w:p>
        </w:tc>
      </w:tr>
      <w:tr>
        <w:trPr>
          <w:trHeight w:val="213"/>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Liability component</w:t>
            </w:r>
          </w:p>
        </w:tc>
        <w:tc>
          <w:tcPr>
            <w:tcW w:w="16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30"/>
        </w:trPr>
        <w:tc>
          <w:tcPr>
            <w:tcW w:w="6980" w:type="dxa"/>
            <w:vAlign w:val="bottom"/>
          </w:tcPr>
          <w:p>
            <w:pPr>
              <w:ind w:left="200"/>
              <w:spacing w:after="0"/>
              <w:rPr>
                <w:sz w:val="20"/>
                <w:szCs w:val="20"/>
                <w:color w:val="auto"/>
              </w:rPr>
            </w:pPr>
            <w:r>
              <w:rPr>
                <w:rFonts w:ascii="Arial" w:cs="Arial" w:eastAsia="Arial" w:hAnsi="Arial"/>
                <w:sz w:val="18"/>
                <w:szCs w:val="18"/>
                <w:color w:val="auto"/>
              </w:rPr>
              <w:t>Principal amount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Unamortized debt discount</w:t>
            </w: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6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carrying amount of the liability component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of equity component, net of issuance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interest expense information related to the Convertible Notes.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6"/>
                <w:szCs w:val="16"/>
                <w:b w:val="1"/>
                <w:bCs w:val="1"/>
                <w:color w:val="auto"/>
              </w:rPr>
              <w:t>Nine Months Ended</w:t>
            </w:r>
          </w:p>
        </w:tc>
        <w:tc>
          <w:tcPr>
            <w:tcW w:w="5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2020</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2019</w:t>
            </w:r>
          </w:p>
        </w:tc>
        <w:tc>
          <w:tcPr>
            <w:tcW w:w="12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2020</w:t>
            </w:r>
          </w:p>
        </w:tc>
        <w:tc>
          <w:tcPr>
            <w:tcW w:w="15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September 30, 2019</w:t>
            </w:r>
          </w:p>
        </w:tc>
        <w:tc>
          <w:tcPr>
            <w:tcW w:w="20" w:type="dxa"/>
            <w:vAlign w:val="bottom"/>
          </w:tcPr>
          <w:p>
            <w:pPr>
              <w:spacing w:after="0"/>
              <w:rPr>
                <w:sz w:val="18"/>
                <w:szCs w:val="18"/>
                <w:color w:val="auto"/>
              </w:rPr>
            </w:pPr>
          </w:p>
        </w:tc>
      </w:tr>
      <w:tr>
        <w:trPr>
          <w:trHeight w:val="226"/>
        </w:trPr>
        <w:tc>
          <w:tcPr>
            <w:tcW w:w="40" w:type="dxa"/>
            <w:vAlign w:val="bottom"/>
          </w:tcPr>
          <w:p>
            <w:pPr>
              <w:spacing w:after="0"/>
              <w:rPr>
                <w:sz w:val="19"/>
                <w:szCs w:val="19"/>
                <w:color w:val="auto"/>
              </w:rPr>
            </w:pPr>
          </w:p>
        </w:tc>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4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4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 Hedges and Warrants</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connection with the offering of the Convertible Notes, we concurrently entered into the following privately-negotiated separate transactions: convertible note hedge transactions with respect to our common stock (“Convertible Note Hedges”), initially covering a total of approximately 1.55 million shares of our common stock, and warrant transactions (“Warrants”), whereby we sold to the counterparties to the Convertible Note Hedges warrants to acquire approximately 1.55 million shares of our common stock at an initial strike price of $176.68 per share. As of September 30, 2020, no Convertible Note Hedges or Warrants have been exercised.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and Guarantees</w:t>
      </w:r>
    </w:p>
    <w:p>
      <w:pPr>
        <w:spacing w:after="0" w:line="11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Amounts borrowed under the Corporate Credit Facility and the 2025 Notes,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subsidiaries), in each case including inventory, subject to certain exceptions. In addition, the Corporate Credit Facility, the 2025 Notes, the 2026 Notes and the 2028 Notes are guaranteed by MVWC and certain of our direct and indirect, existing and future, domestic subsidiaries, excluding bankruptcy remote special purpose subsidiaries.</w:t>
      </w:r>
    </w:p>
    <w:p>
      <w:pPr>
        <w:spacing w:after="0" w:line="241" w:lineRule="exact"/>
        <w:rPr>
          <w:sz w:val="20"/>
          <w:szCs w:val="20"/>
          <w:color w:val="auto"/>
        </w:rPr>
      </w:pPr>
    </w:p>
    <w:p>
      <w:pPr>
        <w:ind w:left="500" w:hanging="474"/>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2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Marriott Vacations Worldwide has 100,000,000 authorized shares of common stock, par value of $0.01 per share. At September 30, 2020, there were 75,250,627 shares of Marriott Vacations Worldwide common stock issued, of which 41,062,759 shares were outstanding and 34,187,868 shares were held as treasury stock. At December 31, 2019, there were 75,020,272 shares of Marriott Vacations Worldwide common stock issued, of which 41,582,096 shares were outstanding and 33,438,176 shares were held as treasury stock. Marriott Vacations Worldwide has 2,000,000 authorized shares of preferred stock, par value of $0.01 per share, none of which were issued or outstanding as of September 30, 2020 or December 31,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Number of Shares</w:t>
            </w:r>
          </w:p>
        </w:tc>
        <w:tc>
          <w:tcPr>
            <w:tcW w:w="26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Cost of Shares</w:t>
            </w:r>
          </w:p>
        </w:tc>
        <w:tc>
          <w:tcPr>
            <w:tcW w:w="140" w:type="dxa"/>
            <w:vAlign w:val="bottom"/>
          </w:tcPr>
          <w:p>
            <w:pPr>
              <w:spacing w:after="0"/>
              <w:rPr>
                <w:sz w:val="16"/>
                <w:szCs w:val="16"/>
                <w:color w:val="auto"/>
              </w:rPr>
            </w:pPr>
          </w:p>
        </w:tc>
        <w:tc>
          <w:tcPr>
            <w:tcW w:w="1740" w:type="dxa"/>
            <w:vAlign w:val="bottom"/>
          </w:tcPr>
          <w:p>
            <w:pPr>
              <w:jc w:val="right"/>
              <w:ind w:right="54"/>
              <w:spacing w:after="0"/>
              <w:rPr>
                <w:sz w:val="20"/>
                <w:szCs w:val="20"/>
                <w:color w:val="auto"/>
              </w:rPr>
            </w:pPr>
            <w:r>
              <w:rPr>
                <w:rFonts w:ascii="Arial" w:cs="Arial" w:eastAsia="Arial" w:hAnsi="Arial"/>
                <w:sz w:val="16"/>
                <w:szCs w:val="16"/>
                <w:b w:val="1"/>
                <w:bCs w:val="1"/>
                <w:color w:val="auto"/>
                <w:w w:val="90"/>
              </w:rPr>
              <w:t>Average Price Paid per</w:t>
            </w:r>
          </w:p>
        </w:tc>
      </w:tr>
      <w:tr>
        <w:trPr>
          <w:trHeight w:val="213"/>
        </w:trPr>
        <w:tc>
          <w:tcPr>
            <w:tcW w:w="5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Repurchased</w:t>
            </w:r>
          </w:p>
        </w:tc>
        <w:tc>
          <w:tcPr>
            <w:tcW w:w="26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Repurchased</w:t>
            </w:r>
          </w:p>
        </w:tc>
        <w:tc>
          <w:tcPr>
            <w:tcW w:w="140" w:type="dxa"/>
            <w:vAlign w:val="bottom"/>
          </w:tcPr>
          <w:p>
            <w:pPr>
              <w:spacing w:after="0"/>
              <w:rPr>
                <w:sz w:val="18"/>
                <w:szCs w:val="18"/>
                <w:color w:val="auto"/>
              </w:rPr>
            </w:pPr>
          </w:p>
        </w:tc>
        <w:tc>
          <w:tcPr>
            <w:tcW w:w="1740" w:type="dxa"/>
            <w:vAlign w:val="bottom"/>
          </w:tcPr>
          <w:p>
            <w:pPr>
              <w:jc w:val="right"/>
              <w:ind w:right="654"/>
              <w:spacing w:after="0"/>
              <w:rPr>
                <w:sz w:val="20"/>
                <w:szCs w:val="20"/>
                <w:color w:val="auto"/>
              </w:rPr>
            </w:pPr>
            <w:r>
              <w:rPr>
                <w:rFonts w:ascii="Arial" w:cs="Arial" w:eastAsia="Arial" w:hAnsi="Arial"/>
                <w:sz w:val="16"/>
                <w:szCs w:val="16"/>
                <w:b w:val="1"/>
                <w:bCs w:val="1"/>
                <w:color w:val="auto"/>
              </w:rPr>
              <w:t>Share</w:t>
            </w:r>
          </w:p>
        </w:tc>
      </w:tr>
      <w:tr>
        <w:trPr>
          <w:trHeight w:val="22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2019</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16,418,950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76.60</w:t>
            </w:r>
          </w:p>
        </w:tc>
      </w:tr>
      <w:tr>
        <w:trPr>
          <w:trHeight w:val="230"/>
        </w:trPr>
        <w:tc>
          <w:tcPr>
            <w:tcW w:w="5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For the first three quarters of 2020</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106.60</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September 30, 2020</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17,188,885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July 30, 2019, our Board of Directors authorized the extension of the duration of our existing share repurchase program to December 31, 2020, as well as the repurchase of up to 4.5 million additional shares of our common stock. As of September 30, 2020, our Board of Directors had authorized the repurchase of an aggregate of up to 19.4 million shares of our common stock under the share repurchase program since the initiation of the program in October 2013. Share repurchases may be made through open market purchases, privately negotiated transactions, block transactions, tender offers, accelerated share repurchase agreements or otherwise.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trading plans pursuant to the provisions of Rule 10b5-1 under the Securities Exchange Act of 1934, as amended.</w:t>
      </w:r>
    </w:p>
    <w:p>
      <w:pPr>
        <w:spacing w:after="0" w:line="70"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As of September 30, 2020, 1.9 million shares remained available for repurchase under the authorization approved by our Board of Directors. The authorization for the share repurchase program may be suspended, terminated, increased or decreased by our Board of Directors at any time without prior notice. Due to the impact of the COVID-19 pandemic, we temporarily suspended repurchasing shares of our common stock. Any future share repurchases will be subject to the restrictions imposed under the Waiver.</w:t>
      </w:r>
    </w:p>
    <w:p>
      <w:pPr>
        <w:spacing w:after="0" w:line="1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declared cash dividends to holders of common stock during the first three quarters of 2020 as follows: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Declaration Date</w:t>
            </w:r>
          </w:p>
        </w:tc>
        <w:tc>
          <w:tcPr>
            <w:tcW w:w="2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Shareholder Record Date</w:t>
            </w:r>
          </w:p>
        </w:tc>
        <w:tc>
          <w:tcPr>
            <w:tcW w:w="2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Distribution Date</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3"/>
              </w:rPr>
              <w:t>Dividend per Share</w:t>
            </w:r>
          </w:p>
        </w:tc>
      </w:tr>
      <w:tr>
        <w:trPr>
          <w:trHeight w:val="226"/>
        </w:trPr>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February 14, 2020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27, 2020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12, 2020</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1075"/>
              <w:spacing w:after="0"/>
              <w:rPr>
                <w:sz w:val="20"/>
                <w:szCs w:val="20"/>
                <w:color w:val="auto"/>
              </w:rPr>
            </w:pPr>
            <w:r>
              <w:rPr>
                <w:rFonts w:ascii="Arial" w:cs="Arial" w:eastAsia="Arial" w:hAnsi="Arial"/>
                <w:sz w:val="18"/>
                <w:szCs w:val="18"/>
                <w:color w:val="auto"/>
              </w:rPr>
              <w:t>$0.54</w:t>
            </w:r>
          </w:p>
        </w:tc>
      </w:tr>
    </w:tbl>
    <w:p>
      <w:pPr>
        <w:spacing w:after="0" w:line="94"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Due to the impact of the COVID-19 pandemic, we temporarily suspended cash dividends. Any future dividend payments will be subject to both the restrictions imposed under the Waiver and Board approval, and there can be no assurance that we will pay dividends in the future.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Property Owners’ Associations</w:t>
      </w:r>
    </w:p>
    <w:p>
      <w:pPr>
        <w:spacing w:after="0" w:line="117" w:lineRule="exact"/>
        <w:rPr>
          <w:sz w:val="20"/>
          <w:szCs w:val="20"/>
          <w:color w:val="auto"/>
        </w:rPr>
      </w:pPr>
    </w:p>
    <w:p>
      <w:pPr>
        <w:ind w:right="460" w:firstLine="648"/>
        <w:spacing w:after="0" w:line="311" w:lineRule="auto"/>
        <w:rPr>
          <w:sz w:val="20"/>
          <w:szCs w:val="20"/>
          <w:color w:val="auto"/>
        </w:rPr>
      </w:pPr>
      <w:r>
        <w:rPr>
          <w:rFonts w:ascii="Arial" w:cs="Arial" w:eastAsia="Arial" w:hAnsi="Arial"/>
          <w:sz w:val="16"/>
          <w:szCs w:val="16"/>
          <w:color w:val="auto"/>
        </w:rPr>
        <w:t>We consolidate certain property owners’ associations under the voting interest model. Noncontrolling interests represents the portion of the property owners’ associations related to individual or third-party vacation ownership interest owners. Noncontrolling interests of $25 million and $12 million, as of September 30, 2020 and December 31, 2019, respectively, are included on our Balance Sheets as a component of equity.</w:t>
      </w:r>
    </w:p>
    <w:p>
      <w:pPr>
        <w:spacing w:after="0" w:line="199" w:lineRule="exact"/>
        <w:rPr>
          <w:sz w:val="20"/>
          <w:szCs w:val="20"/>
          <w:color w:val="auto"/>
        </w:rPr>
      </w:pPr>
    </w:p>
    <w:p>
      <w:pPr>
        <w:ind w:left="500" w:hanging="474"/>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During the second quarter of 2020, our shareholders approved the Marriott Vacations Worldwide Corporation 2020 Equity Incentive Plan (the “MVW Equity Plan”), which supersedes both the Marriott Vacations Worldwide Corporation Stock and Cash Incentive Plan and the Interval Leisure Group, Inc. 2013 Stock and Incentive Plan (collectively, the “Prior Plans”). No new awards will be granted under the Prior Plans and all awards that were granted under the Prior Plans will remain outstanding and continue to be governed by the Prior Plans.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MVW Equity Plan is maintained for the benefit of our officers, directors, and employees. Under the MVW Equity Plan, we are authorized to</w:t>
      </w:r>
    </w:p>
    <w:p>
      <w:pPr>
        <w:spacing w:after="0" w:line="46"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award: (1) restricted stock units (“RSUs”) of our common stock, (2) SARs relating to our common stock, and (3) stock options to purchase our common stock. A total of 1.8 million shares are authorized for issuance pursuant to grants under the MVW Equity Plan. As of September 30, 2020, approximately 1.8 million shares were available for grants under the MVW Equity Plan.</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share-based compensation expense related to award grants to our officers, directors, and employees: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6"/>
                <w:szCs w:val="16"/>
                <w:b w:val="1"/>
                <w:bCs w:val="1"/>
                <w:color w:val="auto"/>
              </w:rPr>
              <w:t>Three Months Ended</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Borders>
              <w:bottom w:val="single" w:sz="8" w:color="auto"/>
            </w:tcBorders>
            <w:gridSpan w:val="6"/>
          </w:tcPr>
          <w:p>
            <w:pPr>
              <w:jc w:val="right"/>
              <w:ind w:right="233"/>
              <w:spacing w:after="0"/>
              <w:rPr>
                <w:sz w:val="20"/>
                <w:szCs w:val="20"/>
                <w:color w:val="auto"/>
              </w:rPr>
            </w:pPr>
            <w:r>
              <w:rPr>
                <w:rFonts w:ascii="Arial" w:cs="Arial" w:eastAsia="Arial" w:hAnsi="Arial"/>
                <w:sz w:val="16"/>
                <w:szCs w:val="16"/>
                <w:b w:val="1"/>
                <w:bCs w:val="1"/>
                <w:color w:val="auto"/>
              </w:rPr>
              <w:t>Nine Months Ended</w:t>
            </w:r>
          </w:p>
        </w:tc>
        <w:tc>
          <w:tcPr>
            <w:tcW w:w="5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2020</w:t>
            </w: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w w:val="95"/>
              </w:rPr>
              <w:t>September 30, 2019</w:t>
            </w:r>
          </w:p>
        </w:tc>
        <w:tc>
          <w:tcPr>
            <w:tcW w:w="120" w:type="dxa"/>
            <w:vAlign w:val="bottom"/>
          </w:tcPr>
          <w:p>
            <w:pPr>
              <w:spacing w:after="0"/>
              <w:rPr>
                <w:sz w:val="18"/>
                <w:szCs w:val="18"/>
                <w:color w:val="auto"/>
              </w:rPr>
            </w:pPr>
          </w:p>
        </w:tc>
        <w:tc>
          <w:tcPr>
            <w:tcW w:w="1620" w:type="dxa"/>
            <w:vAlign w:val="bottom"/>
            <w:gridSpan w:val="5"/>
          </w:tcPr>
          <w:p>
            <w:pPr>
              <w:ind w:left="80"/>
              <w:spacing w:after="0"/>
              <w:rPr>
                <w:sz w:val="20"/>
                <w:szCs w:val="20"/>
                <w:color w:val="auto"/>
              </w:rPr>
            </w:pPr>
            <w:r>
              <w:rPr>
                <w:rFonts w:ascii="Arial" w:cs="Arial" w:eastAsia="Arial" w:hAnsi="Arial"/>
                <w:sz w:val="16"/>
                <w:szCs w:val="16"/>
                <w:b w:val="1"/>
                <w:bCs w:val="1"/>
                <w:color w:val="auto"/>
              </w:rPr>
              <w:t>September 30, 2020</w:t>
            </w:r>
          </w:p>
        </w:tc>
        <w:tc>
          <w:tcPr>
            <w:tcW w:w="15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September 30, 2019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Service-based RSUs</w:t>
            </w:r>
          </w:p>
        </w:tc>
        <w:tc>
          <w:tcPr>
            <w:tcW w:w="48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16</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Performance-based RSUs</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ILG Acquisition Converted RSUs</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SARs</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4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180" w:type="dxa"/>
            <w:vAlign w:val="bottom"/>
            <w:gridSpan w:val="6"/>
          </w:tcPr>
          <w:p>
            <w:pPr>
              <w:ind w:left="660"/>
              <w:spacing w:after="0"/>
              <w:rPr>
                <w:sz w:val="20"/>
                <w:szCs w:val="20"/>
                <w:color w:val="auto"/>
              </w:rPr>
            </w:pPr>
            <w:r>
              <w:rPr>
                <w:rFonts w:ascii="Arial" w:cs="Arial" w:eastAsia="Arial" w:hAnsi="Arial"/>
                <w:sz w:val="18"/>
                <w:szCs w:val="18"/>
                <w:color w:val="auto"/>
                <w:w w:val="92"/>
              </w:rPr>
              <w:t>The following table details our deferred compensation costs related to unvested awards: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4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4"/>
          </w:tcPr>
          <w:p>
            <w:pPr>
              <w:ind w:left="80"/>
              <w:spacing w:after="0"/>
              <w:rPr>
                <w:sz w:val="20"/>
                <w:szCs w:val="20"/>
                <w:color w:val="auto"/>
              </w:rPr>
            </w:pPr>
            <w:r>
              <w:rPr>
                <w:rFonts w:ascii="Arial" w:cs="Arial" w:eastAsia="Arial" w:hAnsi="Arial"/>
                <w:sz w:val="16"/>
                <w:szCs w:val="16"/>
                <w:b w:val="1"/>
                <w:bCs w:val="1"/>
                <w:color w:val="auto"/>
              </w:rPr>
              <w:t>At September 30, 2020</w:t>
            </w:r>
          </w:p>
        </w:tc>
        <w:tc>
          <w:tcPr>
            <w:tcW w:w="120" w:type="dxa"/>
            <w:vAlign w:val="bottom"/>
          </w:tcPr>
          <w:p>
            <w:pPr>
              <w:spacing w:after="0"/>
              <w:rPr>
                <w:sz w:val="24"/>
                <w:szCs w:val="24"/>
                <w:color w:val="auto"/>
              </w:rPr>
            </w:pPr>
          </w:p>
        </w:tc>
        <w:tc>
          <w:tcPr>
            <w:tcW w:w="1960" w:type="dxa"/>
            <w:vAlign w:val="bottom"/>
            <w:gridSpan w:val="5"/>
          </w:tcPr>
          <w:p>
            <w:pPr>
              <w:ind w:left="140"/>
              <w:spacing w:after="0"/>
              <w:rPr>
                <w:sz w:val="20"/>
                <w:szCs w:val="20"/>
                <w:color w:val="auto"/>
              </w:rPr>
            </w:pPr>
            <w:r>
              <w:rPr>
                <w:rFonts w:ascii="Arial" w:cs="Arial" w:eastAsia="Arial" w:hAnsi="Arial"/>
                <w:sz w:val="16"/>
                <w:szCs w:val="16"/>
                <w:b w:val="1"/>
                <w:bCs w:val="1"/>
                <w:color w:val="auto"/>
              </w:rPr>
              <w:t>At December 31, 2019</w:t>
            </w:r>
          </w:p>
        </w:tc>
        <w:tc>
          <w:tcPr>
            <w:tcW w:w="0" w:type="dxa"/>
            <w:vAlign w:val="bottom"/>
          </w:tcPr>
          <w:p>
            <w:pPr>
              <w:spacing w:after="0"/>
              <w:rPr>
                <w:sz w:val="1"/>
                <w:szCs w:val="1"/>
                <w:color w:val="auto"/>
              </w:rPr>
            </w:pPr>
          </w:p>
        </w:tc>
      </w:tr>
      <w:tr>
        <w:trPr>
          <w:trHeight w:val="226"/>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Service-based RSUs</w:t>
            </w:r>
          </w:p>
        </w:tc>
        <w:tc>
          <w:tcPr>
            <w:tcW w:w="4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Performance-based RSUs</w:t>
            </w: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ILG Acquisition Converted RSUs</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SARs</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ind w:right="151"/>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7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granted 268,652 service-based RSUs, which are subject to time-based vesting conditions, with a weighted average grant-date fair value of $90.11, to our employees and non-employee directors during the first three quarters of 2020. During the first three quarters of 2020, we also granted performance-based RSUs, which are subject to performance-based vesting conditions, to members of management. A maximum of 177,208 RSUs may be earned under the performance-based RSU awards granted during the first three quarters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granted 116,434 SARs, with a weighted average grant-date fair value of $29.63 and a weighted average exercise price of $96.82, to members of management during the first three quarters of 2020. 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outlines the assumptions used to estimate the fair value of grants during the first three quarters of 2020:</w:t>
      </w:r>
    </w:p>
    <w:p>
      <w:pPr>
        <w:spacing w:after="0" w:line="145" w:lineRule="exact"/>
        <w:rPr>
          <w:sz w:val="20"/>
          <w:szCs w:val="20"/>
          <w:color w:val="auto"/>
        </w:rPr>
      </w:pPr>
    </w:p>
    <w:tbl>
      <w:tblPr>
        <w:tblLayout w:type="fixed"/>
        <w:tblInd w:w="2660" w:type="dxa"/>
        <w:tblCellMar>
          <w:top w:w="0" w:type="dxa"/>
          <w:left w:w="0" w:type="dxa"/>
          <w:bottom w:w="0" w:type="dxa"/>
          <w:right w:w="0" w:type="dxa"/>
        </w:tblCellMar>
      </w:tblPr>
      <w:tr>
        <w:trPr>
          <w:trHeight w:val="229"/>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7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1"/>
              </w:rPr>
              <w:t>38.81%</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Dividend yield</w:t>
            </w:r>
          </w:p>
        </w:tc>
        <w:tc>
          <w:tcPr>
            <w:tcW w:w="2720" w:type="dxa"/>
            <w:vAlign w:val="bottom"/>
          </w:tcPr>
          <w:p>
            <w:pPr>
              <w:jc w:val="center"/>
              <w:ind w:left="650"/>
              <w:spacing w:after="0"/>
              <w:rPr>
                <w:sz w:val="20"/>
                <w:szCs w:val="20"/>
                <w:color w:val="auto"/>
              </w:rPr>
            </w:pPr>
            <w:r>
              <w:rPr>
                <w:rFonts w:ascii="Arial" w:cs="Arial" w:eastAsia="Arial" w:hAnsi="Arial"/>
                <w:sz w:val="18"/>
                <w:szCs w:val="18"/>
                <w:color w:val="auto"/>
                <w:w w:val="90"/>
              </w:rPr>
              <w:t>2.13%</w:t>
            </w:r>
          </w:p>
        </w:tc>
      </w:tr>
      <w:tr>
        <w:trPr>
          <w:trHeight w:val="229"/>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7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0"/>
              </w:rPr>
              <w:t>0.96%</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720" w:type="dxa"/>
            <w:vAlign w:val="bottom"/>
          </w:tcPr>
          <w:p>
            <w:pPr>
              <w:jc w:val="center"/>
              <w:ind w:left="670"/>
              <w:spacing w:after="0"/>
              <w:rPr>
                <w:sz w:val="20"/>
                <w:szCs w:val="20"/>
                <w:color w:val="auto"/>
              </w:rPr>
            </w:pPr>
            <w:r>
              <w:rPr>
                <w:rFonts w:ascii="Arial" w:cs="Arial" w:eastAsia="Arial" w:hAnsi="Arial"/>
                <w:sz w:val="18"/>
                <w:szCs w:val="18"/>
                <w:color w:val="auto"/>
                <w:w w:val="91"/>
              </w:rPr>
              <w:t>6.25</w:t>
            </w:r>
          </w:p>
        </w:tc>
      </w:tr>
    </w:tbl>
    <w:p>
      <w:pPr>
        <w:spacing w:after="0" w:line="251" w:lineRule="exact"/>
        <w:rPr>
          <w:sz w:val="20"/>
          <w:szCs w:val="20"/>
          <w:color w:val="auto"/>
        </w:rPr>
      </w:pPr>
    </w:p>
    <w:p>
      <w:pPr>
        <w:ind w:left="500" w:hanging="474"/>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11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created these bankruptcy remote special purpose entities to serve as a mechanism for holding assets and related liabilities, and the entities have no equity investment at risk, making them VIEs.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80"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As part of the ILG Acquisition, we acquired the variable interests in the entities associated with ILG’s outstanding vacation ownership notes receivable securitization transactions. As these vacation ownership notes receivable securitizations are similar in nature to the Legacy-MVW vacation ownership notes receivable securitizations, they have been aggregated for disclosure purposes.</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consolidated assets, which are collateral for the obligations of these VIEs, and consolidated liabilities included on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Balance Sheet at September 30, 2020: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320" w:type="dxa"/>
            <w:vAlign w:val="bottom"/>
          </w:tcPr>
          <w:p>
            <w:pPr>
              <w:spacing w:after="0"/>
              <w:rPr>
                <w:sz w:val="16"/>
                <w:szCs w:val="16"/>
                <w:color w:val="auto"/>
              </w:rPr>
            </w:pPr>
          </w:p>
        </w:tc>
        <w:tc>
          <w:tcPr>
            <w:tcW w:w="1820" w:type="dxa"/>
            <w:vAlign w:val="bottom"/>
            <w:gridSpan w:val="2"/>
            <w:vMerge w:val="restart"/>
          </w:tcPr>
          <w:p>
            <w:pPr>
              <w:jc w:val="center"/>
              <w:ind w:right="420"/>
              <w:spacing w:after="0"/>
              <w:rPr>
                <w:sz w:val="20"/>
                <w:szCs w:val="20"/>
                <w:color w:val="auto"/>
              </w:rPr>
            </w:pPr>
            <w:r>
              <w:rPr>
                <w:rFonts w:ascii="Arial" w:cs="Arial" w:eastAsia="Arial" w:hAnsi="Arial"/>
                <w:sz w:val="16"/>
                <w:szCs w:val="16"/>
                <w:b w:val="1"/>
                <w:bCs w:val="1"/>
                <w:color w:val="auto"/>
                <w:w w:val="88"/>
              </w:rPr>
              <w:t>Warehouse</w:t>
            </w:r>
          </w:p>
        </w:tc>
        <w:tc>
          <w:tcPr>
            <w:tcW w:w="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9"/>
              </w:rPr>
              <w:t>Notes Receivable</w:t>
            </w:r>
          </w:p>
        </w:tc>
        <w:tc>
          <w:tcPr>
            <w:tcW w:w="32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vMerge w:val="restart"/>
          </w:tcPr>
          <w:p>
            <w:pPr>
              <w:jc w:val="right"/>
              <w:ind w:right="7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Securitizations</w:t>
            </w:r>
          </w:p>
        </w:tc>
        <w:tc>
          <w:tcPr>
            <w:tcW w:w="320" w:type="dxa"/>
            <w:vAlign w:val="bottom"/>
          </w:tcPr>
          <w:p>
            <w:pPr>
              <w:spacing w:after="0"/>
              <w:rPr>
                <w:sz w:val="18"/>
                <w:szCs w:val="18"/>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Credit Facility</w:t>
            </w:r>
          </w:p>
        </w:tc>
        <w:tc>
          <w:tcPr>
            <w:tcW w:w="46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Assets</w:t>
            </w:r>
          </w:p>
        </w:tc>
        <w:tc>
          <w:tcPr>
            <w:tcW w:w="20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Arial" w:cs="Arial" w:eastAsia="Arial" w:hAnsi="Arial"/>
                <w:sz w:val="18"/>
                <w:szCs w:val="18"/>
                <w:color w:val="auto"/>
              </w:rPr>
              <w:t>Vacation ownership notes receivable, net of reserves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receivable</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Consolidated 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Arial" w:cs="Arial" w:eastAsia="Arial" w:hAnsi="Arial"/>
                <w:sz w:val="18"/>
                <w:szCs w:val="18"/>
                <w:color w:val="auto"/>
              </w:rPr>
              <w:t>Securitized Debt</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1220" w:type="dxa"/>
            <w:vAlign w:val="bottom"/>
            <w:gridSpan w:val="9"/>
          </w:tcPr>
          <w:p>
            <w:pPr>
              <w:ind w:left="660"/>
              <w:spacing w:after="0"/>
              <w:rPr>
                <w:sz w:val="20"/>
                <w:szCs w:val="20"/>
                <w:color w:val="auto"/>
              </w:rPr>
            </w:pPr>
            <w:r>
              <w:rPr>
                <w:rFonts w:ascii="Arial" w:cs="Arial" w:eastAsia="Arial" w:hAnsi="Arial"/>
                <w:sz w:val="18"/>
                <w:szCs w:val="18"/>
                <w:color w:val="auto"/>
                <w:w w:val="92"/>
              </w:rPr>
              <w:t>The following table shows the interest income and expense recognized as a result of our involvement with these VIEs during the third quarter of</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320" w:type="dxa"/>
            <w:vAlign w:val="bottom"/>
          </w:tcPr>
          <w:p>
            <w:pPr>
              <w:spacing w:after="0"/>
              <w:rPr>
                <w:sz w:val="23"/>
                <w:szCs w:val="23"/>
                <w:color w:val="auto"/>
              </w:rPr>
            </w:pPr>
          </w:p>
        </w:tc>
        <w:tc>
          <w:tcPr>
            <w:tcW w:w="1820" w:type="dxa"/>
            <w:vAlign w:val="bottom"/>
            <w:gridSpan w:val="2"/>
            <w:vMerge w:val="restart"/>
          </w:tcPr>
          <w:p>
            <w:pPr>
              <w:jc w:val="center"/>
              <w:ind w:right="420"/>
              <w:spacing w:after="0"/>
              <w:rPr>
                <w:sz w:val="20"/>
                <w:szCs w:val="20"/>
                <w:color w:val="auto"/>
              </w:rPr>
            </w:pPr>
            <w:r>
              <w:rPr>
                <w:rFonts w:ascii="Arial" w:cs="Arial" w:eastAsia="Arial" w:hAnsi="Arial"/>
                <w:sz w:val="16"/>
                <w:szCs w:val="16"/>
                <w:b w:val="1"/>
                <w:bCs w:val="1"/>
                <w:color w:val="auto"/>
                <w:w w:val="88"/>
              </w:rPr>
              <w:t>Warehouse</w:t>
            </w:r>
          </w:p>
        </w:tc>
        <w:tc>
          <w:tcPr>
            <w:tcW w:w="4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9"/>
              </w:rPr>
              <w:t>Notes Receivable</w:t>
            </w:r>
          </w:p>
        </w:tc>
        <w:tc>
          <w:tcPr>
            <w:tcW w:w="32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vMerge w:val="restart"/>
          </w:tcPr>
          <w:p>
            <w:pPr>
              <w:jc w:val="right"/>
              <w:ind w:right="7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Securitizations</w:t>
            </w:r>
          </w:p>
        </w:tc>
        <w:tc>
          <w:tcPr>
            <w:tcW w:w="320" w:type="dxa"/>
            <w:vAlign w:val="bottom"/>
          </w:tcPr>
          <w:p>
            <w:pPr>
              <w:spacing w:after="0"/>
              <w:rPr>
                <w:sz w:val="18"/>
                <w:szCs w:val="18"/>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Credit Facility</w:t>
            </w:r>
          </w:p>
        </w:tc>
        <w:tc>
          <w:tcPr>
            <w:tcW w:w="46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Interest expense to investors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 amortization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VIEs during the first three quarters of 2020:</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320" w:type="dxa"/>
            <w:vAlign w:val="bottom"/>
          </w:tcPr>
          <w:p>
            <w:pPr>
              <w:spacing w:after="0"/>
              <w:rPr>
                <w:sz w:val="16"/>
                <w:szCs w:val="16"/>
                <w:color w:val="auto"/>
              </w:rPr>
            </w:pPr>
          </w:p>
        </w:tc>
        <w:tc>
          <w:tcPr>
            <w:tcW w:w="1820" w:type="dxa"/>
            <w:vAlign w:val="bottom"/>
            <w:gridSpan w:val="2"/>
            <w:vMerge w:val="restart"/>
          </w:tcPr>
          <w:p>
            <w:pPr>
              <w:jc w:val="center"/>
              <w:ind w:right="420"/>
              <w:spacing w:after="0"/>
              <w:rPr>
                <w:sz w:val="20"/>
                <w:szCs w:val="20"/>
                <w:color w:val="auto"/>
              </w:rPr>
            </w:pPr>
            <w:r>
              <w:rPr>
                <w:rFonts w:ascii="Arial" w:cs="Arial" w:eastAsia="Arial" w:hAnsi="Arial"/>
                <w:sz w:val="16"/>
                <w:szCs w:val="16"/>
                <w:b w:val="1"/>
                <w:bCs w:val="1"/>
                <w:color w:val="auto"/>
                <w:w w:val="88"/>
              </w:rPr>
              <w:t>Warehouse</w:t>
            </w:r>
          </w:p>
        </w:tc>
        <w:tc>
          <w:tcPr>
            <w:tcW w:w="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9"/>
              </w:rPr>
              <w:t>Notes Receivable</w:t>
            </w:r>
          </w:p>
        </w:tc>
        <w:tc>
          <w:tcPr>
            <w:tcW w:w="32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Securitizations</w:t>
            </w:r>
          </w:p>
        </w:tc>
        <w:tc>
          <w:tcPr>
            <w:tcW w:w="320" w:type="dxa"/>
            <w:vAlign w:val="bottom"/>
          </w:tcPr>
          <w:p>
            <w:pPr>
              <w:spacing w:after="0"/>
              <w:rPr>
                <w:sz w:val="18"/>
                <w:szCs w:val="18"/>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Credit Facility</w:t>
            </w:r>
          </w:p>
        </w:tc>
        <w:tc>
          <w:tcPr>
            <w:tcW w:w="4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Interest expense to investors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 amortization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4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jc w:val="center"/>
              <w:ind w:right="113"/>
              <w:spacing w:after="0"/>
              <w:rPr>
                <w:sz w:val="20"/>
                <w:szCs w:val="20"/>
                <w:color w:val="auto"/>
              </w:rPr>
            </w:pPr>
            <w:r>
              <w:rPr>
                <w:rFonts w:ascii="Arial" w:cs="Arial" w:eastAsia="Arial" w:hAnsi="Arial"/>
                <w:sz w:val="18"/>
                <w:szCs w:val="18"/>
                <w:color w:val="auto"/>
                <w:w w:val="89"/>
              </w:rPr>
              <w:t>38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cash flows between us and the vacation ownership notes receivable securitization VIEs: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4"/>
          </w:tcPr>
          <w:p>
            <w:pPr>
              <w:jc w:val="right"/>
              <w:ind w:right="131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0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8"/>
                <w:szCs w:val="18"/>
                <w:color w:val="auto"/>
              </w:rPr>
            </w:pPr>
          </w:p>
        </w:tc>
        <w:tc>
          <w:tcPr>
            <w:tcW w:w="190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2020</w:t>
            </w:r>
          </w:p>
        </w:tc>
        <w:tc>
          <w:tcPr>
            <w:tcW w:w="220" w:type="dxa"/>
            <w:vAlign w:val="bottom"/>
          </w:tcPr>
          <w:p>
            <w:pPr>
              <w:spacing w:after="0"/>
              <w:rPr>
                <w:sz w:val="18"/>
                <w:szCs w:val="18"/>
                <w:color w:val="auto"/>
              </w:rPr>
            </w:pPr>
          </w:p>
        </w:tc>
        <w:tc>
          <w:tcPr>
            <w:tcW w:w="1820" w:type="dxa"/>
            <w:vAlign w:val="bottom"/>
          </w:tcPr>
          <w:p>
            <w:pPr>
              <w:jc w:val="right"/>
              <w:ind w:right="251"/>
              <w:spacing w:after="0"/>
              <w:rPr>
                <w:sz w:val="20"/>
                <w:szCs w:val="20"/>
                <w:color w:val="auto"/>
              </w:rPr>
            </w:pPr>
            <w:r>
              <w:rPr>
                <w:rFonts w:ascii="Arial" w:cs="Arial" w:eastAsia="Arial" w:hAnsi="Arial"/>
                <w:sz w:val="16"/>
                <w:szCs w:val="16"/>
                <w:b w:val="1"/>
                <w:bCs w:val="1"/>
                <w:color w:val="auto"/>
                <w:w w:val="97"/>
              </w:rPr>
              <w:t>September 30, 2019</w:t>
            </w:r>
          </w:p>
        </w:tc>
      </w:tr>
      <w:tr>
        <w:trPr>
          <w:trHeight w:val="212"/>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Inflows</w:t>
            </w:r>
          </w:p>
        </w:tc>
        <w:tc>
          <w:tcPr>
            <w:tcW w:w="2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Net proceeds from vacation ownership notes receivable securitizations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receipts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Interest receipts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release</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70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r>
      <w:tr>
        <w:trPr>
          <w:trHeight w:val="20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Outflows</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Principal to investors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Voluntary clean-up call</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to investors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Funding of restricted cash</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7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Net Cash Flows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Under the terms of our vacation ownership notes receivable securitizations, we have the right to substitute loans for, or repurchase, defaulted loans at our option, subject to certain limitations.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cash flows between us and the Warehouse Credit Facility VIE: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4"/>
          </w:tcPr>
          <w:p>
            <w:pPr>
              <w:jc w:val="right"/>
              <w:ind w:right="131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0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8"/>
                <w:szCs w:val="18"/>
                <w:color w:val="auto"/>
              </w:rPr>
            </w:pPr>
          </w:p>
        </w:tc>
        <w:tc>
          <w:tcPr>
            <w:tcW w:w="190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2020</w:t>
            </w:r>
          </w:p>
        </w:tc>
        <w:tc>
          <w:tcPr>
            <w:tcW w:w="220" w:type="dxa"/>
            <w:vAlign w:val="bottom"/>
          </w:tcPr>
          <w:p>
            <w:pPr>
              <w:spacing w:after="0"/>
              <w:rPr>
                <w:sz w:val="18"/>
                <w:szCs w:val="18"/>
                <w:color w:val="auto"/>
              </w:rPr>
            </w:pPr>
          </w:p>
        </w:tc>
        <w:tc>
          <w:tcPr>
            <w:tcW w:w="1820" w:type="dxa"/>
            <w:vAlign w:val="bottom"/>
          </w:tcPr>
          <w:p>
            <w:pPr>
              <w:jc w:val="right"/>
              <w:ind w:right="251"/>
              <w:spacing w:after="0"/>
              <w:rPr>
                <w:sz w:val="20"/>
                <w:szCs w:val="20"/>
                <w:color w:val="auto"/>
              </w:rPr>
            </w:pPr>
            <w:r>
              <w:rPr>
                <w:rFonts w:ascii="Arial" w:cs="Arial" w:eastAsia="Arial" w:hAnsi="Arial"/>
                <w:sz w:val="16"/>
                <w:szCs w:val="16"/>
                <w:b w:val="1"/>
                <w:bCs w:val="1"/>
                <w:color w:val="auto"/>
                <w:w w:val="97"/>
              </w:rPr>
              <w:t>September 30, 2019</w:t>
            </w:r>
          </w:p>
        </w:tc>
      </w:tr>
      <w:tr>
        <w:trPr>
          <w:trHeight w:val="212"/>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Inflows</w:t>
            </w:r>
          </w:p>
        </w:tc>
        <w:tc>
          <w:tcPr>
            <w:tcW w:w="2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Proceeds from vacation ownership notes receivable securitizations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receipts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Interest receipts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release</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0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20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Outflows</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Principal to investors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Repayment of Warehouse Credit Facility</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to investors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Funding of restricted cash</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Net Cash Flows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1"/>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11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have a commitment to purchase an operating property located in San Francisco, California, that we currently manage as Marriott Vacation Club Pulse, San Francisco. Refer to Footnote 11 “Contingencies and Commitments” for additional information on the commitment. We are required to purchase the property from the third-party developer unless the developer has sold the property to another party. The property is held by a VIE for which we are not the primary beneficiary as we cannot prevent the VIE from selling the property at a higher price. Accordingly, we have not consolidated the VIE. As of September 30, 2020, our Balance Sheet reflected $2 million in Accounts Receivable, including a note receivable of less than $1 million, and $5 million in Other assets for a deposit related to the acquisition of a portion of this property. We believe that our maximum exposure to loss as a result of our involvement with this VIE is approximately $7 million as of September 30, 2020.</w:t>
      </w:r>
    </w:p>
    <w:p>
      <w:pPr>
        <w:spacing w:after="0" w:line="16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have a commitment to purchase an operating property located in New York, New York, that we currently manage as Marriott Vacation Club Pulse, New York City. Refer to Footnote 11 “Contingencies and Commitments” for additional information on the commitment. We are required to purchase the completed property from the third-party developer unless the developer has sold the property to another party. The property is held by a VIE for which we are not the primary beneficiary as we cannot prevent the VIE from selling the property at a higher price. Accordingly, we have not consolidated the VIE. As of September 30, 2020, our Balance Sheet reflected $22 million in Other assets for a deposit related to the acquisition of a portion of this property, and a note receivable of less than $1 million that is included in the Accounts receivable line. We believe that our maximum exposure to loss as a result of our involvement with this VIE is approximately $23 million as of September 30, 2020.</w:t>
      </w:r>
    </w:p>
    <w:p>
      <w:pPr>
        <w:spacing w:after="0" w:line="6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have a commitment to purchase a property located in Waikiki, Hawaii. Refer to Footnote 11 “Contingencies and Commitments” for additional information on the commitment. If we are unable to negotiate a capital efficient inventory arrangement, we are committed to purchase the property, in its then current form, unless it has been sold to another party. The property is held by a VIE for which we are not the primary beneficiary as we do not control the operations of the VIE. Accordingly, we have not consolidated the VIE. As of September 30, 2020, our Balance Sheet reflected $1 million in Accounts Receivable, including a note receivable of less than $1 million. We believe that our maximum exposure to loss as a result of our involvement with this VIE is less than $1 million as of September 30,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consolidate the liabilities of the Marriott Vacations Worldwide Deferred Compensation Plan and the related assets, which consist of the COLI policies held in the rabbi trust. The rabbi trust is considered a VIE. We are considered the primary beneficiary of the rabbi trust because we direct the activities of the trust and are the beneficiary of the trust. At September 30, 2020, the value of the assets held in the rabbi trust was $45 million, which is included in the Other line within assets on our Balance Sheets.</w:t>
      </w:r>
    </w:p>
    <w:p>
      <w:pPr>
        <w:spacing w:after="0" w:line="250" w:lineRule="exact"/>
        <w:rPr>
          <w:sz w:val="20"/>
          <w:szCs w:val="20"/>
          <w:color w:val="auto"/>
        </w:rPr>
      </w:pPr>
    </w:p>
    <w:p>
      <w:pPr>
        <w:ind w:left="500" w:hanging="474"/>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w:t>
      </w:r>
    </w:p>
    <w:p>
      <w:pPr>
        <w:spacing w:after="0" w:line="76" w:lineRule="exact"/>
        <w:rPr>
          <w:sz w:val="20"/>
          <w:szCs w:val="20"/>
          <w:color w:val="auto"/>
        </w:rPr>
      </w:pPr>
    </w:p>
    <w:p>
      <w:pPr>
        <w:ind w:left="980" w:right="80" w:hanging="324"/>
        <w:spacing w:after="0" w:line="291" w:lineRule="auto"/>
        <w:tabs>
          <w:tab w:leader="none" w:pos="975" w:val="left"/>
        </w:tabs>
        <w:numPr>
          <w:ilvl w:val="0"/>
          <w:numId w:val="28"/>
        </w:numPr>
        <w:rPr>
          <w:rFonts w:ascii="Arial" w:cs="Arial" w:eastAsia="Arial" w:hAnsi="Arial"/>
          <w:sz w:val="16"/>
          <w:szCs w:val="16"/>
          <w:color w:val="auto"/>
        </w:rPr>
      </w:pPr>
      <w:r>
        <w:rPr>
          <w:rFonts w:ascii="Arial" w:cs="Arial" w:eastAsia="Arial" w:hAnsi="Arial"/>
          <w:sz w:val="16"/>
          <w:szCs w:val="16"/>
          <w:color w:val="auto"/>
        </w:rPr>
        <w:t>Vacation Ownership includes a diverse portfolio of resorts that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we have a license to use the St. Regis brand for specified fractional ownership resorts.</w:t>
      </w:r>
    </w:p>
    <w:p>
      <w:pPr>
        <w:spacing w:after="0" w:line="58" w:lineRule="exact"/>
        <w:rPr>
          <w:rFonts w:ascii="Arial" w:cs="Arial" w:eastAsia="Arial" w:hAnsi="Arial"/>
          <w:sz w:val="16"/>
          <w:szCs w:val="16"/>
          <w:color w:val="auto"/>
        </w:rPr>
      </w:pPr>
    </w:p>
    <w:p>
      <w:pPr>
        <w:ind w:left="980" w:right="180"/>
        <w:spacing w:after="0" w:line="263" w:lineRule="auto"/>
        <w:rPr>
          <w:rFonts w:ascii="Arial" w:cs="Arial" w:eastAsia="Arial" w:hAnsi="Arial"/>
          <w:sz w:val="16"/>
          <w:szCs w:val="16"/>
          <w:color w:val="auto"/>
        </w:rPr>
      </w:pPr>
      <w:r>
        <w:rPr>
          <w:rFonts w:ascii="Arial" w:cs="Arial" w:eastAsia="Arial" w:hAnsi="Arial"/>
          <w:sz w:val="18"/>
          <w:szCs w:val="18"/>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75" w:lineRule="exact"/>
        <w:rPr>
          <w:rFonts w:ascii="Arial" w:cs="Arial" w:eastAsia="Arial" w:hAnsi="Arial"/>
          <w:sz w:val="16"/>
          <w:szCs w:val="16"/>
          <w:color w:val="auto"/>
        </w:rPr>
      </w:pPr>
    </w:p>
    <w:p>
      <w:pPr>
        <w:ind w:left="980" w:right="100" w:hanging="324"/>
        <w:spacing w:after="0" w:line="279" w:lineRule="auto"/>
        <w:tabs>
          <w:tab w:leader="none" w:pos="975"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Exchange &amp; Third-Party Management includes exchange networks and membership programs, as well as management of resorts and lodging properties. We provide these services through a variety of brands including Interval International, Trading Places International, Vacation Resorts International, and Aqua-Aston. Exchange &amp; Third-Party Management revenue generally is fee-based and derived from membership, exchange and rental transactions, property and association management, and other related products and services.</w:t>
      </w:r>
    </w:p>
    <w:p>
      <w:pPr>
        <w:spacing w:after="0" w:line="6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other gains and losses, equity in earnings or losses from our joint ventures and noncontrolling interest to each of our segments as appropriate. Corporate and other represents that portion of our results that are not allocable to our segments, including those relating to property owners’ associations consolidated under the voting interest model, as our CODM does not use this information to make operating segment resource allocations. Prior year segment information has been reclassified to conform to the current reportable segment presentation.</w:t>
      </w:r>
    </w:p>
    <w:p>
      <w:pPr>
        <w:spacing w:after="0" w:line="18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CODM uses Adjusted EBITDA to evaluate the profitability of our operating segments, and the components of net income attributable to common shareholders excluded from Adjusted EBITDA are not separately evaluated. Adjusted EBITDA is defined as net income attributable to common shareholders, before interest expense (excluding consumer financing interest expense associated with term loan securitization transactions), income taxes, depreciation and amortization, excluding share-based compensation expense and adjusted for certain items that affect the comparability of our operating performance. Our reconciliation of the aggregate amount of Adjusted EBITDA for our reportable segments to consolidated net (loss) income attributable to common shareholders is presented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bottom w:val="single" w:sz="8" w:color="auto"/>
            </w:tcBorders>
            <w:gridSpan w:val="6"/>
          </w:tcPr>
          <w:p>
            <w:pPr>
              <w:jc w:val="right"/>
              <w:ind w:right="133"/>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2020</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2019</w:t>
            </w:r>
          </w:p>
        </w:tc>
        <w:tc>
          <w:tcPr>
            <w:tcW w:w="120" w:type="dxa"/>
            <w:vAlign w:val="bottom"/>
          </w:tcPr>
          <w:p>
            <w:pPr>
              <w:spacing w:after="0"/>
              <w:rPr>
                <w:sz w:val="18"/>
                <w:szCs w:val="18"/>
                <w:color w:val="auto"/>
              </w:rPr>
            </w:pPr>
          </w:p>
        </w:tc>
        <w:tc>
          <w:tcPr>
            <w:tcW w:w="1620" w:type="dxa"/>
            <w:vAlign w:val="bottom"/>
            <w:gridSpan w:val="5"/>
          </w:tcPr>
          <w:p>
            <w:pPr>
              <w:ind w:left="80"/>
              <w:spacing w:after="0"/>
              <w:rPr>
                <w:sz w:val="20"/>
                <w:szCs w:val="20"/>
                <w:color w:val="auto"/>
              </w:rPr>
            </w:pPr>
            <w:r>
              <w:rPr>
                <w:rFonts w:ascii="Arial" w:cs="Arial" w:eastAsia="Arial" w:hAnsi="Arial"/>
                <w:sz w:val="16"/>
                <w:szCs w:val="16"/>
                <w:b w:val="1"/>
                <w:bCs w:val="1"/>
                <w:color w:val="auto"/>
              </w:rPr>
              <w:t>September 30, 2020</w:t>
            </w:r>
          </w:p>
        </w:tc>
        <w:tc>
          <w:tcPr>
            <w:tcW w:w="15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September 30, 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48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1,884</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&amp; Third-Party Management</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segment revenues</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2,120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2,139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060" w:type="dxa"/>
            <w:vAlign w:val="bottom"/>
            <w:gridSpan w:val="5"/>
          </w:tcPr>
          <w:p>
            <w:pPr>
              <w:spacing w:after="0"/>
              <w:rPr>
                <w:sz w:val="20"/>
                <w:szCs w:val="20"/>
                <w:color w:val="auto"/>
              </w:rPr>
            </w:pPr>
            <w:r>
              <w:rPr>
                <w:rFonts w:ascii="Arial" w:cs="Arial" w:eastAsia="Arial" w:hAnsi="Arial"/>
                <w:sz w:val="18"/>
                <w:szCs w:val="18"/>
                <w:i w:val="1"/>
                <w:iCs w:val="1"/>
                <w:color w:val="auto"/>
                <w:w w:val="91"/>
              </w:rPr>
              <w:t>Adjusted EBITDA and Reconciliation to Net (Loss) Income Attributable to Common Shareholders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7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Borders>
              <w:bottom w:val="single" w:sz="8" w:color="auto"/>
            </w:tcBorders>
            <w:gridSpan w:val="6"/>
          </w:tcPr>
          <w:p>
            <w:pPr>
              <w:jc w:val="right"/>
              <w:ind w:right="133"/>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2020</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2019</w:t>
            </w:r>
          </w:p>
        </w:tc>
        <w:tc>
          <w:tcPr>
            <w:tcW w:w="120" w:type="dxa"/>
            <w:vAlign w:val="bottom"/>
          </w:tcPr>
          <w:p>
            <w:pPr>
              <w:spacing w:after="0"/>
              <w:rPr>
                <w:sz w:val="18"/>
                <w:szCs w:val="18"/>
                <w:color w:val="auto"/>
              </w:rPr>
            </w:pPr>
          </w:p>
        </w:tc>
        <w:tc>
          <w:tcPr>
            <w:tcW w:w="1620" w:type="dxa"/>
            <w:vAlign w:val="bottom"/>
            <w:gridSpan w:val="5"/>
          </w:tcPr>
          <w:p>
            <w:pPr>
              <w:ind w:left="80"/>
              <w:spacing w:after="0"/>
              <w:rPr>
                <w:sz w:val="20"/>
                <w:szCs w:val="20"/>
                <w:color w:val="auto"/>
              </w:rPr>
            </w:pPr>
            <w:r>
              <w:rPr>
                <w:rFonts w:ascii="Arial" w:cs="Arial" w:eastAsia="Arial" w:hAnsi="Arial"/>
                <w:sz w:val="16"/>
                <w:szCs w:val="16"/>
                <w:b w:val="1"/>
                <w:bCs w:val="1"/>
                <w:color w:val="auto"/>
              </w:rPr>
              <w:t>September 30, 2020</w:t>
            </w:r>
          </w:p>
        </w:tc>
        <w:tc>
          <w:tcPr>
            <w:tcW w:w="15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September 30, 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Vacation Ownership</w:t>
            </w:r>
          </w:p>
        </w:tc>
        <w:tc>
          <w:tcPr>
            <w:tcW w:w="48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Adjusted EBITDA Exchange &amp; Third-Party Management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Reconciling items:</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Corporate and other</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Tax benefit (provision)</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Certain items</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Net (loss) income attributable to common shareholders</w:t>
            </w:r>
          </w:p>
        </w:tc>
        <w:tc>
          <w:tcPr>
            <w:tcW w:w="4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3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40" w:type="dxa"/>
            <w:vAlign w:val="bottom"/>
            <w:vMerge w:val="restart"/>
          </w:tcPr>
          <w:p>
            <w:pPr>
              <w:spacing w:after="0"/>
              <w:rPr>
                <w:sz w:val="20"/>
                <w:szCs w:val="20"/>
                <w:color w:val="auto"/>
              </w:rPr>
            </w:pPr>
            <w:r>
              <w:rPr>
                <w:rFonts w:ascii="Arial" w:cs="Arial" w:eastAsia="Arial" w:hAnsi="Arial"/>
                <w:sz w:val="18"/>
                <w:szCs w:val="18"/>
                <w:i w:val="1"/>
                <w:iCs w:val="1"/>
                <w:color w:val="auto"/>
              </w:rPr>
              <w:t>Assets</w:t>
            </w: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47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8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98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6"/>
                <w:szCs w:val="16"/>
                <w:b w:val="1"/>
                <w:bCs w:val="1"/>
                <w:color w:val="auto"/>
              </w:rPr>
              <w:t>At September 30, 2020</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6"/>
                <w:szCs w:val="16"/>
                <w:b w:val="1"/>
                <w:bCs w:val="1"/>
                <w:color w:val="auto"/>
              </w:rPr>
              <w:t>At December 31, 2019</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&amp; Third-Party Management</w:t>
            </w:r>
          </w:p>
        </w:tc>
        <w:tc>
          <w:tcPr>
            <w:tcW w:w="4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segment assets</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4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1"/>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conduct business globally, and our operations outside the United States represented approximately 8 percent and 12 percent of our revenues, excluding cost reimbursements, for the three months ended September 30, 2020 and September 30, 2019, respectively, and 10 percent and 11 percent of our revenues, excluding cost reimbursements, for the nine months ended September 30, 2020 and September 30, 2019, respectively.</w:t>
      </w:r>
    </w:p>
    <w:p>
      <w:pPr>
        <w:spacing w:after="0" w:line="13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make forward-looking statements in this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the effects of competition, and the ongoing effect of the COVID-19 pandemic and actions we or others may take in response to the pandemic.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 The Company cautions you that these statements are not guarantees and are subject to numerous risks and uncertainties, such as: the effects of the COVID-19 pandemic, including reduced demand for vacation ownership and exchange products and services, volatility in the international and national economy and credit markets, worker absenteeism, quarantines or other travel or health-related restrictions; the length and severity of the COVID-19 pandemic; the pace of recovery following the COVID-19 pandemic; competitive conditions; the availability of capital to finance growth, and other matters referred to under the heading “Risk Factors” contained herein and also in our most recent Annual Report on Form 10-K filed March 2, 2020, our Current Report on Form 8-K filed May 6, 2020, our Quarterly Report on Form 10-Q filed on May 22, 2020, and our Quarterly Report on Form 10-Q filed August 5, 2020, in each case with the U.S. Securities and Exchange Commission (the “SEC”), any of which could cause actual results to differ materially from those expressed in or implied in this press release. We do not undertake any obligation to publicly update or revise any forward-looking statement, whether as a result of new information, future events, or otherwise.</w:t>
      </w:r>
    </w:p>
    <w:p>
      <w:pPr>
        <w:spacing w:after="0" w:line="77"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The risk factors discussed in “Risk Factors” in our most recent Annual Report on Form 10-K filed March 2, 2020, our Current Report on Form 8-K filed May 6, 2020, our Quarterly Report on Form 10-Q filed May 22, 2020, our Quarterly Report on Form 10-Q filed on August 5, 2020, and which may be discussed in subsequent Quarterly Reports on Form 10-Q or other filings with the SEC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8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of this Quarterly Report on Form 10-Q.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7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Vacation Ownership segment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we have a license to use the St. Regis brand for specified fractional ownership resorts.</w:t>
      </w:r>
    </w:p>
    <w:p>
      <w:pPr>
        <w:spacing w:after="0" w:line="8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Exchange &amp; Third-Party Management segment includes exchange networks and membership programs, as well as management of resorts and lodging properties. We provide these services through a variety of brands including Interval International, Trading Places International (“TPI”), Vacation Resorts International (“VRI”), and Aqua-Aston. Exchange &amp; Third-Party Management revenue generally is fee-based and derived from membership, exchange and rental transactions, property and association management, and other related products and services.</w:t>
      </w:r>
    </w:p>
    <w:p>
      <w:pPr>
        <w:spacing w:after="0" w:line="6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Corporate and other represents that portion of our results that are not allocable to our segments, including those relating to property owners’ associations consolidated under the voting interest model (“Consolidated Property Owners’ Associations”).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 Update</w:t>
      </w:r>
    </w:p>
    <w:p>
      <w:pPr>
        <w:spacing w:after="0" w:line="11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COVID-19 pandemic (as discussed further in Footnote 1 “Basis of Presentation” of the Financial Statements) has caused significant disruptions in international and U.S. economies and markets. We discuss the COVID-19 pandemic and its current and potential future implications in this report; however, the COVID-19 pandemic is evolving and its potential impact on our business in the future remains uncertain.</w:t>
      </w:r>
    </w:p>
    <w:p>
      <w:pPr>
        <w:spacing w:after="0" w:line="57"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As a result of the COVID-19 pandemic, on September 10, 2020, the Company approved a workforce reduction plan, which is currently expected to impact approximately 3,000 associates. In connection with this plan, the Company estimates that it will incur approximately $25 to $30 million in restructuring and related charges primarily related to employee severance and benefit costs, including a portion that is included in cost reimbursements.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Used in Describing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recognize revenues from the sale of vacation ownership products (“VOIs”) when control of the vacation ownership product is transferred to the customer and the transaction price is deemed collectible. Based upon the different terms of the contracts with the customer and business practices, control of the vacation ownership product is transferred to the customer at closing for Legacy-MVW transactions and upon expiration of the statutory rescission period for Legacy-ILG transactions. Sales of vacation ownership products may be made for cash or we may provide financing. In addition, we recognize settlement fees associated with the transfer of vacation ownership products and commission revenues from sales of vacation ownership products on behalf of third parties, which we refer to as “resales revenue.”</w:t>
      </w:r>
    </w:p>
    <w:p>
      <w:pPr>
        <w:spacing w:after="0" w:line="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We also provide sales incentives to certain purchasers. These sales incentives typically include Marriott Bonvoy points, World of Hyatt points or an alternative sales incentive that we refer to as “plus points.” These plus points are redeemable for stays at our resorts or for use in other third-party offerings, generally up to two years from the date of issuance. Typically, sales incentives are only awarded if the sale is closed.</w:t>
      </w:r>
    </w:p>
    <w:p>
      <w:pPr>
        <w:spacing w:after="0" w:line="57"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There may be timing differences between the date of the contract with the customer and when revenue is recognized. When comparing results year-over-year, this timing difference may generate significant variances, which we refer to as the impact of revenue reportability.</w:t>
      </w:r>
    </w:p>
    <w:p>
      <w:pPr>
        <w:spacing w:after="0" w:line="3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Finally, as more fully described in “</w:t>
      </w:r>
      <w:r>
        <w:rPr>
          <w:rFonts w:ascii="Arial" w:cs="Arial" w:eastAsia="Arial" w:hAnsi="Arial"/>
          <w:sz w:val="18"/>
          <w:szCs w:val="18"/>
          <w:i w:val="1"/>
          <w:iCs w:val="1"/>
          <w:color w:val="auto"/>
        </w:rPr>
        <w:t>Financing</w:t>
      </w:r>
      <w:r>
        <w:rPr>
          <w:rFonts w:ascii="Arial" w:cs="Arial" w:eastAsia="Arial" w:hAnsi="Arial"/>
          <w:sz w:val="18"/>
          <w:szCs w:val="18"/>
          <w:color w:val="auto"/>
        </w:rPr>
        <w:t>” below, we record the difference between the vacation ownership note receivable and the consideration to which we expect to be entitled (also known as a vacation ownership notes receivable reserve or a sales reserve) as a reduction of revenues from the sale of vacation ownership products at the time we recognize revenues from a sale.</w:t>
      </w:r>
    </w:p>
    <w:p>
      <w:pPr>
        <w:spacing w:after="0" w:line="7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report, on a supplemental basis, contract sales for our Vacation Ownership segment. Contract sales consist of the total amount of vacation ownership product sales under contract signed during the period where we have generally received a down payment of at least ten percent of the contract price, reduced by actual rescissions during the period, inclusive of contracts associated with sales of vacation ownership products on behalf of third-parties, which we refer to as “resales contract sales.”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described above. We consider contract sales to be an important operating measure because it reflects the pace of sales in our business.</w:t>
      </w:r>
    </w:p>
    <w:p>
      <w:pPr>
        <w:spacing w:after="0" w:line="69"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Cost of vacation ownership products includes costs to develop and construct our projects (also known as real estate inventory costs), other non-capitalizable costs associated with the overall project development process and settlement expenses associated with the closing process. For each project, we expense real estate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true-up</w:t>
      </w:r>
    </w:p>
    <w:p>
      <w:pPr>
        <w:spacing w:after="0" w:line="17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costs in that period to those that would have been recorded historically if the revised estimates had been used. These true-ups, which we refer to as product cost true-up activity, can have a positive or negative impact on our income statements.</w:t>
      </w:r>
    </w:p>
    <w:p>
      <w:pPr>
        <w:spacing w:after="0" w:line="6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and Exchange</w:t>
      </w:r>
    </w:p>
    <w:p>
      <w:pPr>
        <w:spacing w:after="0" w:line="117"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Our management and exchange revenues include revenues generated from fees we earn for managing each of our vacation ownership resorts, providing property management, property owners’ association management and related services to third-party vacation ownership resorts and fees we earn for providing rental services and related hotel, condominium resort, and property owners’ association management services to vacation property owners.</w:t>
      </w:r>
    </w:p>
    <w:p>
      <w:pPr>
        <w:spacing w:after="0" w:line="41"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 addition, we earn revenue from ancillary offerings, including food and beverage outlets, golf courses and other retail and service outlets located at our Vacation Ownership resorts. We also receive annual membership fees, club dues and certain transaction-based fees from members, owners and other third parties.</w:t>
      </w:r>
    </w:p>
    <w:p>
      <w:pPr>
        <w:spacing w:after="0" w:line="76"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Management and exchange expenses include costs to operate food and beverage outlets and other ancillary operations and to provide overall customer support services, including reservations, and certain transaction-based expenses relating to external exchange service providers.</w:t>
      </w:r>
    </w:p>
    <w:p>
      <w:pPr>
        <w:spacing w:after="0" w:line="1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our Vacation Ownership segment and Consolidated Property Owners’ Associations, we refer to these activities as “Resort Management and Other Services.”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720" w:firstLine="648"/>
        <w:spacing w:after="0" w:line="274"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tbl>
      <w:tblPr>
        <w:tblLayout w:type="fixed"/>
        <w:tblInd w:w="1060" w:type="dxa"/>
        <w:tblCellMar>
          <w:top w:w="0" w:type="dxa"/>
          <w:left w:w="0" w:type="dxa"/>
          <w:bottom w:w="0" w:type="dxa"/>
          <w:right w:w="0" w:type="dxa"/>
        </w:tblCellMar>
      </w:tblPr>
      <w:tr>
        <w:trPr>
          <w:trHeight w:val="213"/>
        </w:trPr>
        <w:tc>
          <w:tcPr>
            <w:tcW w:w="5420" w:type="dxa"/>
            <w:vAlign w:val="bottom"/>
          </w:tcPr>
          <w:p>
            <w:pPr>
              <w:spacing w:after="0"/>
              <w:rPr>
                <w:sz w:val="18"/>
                <w:szCs w:val="18"/>
                <w:color w:val="auto"/>
              </w:rPr>
            </w:pPr>
          </w:p>
        </w:tc>
        <w:tc>
          <w:tcPr>
            <w:tcW w:w="3700" w:type="dxa"/>
            <w:vAlign w:val="bottom"/>
            <w:tcBorders>
              <w:bottom w:val="single" w:sz="8" w:color="auto"/>
            </w:tcBorders>
            <w:gridSpan w:val="3"/>
          </w:tcPr>
          <w:p>
            <w:pPr>
              <w:ind w:left="116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4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September 30, 2020</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 2019</w:t>
            </w:r>
          </w:p>
        </w:tc>
      </w:tr>
      <w:tr>
        <w:trPr>
          <w:trHeight w:val="226"/>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FICO score</w:t>
            </w:r>
          </w:p>
        </w:tc>
        <w:tc>
          <w:tcPr>
            <w:tcW w:w="1800" w:type="dxa"/>
            <w:vAlign w:val="bottom"/>
            <w:tcBorders>
              <w:top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rPr>
              <w:t>731</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rPr>
              <w:t>736</w:t>
            </w:r>
          </w:p>
        </w:tc>
      </w:tr>
    </w:tbl>
    <w:p>
      <w:pPr>
        <w:spacing w:after="0" w:line="202"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related vacation ownership note receivable, which is generally ten years. Included within our vacation ownership notes receivable are originated vacation ownership notes receivable and vacation ownership notes receivable acquired in connection with the ILG Acquisition.</w:t>
      </w:r>
    </w:p>
    <w:p>
      <w:pPr>
        <w:spacing w:after="0" w:line="4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interest income earned from the originated vacation ownership financing arrangements is earned on an accrual basis on the principal balance outstanding over the contractual life of the arrangement and is recorded as Financing revenues on our Income Statements. Financing revenues also include fees earned from servicing the existing vacation ownership notes receivable portfolio. Financing expenses include costs in support of the financing, servicing and securitization processes and changes in expected credit losses related to acquired vacation ownership notes receivable. The amount of interest income earned in a period depends on the amount of outstanding vacation ownership notes receivable, which, for originated vacation ownership notes receivable, is impacted positively by the origination of new vacation ownership notes receivable and negatively by principal collections. We calculate financing propensity as contract sales volume of finance contracts originated in the period divided by contract sales volume of all contracts originated in the period. We do not include resales contract sales in the financing propensity calculation. Financing propensity was 43 percent in the third quarter of 2020 and 66 percent in the third quarter of 2019; the lower financing propensity in the third quarter of 2020 is due primarily to the various sales programs that incented cash purchases over financed purchases in the quarter, in response to the COVID-19 pandemic. We do not expect these cash purchase incentives to continue at the same level going forward.</w:t>
      </w:r>
    </w:p>
    <w:p>
      <w:pPr>
        <w:spacing w:after="0" w:line="74"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In the event of a default, we generally have the right to foreclose on or revoke the underlying VOI. We return VOIs that we reacquire through foreclosure or revocation back to inventory. As discussed above, for originated vacation ownership notes receivable, we record a reserve at the time of sale and classify the reserve as a reduction to revenues from the sale of vacation ownership products on our Income Statements. Historical default rates, which represent defaults as a percentage of each year’s beginning gross vacation ownership notes receivable balance,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760" w:type="dxa"/>
            <w:vAlign w:val="bottom"/>
            <w:gridSpan w:val="4"/>
          </w:tcPr>
          <w:p>
            <w:pPr>
              <w:ind w:left="116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10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9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0"/>
              </w:rPr>
              <w:t>September 30, 2020</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September 30, 2019</w:t>
            </w:r>
          </w:p>
        </w:tc>
        <w:tc>
          <w:tcPr>
            <w:tcW w:w="1060" w:type="dxa"/>
            <w:vAlign w:val="bottom"/>
          </w:tcPr>
          <w:p>
            <w:pPr>
              <w:spacing w:after="0"/>
              <w:rPr>
                <w:sz w:val="18"/>
                <w:szCs w:val="18"/>
                <w:color w:val="auto"/>
              </w:rPr>
            </w:pPr>
          </w:p>
        </w:tc>
      </w:tr>
      <w:tr>
        <w:trPr>
          <w:trHeight w:val="226"/>
        </w:trPr>
        <w:tc>
          <w:tcPr>
            <w:tcW w:w="1060" w:type="dxa"/>
            <w:vAlign w:val="bottom"/>
          </w:tcPr>
          <w:p>
            <w:pPr>
              <w:spacing w:after="0"/>
              <w:rPr>
                <w:sz w:val="19"/>
                <w:szCs w:val="19"/>
                <w:color w:val="auto"/>
              </w:rPr>
            </w:pPr>
          </w:p>
        </w:tc>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Historical default rates</w:t>
            </w:r>
          </w:p>
        </w:tc>
        <w:tc>
          <w:tcPr>
            <w:tcW w:w="22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rPr>
              <w:t>3.2%</w:t>
            </w:r>
          </w:p>
        </w:tc>
        <w:tc>
          <w:tcPr>
            <w:tcW w:w="1060" w:type="dxa"/>
            <w:vAlign w:val="bottom"/>
          </w:tcPr>
          <w:p>
            <w:pPr>
              <w:spacing w:after="0"/>
              <w:rPr>
                <w:sz w:val="19"/>
                <w:szCs w:val="19"/>
                <w:color w:val="auto"/>
              </w:rPr>
            </w:pPr>
          </w:p>
        </w:tc>
      </w:tr>
      <w:tr>
        <w:trPr>
          <w:trHeight w:val="513"/>
        </w:trPr>
        <w:tc>
          <w:tcPr>
            <w:tcW w:w="10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200" w:type="dxa"/>
            <w:vAlign w:val="bottom"/>
          </w:tcPr>
          <w:p>
            <w:pPr>
              <w:jc w:val="right"/>
              <w:ind w:right="350"/>
              <w:spacing w:after="0"/>
              <w:rPr>
                <w:sz w:val="20"/>
                <w:szCs w:val="20"/>
                <w:color w:val="auto"/>
              </w:rPr>
            </w:pPr>
            <w:r>
              <w:rPr>
                <w:rFonts w:ascii="Arial" w:cs="Arial" w:eastAsia="Arial" w:hAnsi="Arial"/>
                <w:sz w:val="18"/>
                <w:szCs w:val="18"/>
                <w:color w:val="auto"/>
              </w:rPr>
              <w:t>44</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66"/>
        </w:trPr>
        <w:tc>
          <w:tcPr>
            <w:tcW w:w="10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Financing expenses include consumer financing interest expense, which represents interest expense associated with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our Vacation Ownership segment, we operate a rental business to provide owner flexibility and to help mitigate carrying costs associated with our inventory.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We also recognize rental revenue from the utilization of plus points under our points-based Marriott Vacation Club Destinations program when the points are redeemed for rental stays at one of our resorts or in other third-party offerings. We obtain rental inventory from unsold inventory and inventory we control because owners have elected alternative usage options offered through our vacation ownership programs. For rental revenues associated with vacation ownership products which we own and which are registered and held for sale, to the extent that the revenues from rental are less than costs, revenues are reported net in accordance with ASC Topic 978, “</w:t>
      </w:r>
      <w:r>
        <w:rPr>
          <w:rFonts w:ascii="Arial" w:cs="Arial" w:eastAsia="Arial" w:hAnsi="Arial"/>
          <w:sz w:val="16"/>
          <w:szCs w:val="16"/>
          <w:i w:val="1"/>
          <w:iCs w:val="1"/>
          <w:color w:val="auto"/>
        </w:rPr>
        <w:t>Real Estate - Time-Sharing Activities</w:t>
      </w:r>
      <w:r>
        <w:rPr>
          <w:rFonts w:ascii="Arial" w:cs="Arial" w:eastAsia="Arial" w:hAnsi="Arial"/>
          <w:sz w:val="16"/>
          <w:szCs w:val="16"/>
          <w:color w:val="auto"/>
        </w:rPr>
        <w:t>” (“ASC 978”). The rental activity associated with discounted vacation packages requiring a tour (“preview stays”) is not included in transient rental metrics, and because the majority of these preview stays are sourced directly or indirectly from unsold inventory, the associated revenues and expenses are reported net in Marketing and sales expense.</w:t>
      </w:r>
    </w:p>
    <w:p>
      <w:pPr>
        <w:spacing w:after="0" w:line="6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our Exchange &amp; Third-Party Management segment, we offer vacation rental opportunities at managed properties through VRI, TPI, and Aqua-Aston Hospitality. We also offer vacation rental offers knows as Getaways to members of the Interval International Network and certain other membership programs. The offering of Getaways allows us to monetize excess availability of resort accommodations within the applicable exchange network, as well as provide additional vacation opportunities to members. Resort accommodations available as Getaways typically result from seasonal oversupply or underutilized space in the applicable exchange program, as well as resort accommodations specifically sourced for the Getaways program.</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expenses include:</w:t>
      </w:r>
    </w:p>
    <w:p>
      <w:pPr>
        <w:spacing w:after="0" w:line="63"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63" w:lineRule="exact"/>
        <w:rPr>
          <w:rFonts w:ascii="Arial" w:cs="Arial" w:eastAsia="Arial" w:hAnsi="Arial"/>
          <w:sz w:val="18"/>
          <w:szCs w:val="18"/>
          <w:color w:val="auto"/>
        </w:rPr>
      </w:pPr>
    </w:p>
    <w:p>
      <w:pPr>
        <w:ind w:left="980" w:right="20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Bonvoy points, World of Hyatt points and offerings available as part of third-party offerings, for owners who elect to exchange their inventory;</w:t>
      </w:r>
    </w:p>
    <w:p>
      <w:pPr>
        <w:spacing w:after="0" w:line="8"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secure resort accommodations for use in Getaways.</w:t>
      </w:r>
    </w:p>
    <w:p>
      <w:pPr>
        <w:spacing w:after="0" w:line="11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Rental metrics, including the average daily transient rate or the number of transient keys rented, may not be comparable between periods given fluctuation in available occupancy by location, unit size (such as two bedroom, one bedroom or studio unit), owner use and exchange behavior. In addition, rental metrics may not correlate with rental revenues due to the requirement to report certain rental revenues net of rental expenses in accordance with ASC 978 (as discussed above). Further, as our ability to rent certain luxury and other inventory is often limited on a site-by-site basis, rental operations may not generate adequate rental revenues to cover associated costs. Our Vacation Ownership segment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typically represent two keys and non-lock-off villas represent one key. The “transient keys” metric represents the blended mix of inventory available for rent and includes all of the combined inventory configurations available in our resort system.</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Cost reimbursements include direct and indirect costs that are reimbursed to us by customers under management contracts. All costs, with the exception of taxes assessed by a governmental authority, reimbursed to us by customers are reported on a gross basis. We recognize cost reimbursements when we incur the related reimbursable costs. Cost reimbursements consist of actual expenses with no added margin.</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consists of all interest expense other than consumer financing interest expense, which is included within Financing expense.</w:t>
      </w:r>
    </w:p>
    <w:p>
      <w:pPr>
        <w:spacing w:after="0" w:line="23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17" w:lineRule="exact"/>
        <w:rPr>
          <w:sz w:val="20"/>
          <w:szCs w:val="20"/>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17" w:lineRule="exact"/>
        <w:rPr>
          <w:rFonts w:ascii="Arial" w:cs="Arial" w:eastAsia="Arial" w:hAnsi="Arial"/>
          <w:sz w:val="18"/>
          <w:szCs w:val="18"/>
          <w:color w:val="auto"/>
        </w:rPr>
      </w:pPr>
    </w:p>
    <w:p>
      <w:pPr>
        <w:ind w:left="1940" w:hanging="312"/>
        <w:spacing w:after="0"/>
        <w:tabs>
          <w:tab w:leader="none" w:pos="1940" w:val="left"/>
        </w:tabs>
        <w:numPr>
          <w:ilvl w:val="1"/>
          <w:numId w:val="30"/>
        </w:numPr>
        <w:rPr>
          <w:rFonts w:ascii="Arial" w:cs="Arial" w:eastAsia="Arial" w:hAnsi="Arial"/>
          <w:sz w:val="17"/>
          <w:szCs w:val="17"/>
          <w:color w:val="auto"/>
        </w:rPr>
      </w:pPr>
      <w:r>
        <w:rPr>
          <w:rFonts w:ascii="Arial" w:cs="Arial" w:eastAsia="Arial" w:hAnsi="Arial"/>
          <w:sz w:val="17"/>
          <w:szCs w:val="17"/>
          <w:color w:val="auto"/>
        </w:rPr>
        <w:t>Total contract sales include contract sales from the sale of vacation ownership products including joint ventures, and</w:t>
      </w:r>
    </w:p>
    <w:p>
      <w:pPr>
        <w:spacing w:after="0" w:line="128" w:lineRule="exact"/>
        <w:rPr>
          <w:rFonts w:ascii="Arial" w:cs="Arial" w:eastAsia="Arial" w:hAnsi="Arial"/>
          <w:sz w:val="17"/>
          <w:szCs w:val="17"/>
          <w:color w:val="auto"/>
        </w:rPr>
      </w:pPr>
    </w:p>
    <w:p>
      <w:pPr>
        <w:ind w:left="1960" w:right="380" w:hanging="332"/>
        <w:spacing w:after="0" w:line="277" w:lineRule="auto"/>
        <w:tabs>
          <w:tab w:leader="none" w:pos="1955"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Consolidated contract sales exclude contract sales from the sale of vacation ownership products for non-consolidated joint ventures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 margin percentage;</w:t>
      </w:r>
    </w:p>
    <w:p>
      <w:pPr>
        <w:spacing w:after="0" w:line="117" w:lineRule="exact"/>
        <w:rPr>
          <w:rFonts w:ascii="Arial" w:cs="Arial" w:eastAsia="Arial" w:hAnsi="Arial"/>
          <w:sz w:val="18"/>
          <w:szCs w:val="18"/>
          <w:color w:val="auto"/>
        </w:rPr>
      </w:pPr>
    </w:p>
    <w:p>
      <w:pPr>
        <w:ind w:left="1300" w:right="140" w:hanging="320"/>
        <w:spacing w:after="0" w:line="257"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Volume per guest (“VPG”), which we calculate by dividing consolidated vacation ownership contract sales, excluding fractional sales, telesales, resales, joint venture sales and other sales that are not attributed to a tour at a sales location, by the number of tours at sales locations in a given period (which we refer to as “tour flow”). We believe that this operating metric is valuable in evaluating the effectiveness of the sales process as it combines the impact of average contract price with the number of touring guests who make a purchase;</w:t>
      </w:r>
    </w:p>
    <w:p>
      <w:pPr>
        <w:spacing w:after="0" w:line="79" w:lineRule="exact"/>
        <w:rPr>
          <w:rFonts w:ascii="Arial" w:cs="Arial" w:eastAsia="Arial" w:hAnsi="Arial"/>
          <w:sz w:val="18"/>
          <w:szCs w:val="18"/>
          <w:color w:val="auto"/>
        </w:rPr>
      </w:pPr>
    </w:p>
    <w:p>
      <w:pPr>
        <w:ind w:left="1300" w:hanging="320"/>
        <w:spacing w:after="0" w:line="263"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Average revenue per member, which we calculate by dividing membership fee revenue, transaction revenue and other member revenue for the Interval International network by the monthly weighted average number of Interval International network active members during the applicable period; and</w:t>
      </w:r>
    </w:p>
    <w:p>
      <w:pPr>
        <w:spacing w:after="0" w:line="75"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Total active members, which is the number of Interval International network active members at the end of the applicable period.</w:t>
      </w:r>
    </w:p>
    <w:p>
      <w:pPr>
        <w:spacing w:after="0" w:line="2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20" w:type="dxa"/>
            <w:vAlign w:val="bottom"/>
            <w:gridSpan w:val="5"/>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7"/>
          </w:tcPr>
          <w:p>
            <w:pPr>
              <w:ind w:left="54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40" w:type="dxa"/>
            <w:vAlign w:val="bottom"/>
            <w:tcBorders>
              <w:top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September 30, 2020</w:t>
            </w:r>
          </w:p>
        </w:tc>
        <w:tc>
          <w:tcPr>
            <w:tcW w:w="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5"/>
              </w:rPr>
              <w:t>September 30, 2019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September 30, 2020</w:t>
            </w:r>
          </w:p>
        </w:tc>
        <w:tc>
          <w:tcPr>
            <w:tcW w:w="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September 30,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Sale of vacation ownership products</w:t>
            </w:r>
          </w:p>
        </w:tc>
        <w:tc>
          <w:tcPr>
            <w:tcW w:w="520" w:type="dxa"/>
            <w:vAlign w:val="bottom"/>
            <w:gridSpan w:val="2"/>
          </w:tcPr>
          <w:p>
            <w:pPr>
              <w:jc w:val="right"/>
              <w:ind w:right="339"/>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2"/>
          </w:tcPr>
          <w:p>
            <w:pPr>
              <w:jc w:val="right"/>
              <w:ind w:right="719"/>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2"/>
          </w:tcPr>
          <w:p>
            <w:pPr>
              <w:jc w:val="right"/>
              <w:ind w:right="159"/>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79"/>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Management and exchange</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Rental</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Financing</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Cost reimbursements</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vacation ownership products</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Marketing and sales</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Management and exchange</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Rental</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Financing</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Litigation charges</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Royalty fee</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Cost reimbursements</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(Losses) gains and other (expense) income, net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ILG acquisition-related costs</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7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(LOSS) INCOME BEFORE INCOME TAXES AND</w:t>
            </w: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NET (LOSS) INCOME</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7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(LOSS) INCOME ATTRIBUTABLE TO COMMON</w:t>
            </w:r>
          </w:p>
        </w:tc>
        <w:tc>
          <w:tcPr>
            <w:tcW w:w="520" w:type="dxa"/>
            <w:vAlign w:val="bottom"/>
            <w:gridSpan w:val="2"/>
            <w:vMerge w:val="restart"/>
          </w:tcPr>
          <w:p>
            <w:pPr>
              <w:jc w:val="right"/>
              <w:ind w:right="339"/>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vMerge w:val="restart"/>
          </w:tcPr>
          <w:p>
            <w:pPr>
              <w:jc w:val="right"/>
              <w:ind w:right="719"/>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gridSpan w:val="2"/>
            <w:vMerge w:val="restart"/>
          </w:tcPr>
          <w:p>
            <w:pPr>
              <w:jc w:val="right"/>
              <w:ind w:right="79"/>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47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SHAREHOLDERS</w:t>
            </w:r>
          </w:p>
        </w:tc>
        <w:tc>
          <w:tcPr>
            <w:tcW w:w="520" w:type="dxa"/>
            <w:vAlign w:val="bottom"/>
            <w:tcBorders>
              <w:bottom w:val="single" w:sz="8" w:color="auto"/>
            </w:tcBorders>
            <w:gridSpan w:val="2"/>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bottom w:val="single" w:sz="8" w:color="auto"/>
            </w:tcBorders>
            <w:gridSpan w:val="2"/>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gridSpan w:val="2"/>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Statistics</w:t>
            </w: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7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80" w:type="dxa"/>
            <w:vAlign w:val="bottom"/>
            <w:gridSpan w:val="2"/>
          </w:tcPr>
          <w:p>
            <w:pPr>
              <w:spacing w:after="0"/>
              <w:rPr>
                <w:sz w:val="20"/>
                <w:szCs w:val="20"/>
                <w:color w:val="auto"/>
              </w:rPr>
            </w:pPr>
            <w:r>
              <w:rPr>
                <w:rFonts w:ascii="Arial" w:cs="Arial" w:eastAsia="Arial" w:hAnsi="Arial"/>
                <w:sz w:val="18"/>
                <w:szCs w:val="18"/>
                <w:i w:val="1"/>
                <w:iCs w:val="1"/>
                <w:color w:val="auto"/>
              </w:rPr>
              <w:t>2020 Third Quarter</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4"/>
                <w:szCs w:val="14"/>
                <w:b w:val="1"/>
                <w:bCs w:val="1"/>
                <w:i w:val="1"/>
                <w:iCs w:val="1"/>
                <w:color w:val="auto"/>
              </w:rPr>
              <w:t>(Contract sales $ in millions)</w:t>
            </w:r>
          </w:p>
        </w:tc>
        <w:tc>
          <w:tcPr>
            <w:tcW w:w="8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w w:val="97"/>
              </w:rPr>
              <w:t>September 30, 2020</w:t>
            </w:r>
          </w:p>
        </w:tc>
        <w:tc>
          <w:tcPr>
            <w:tcW w:w="60" w:type="dxa"/>
            <w:vAlign w:val="bottom"/>
          </w:tcPr>
          <w:p>
            <w:pPr>
              <w:spacing w:after="0"/>
              <w:rPr>
                <w:sz w:val="18"/>
                <w:szCs w:val="18"/>
                <w:color w:val="auto"/>
              </w:rPr>
            </w:pPr>
          </w:p>
        </w:tc>
        <w:tc>
          <w:tcPr>
            <w:tcW w:w="1520" w:type="dxa"/>
            <w:vAlign w:val="bottom"/>
            <w:gridSpan w:val="3"/>
          </w:tcPr>
          <w:p>
            <w:pPr>
              <w:ind w:left="80"/>
              <w:spacing w:after="0"/>
              <w:rPr>
                <w:sz w:val="20"/>
                <w:szCs w:val="20"/>
                <w:color w:val="auto"/>
              </w:rPr>
            </w:pPr>
            <w:r>
              <w:rPr>
                <w:rFonts w:ascii="Arial" w:cs="Arial" w:eastAsia="Arial" w:hAnsi="Arial"/>
                <w:sz w:val="16"/>
                <w:szCs w:val="16"/>
                <w:b w:val="1"/>
                <w:bCs w:val="1"/>
                <w:color w:val="auto"/>
                <w:w w:val="95"/>
              </w:rPr>
              <w:t>September 30, 2019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3"/>
          </w:tcPr>
          <w:p>
            <w:pPr>
              <w:ind w:left="180"/>
              <w:spacing w:after="0"/>
              <w:rPr>
                <w:sz w:val="20"/>
                <w:szCs w:val="20"/>
                <w:color w:val="auto"/>
              </w:rPr>
            </w:pPr>
            <w:r>
              <w:rPr>
                <w:rFonts w:ascii="Arial" w:cs="Arial" w:eastAsia="Arial" w:hAnsi="Arial"/>
                <w:sz w:val="16"/>
                <w:szCs w:val="16"/>
                <w:b w:val="1"/>
                <w:bCs w:val="1"/>
                <w:color w:val="auto"/>
              </w:rPr>
              <w:t>Change</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Vacation Ownership</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Total contract sales</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color w:val="auto"/>
                <w:w w:val="91"/>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 contract sales</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1"/>
              </w:rPr>
              <w:t>(64%)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Exchange &amp; Third-Party Management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active members at end of period (000's)</w:t>
            </w:r>
            <w:r>
              <w:rPr>
                <w:rFonts w:ascii="Arial" w:cs="Arial" w:eastAsia="Arial" w:hAnsi="Arial"/>
                <w:sz w:val="9"/>
                <w:szCs w:val="9"/>
                <w:color w:val="auto"/>
              </w:rPr>
              <w:t>(1)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1"/>
              </w:rPr>
              <w:t>(10%)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Average revenue per member</w:t>
            </w:r>
            <w:r>
              <w:rPr>
                <w:rFonts w:ascii="Arial" w:cs="Arial" w:eastAsia="Arial" w:hAnsi="Arial"/>
                <w:sz w:val="9"/>
                <w:szCs w:val="9"/>
                <w:color w:val="auto"/>
              </w:rPr>
              <w:t>(1)</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36.76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40.89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color w:val="auto"/>
                <w:w w:val="91"/>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9"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Only includes members of the Interval International exchange network.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Three Quarters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6"/>
                <w:szCs w:val="16"/>
                <w:b w:val="1"/>
                <w:bCs w:val="1"/>
                <w:color w:val="auto"/>
              </w:rPr>
              <w:t>Nine Months Ended</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(Contract sales $ in millions)</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2020</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12"/>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Vacation Ownership</w:t>
            </w:r>
          </w:p>
        </w:tc>
        <w:tc>
          <w:tcPr>
            <w:tcW w:w="5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4820" w:type="dxa"/>
            <w:vAlign w:val="bottom"/>
          </w:tcPr>
          <w:p>
            <w:pPr>
              <w:ind w:left="200"/>
              <w:spacing w:after="0"/>
              <w:rPr>
                <w:sz w:val="20"/>
                <w:szCs w:val="20"/>
                <w:color w:val="auto"/>
              </w:rPr>
            </w:pPr>
            <w:r>
              <w:rPr>
                <w:rFonts w:ascii="Arial" w:cs="Arial" w:eastAsia="Arial" w:hAnsi="Arial"/>
                <w:sz w:val="18"/>
                <w:szCs w:val="18"/>
                <w:color w:val="auto"/>
              </w:rPr>
              <w:t>Total contract sales</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(58%)</w:t>
            </w:r>
          </w:p>
        </w:tc>
      </w:tr>
      <w:tr>
        <w:trPr>
          <w:trHeight w:val="229"/>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 contract sales</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(58%)</w:t>
            </w:r>
          </w:p>
        </w:tc>
      </w:tr>
      <w:tr>
        <w:trPr>
          <w:trHeight w:val="229"/>
        </w:trPr>
        <w:tc>
          <w:tcPr>
            <w:tcW w:w="4820" w:type="dxa"/>
            <w:vAlign w:val="bottom"/>
          </w:tcPr>
          <w:p>
            <w:pPr>
              <w:spacing w:after="0"/>
              <w:rPr>
                <w:sz w:val="20"/>
                <w:szCs w:val="20"/>
                <w:color w:val="auto"/>
              </w:rPr>
            </w:pPr>
            <w:r>
              <w:rPr>
                <w:rFonts w:ascii="Arial" w:cs="Arial" w:eastAsia="Arial" w:hAnsi="Arial"/>
                <w:sz w:val="18"/>
                <w:szCs w:val="18"/>
                <w:b w:val="1"/>
                <w:bCs w:val="1"/>
                <w:color w:val="auto"/>
              </w:rPr>
              <w:t>Exchange &amp; Third-Party Management</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active members at end of period (000's)</w:t>
            </w:r>
            <w:r>
              <w:rPr>
                <w:rFonts w:ascii="Arial" w:cs="Arial" w:eastAsia="Arial" w:hAnsi="Arial"/>
                <w:sz w:val="9"/>
                <w:szCs w:val="9"/>
                <w:color w:val="auto"/>
              </w:rPr>
              <w:t>(1)</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w:t>
            </w:r>
          </w:p>
        </w:tc>
      </w:tr>
      <w:tr>
        <w:trPr>
          <w:trHeight w:val="230"/>
        </w:trPr>
        <w:tc>
          <w:tcPr>
            <w:tcW w:w="4820" w:type="dxa"/>
            <w:vAlign w:val="bottom"/>
          </w:tcPr>
          <w:p>
            <w:pPr>
              <w:ind w:left="200"/>
              <w:spacing w:after="0"/>
              <w:rPr>
                <w:sz w:val="20"/>
                <w:szCs w:val="20"/>
                <w:color w:val="auto"/>
              </w:rPr>
            </w:pPr>
            <w:r>
              <w:rPr>
                <w:rFonts w:ascii="Arial" w:cs="Arial" w:eastAsia="Arial" w:hAnsi="Arial"/>
                <w:sz w:val="18"/>
                <w:szCs w:val="18"/>
                <w:color w:val="auto"/>
              </w:rPr>
              <w:t>Average revenue per member</w:t>
            </w:r>
            <w:r>
              <w:rPr>
                <w:rFonts w:ascii="Arial" w:cs="Arial" w:eastAsia="Arial" w:hAnsi="Arial"/>
                <w:sz w:val="9"/>
                <w:szCs w:val="9"/>
                <w:color w:val="auto"/>
              </w:rPr>
              <w:t>(1)</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108.44</w:t>
            </w:r>
          </w:p>
        </w:tc>
        <w:tc>
          <w:tcPr>
            <w:tcW w:w="100" w:type="dxa"/>
            <w:vAlign w:val="bottom"/>
          </w:tcPr>
          <w:p>
            <w:pPr>
              <w:spacing w:after="0"/>
              <w:rPr>
                <w:sz w:val="20"/>
                <w:szCs w:val="20"/>
                <w:color w:val="auto"/>
              </w:rPr>
            </w:pP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130.21</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(21.77)</w:t>
            </w: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(17%)</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9"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Only includes members of the Interval International exchange network.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Third Quarter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revenues for the third quarter of 2020 compared to the third quarter of 2019.</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5"/>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3"/>
        </w:trPr>
        <w:tc>
          <w:tcPr>
            <w:tcW w:w="43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September 30, 2020</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2"/>
              <w:spacing w:after="0"/>
              <w:rPr>
                <w:sz w:val="20"/>
                <w:szCs w:val="20"/>
                <w:color w:val="auto"/>
              </w:rPr>
            </w:pPr>
            <w:r>
              <w:rPr>
                <w:rFonts w:ascii="Arial" w:cs="Arial" w:eastAsia="Arial" w:hAnsi="Arial"/>
                <w:sz w:val="16"/>
                <w:szCs w:val="16"/>
                <w:b w:val="1"/>
                <w:bCs w:val="1"/>
                <w:color w:val="auto"/>
                <w:w w:val="90"/>
              </w:rPr>
              <w:t>September 30, 2019</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2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5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(39%)</w:t>
            </w:r>
          </w:p>
        </w:tc>
      </w:tr>
      <w:tr>
        <w:trPr>
          <w:trHeight w:val="230"/>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Exchange &amp; Third-Party Management</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7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1"/>
              </w:rPr>
              <w:t>(36%)</w:t>
            </w:r>
          </w:p>
        </w:tc>
      </w:tr>
      <w:tr>
        <w:trPr>
          <w:trHeight w:val="223"/>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Segment Revenues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7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(39%)</w:t>
            </w:r>
          </w:p>
        </w:tc>
      </w:tr>
      <w:tr>
        <w:trPr>
          <w:trHeight w:val="229"/>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Consolidated Property Owners’ Associations</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7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1"/>
              </w:rPr>
              <w:t>(61%)</w:t>
            </w:r>
          </w:p>
        </w:tc>
      </w:tr>
      <w:tr>
        <w:trPr>
          <w:trHeight w:val="248"/>
        </w:trPr>
        <w:tc>
          <w:tcPr>
            <w:tcW w:w="4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7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(39%)</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Three Quarters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revenues for the first three quarters of 2020 compared to the first three quarters of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5"/>
          </w:tcPr>
          <w:p>
            <w:pPr>
              <w:ind w:left="860"/>
              <w:spacing w:after="0"/>
              <w:rPr>
                <w:sz w:val="20"/>
                <w:szCs w:val="20"/>
                <w:color w:val="auto"/>
              </w:rPr>
            </w:pPr>
            <w:r>
              <w:rPr>
                <w:rFonts w:ascii="Arial" w:cs="Arial" w:eastAsia="Arial" w:hAnsi="Arial"/>
                <w:sz w:val="16"/>
                <w:szCs w:val="16"/>
                <w:b w:val="1"/>
                <w:bCs w:val="1"/>
                <w:color w:val="auto"/>
              </w:rPr>
              <w:t>Nine Months Ended</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w w:val="89"/>
              </w:rPr>
              <w:t>September 30, 2020</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2"/>
              <w:spacing w:after="0"/>
              <w:rPr>
                <w:sz w:val="20"/>
                <w:szCs w:val="20"/>
                <w:color w:val="auto"/>
              </w:rPr>
            </w:pPr>
            <w:r>
              <w:rPr>
                <w:rFonts w:ascii="Arial" w:cs="Arial" w:eastAsia="Arial" w:hAnsi="Arial"/>
                <w:sz w:val="16"/>
                <w:szCs w:val="16"/>
                <w:b w:val="1"/>
                <w:bCs w:val="1"/>
                <w:color w:val="auto"/>
                <w:w w:val="90"/>
              </w:rPr>
              <w:t>September 30, 2019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472"/>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8"/>
                <w:szCs w:val="18"/>
                <w:color w:val="auto"/>
              </w:rPr>
            </w:pPr>
          </w:p>
        </w:tc>
        <w:tc>
          <w:tcPr>
            <w:tcW w:w="16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3"/>
              </w:rPr>
              <w:t>% Change</w:t>
            </w:r>
          </w:p>
        </w:tc>
      </w:tr>
      <w:tr>
        <w:trPr>
          <w:trHeight w:val="226"/>
        </w:trPr>
        <w:tc>
          <w:tcPr>
            <w:tcW w:w="40" w:type="dxa"/>
            <w:vAlign w:val="bottom"/>
          </w:tcPr>
          <w:p>
            <w:pPr>
              <w:spacing w:after="0"/>
              <w:rPr>
                <w:sz w:val="19"/>
                <w:szCs w:val="19"/>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Exchange &amp; Third-Party Management</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7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1"/>
              </w:rPr>
              <w:t>(33%)</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Segment Revenues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7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Consolidated Property Owners’ Associations</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7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1"/>
              </w:rPr>
              <w:t>(18%)</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7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(32%)</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4"/>
        </w:trPr>
        <w:tc>
          <w:tcPr>
            <w:tcW w:w="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4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12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EBITDA, a financial measure that is not prescribed by GAAP, is defined as earnings, or net income attributable to common shareholders, before interest expense (excluding consumer financing interest expense associated with term loan securitization transactions), income taxes, depreciation and amortization. Adjusted EBITDA reflects additional adjustments for certain items described below, and excludes share-based compensation expense to address considerable variability among companies in recording compensation expense because companies use share-based payment awards differently, both in the type and quantity of awards granted. We evaluate Adjusted EBITDA as an indicator of operating performance because it allows for period-over-period comparisons of our on-going core operations before the impact of the excluded items. Together, EBITDA and Adjusted EBITDA facilitate our comparison of results from our on-going core operations before the impact of these items with results from other vacation ownership companies, and we believe this makes these figures helpful for investors. For purposes of our EBITDA and Adjusted EBITDA calculations, we do not adjust for consumer financing interest expense because we consider it to be an operating expense of our business. We consider EBITDA and Adjusted EBITDA to be indicators of operating performance, which we use to measure our ability to service debt, fund capital expenditures and expand our business. We also use EBITDA and Adjusted EBITDA,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282"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(loss) income attributable to common shareholders, which is the most directly comparable GAAP financial measure.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Third Quarter</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58"/>
        </w:trPr>
        <w:tc>
          <w:tcPr>
            <w:tcW w:w="64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2019</w:t>
            </w:r>
          </w:p>
        </w:tc>
        <w:tc>
          <w:tcPr>
            <w:tcW w:w="280" w:type="dxa"/>
            <w:vAlign w:val="bottom"/>
          </w:tcPr>
          <w:p>
            <w:pPr>
              <w:spacing w:after="0"/>
              <w:rPr>
                <w:sz w:val="24"/>
                <w:szCs w:val="24"/>
                <w:color w:val="auto"/>
              </w:rPr>
            </w:pPr>
          </w:p>
        </w:tc>
        <w:tc>
          <w:tcPr>
            <w:tcW w:w="1220" w:type="dxa"/>
            <w:vAlign w:val="bottom"/>
          </w:tcPr>
          <w:p>
            <w:pPr>
              <w:jc w:val="right"/>
              <w:ind w:right="411"/>
              <w:spacing w:after="0"/>
              <w:rPr>
                <w:sz w:val="20"/>
                <w:szCs w:val="20"/>
                <w:color w:val="auto"/>
              </w:rPr>
            </w:pPr>
            <w:r>
              <w:rPr>
                <w:rFonts w:ascii="Arial" w:cs="Arial" w:eastAsia="Arial" w:hAnsi="Arial"/>
                <w:sz w:val="16"/>
                <w:szCs w:val="16"/>
                <w:b w:val="1"/>
                <w:bCs w:val="1"/>
                <w:color w:val="auto"/>
              </w:rPr>
              <w:t>Change</w:t>
            </w:r>
          </w:p>
        </w:tc>
      </w:tr>
      <w:tr>
        <w:trPr>
          <w:trHeight w:val="226"/>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Tax (benefit) provision</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EBITDA</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Certain items</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6440" w:type="dxa"/>
            <w:vAlign w:val="bottom"/>
          </w:tcPr>
          <w:p>
            <w:pPr>
              <w:ind w:left="200"/>
              <w:spacing w:after="0"/>
              <w:rPr>
                <w:sz w:val="20"/>
                <w:szCs w:val="20"/>
                <w:color w:val="auto"/>
              </w:rPr>
            </w:pPr>
            <w:r>
              <w:rPr>
                <w:rFonts w:ascii="Arial" w:cs="Arial" w:eastAsia="Arial" w:hAnsi="Arial"/>
                <w:sz w:val="18"/>
                <w:szCs w:val="18"/>
                <w:color w:val="auto"/>
              </w:rPr>
              <w:t>Adjusted EBITDA</w:t>
            </w: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1"/>
        </w:trPr>
        <w:tc>
          <w:tcPr>
            <w:tcW w:w="6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Certain items for the third quarter of 2020 consisted of $20 million of restructuring costs, $11 million of ILG acquisition-related costs, a $5 million loss and other expense related to the disposition of a formerly consolidated subsidiary, $2 million of purchase price adjustments, $2 million of litigation charges, $2 million of asset impairment charges, and $1 million of foreign currency translation losses, partially offset by $6 million of gains and other income related to the disposition of excess land parcels in Orlando, Florida and Steamboat Springs, Colorado and $4 million related to the change in accrual for health and welfare costs for furloughed associates.</w:t>
      </w:r>
    </w:p>
    <w:p>
      <w:pPr>
        <w:spacing w:after="0" w:line="8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Certain items for the third quarter of 2019 consisted of $73 million of asset impairment charges, $33 million of acquisition charges (including $32 million of ILG acquisition-related costs and $1 million of other acquisition costs), $5 million of losses and other expense, $3 million of litigation charges, and $2 million of purchase price adjustments.</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Three Quarters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6"/>
                <w:szCs w:val="16"/>
                <w:b w:val="1"/>
                <w:bCs w:val="1"/>
                <w:color w:val="auto"/>
              </w:rPr>
              <w:t>Nine Months Ended</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58"/>
        </w:trPr>
        <w:tc>
          <w:tcPr>
            <w:tcW w:w="64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2019</w:t>
            </w:r>
          </w:p>
        </w:tc>
        <w:tc>
          <w:tcPr>
            <w:tcW w:w="280" w:type="dxa"/>
            <w:vAlign w:val="bottom"/>
          </w:tcPr>
          <w:p>
            <w:pPr>
              <w:spacing w:after="0"/>
              <w:rPr>
                <w:sz w:val="24"/>
                <w:szCs w:val="24"/>
                <w:color w:val="auto"/>
              </w:rPr>
            </w:pPr>
          </w:p>
        </w:tc>
        <w:tc>
          <w:tcPr>
            <w:tcW w:w="1220" w:type="dxa"/>
            <w:vAlign w:val="bottom"/>
          </w:tcPr>
          <w:p>
            <w:pPr>
              <w:jc w:val="right"/>
              <w:ind w:right="411"/>
              <w:spacing w:after="0"/>
              <w:rPr>
                <w:sz w:val="20"/>
                <w:szCs w:val="20"/>
                <w:color w:val="auto"/>
              </w:rPr>
            </w:pPr>
            <w:r>
              <w:rPr>
                <w:rFonts w:ascii="Arial" w:cs="Arial" w:eastAsia="Arial" w:hAnsi="Arial"/>
                <w:sz w:val="16"/>
                <w:szCs w:val="16"/>
                <w:b w:val="1"/>
                <w:bCs w:val="1"/>
                <w:color w:val="auto"/>
              </w:rPr>
              <w:t>Change</w:t>
            </w:r>
          </w:p>
        </w:tc>
      </w:tr>
      <w:tr>
        <w:trPr>
          <w:trHeight w:val="226"/>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 attributable to common shareholders</w:t>
            </w: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Tax (benefit) provision</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EBITDA</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Certain items</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6440" w:type="dxa"/>
            <w:vAlign w:val="bottom"/>
          </w:tcPr>
          <w:p>
            <w:pPr>
              <w:ind w:left="200"/>
              <w:spacing w:after="0"/>
              <w:rPr>
                <w:sz w:val="20"/>
                <w:szCs w:val="20"/>
                <w:color w:val="auto"/>
              </w:rPr>
            </w:pPr>
            <w:r>
              <w:rPr>
                <w:rFonts w:ascii="Arial" w:cs="Arial" w:eastAsia="Arial" w:hAnsi="Arial"/>
                <w:sz w:val="18"/>
                <w:szCs w:val="18"/>
                <w:color w:val="auto"/>
              </w:rPr>
              <w:t>Adjusted EBITDA</w:t>
            </w: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r>
      <w:tr>
        <w:trPr>
          <w:trHeight w:val="21"/>
        </w:trPr>
        <w:tc>
          <w:tcPr>
            <w:tcW w:w="6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Certain items for the first three quarters of 2020 consisted of $98 million of impairment charges, $44 million of ILG acquisition-related costs, $44 million of other charges (including $37 million related to the net sales reserve adjustment and $7 million related to an accrual for the health and welfare costs for furloughed associates), $42 million of losses and other expense, $20 million of restructuring costs, $4 million of purchase accounting adjustments, $4 million related to the charge for VAT penalties and interest (see offset included in indemnification below), $4 million of litigation charges, and $3 million of transaction costs related to our asset light inventory arrangements.</w:t>
      </w:r>
    </w:p>
    <w:p>
      <w:pPr>
        <w:spacing w:after="0" w:line="18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$42 million of losses and other expense included $32 million related to a true-up to a Marriott International indemnification receivable upon settlement (the true-up to the offsetting accrual is included in the Benefit (provision) for income taxes line), $25 million related to foreign currency translation, and a $5 million loss related to the disposition of a formerly consolidated subsidiary, partially offset by $6 million of gains and other income related to the disposition of excess land parcels in Orlando, Florida and Steamboat Springs, Colorado, a $6 million receivable related to indemnification from Marriott International for certain VAT charges, $4 million related to net insurance proceeds from the final settlement of Legacy-MVW business interruption insurance claims arising from a prior year hurricane, $3 million related to other insurance proceeds, and $1 million of miscellaneous gains and other income.</w:t>
      </w:r>
    </w:p>
    <w:p>
      <w:pPr>
        <w:spacing w:after="0" w:line="87"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reduction in share-based compensation expense in the first three quarters of 2020 includes a $4 million true-up for projected expense associated with our performance based share awards based upon the projected impact of the COVID-19 pandemic on financial metrics for the program.</w:t>
      </w:r>
    </w:p>
    <w:p>
      <w:pPr>
        <w:spacing w:after="0" w:line="1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Certain items for the first three quarters of 2019 consisted of $99 million of asset impairment charges, $95 million of acquisition costs (including $94 million of ILG acquisition-related costs and $1 million of other acquisition costs), $7 million of purchase price adjustments, $5 million of litigation charges, and $1 million of other severance costs, partially offset by $5 million of miscellaneous gains and other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Adjusted EBITDA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Third Quarter</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92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2020</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26"/>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19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&amp; Third-Party Management</w:t>
            </w:r>
          </w:p>
        </w:tc>
        <w:tc>
          <w:tcPr>
            <w:tcW w:w="19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Segment adjusted EBITDA</w:t>
            </w:r>
          </w:p>
        </w:tc>
        <w:tc>
          <w:tcPr>
            <w:tcW w:w="1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property owners’ associations</w:t>
            </w:r>
          </w:p>
        </w:tc>
        <w:tc>
          <w:tcPr>
            <w:tcW w:w="1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19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1920" w:type="dxa"/>
            <w:vAlign w:val="bottom"/>
            <w:vMerge w:val="restart"/>
          </w:tcPr>
          <w:p>
            <w:pPr>
              <w:jc w:val="right"/>
              <w:ind w:right="310"/>
              <w:spacing w:after="0"/>
              <w:rPr>
                <w:sz w:val="20"/>
                <w:szCs w:val="20"/>
                <w:color w:val="auto"/>
              </w:rPr>
            </w:pPr>
            <w:r>
              <w:rPr>
                <w:rFonts w:ascii="Arial" w:cs="Arial" w:eastAsia="Arial" w:hAnsi="Arial"/>
                <w:sz w:val="18"/>
                <w:szCs w:val="18"/>
                <w:color w:val="auto"/>
              </w:rPr>
              <w:t>50</w:t>
            </w: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45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5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Three Quarters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6"/>
                <w:szCs w:val="16"/>
                <w:b w:val="1"/>
                <w:bCs w:val="1"/>
                <w:color w:val="auto"/>
              </w:rPr>
              <w:t>Nine Months Ended</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2020</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411"/>
              <w:spacing w:after="0"/>
              <w:rPr>
                <w:sz w:val="20"/>
                <w:szCs w:val="20"/>
                <w:color w:val="auto"/>
              </w:rPr>
            </w:pPr>
            <w:r>
              <w:rPr>
                <w:rFonts w:ascii="Arial" w:cs="Arial" w:eastAsia="Arial" w:hAnsi="Arial"/>
                <w:sz w:val="16"/>
                <w:szCs w:val="16"/>
                <w:b w:val="1"/>
                <w:bCs w:val="1"/>
                <w:color w:val="auto"/>
              </w:rPr>
              <w:t>Change</w:t>
            </w:r>
          </w:p>
        </w:tc>
      </w:tr>
      <w:tr>
        <w:trPr>
          <w:trHeight w:val="226"/>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50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&amp; Third-Party Management</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Segment adjusted EBITDA</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property owners’ associations</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44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5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r>
      <w:tr>
        <w:trPr>
          <w:trHeight w:val="21"/>
        </w:trPr>
        <w:tc>
          <w:tcPr>
            <w:tcW w:w="6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Adjusted EBITDA for our reportable segments reconciled to segment financial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Third Quarter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5"/>
              </w:rPr>
              <w:t>September 30, 2020</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412"/>
              <w:spacing w:after="0"/>
              <w:rPr>
                <w:sz w:val="20"/>
                <w:szCs w:val="20"/>
                <w:color w:val="auto"/>
              </w:rPr>
            </w:pPr>
            <w:r>
              <w:rPr>
                <w:rFonts w:ascii="Arial" w:cs="Arial" w:eastAsia="Arial" w:hAnsi="Arial"/>
                <w:sz w:val="16"/>
                <w:szCs w:val="16"/>
                <w:b w:val="1"/>
                <w:bCs w:val="1"/>
                <w:color w:val="auto"/>
              </w:rPr>
              <w:t>Change</w:t>
            </w:r>
          </w:p>
        </w:tc>
      </w:tr>
      <w:tr>
        <w:trPr>
          <w:trHeight w:val="226"/>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48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Certain items</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financial results</w:t>
            </w: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Certain items in the Vacation Ownership segment for the third quarter of 2020 consisted of $11 million of restructuring costs, $2 million of litigation charges, a $1 million asset impairment charge, and $1 million of purchase accounting adjustments, partially offset by $6 million of gains and other income related to the disposition of excess land parcels in Orlando, Florida and Steamboat Springs, Colorado.</w:t>
      </w:r>
    </w:p>
    <w:p>
      <w:pPr>
        <w:spacing w:after="0" w:line="11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Certain items in the Vacation Ownership segment for the third quarter of 2019 consisted of $73 million of asset impairment charges, $2 million of purchase accounting adjustments, $2 million of litigation charges, and $1 million of acquisition costs, partially offset by $1 million of gains and other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Three Quarters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6"/>
                <w:szCs w:val="16"/>
                <w:b w:val="1"/>
                <w:bCs w:val="1"/>
                <w:color w:val="auto"/>
              </w:rPr>
              <w:t>Nine Months Ended</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58"/>
        </w:trPr>
        <w:tc>
          <w:tcPr>
            <w:tcW w:w="6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2020</w:t>
            </w:r>
          </w:p>
        </w:tc>
        <w:tc>
          <w:tcPr>
            <w:tcW w:w="16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5"/>
              </w:rPr>
              <w:t>September 30, 2019</w:t>
            </w:r>
          </w:p>
        </w:tc>
        <w:tc>
          <w:tcPr>
            <w:tcW w:w="300" w:type="dxa"/>
            <w:vAlign w:val="bottom"/>
          </w:tcPr>
          <w:p>
            <w:pPr>
              <w:spacing w:after="0"/>
              <w:rPr>
                <w:sz w:val="24"/>
                <w:szCs w:val="24"/>
                <w:color w:val="auto"/>
              </w:rPr>
            </w:pPr>
          </w:p>
        </w:tc>
        <w:tc>
          <w:tcPr>
            <w:tcW w:w="1220" w:type="dxa"/>
            <w:vAlign w:val="bottom"/>
          </w:tcPr>
          <w:p>
            <w:pPr>
              <w:jc w:val="right"/>
              <w:ind w:right="412"/>
              <w:spacing w:after="0"/>
              <w:rPr>
                <w:sz w:val="20"/>
                <w:szCs w:val="20"/>
                <w:color w:val="auto"/>
              </w:rPr>
            </w:pPr>
            <w:r>
              <w:rPr>
                <w:rFonts w:ascii="Arial" w:cs="Arial" w:eastAsia="Arial" w:hAnsi="Arial"/>
                <w:sz w:val="16"/>
                <w:szCs w:val="16"/>
                <w:b w:val="1"/>
                <w:bCs w:val="1"/>
                <w:color w:val="auto"/>
              </w:rPr>
              <w:t>Change</w:t>
            </w:r>
          </w:p>
        </w:tc>
      </w:tr>
      <w:tr>
        <w:trPr>
          <w:trHeight w:val="226"/>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50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Certain items</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financial results</w:t>
            </w: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Certain items in the Vacation Ownership segment for the first three quarters of 2020 consisted of $37 million related to the net sales reserve adjustment, $11 million of restructuring costs, $6 million of asset impairment charges, $4 million of litigation charges, $3 million related to transaction costs associated with our asset light inventory arrangements, and $3 million of purchase accounting adjustments, partially offset by $12 million of gains and other income, including $6 million of gains and other income related to the disposition of excess land parcels in Orlando, Florida and Steamboat Springs, Colorado and $4 million related to net insurance proceeds from the final settlement of Legacy-MVW business interruption insurance claims arising from a prior year hurricane.</w:t>
      </w:r>
    </w:p>
    <w:p>
      <w:pPr>
        <w:spacing w:after="0" w:line="17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Certain items in the Vacation Ownership segment for the first three quarters of 2019 consisted of $99 million of asset impairment charges, $7 million of purchase accounting adjustments, $4 million of litigation charges, and $1 million of acquisition costs, partially offset by $9 million of gains and other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&amp; Third-Party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Third Quarter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3"/>
        </w:trPr>
        <w:tc>
          <w:tcPr>
            <w:tcW w:w="6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3"/>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Change</w:t>
            </w:r>
          </w:p>
        </w:tc>
      </w:tr>
      <w:tr>
        <w:trPr>
          <w:trHeight w:val="226"/>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Certain items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financial results</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Certain items in the Exchange &amp; Third-Party Management segment for the third quarter of 2020 consisted of a $5 million loss and other expense related to the disposition of a formerly consolidated subsidiary, $3 million of restructuring costs, $1 million of purchase accounting adjustments, and $1 million of asset impairment charges.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items in the Exchange &amp; Third-Party Management segment for the third quarter of 2019 consisted of $1 million of gains and other income.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Three Quarters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6"/>
                <w:szCs w:val="16"/>
                <w:b w:val="1"/>
                <w:bCs w:val="1"/>
                <w:color w:val="auto"/>
              </w:rPr>
              <w:t>Nine Months Ended</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3"/>
        </w:trPr>
        <w:tc>
          <w:tcPr>
            <w:tcW w:w="6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3"/>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Change</w:t>
            </w:r>
          </w:p>
        </w:tc>
      </w:tr>
      <w:tr>
        <w:trPr>
          <w:trHeight w:val="226"/>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share-based compensation expense</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Certain items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48"/>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financial results</w:t>
            </w:r>
          </w:p>
        </w:tc>
        <w:tc>
          <w:tcPr>
            <w:tcW w:w="480" w:type="dxa"/>
            <w:vAlign w:val="bottom"/>
            <w:tcBorders>
              <w:top w:val="single" w:sz="8" w:color="auto"/>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Certain items in the Exchange &amp; Third-Party Management segment for the first three quarters of 2020 consisted of $92 million of impairment charges (primarily Goodwill and Indefinite-Lived Intangibles as discussed further in Footnote 10 “Goodwill and Intangibles” of the Financial Statements), a $5 million loss and other expense related to the disposition of a formerly consolidated subsidiary, $3 million of restructuring costs, and $1 million of purchase accounting adjustments.</w:t>
      </w:r>
    </w:p>
    <w:p>
      <w:pPr>
        <w:spacing w:after="0" w:line="7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Certain items in the Exchange &amp; Third-Party Management segment for the first three quarters of 2019 consisted of $1 million of purchase accounting adjustments, offset by $1 million of gains and other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business is grouped into two reportable business segments: Vacation Ownership and Exchange &amp; Third-Party Management. See Footnote 17 “Business Segments” to our Financial Statements for further information on our segments.</w:t>
      </w:r>
    </w:p>
    <w:p>
      <w:pPr>
        <w:spacing w:after="0" w:line="1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ind w:left="58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48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w w:val="93"/>
              </w:rPr>
              <w:t>September 30, 2020</w:t>
            </w:r>
          </w:p>
        </w:tc>
        <w:tc>
          <w:tcPr>
            <w:tcW w:w="100" w:type="dxa"/>
            <w:vAlign w:val="bottom"/>
          </w:tcPr>
          <w:p>
            <w:pPr>
              <w:spacing w:after="0"/>
              <w:rPr>
                <w:sz w:val="18"/>
                <w:szCs w:val="18"/>
                <w:color w:val="auto"/>
              </w:rPr>
            </w:pPr>
          </w:p>
        </w:tc>
        <w:tc>
          <w:tcPr>
            <w:tcW w:w="1520" w:type="dxa"/>
            <w:vAlign w:val="bottom"/>
            <w:gridSpan w:val="3"/>
          </w:tcPr>
          <w:p>
            <w:pPr>
              <w:ind w:left="80"/>
              <w:spacing w:after="0"/>
              <w:rPr>
                <w:sz w:val="20"/>
                <w:szCs w:val="20"/>
                <w:color w:val="auto"/>
              </w:rPr>
            </w:pPr>
            <w:r>
              <w:rPr>
                <w:rFonts w:ascii="Arial" w:cs="Arial" w:eastAsia="Arial" w:hAnsi="Arial"/>
                <w:sz w:val="16"/>
                <w:szCs w:val="16"/>
                <w:b w:val="1"/>
                <w:bCs w:val="1"/>
                <w:color w:val="auto"/>
                <w:w w:val="95"/>
              </w:rPr>
              <w:t>September 30, 2019</w:t>
            </w:r>
          </w:p>
        </w:tc>
        <w:tc>
          <w:tcPr>
            <w:tcW w:w="100" w:type="dxa"/>
            <w:vAlign w:val="bottom"/>
          </w:tcPr>
          <w:p>
            <w:pPr>
              <w:spacing w:after="0"/>
              <w:rPr>
                <w:sz w:val="18"/>
                <w:szCs w:val="18"/>
                <w:color w:val="auto"/>
              </w:rPr>
            </w:pPr>
          </w:p>
        </w:tc>
        <w:tc>
          <w:tcPr>
            <w:tcW w:w="16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September 30, 2020</w:t>
            </w:r>
          </w:p>
        </w:tc>
        <w:tc>
          <w:tcPr>
            <w:tcW w:w="15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September 30, 2019</w:t>
            </w:r>
          </w:p>
        </w:tc>
        <w:tc>
          <w:tcPr>
            <w:tcW w:w="0" w:type="dxa"/>
            <w:vAlign w:val="bottom"/>
          </w:tcPr>
          <w:p>
            <w:pPr>
              <w:spacing w:after="0"/>
              <w:rPr>
                <w:sz w:val="1"/>
                <w:szCs w:val="1"/>
                <w:color w:val="auto"/>
              </w:rPr>
            </w:pPr>
          </w:p>
        </w:tc>
      </w:tr>
      <w:tr>
        <w:trPr>
          <w:trHeight w:val="212"/>
        </w:trPr>
        <w:tc>
          <w:tcPr>
            <w:tcW w:w="4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Sale of vacation ownership products</w:t>
            </w:r>
          </w:p>
        </w:tc>
        <w:tc>
          <w:tcPr>
            <w:tcW w:w="480" w:type="dxa"/>
            <w:vAlign w:val="bottom"/>
            <w:gridSpan w:val="2"/>
          </w:tcPr>
          <w:p>
            <w:pPr>
              <w:jc w:val="right"/>
              <w:ind w:right="279"/>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960" w:type="dxa"/>
            <w:vAlign w:val="bottom"/>
            <w:gridSpan w:val="2"/>
          </w:tcPr>
          <w:p>
            <w:pPr>
              <w:jc w:val="right"/>
              <w:ind w:right="654"/>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9"/>
                <w:szCs w:val="19"/>
                <w:color w:val="auto"/>
              </w:rPr>
            </w:pPr>
          </w:p>
        </w:tc>
        <w:tc>
          <w:tcPr>
            <w:tcW w:w="4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Rental</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Cost reimbursements</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vacation ownership products</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Marketing and sales</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Rental</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charges</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Royalty fee</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reimbursements</w:t>
            </w: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tcPr>
          <w:p>
            <w:pPr>
              <w:ind w:left="420"/>
              <w:spacing w:after="0"/>
              <w:rPr>
                <w:sz w:val="20"/>
                <w:szCs w:val="20"/>
                <w:color w:val="auto"/>
              </w:rPr>
            </w:pPr>
            <w:r>
              <w:rPr>
                <w:rFonts w:ascii="Arial" w:cs="Arial" w:eastAsia="Arial" w:hAnsi="Arial"/>
                <w:sz w:val="18"/>
                <w:szCs w:val="18"/>
                <w:b w:val="1"/>
                <w:bCs w:val="1"/>
                <w:color w:val="auto"/>
              </w:rPr>
              <w:t>TOTAL EXPENSES</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and other income, net</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86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SEGMENT FINANCIAL RESULTS BEFORE</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86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SEGMENT FINANCIAL RESULTS ATTRIBUTABLE TO</w:t>
            </w:r>
          </w:p>
        </w:tc>
        <w:tc>
          <w:tcPr>
            <w:tcW w:w="480" w:type="dxa"/>
            <w:vAlign w:val="bottom"/>
            <w:gridSpan w:val="2"/>
            <w:vMerge w:val="restart"/>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654"/>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COMMON SHAREHOLDERS</w:t>
            </w:r>
          </w:p>
        </w:tc>
        <w:tc>
          <w:tcPr>
            <w:tcW w:w="48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8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2020 Third Quarter</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1500" w:type="dxa"/>
            <w:vAlign w:val="bottom"/>
            <w:gridSpan w:val="3"/>
          </w:tcPr>
          <w:p>
            <w:pPr>
              <w:ind w:left="60"/>
              <w:spacing w:after="0"/>
              <w:rPr>
                <w:sz w:val="20"/>
                <w:szCs w:val="20"/>
                <w:color w:val="auto"/>
              </w:rPr>
            </w:pPr>
            <w:r>
              <w:rPr>
                <w:rFonts w:ascii="Arial" w:cs="Arial" w:eastAsia="Arial" w:hAnsi="Arial"/>
                <w:sz w:val="16"/>
                <w:szCs w:val="16"/>
                <w:b w:val="1"/>
                <w:bCs w:val="1"/>
                <w:color w:val="auto"/>
                <w:w w:val="95"/>
              </w:rPr>
              <w:t>September 30, 2020</w:t>
            </w:r>
          </w:p>
        </w:tc>
        <w:tc>
          <w:tcPr>
            <w:tcW w:w="1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88"/>
              </w:rPr>
              <w:t>Change</w:t>
            </w:r>
          </w:p>
        </w:tc>
        <w:tc>
          <w:tcPr>
            <w:tcW w:w="2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consolidated contract sales</w:t>
            </w:r>
          </w:p>
        </w:tc>
        <w:tc>
          <w:tcPr>
            <w:tcW w:w="480" w:type="dxa"/>
            <w:vAlign w:val="bottom"/>
            <w:tcBorders>
              <w:top w:val="single" w:sz="8" w:color="auto"/>
            </w:tcBorders>
            <w:gridSpan w:val="2"/>
            <w:shd w:val="clear" w:color="auto" w:fill="CCEEFF"/>
          </w:tcPr>
          <w:p>
            <w:pPr>
              <w:jc w:val="right"/>
              <w:ind w:right="299"/>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ind w:right="171"/>
              <w:spacing w:after="0"/>
              <w:rPr>
                <w:sz w:val="20"/>
                <w:szCs w:val="20"/>
                <w:color w:val="auto"/>
              </w:rPr>
            </w:pPr>
            <w:r>
              <w:rPr>
                <w:rFonts w:ascii="Arial" w:cs="Arial" w:eastAsia="Arial" w:hAnsi="Arial"/>
                <w:sz w:val="18"/>
                <w:szCs w:val="18"/>
                <w:color w:val="auto"/>
                <w:w w:val="91"/>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Joint venture contract sales</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center"/>
              <w:ind w:right="171"/>
              <w:spacing w:after="0"/>
              <w:rPr>
                <w:sz w:val="20"/>
                <w:szCs w:val="20"/>
                <w:color w:val="auto"/>
              </w:rPr>
            </w:pPr>
            <w:r>
              <w:rPr>
                <w:rFonts w:ascii="Arial" w:cs="Arial" w:eastAsia="Arial" w:hAnsi="Arial"/>
                <w:sz w:val="18"/>
                <w:szCs w:val="18"/>
                <w:color w:val="auto"/>
                <w:w w:val="91"/>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contract sales</w:t>
            </w:r>
          </w:p>
        </w:tc>
        <w:tc>
          <w:tcPr>
            <w:tcW w:w="480" w:type="dxa"/>
            <w:vAlign w:val="bottom"/>
            <w:tcBorders>
              <w:bottom w:val="single" w:sz="8" w:color="auto"/>
            </w:tcBorders>
            <w:gridSpan w:val="2"/>
            <w:shd w:val="clear" w:color="auto" w:fill="CCEEFF"/>
          </w:tcPr>
          <w:p>
            <w:pPr>
              <w:jc w:val="right"/>
              <w:ind w:right="299"/>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center"/>
              <w:ind w:right="171"/>
              <w:spacing w:after="0"/>
              <w:rPr>
                <w:sz w:val="20"/>
                <w:szCs w:val="20"/>
                <w:color w:val="auto"/>
              </w:rPr>
            </w:pPr>
            <w:r>
              <w:rPr>
                <w:rFonts w:ascii="Arial" w:cs="Arial" w:eastAsia="Arial" w:hAnsi="Arial"/>
                <w:sz w:val="18"/>
                <w:szCs w:val="18"/>
                <w:color w:val="auto"/>
                <w:w w:val="91"/>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2020 First Three Quarters</w:t>
            </w: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8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ind w:left="380"/>
              <w:spacing w:after="0"/>
              <w:rPr>
                <w:sz w:val="20"/>
                <w:szCs w:val="20"/>
                <w:color w:val="auto"/>
              </w:rPr>
            </w:pPr>
            <w:r>
              <w:rPr>
                <w:rFonts w:ascii="Arial" w:cs="Arial" w:eastAsia="Arial" w:hAnsi="Arial"/>
                <w:sz w:val="16"/>
                <w:szCs w:val="16"/>
                <w:b w:val="1"/>
                <w:bCs w:val="1"/>
                <w:color w:val="auto"/>
              </w:rPr>
              <w:t>Nine Months Ended</w:t>
            </w: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3"/>
          </w:tcPr>
          <w:p>
            <w:pPr>
              <w:ind w:left="60"/>
              <w:spacing w:after="0"/>
              <w:rPr>
                <w:sz w:val="20"/>
                <w:szCs w:val="20"/>
                <w:color w:val="auto"/>
              </w:rPr>
            </w:pPr>
            <w:r>
              <w:rPr>
                <w:rFonts w:ascii="Arial" w:cs="Arial" w:eastAsia="Arial" w:hAnsi="Arial"/>
                <w:sz w:val="16"/>
                <w:szCs w:val="16"/>
                <w:b w:val="1"/>
                <w:bCs w:val="1"/>
                <w:color w:val="auto"/>
                <w:w w:val="95"/>
              </w:rPr>
              <w:t>September 30, 2020</w:t>
            </w:r>
          </w:p>
        </w:tc>
        <w:tc>
          <w:tcPr>
            <w:tcW w:w="1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88"/>
              </w:rPr>
              <w:t>Change</w:t>
            </w:r>
          </w:p>
        </w:tc>
        <w:tc>
          <w:tcPr>
            <w:tcW w:w="2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consolidated contract sales</w:t>
            </w:r>
          </w:p>
        </w:tc>
        <w:tc>
          <w:tcPr>
            <w:tcW w:w="480" w:type="dxa"/>
            <w:vAlign w:val="bottom"/>
            <w:tcBorders>
              <w:top w:val="single" w:sz="8" w:color="auto"/>
            </w:tcBorders>
            <w:gridSpan w:val="2"/>
            <w:shd w:val="clear" w:color="auto" w:fill="CCEEFF"/>
          </w:tcPr>
          <w:p>
            <w:pPr>
              <w:jc w:val="right"/>
              <w:ind w:right="299"/>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ind w:right="171"/>
              <w:spacing w:after="0"/>
              <w:rPr>
                <w:sz w:val="20"/>
                <w:szCs w:val="20"/>
                <w:color w:val="auto"/>
              </w:rPr>
            </w:pPr>
            <w:r>
              <w:rPr>
                <w:rFonts w:ascii="Arial" w:cs="Arial" w:eastAsia="Arial" w:hAnsi="Arial"/>
                <w:sz w:val="18"/>
                <w:szCs w:val="18"/>
                <w:color w:val="auto"/>
                <w:w w:val="91"/>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Joint venture contract sales</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center"/>
              <w:ind w:right="171"/>
              <w:spacing w:after="0"/>
              <w:rPr>
                <w:sz w:val="20"/>
                <w:szCs w:val="20"/>
                <w:color w:val="auto"/>
              </w:rPr>
            </w:pPr>
            <w:r>
              <w:rPr>
                <w:rFonts w:ascii="Arial" w:cs="Arial" w:eastAsia="Arial" w:hAnsi="Arial"/>
                <w:sz w:val="18"/>
                <w:szCs w:val="18"/>
                <w:color w:val="auto"/>
                <w:w w:val="91"/>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contract sales</w:t>
            </w:r>
          </w:p>
        </w:tc>
        <w:tc>
          <w:tcPr>
            <w:tcW w:w="480" w:type="dxa"/>
            <w:vAlign w:val="bottom"/>
            <w:tcBorders>
              <w:bottom w:val="single" w:sz="8" w:color="auto"/>
            </w:tcBorders>
            <w:gridSpan w:val="2"/>
            <w:shd w:val="clear" w:color="auto" w:fill="CCEEFF"/>
          </w:tcPr>
          <w:p>
            <w:pPr>
              <w:jc w:val="right"/>
              <w:ind w:right="299"/>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ind w:right="171"/>
              <w:spacing w:after="0"/>
              <w:rPr>
                <w:sz w:val="20"/>
                <w:szCs w:val="20"/>
                <w:color w:val="auto"/>
              </w:rPr>
            </w:pPr>
            <w:r>
              <w:rPr>
                <w:rFonts w:ascii="Arial" w:cs="Arial" w:eastAsia="Arial" w:hAnsi="Arial"/>
                <w:sz w:val="18"/>
                <w:szCs w:val="18"/>
                <w:color w:val="auto"/>
                <w:w w:val="91"/>
              </w:rPr>
              <w:t>(58%)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Third Quarter</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2020</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2019</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 sales</w:t>
            </w: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(260)</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(65%)</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Less resales contract sales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Less joint venture contract sales</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Consolidated contract sales, net of resales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(244)</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4820" w:type="dxa"/>
            <w:vAlign w:val="bottom"/>
          </w:tcPr>
          <w:p>
            <w:pPr>
              <w:ind w:left="200"/>
              <w:spacing w:after="0"/>
              <w:rPr>
                <w:sz w:val="20"/>
                <w:szCs w:val="20"/>
                <w:color w:val="auto"/>
              </w:rPr>
            </w:pPr>
            <w:r>
              <w:rPr>
                <w:rFonts w:ascii="Arial" w:cs="Arial" w:eastAsia="Arial" w:hAnsi="Arial"/>
                <w:sz w:val="18"/>
                <w:szCs w:val="18"/>
                <w:color w:val="auto"/>
              </w:rPr>
              <w:t>Settlement revenue</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Resales revenue</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Reportability</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4820" w:type="dxa"/>
            <w:vAlign w:val="bottom"/>
          </w:tcPr>
          <w:p>
            <w:pPr>
              <w:ind w:left="200"/>
              <w:spacing w:after="0"/>
              <w:rPr>
                <w:sz w:val="20"/>
                <w:szCs w:val="20"/>
                <w:color w:val="auto"/>
              </w:rPr>
            </w:pPr>
            <w:r>
              <w:rPr>
                <w:rFonts w:ascii="Arial" w:cs="Arial" w:eastAsia="Arial" w:hAnsi="Arial"/>
                <w:sz w:val="18"/>
                <w:szCs w:val="18"/>
                <w:color w:val="auto"/>
              </w:rPr>
              <w:t>Sales reserve</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(1)</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(243)</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(71%)</w:t>
            </w:r>
          </w:p>
        </w:tc>
      </w:tr>
      <w:tr>
        <w:trPr>
          <w:trHeight w:val="20"/>
        </w:trPr>
        <w:tc>
          <w:tcPr>
            <w:tcW w:w="4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63" w:lineRule="exact"/>
        <w:rPr>
          <w:sz w:val="20"/>
          <w:szCs w:val="20"/>
          <w:color w:val="auto"/>
        </w:rPr>
      </w:pPr>
    </w:p>
    <w:p>
      <w:pPr>
        <w:ind w:left="660" w:right="520" w:hanging="652"/>
        <w:spacing w:after="0" w:line="227" w:lineRule="auto"/>
        <w:tabs>
          <w:tab w:leader="none" w:pos="648"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Sale of vacation ownership products decreased $243 million due to $244 million of lower contract sales volumes and a $16 million favorable change in revenue reportability, partially offset by $23 million of lower sales reserve activity.</w:t>
      </w:r>
    </w:p>
    <w:p>
      <w:pPr>
        <w:spacing w:after="0" w:line="6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Lower contract sales performance was primarily due to the impact of the COVID-19 pandemic. In March 2020, all of our sales centers were closed in response to the pandemic. We began opening sales centers throughout the second and third quarters and, by the end of the third quarter, with the exception of our sales centers in Hawaii that remain closed as a result of government restrictions, only a handful of our smaller and key urban sales centers remain unopened.</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Revenue reportability was negative in the third quarter of 2020 as a result of contract sales late in the third quarter of 2020 that will be recognized as revenue in the fourth quarter. However, given the low sales volumes in June 2020 due to the impact of the COVID-19 pandemic, we did not benefit from the shift of revenues from sales late in the second quarter into the third quarter.</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lower sales reserve recorded in the third quarter of 2020 reflects the lower overall contract sales in the quarter.</w:t>
      </w:r>
    </w:p>
    <w:p>
      <w:pPr>
        <w:spacing w:after="0" w:line="21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Three Quarters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2020</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2019</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 sales</w:t>
            </w: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(678)</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(58%)</w:t>
            </w: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Less resales contract sales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Less joint venture contract sales</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Consolidated contract sales, net of resales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(640)</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4820" w:type="dxa"/>
            <w:vAlign w:val="bottom"/>
          </w:tcPr>
          <w:p>
            <w:pPr>
              <w:ind w:left="200"/>
              <w:spacing w:after="0"/>
              <w:rPr>
                <w:sz w:val="20"/>
                <w:szCs w:val="20"/>
                <w:color w:val="auto"/>
              </w:rPr>
            </w:pPr>
            <w:r>
              <w:rPr>
                <w:rFonts w:ascii="Arial" w:cs="Arial" w:eastAsia="Arial" w:hAnsi="Arial"/>
                <w:sz w:val="18"/>
                <w:szCs w:val="18"/>
                <w:color w:val="auto"/>
              </w:rPr>
              <w:t>Settlement revenue</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Resales revenue</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Reportability</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4820" w:type="dxa"/>
            <w:vAlign w:val="bottom"/>
          </w:tcPr>
          <w:p>
            <w:pPr>
              <w:ind w:left="200"/>
              <w:spacing w:after="0"/>
              <w:rPr>
                <w:sz w:val="20"/>
                <w:szCs w:val="20"/>
                <w:color w:val="auto"/>
              </w:rPr>
            </w:pPr>
            <w:r>
              <w:rPr>
                <w:rFonts w:ascii="Arial" w:cs="Arial" w:eastAsia="Arial" w:hAnsi="Arial"/>
                <w:sz w:val="18"/>
                <w:szCs w:val="18"/>
                <w:color w:val="auto"/>
              </w:rPr>
              <w:t>Sales reserve</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(1)</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5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(566)</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(58%)</w:t>
            </w:r>
          </w:p>
        </w:tc>
      </w:tr>
      <w:tr>
        <w:trPr>
          <w:trHeight w:val="21"/>
        </w:trPr>
        <w:tc>
          <w:tcPr>
            <w:tcW w:w="4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63" w:lineRule="exact"/>
        <w:rPr>
          <w:sz w:val="20"/>
          <w:szCs w:val="20"/>
          <w:color w:val="auto"/>
        </w:rPr>
      </w:pPr>
    </w:p>
    <w:p>
      <w:pPr>
        <w:ind w:left="660" w:right="520" w:hanging="652"/>
        <w:spacing w:after="0" w:line="227" w:lineRule="auto"/>
        <w:tabs>
          <w:tab w:leader="none" w:pos="648"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Sale of vacation ownership products decreased $566 million due to $640 million of lower contract sales volumes and $11 million of higher sales reserve activity, partially offset by an $88 million favorable change in revenue reportability.</w:t>
      </w:r>
    </w:p>
    <w:p>
      <w:pPr>
        <w:spacing w:after="0" w:line="6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lower contract sales performance as well as the higher sales reserve activity were primarily due to the response to the COVID-19 pandemic. Contract sales and VPG as of March 13, 2020 were 10 percent and 11 percent higher, respectively, than the same period during the first quarter of 2019. However, as the virus continued to spread throughout the United States and as we began closing our sales centers during the second half of March, contract sales volumes declined significantly. In the second quarter of 2020, only eight of our sales centers were open and, by the end of the third quarter, with the exception of our sales centers in Hawaii that remain closed as a result of government restrictions, only a handful of our smaller and key urban sales centers remain unopened.</w:t>
      </w:r>
    </w:p>
    <w:p>
      <w:pPr>
        <w:spacing w:after="0" w:line="8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higher sales reserve recorded in the first three quarters of 2020 reflects an estimate of future default activity to the extent our vacation ownership notes receivable portfolio performs similar to how it performed during the financial crisis of 2009 and 2010, offset partially by the lower contract sales in the first three quarters of 2020. We will continue to evaluate our estimate of future default activity and compare it to actual activity as we proceed throughout the year and may adjust our sales reserve based on changes in actual default activity and other factors.</w:t>
      </w:r>
    </w:p>
    <w:p>
      <w:pPr>
        <w:spacing w:after="0" w:line="6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Revenue reportability was significantly positive in the first three quarters of 2020 as a result of contract sales late in the fourth quarter of 2019 that we recognized as revenue in 2020. However, it was not fully offset by the shift of revenues from sales late in the third quarter into the fourth quarter, given the low sales volumes in September 2020 due to the impact of the COVID-19 pandemic.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Third Quarter</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3"/>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(243)</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(71%)</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70%</w:t>
            </w:r>
          </w:p>
        </w:tc>
      </w:tr>
      <w:tr>
        <w:trPr>
          <w:trHeight w:val="23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54%</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Development margin</w:t>
            </w: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69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(109%)</w:t>
            </w:r>
          </w:p>
        </w:tc>
      </w:tr>
      <w:tr>
        <w:trPr>
          <w:trHeight w:val="20"/>
        </w:trPr>
        <w:tc>
          <w:tcPr>
            <w:tcW w:w="4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Development margin decreased $89 million year-over-year. The change in margin reflected $82 million of lower sales volumes and lower marketing and sales spending due to the impact of the COVID-19 pandemic and $10 million of unfavorable</w:t>
      </w:r>
    </w:p>
    <w:p>
      <w:pPr>
        <w:spacing w:after="0" w:line="1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revenue reportability year over year, partially offset by $3 million of favorable product cost true-up activity as compared to the prior year period.</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Three Quarters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6"/>
                <w:szCs w:val="16"/>
                <w:b w:val="1"/>
                <w:bCs w:val="1"/>
                <w:color w:val="auto"/>
              </w:rPr>
              <w:t>Nine Months Ended</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2020</w:t>
            </w: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w w:val="95"/>
              </w:rPr>
              <w:t>September 30, 2019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29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color w:val="auto"/>
                <w:w w:val="86"/>
              </w:rPr>
              <w:t>975</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(566)</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rPr>
              <w:t>(58%)</w:t>
            </w: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center"/>
              <w:ind w:left="110"/>
              <w:spacing w:after="0"/>
              <w:rPr>
                <w:sz w:val="20"/>
                <w:szCs w:val="20"/>
                <w:color w:val="auto"/>
              </w:rPr>
            </w:pPr>
            <w:r>
              <w:rPr>
                <w:rFonts w:ascii="Arial" w:cs="Arial" w:eastAsia="Arial" w:hAnsi="Arial"/>
                <w:sz w:val="18"/>
                <w:szCs w:val="18"/>
                <w:color w:val="auto"/>
                <w:w w:val="95"/>
              </w:rPr>
              <w:t>(258)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6"/>
              </w:rPr>
              <w:t>148</w:t>
            </w:r>
          </w:p>
        </w:tc>
        <w:tc>
          <w:tcPr>
            <w:tcW w:w="1620" w:type="dxa"/>
            <w:vAlign w:val="bottom"/>
            <w:gridSpan w:val="2"/>
          </w:tcPr>
          <w:p>
            <w:pPr>
              <w:jc w:val="right"/>
              <w:ind w:right="515"/>
              <w:spacing w:after="0"/>
              <w:rPr>
                <w:sz w:val="20"/>
                <w:szCs w:val="20"/>
                <w:color w:val="auto"/>
              </w:rPr>
            </w:pPr>
            <w:r>
              <w:rPr>
                <w:rFonts w:ascii="Arial" w:cs="Arial" w:eastAsia="Arial" w:hAnsi="Arial"/>
                <w:sz w:val="18"/>
                <w:szCs w:val="18"/>
                <w:color w:val="auto"/>
              </w:rPr>
              <w:t>57%</w:t>
            </w:r>
          </w:p>
        </w:tc>
      </w:tr>
      <w:tr>
        <w:trPr>
          <w:trHeight w:val="23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95"/>
              </w:rPr>
              <w:t>(518)</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221</w:t>
            </w:r>
          </w:p>
        </w:tc>
        <w:tc>
          <w:tcPr>
            <w:tcW w:w="1620" w:type="dxa"/>
            <w:vAlign w:val="bottom"/>
            <w:gridSpan w:val="2"/>
            <w:shd w:val="clear" w:color="auto" w:fill="CCEEFF"/>
          </w:tcPr>
          <w:p>
            <w:pPr>
              <w:jc w:val="right"/>
              <w:ind w:right="515"/>
              <w:spacing w:after="0"/>
              <w:rPr>
                <w:sz w:val="20"/>
                <w:szCs w:val="20"/>
                <w:color w:val="auto"/>
              </w:rPr>
            </w:pPr>
            <w:r>
              <w:rPr>
                <w:rFonts w:ascii="Arial" w:cs="Arial" w:eastAsia="Arial" w:hAnsi="Arial"/>
                <w:sz w:val="18"/>
                <w:szCs w:val="18"/>
                <w:color w:val="auto"/>
              </w:rPr>
              <w:t>43%</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Development margin</w:t>
            </w: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6"/>
              </w:rPr>
              <w:t>199</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(197)</w:t>
            </w:r>
          </w:p>
        </w:tc>
        <w:tc>
          <w:tcPr>
            <w:tcW w:w="1620" w:type="dxa"/>
            <w:vAlign w:val="bottom"/>
            <w:gridSpan w:val="2"/>
          </w:tcPr>
          <w:p>
            <w:pPr>
              <w:jc w:val="right"/>
              <w:ind w:right="455"/>
              <w:spacing w:after="0"/>
              <w:rPr>
                <w:sz w:val="20"/>
                <w:szCs w:val="20"/>
                <w:color w:val="auto"/>
              </w:rPr>
            </w:pPr>
            <w:r>
              <w:rPr>
                <w:rFonts w:ascii="Arial" w:cs="Arial" w:eastAsia="Arial" w:hAnsi="Arial"/>
                <w:sz w:val="18"/>
                <w:szCs w:val="18"/>
                <w:color w:val="auto"/>
              </w:rPr>
              <w:t>(99%)</w:t>
            </w:r>
          </w:p>
        </w:tc>
      </w:tr>
      <w:tr>
        <w:trPr>
          <w:trHeight w:val="21"/>
        </w:trPr>
        <w:tc>
          <w:tcPr>
            <w:tcW w:w="4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Development margin decreased $197 million year-over-year. The change in margin reflected $217 million of lower sales volumes and lower marketing and sales spending due to the impact of the COVID-19 pandemic and $55 million of higher sales reserve activity due primarily to higher estimated defaults as a result of the COVID-19 pandemic. These declines were partially offset by $61 million of favorable revenue reportability compared to the first three quarters of 2019 and $14 million of lower product costs, primarily due to lower revenue as a result of the sales reserve adjustment as well as a favorable mix of inventory being sold compared to the first three quarters of 2019.</w:t>
      </w:r>
    </w:p>
    <w:p>
      <w:pPr>
        <w:spacing w:after="0" w:line="184" w:lineRule="exact"/>
        <w:rPr>
          <w:sz w:val="20"/>
          <w:szCs w:val="20"/>
          <w:color w:val="auto"/>
        </w:rPr>
      </w:pPr>
    </w:p>
    <w:p>
      <w:pPr>
        <w:ind w:right="5600"/>
        <w:spacing w:after="0" w:line="386" w:lineRule="auto"/>
        <w:rPr>
          <w:sz w:val="20"/>
          <w:szCs w:val="20"/>
          <w:color w:val="auto"/>
        </w:rPr>
      </w:pPr>
      <w:r>
        <w:rPr>
          <w:rFonts w:ascii="Arial" w:cs="Arial" w:eastAsia="Arial" w:hAnsi="Arial"/>
          <w:sz w:val="18"/>
          <w:szCs w:val="18"/>
          <w:b w:val="1"/>
          <w:bCs w:val="1"/>
          <w:color w:val="auto"/>
        </w:rPr>
        <w:t xml:space="preserve">Resort Management and Other Services Revenues, Expenses and Margin </w:t>
      </w:r>
      <w:r>
        <w:rPr>
          <w:rFonts w:ascii="Arial" w:cs="Arial" w:eastAsia="Arial" w:hAnsi="Arial"/>
          <w:sz w:val="18"/>
          <w:szCs w:val="18"/>
          <w:i w:val="1"/>
          <w:iCs w:val="1"/>
          <w:color w:val="auto"/>
        </w:rPr>
        <w:t>2020 Third Quarter</w:t>
      </w: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3"/>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11"/>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8"/>
                <w:szCs w:val="18"/>
                <w:color w:val="auto"/>
              </w:rPr>
            </w:pP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Ancillary revenues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(70%)</w:t>
            </w:r>
          </w:p>
        </w:tc>
      </w:tr>
      <w:tr>
        <w:trPr>
          <w:trHeight w:val="23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management and exchange revenues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Resort management and other services revenues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(32%)</w:t>
            </w:r>
          </w:p>
        </w:tc>
      </w:tr>
      <w:tr>
        <w:trPr>
          <w:trHeight w:val="23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expenses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53%</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Resort management and other services margin</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(12%)</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r>
      <w:tr>
        <w:trPr>
          <w:trHeight w:val="22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15.4 pts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Resort management and other services revenues reflected lower ancillary revenues, including revenues from food and beverage and golf offerings, as a result of resort and ancillary outlet closings due to the COVID-19 pandemic, partially offset by higher management fees resulting from the cumulative increase in the number of vacation ownership products sold and higher operating costs across the system.</w:t>
      </w:r>
    </w:p>
    <w:p>
      <w:pPr>
        <w:spacing w:after="0" w:line="5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decrease in resort management and other services margin reflected the decrease in resort management and other services revenues partially offset by lower ancillary expenses as a result of the lower ancillary revenues mentioned above.</w:t>
      </w:r>
    </w:p>
    <w:p>
      <w:pPr>
        <w:spacing w:after="0" w:line="1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Three Quarters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6"/>
                <w:szCs w:val="16"/>
                <w:b w:val="1"/>
                <w:bCs w:val="1"/>
                <w:color w:val="auto"/>
              </w:rPr>
              <w:t>Nine Months Ended</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11"/>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8"/>
                <w:szCs w:val="18"/>
                <w:color w:val="auto"/>
              </w:rPr>
            </w:pP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Ancillary revenues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(60%)</w:t>
            </w:r>
          </w:p>
        </w:tc>
      </w:tr>
      <w:tr>
        <w:trPr>
          <w:trHeight w:val="22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management and exchange revenues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(4%)</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Resort management and other services revenues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(28%)</w:t>
            </w:r>
          </w:p>
        </w:tc>
      </w:tr>
      <w:tr>
        <w:trPr>
          <w:trHeight w:val="22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expenses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40%</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Resort management and other services margin</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(17%)</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r>
      <w:tr>
        <w:trPr>
          <w:trHeight w:val="22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8.0 pts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Resort management and other services revenues reflected lower ancillary revenues, including revenues from food and beverage and golf offerings, and lower other revenues earned in conjunction with our exchange programs, all as a result of resort and ancillary outlet closings due to the COVID-19 pandemic. These declines were partially offset by higher management fees resulting from the cumulative increase in the number of vacation ownership products sold and higher operating costs across the system.</w:t>
      </w:r>
    </w:p>
    <w:p>
      <w:pPr>
        <w:spacing w:after="0" w:line="7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decrease in the resort management and other services margin reflected the decrease in resort management and other services revenues partially offset by lower ancillary expenses as a result of the lower ancillary revenues mentioned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Third Quarter</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0"/>
              </w:rPr>
              <w:t>September 30, 2020</w:t>
            </w:r>
          </w:p>
        </w:tc>
        <w:tc>
          <w:tcPr>
            <w:tcW w:w="15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September 30, 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72"/>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Pr>
          <w:p>
            <w:pPr>
              <w:spacing w:after="0"/>
              <w:rPr>
                <w:sz w:val="18"/>
                <w:szCs w:val="18"/>
                <w:color w:val="auto"/>
              </w:rPr>
            </w:pP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(62%)</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Rental expenses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2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margin</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(265%)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Rental margin percentage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ind w:right="232"/>
              <w:spacing w:after="0" w:line="204" w:lineRule="exact"/>
              <w:rPr>
                <w:sz w:val="20"/>
                <w:szCs w:val="20"/>
                <w:color w:val="auto"/>
              </w:rPr>
            </w:pPr>
            <w:r>
              <w:rPr>
                <w:rFonts w:ascii="Arial" w:cs="Arial" w:eastAsia="Arial" w:hAnsi="Arial"/>
                <w:sz w:val="18"/>
                <w:szCs w:val="18"/>
                <w:color w:val="auto"/>
                <w:w w:val="99"/>
              </w:rPr>
              <w:t>NM</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ind w:right="210"/>
              <w:spacing w:after="0" w:line="204" w:lineRule="exact"/>
              <w:rPr>
                <w:sz w:val="20"/>
                <w:szCs w:val="20"/>
                <w:color w:val="auto"/>
              </w:rPr>
            </w:pPr>
            <w:r>
              <w:rPr>
                <w:rFonts w:ascii="Arial" w:cs="Arial" w:eastAsia="Arial" w:hAnsi="Arial"/>
                <w:sz w:val="18"/>
                <w:szCs w:val="18"/>
                <w:color w:val="auto"/>
                <w:w w:val="90"/>
              </w:rPr>
              <w:t>19.7%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820" w:type="dxa"/>
            <w:vAlign w:val="bottom"/>
          </w:tcPr>
          <w:p>
            <w:pPr>
              <w:spacing w:after="0"/>
              <w:rPr>
                <w:sz w:val="18"/>
                <w:szCs w:val="18"/>
                <w:color w:val="auto"/>
              </w:rPr>
            </w:pPr>
          </w:p>
        </w:tc>
        <w:tc>
          <w:tcPr>
            <w:tcW w:w="162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0"/>
              </w:rPr>
              <w:t>September 30, 2020</w:t>
            </w:r>
          </w:p>
        </w:tc>
        <w:tc>
          <w:tcPr>
            <w:tcW w:w="15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September 30, 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72"/>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Pr>
          <w:p>
            <w:pPr>
              <w:spacing w:after="0"/>
              <w:rPr>
                <w:sz w:val="18"/>
                <w:szCs w:val="18"/>
                <w:color w:val="auto"/>
              </w:rPr>
            </w:pP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10"/>
                <w:szCs w:val="10"/>
                <w:color w:val="auto"/>
              </w:rPr>
              <w:t>(1)</w:t>
            </w: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237,749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604,949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(367,200)</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(61%)</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198.84</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220.28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(21.44)</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90"/>
              </w:rPr>
              <w:t>24.5%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0"/>
              </w:rPr>
              <w:t>87.7%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89"/>
              </w:rPr>
              <w:t>(63.2 pts)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9" w:lineRule="exact"/>
        <w:rPr>
          <w:sz w:val="20"/>
          <w:szCs w:val="20"/>
          <w:color w:val="auto"/>
        </w:rPr>
      </w:pPr>
    </w:p>
    <w:p>
      <w:pPr>
        <w:ind w:left="640" w:hanging="632"/>
        <w:spacing w:after="0"/>
        <w:tabs>
          <w:tab w:leader="none" w:pos="64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Transient keys rented exclude those occupied through the use of plus points and preview stays.</w:t>
      </w:r>
    </w:p>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decline in rental margin resulted from a decline in keys rented and a decline in average transient rate due to the COVID-19 pandemic. In response to quickly evolving travel restrictions and restrictions on business operations, beginning March 25, 2020, we closed our resorts for rental guests with stays at our branded North America vacation ownership resorts. In late May, as many government restrictions were beginning to be relaxed, we began reopening resorts to rental guests. Since the end of the second quarter, we have reopened more resorts to rental guests and expect rental revenues to continue to increase from current levels.</w:t>
      </w:r>
    </w:p>
    <w:p>
      <w:pPr>
        <w:spacing w:after="0" w:line="17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Three Quarters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5"/>
          </w:tcPr>
          <w:p>
            <w:pPr>
              <w:ind w:left="56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0"/>
              </w:rPr>
              <w:t>September 30, 2020</w:t>
            </w:r>
          </w:p>
        </w:tc>
        <w:tc>
          <w:tcPr>
            <w:tcW w:w="15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September 30, 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72"/>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Pr>
          <w:p>
            <w:pPr>
              <w:spacing w:after="0"/>
              <w:rPr>
                <w:sz w:val="18"/>
                <w:szCs w:val="18"/>
                <w:color w:val="auto"/>
              </w:rPr>
            </w:pP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(53%)</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Rental expenses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2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margin</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(200%)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Rental margin percentage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ind w:right="232"/>
              <w:spacing w:after="0" w:line="204" w:lineRule="exact"/>
              <w:rPr>
                <w:sz w:val="20"/>
                <w:szCs w:val="20"/>
                <w:color w:val="auto"/>
              </w:rPr>
            </w:pPr>
            <w:r>
              <w:rPr>
                <w:rFonts w:ascii="Arial" w:cs="Arial" w:eastAsia="Arial" w:hAnsi="Arial"/>
                <w:sz w:val="18"/>
                <w:szCs w:val="18"/>
                <w:color w:val="auto"/>
                <w:w w:val="99"/>
              </w:rPr>
              <w:t>NM</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ind w:right="210"/>
              <w:spacing w:after="0" w:line="204" w:lineRule="exact"/>
              <w:rPr>
                <w:sz w:val="20"/>
                <w:szCs w:val="20"/>
                <w:color w:val="auto"/>
              </w:rPr>
            </w:pPr>
            <w:r>
              <w:rPr>
                <w:rFonts w:ascii="Arial" w:cs="Arial" w:eastAsia="Arial" w:hAnsi="Arial"/>
                <w:sz w:val="18"/>
                <w:szCs w:val="18"/>
                <w:color w:val="auto"/>
                <w:w w:val="90"/>
              </w:rPr>
              <w:t>25.9%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5"/>
          </w:tcPr>
          <w:p>
            <w:pPr>
              <w:ind w:left="56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820" w:type="dxa"/>
            <w:vAlign w:val="bottom"/>
          </w:tcPr>
          <w:p>
            <w:pPr>
              <w:spacing w:after="0"/>
              <w:rPr>
                <w:sz w:val="18"/>
                <w:szCs w:val="18"/>
                <w:color w:val="auto"/>
              </w:rPr>
            </w:pPr>
          </w:p>
        </w:tc>
        <w:tc>
          <w:tcPr>
            <w:tcW w:w="162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0"/>
              </w:rPr>
              <w:t>September 30, 2020</w:t>
            </w:r>
          </w:p>
        </w:tc>
        <w:tc>
          <w:tcPr>
            <w:tcW w:w="15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September 30, 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72"/>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Pr>
          <w:p>
            <w:pPr>
              <w:spacing w:after="0"/>
              <w:rPr>
                <w:sz w:val="18"/>
                <w:szCs w:val="18"/>
                <w:color w:val="auto"/>
              </w:rPr>
            </w:pP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spacing w:after="0" w:line="226" w:lineRule="exact"/>
              <w:rPr>
                <w:sz w:val="20"/>
                <w:szCs w:val="20"/>
                <w:color w:val="auto"/>
              </w:rPr>
            </w:pPr>
            <w:r>
              <w:rPr>
                <w:rFonts w:ascii="Arial" w:cs="Arial" w:eastAsia="Arial" w:hAnsi="Arial"/>
                <w:sz w:val="18"/>
                <w:szCs w:val="18"/>
                <w:color w:val="auto"/>
              </w:rPr>
              <w:t>Transient keys rented</w:t>
            </w:r>
            <w:r>
              <w:rPr>
                <w:rFonts w:ascii="Arial" w:cs="Arial" w:eastAsia="Arial" w:hAnsi="Arial"/>
                <w:sz w:val="21"/>
                <w:szCs w:val="21"/>
                <w:color w:val="auto"/>
                <w:vertAlign w:val="superscript"/>
              </w:rPr>
              <w:t>(1)</w:t>
            </w: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816,404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1,835,916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(1,019,512)</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(56%)</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227.07</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229.95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(2.88)</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90"/>
              </w:rPr>
              <w:t>53.8%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0"/>
              </w:rPr>
              <w:t>88.3%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89"/>
              </w:rPr>
              <w:t>(34.5 pts)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9"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Transient keys rented exclude those occupied through the use of plus points and preview stays.</w:t>
      </w:r>
    </w:p>
    <w:p>
      <w:pPr>
        <w:spacing w:after="0" w:line="20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decline in rental margin resulted from a decline in keys rented due to the COVID-19 pandemic. Rental margin as of the end of February 2020 was nearly $4 million higher than the comparable period of 2019. In response to quickly evolving travel restrictions and restrictions on business operations, beginning March 25, 2020, we closed our resorts for rental guests with stays at our branded North America vacation ownership resorts. In late May, as many government restrictions were beginning to be relaxed, we began reopening resorts to rental guests. Since the end of the second quarter, we have reopened more resorts to rental guests and expect rental revenues to continue to increase from current levels.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Third Quarter</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3"/>
              </w:rPr>
              <w:t>September 30, 2020</w:t>
            </w: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September 30, 2019</w:t>
            </w:r>
          </w:p>
        </w:tc>
        <w:tc>
          <w:tcPr>
            <w:tcW w:w="12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ind w:left="34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(9%)</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Financing expenses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3"/>
              </w:rPr>
              <w:t>(10)</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jc w:val="center"/>
              <w:ind w:left="10"/>
              <w:spacing w:after="0"/>
              <w:rPr>
                <w:sz w:val="20"/>
                <w:szCs w:val="20"/>
                <w:color w:val="auto"/>
              </w:rPr>
            </w:pPr>
            <w:r>
              <w:rPr>
                <w:rFonts w:ascii="Arial" w:cs="Arial" w:eastAsia="Arial" w:hAnsi="Arial"/>
                <w:sz w:val="18"/>
                <w:szCs w:val="18"/>
                <w:color w:val="auto"/>
                <w:w w:val="79"/>
              </w:rPr>
              <w:t>1</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9%</w:t>
            </w:r>
          </w:p>
        </w:tc>
      </w:tr>
      <w:tr>
        <w:trPr>
          <w:trHeight w:val="23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financing 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(12)</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5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(24%)</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Financing margin</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(17%)</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Financing propensity</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66.1%</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Financing revenues decreased due to a $170 million decrease in the average net vacation ownership notes receivable balance resulting from the continued pay-down of the existing vacation ownership notes receivable portfolio without a corresponding increase from new loan originations. Financing expenses decreased due to lower salaries and wages associated with the furlough and reduced work week programs implemented as a result of the COVID-</w:t>
      </w:r>
    </w:p>
    <w:p>
      <w:pPr>
        <w:spacing w:after="0" w:line="2" w:lineRule="exact"/>
        <w:rPr>
          <w:sz w:val="20"/>
          <w:szCs w:val="20"/>
          <w:color w:val="auto"/>
        </w:rPr>
      </w:pPr>
    </w:p>
    <w:p>
      <w:pPr>
        <w:ind w:right="300"/>
        <w:spacing w:after="0" w:line="297" w:lineRule="auto"/>
        <w:rPr>
          <w:sz w:val="20"/>
          <w:szCs w:val="20"/>
          <w:color w:val="auto"/>
        </w:rPr>
      </w:pPr>
      <w:r>
        <w:rPr>
          <w:rFonts w:ascii="Arial" w:cs="Arial" w:eastAsia="Arial" w:hAnsi="Arial"/>
          <w:sz w:val="17"/>
          <w:szCs w:val="17"/>
          <w:color w:val="auto"/>
        </w:rPr>
        <w:t>19 pandemic. Higher consumer financing interest expense resulted from higher overall securitized debt balances</w:t>
      </w:r>
      <w:r>
        <w:rPr>
          <w:rFonts w:ascii="Arial" w:cs="Arial" w:eastAsia="Arial" w:hAnsi="Arial"/>
          <w:sz w:val="20"/>
          <w:szCs w:val="20"/>
          <w:color w:val="auto"/>
        </w:rPr>
        <w:t>.</w:t>
      </w:r>
      <w:r>
        <w:rPr>
          <w:rFonts w:ascii="Arial" w:cs="Arial" w:eastAsia="Arial" w:hAnsi="Arial"/>
          <w:sz w:val="17"/>
          <w:szCs w:val="17"/>
          <w:color w:val="auto"/>
        </w:rPr>
        <w:t xml:space="preserve"> The lower financing propensity in the third quarter of 2020 reflected the impact of the sales programs that incented cash purchases over financed purchases in the quarter.</w:t>
      </w:r>
    </w:p>
    <w:p>
      <w:pPr>
        <w:spacing w:after="0" w:line="13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Three Quarters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rPr>
              <w:t>Nine Months Ended</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September 30, 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52"/>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8"/>
                <w:szCs w:val="18"/>
                <w:color w:val="auto"/>
              </w:rPr>
            </w:pPr>
          </w:p>
        </w:tc>
        <w:tc>
          <w:tcPr>
            <w:tcW w:w="1420" w:type="dxa"/>
            <w:vAlign w:val="bottom"/>
          </w:tcPr>
          <w:p>
            <w:pPr>
              <w:ind w:left="34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204</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206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Financing expenses</w:t>
            </w:r>
          </w:p>
        </w:tc>
        <w:tc>
          <w:tcPr>
            <w:tcW w:w="300" w:type="dxa"/>
            <w:vAlign w:val="bottom"/>
          </w:tcPr>
          <w:p>
            <w:pPr>
              <w:spacing w:after="0"/>
              <w:rPr>
                <w:sz w:val="19"/>
                <w:szCs w:val="19"/>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w w:val="93"/>
              </w:rPr>
              <w:t>(40)</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w w:val="93"/>
              </w:rPr>
              <w:t>(24)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(66%)</w:t>
            </w:r>
          </w:p>
        </w:tc>
      </w:tr>
      <w:tr>
        <w:trPr>
          <w:trHeight w:val="22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financing 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93"/>
              </w:rPr>
              <w:t>(44)</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3"/>
              </w:rPr>
              <w:t>(40)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5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(10%)</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Financing margin</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(16%)</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Financing propensity</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ind w:right="120" w:firstLine="648"/>
        <w:spacing w:after="0" w:line="267" w:lineRule="auto"/>
        <w:rPr>
          <w:sz w:val="20"/>
          <w:szCs w:val="20"/>
          <w:color w:val="auto"/>
        </w:rPr>
      </w:pPr>
      <w:r>
        <w:rPr>
          <w:rFonts w:ascii="Arial" w:cs="Arial" w:eastAsia="Arial" w:hAnsi="Arial"/>
          <w:sz w:val="16"/>
          <w:szCs w:val="16"/>
          <w:color w:val="auto"/>
        </w:rPr>
        <w:t>Financing revenues decreased due to higher plus point finance incentive costs in the first nine months related to financing incentive programs we offered prior to the COVID-19 pandemic. The higher financing expenses included $16 million related to the higher reserve on the acquired vacation ownership notes receivable balance due primarily to higher estimated defaults as result of the COVID-19 pandemic and higher technology related costs year over year, partially offset by lower salaries and wages associated with the furlough and reduced work week programs in the current year. Higher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consumer financing interest expense resulted from higher overall securitized debt balances</w:t>
      </w:r>
      <w:r>
        <w:rPr>
          <w:rFonts w:ascii="Arial" w:cs="Arial" w:eastAsia="Arial" w:hAnsi="Arial"/>
          <w:sz w:val="21"/>
          <w:szCs w:val="21"/>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Third Quarter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12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0" w:type="dxa"/>
            <w:vAlign w:val="bottom"/>
          </w:tcPr>
          <w:p>
            <w:pPr>
              <w:spacing w:after="0"/>
              <w:rPr>
                <w:sz w:val="19"/>
                <w:szCs w:val="19"/>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Litigation charges</w:t>
            </w:r>
          </w:p>
        </w:tc>
        <w:tc>
          <w:tcPr>
            <w:tcW w:w="460" w:type="dxa"/>
            <w:vAlign w:val="bottom"/>
            <w:tcBorders>
              <w:top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(27%)</w:t>
            </w: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2020 First Three Quarters</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53"/>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Nine Months Ended</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3"/>
        </w:trPr>
        <w:tc>
          <w:tcPr>
            <w:tcW w:w="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12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0" w:type="dxa"/>
            <w:vAlign w:val="bottom"/>
          </w:tcPr>
          <w:p>
            <w:pPr>
              <w:spacing w:after="0"/>
              <w:rPr>
                <w:sz w:val="19"/>
                <w:szCs w:val="19"/>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Litigation charges</w:t>
            </w:r>
          </w:p>
        </w:tc>
        <w:tc>
          <w:tcPr>
            <w:tcW w:w="460" w:type="dxa"/>
            <w:vAlign w:val="bottom"/>
            <w:tcBorders>
              <w:top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w:t>
            </w: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Royalty Fee</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2020 Third Quarter</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1"/>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3"/>
        </w:trPr>
        <w:tc>
          <w:tcPr>
            <w:tcW w:w="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12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0" w:type="dxa"/>
            <w:vAlign w:val="bottom"/>
          </w:tcPr>
          <w:p>
            <w:pPr>
              <w:spacing w:after="0"/>
              <w:rPr>
                <w:sz w:val="19"/>
                <w:szCs w:val="19"/>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Royalty fee</w:t>
            </w:r>
          </w:p>
        </w:tc>
        <w:tc>
          <w:tcPr>
            <w:tcW w:w="460" w:type="dxa"/>
            <w:vAlign w:val="bottom"/>
            <w:tcBorders>
              <w:top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(4)</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w:t>
            </w:r>
          </w:p>
        </w:tc>
      </w:tr>
      <w:tr>
        <w:trPr>
          <w:trHeight w:val="418"/>
        </w:trPr>
        <w:tc>
          <w:tcPr>
            <w:tcW w:w="40" w:type="dxa"/>
            <w:vAlign w:val="bottom"/>
          </w:tcPr>
          <w:p>
            <w:pPr>
              <w:spacing w:after="0"/>
              <w:rPr>
                <w:sz w:val="24"/>
                <w:szCs w:val="24"/>
                <w:color w:val="auto"/>
              </w:rPr>
            </w:pPr>
          </w:p>
        </w:tc>
        <w:tc>
          <w:tcPr>
            <w:tcW w:w="11180" w:type="dxa"/>
            <w:vAlign w:val="bottom"/>
            <w:gridSpan w:val="11"/>
          </w:tcPr>
          <w:p>
            <w:pPr>
              <w:ind w:left="620"/>
              <w:spacing w:after="0"/>
              <w:rPr>
                <w:sz w:val="20"/>
                <w:szCs w:val="20"/>
                <w:color w:val="auto"/>
              </w:rPr>
            </w:pPr>
            <w:r>
              <w:rPr>
                <w:rFonts w:ascii="Arial" w:cs="Arial" w:eastAsia="Arial" w:hAnsi="Arial"/>
                <w:sz w:val="18"/>
                <w:szCs w:val="18"/>
                <w:color w:val="auto"/>
                <w:w w:val="93"/>
              </w:rPr>
              <w:t>Royalty fee expense declined in the third quarter of 2020 as a result of lower contract closings due to the lower contract sales compared to the</w:t>
            </w: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prior year quarter.</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2020 First Three Quarters</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18"/>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Nine Months Ended</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3"/>
        </w:trPr>
        <w:tc>
          <w:tcPr>
            <w:tcW w:w="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12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0" w:type="dxa"/>
            <w:vAlign w:val="bottom"/>
          </w:tcPr>
          <w:p>
            <w:pPr>
              <w:spacing w:after="0"/>
              <w:rPr>
                <w:sz w:val="19"/>
                <w:szCs w:val="19"/>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Royalty fee</w:t>
            </w:r>
          </w:p>
        </w:tc>
        <w:tc>
          <w:tcPr>
            <w:tcW w:w="460" w:type="dxa"/>
            <w:vAlign w:val="bottom"/>
            <w:tcBorders>
              <w:top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(7)</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w:t>
            </w: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Royalty fee expense declined in the first three quarters of 2020 as a result of lower contract closings due to the lower contract sales compared to the prior year comparable period.</w:t>
      </w:r>
    </w:p>
    <w:p>
      <w:pPr>
        <w:spacing w:after="0" w:line="1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Third Quarter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0" w:type="dxa"/>
            <w:vAlign w:val="bottom"/>
          </w:tcPr>
          <w:p>
            <w:pPr>
              <w:spacing w:after="0"/>
              <w:rPr>
                <w:sz w:val="19"/>
                <w:szCs w:val="19"/>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2020 First Three Quarters</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53"/>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3"/>
              </w:rPr>
              <w:t>Nine Months Ended</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3"/>
        </w:trPr>
        <w:tc>
          <w:tcPr>
            <w:tcW w:w="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0" w:type="dxa"/>
            <w:vAlign w:val="bottom"/>
          </w:tcPr>
          <w:p>
            <w:pPr>
              <w:spacing w:after="0"/>
              <w:rPr>
                <w:sz w:val="19"/>
                <w:szCs w:val="19"/>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Impairment</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2020 Third Quarter</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26"/>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3"/>
        </w:trPr>
        <w:tc>
          <w:tcPr>
            <w:tcW w:w="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0" w:type="dxa"/>
            <w:vAlign w:val="bottom"/>
          </w:tcPr>
          <w:p>
            <w:pPr>
              <w:spacing w:after="0"/>
              <w:rPr>
                <w:sz w:val="19"/>
                <w:szCs w:val="19"/>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w:t>
            </w:r>
          </w:p>
        </w:tc>
        <w:tc>
          <w:tcPr>
            <w:tcW w:w="460" w:type="dxa"/>
            <w:vAlign w:val="bottom"/>
            <w:tcBorders>
              <w:top w:val="single" w:sz="8" w:color="auto"/>
            </w:tcBorders>
            <w:gridSpan w:val="2"/>
            <w:shd w:val="clear" w:color="auto" w:fill="CCEEFF"/>
          </w:tcPr>
          <w:p>
            <w:pPr>
              <w:jc w:val="right"/>
              <w:ind w:right="28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(98%)</w:t>
            </w:r>
          </w:p>
        </w:tc>
      </w:tr>
    </w:tbl>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During the third quarter of 2020, we recorded a non-cash impairment of $1 million related to our Asia Pacific inventory as a result of the COVID-19 pandemic.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Three Quarters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6"/>
                <w:szCs w:val="16"/>
                <w:b w:val="1"/>
                <w:bCs w:val="1"/>
                <w:color w:val="auto"/>
              </w:rPr>
              <w:t>Nine Months Ended</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1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rPr>
              <w:t>(94%)</w:t>
            </w: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During the first three quarters of 2020, we recorded a non-cash impairment of $6 million related to our Asia Pacific inventory as a result of the COVID-19 pandemic.</w:t>
      </w:r>
    </w:p>
    <w:p>
      <w:pPr>
        <w:spacing w:after="0" w:line="62"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During the first three quarters of 2019, we recorded a non-cash impairment of $26 million as a result of entering into a contract to sell land and land improvements associated with a future phase of an existing resort located in Orlando, Florida for which the book value of the assets to be sold exceeded the sales price. This contract was subsequently terminated.</w:t>
      </w:r>
    </w:p>
    <w:p>
      <w:pPr>
        <w:spacing w:after="0" w:line="76"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As a result of the ILG Acquisition, we performed a comprehensive review to evaluate the strategic fit of the land holdings and operating hotels in our Vacation Ownership segment. During the third quarter of 2019, we completed our evaluation and identified several assets for disposition. As a result of the change in our development strategy, we recorded a non-cash impairment charge of $72 million during the third quarter of 2019. We also recorded a non-cash impairment of $1 million related to an ancillary asset located at a Vacation Ownership segment property in Europe.</w:t>
      </w:r>
    </w:p>
    <w:p>
      <w:pPr>
        <w:spacing w:after="0" w:line="14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Third Quarter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center"/>
              <w:ind w:left="55"/>
              <w:spacing w:after="0"/>
              <w:rPr>
                <w:sz w:val="20"/>
                <w:szCs w:val="20"/>
                <w:color w:val="auto"/>
              </w:rPr>
            </w:pPr>
            <w:r>
              <w:rPr>
                <w:rFonts w:ascii="Arial" w:cs="Arial" w:eastAsia="Arial" w:hAnsi="Arial"/>
                <w:sz w:val="16"/>
                <w:szCs w:val="16"/>
                <w:b w:val="1"/>
                <w:bCs w:val="1"/>
                <w:color w:val="auto"/>
                <w:w w:val="92"/>
              </w:rPr>
              <w:t>Three Months Ended</w:t>
            </w: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3"/>
              </w:rPr>
              <w:t>September 30, 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3"/>
              </w:rPr>
              <w:t>September 30, 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0" w:type="dxa"/>
            <w:vAlign w:val="bottom"/>
          </w:tcPr>
          <w:p>
            <w:pPr>
              <w:spacing w:after="0"/>
              <w:rPr>
                <w:sz w:val="19"/>
                <w:szCs w:val="19"/>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reimbursements</w:t>
            </w: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42"/>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2020 First Three Quarters</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53"/>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center"/>
              <w:ind w:left="55"/>
              <w:spacing w:after="0"/>
              <w:rPr>
                <w:sz w:val="20"/>
                <w:szCs w:val="20"/>
                <w:color w:val="auto"/>
              </w:rPr>
            </w:pPr>
            <w:r>
              <w:rPr>
                <w:rFonts w:ascii="Arial" w:cs="Arial" w:eastAsia="Arial" w:hAnsi="Arial"/>
                <w:sz w:val="16"/>
                <w:szCs w:val="16"/>
                <w:b w:val="1"/>
                <w:bCs w:val="1"/>
                <w:color w:val="auto"/>
                <w:w w:val="92"/>
              </w:rPr>
              <w:t>Nine Months Ended</w:t>
            </w: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3"/>
        </w:trPr>
        <w:tc>
          <w:tcPr>
            <w:tcW w:w="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3"/>
              </w:rPr>
              <w:t>September 30, 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3"/>
              </w:rPr>
              <w:t>September 30, 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0" w:type="dxa"/>
            <w:vAlign w:val="bottom"/>
          </w:tcPr>
          <w:p>
            <w:pPr>
              <w:spacing w:after="0"/>
              <w:rPr>
                <w:sz w:val="19"/>
                <w:szCs w:val="19"/>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reimbursements</w:t>
            </w: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42"/>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Gains / Losses and Other Income / Expense</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2020 Third Quarter</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18"/>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center"/>
              <w:ind w:left="35"/>
              <w:spacing w:after="0"/>
              <w:rPr>
                <w:sz w:val="20"/>
                <w:szCs w:val="20"/>
                <w:color w:val="auto"/>
              </w:rPr>
            </w:pPr>
            <w:r>
              <w:rPr>
                <w:rFonts w:ascii="Arial" w:cs="Arial" w:eastAsia="Arial" w:hAnsi="Arial"/>
                <w:sz w:val="16"/>
                <w:szCs w:val="16"/>
                <w:b w:val="1"/>
                <w:bCs w:val="1"/>
                <w:color w:val="auto"/>
                <w:w w:val="93"/>
              </w:rPr>
              <w:t>Three Months Ended</w:t>
            </w: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3"/>
        </w:trPr>
        <w:tc>
          <w:tcPr>
            <w:tcW w:w="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2"/>
              </w:rPr>
              <w:t>September 30, 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September 30,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0" w:type="dxa"/>
            <w:vAlign w:val="bottom"/>
          </w:tcPr>
          <w:p>
            <w:pPr>
              <w:spacing w:after="0"/>
              <w:rPr>
                <w:sz w:val="19"/>
                <w:szCs w:val="19"/>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Gains and other income, net</w:t>
            </w:r>
          </w:p>
        </w:tc>
        <w:tc>
          <w:tcPr>
            <w:tcW w:w="460" w:type="dxa"/>
            <w:vAlign w:val="bottom"/>
            <w:tcBorders>
              <w:top w:val="single" w:sz="8" w:color="auto"/>
            </w:tcBorders>
            <w:gridSpan w:val="2"/>
            <w:shd w:val="clear" w:color="auto" w:fill="CCEEFF"/>
          </w:tcPr>
          <w:p>
            <w:pPr>
              <w:jc w:val="right"/>
              <w:ind w:right="28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936%</w:t>
            </w: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the third quarter of 2020, we recorded $6 million of gains and other income related to the disposition of excess land parcels in Orlando, Florida and Steamboat Springs, Colorado.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Three Quarters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6"/>
                <w:szCs w:val="16"/>
                <w:b w:val="1"/>
                <w:bCs w:val="1"/>
                <w:color w:val="auto"/>
              </w:rPr>
              <w:t>Nine Months Ended</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3"/>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120" w:type="dxa"/>
            <w:vAlign w:val="bottom"/>
          </w:tcPr>
          <w:p>
            <w:pPr>
              <w:spacing w:after="0"/>
              <w:rPr>
                <w:sz w:val="18"/>
                <w:szCs w:val="18"/>
                <w:color w:val="auto"/>
              </w:rPr>
            </w:pPr>
          </w:p>
        </w:tc>
        <w:tc>
          <w:tcPr>
            <w:tcW w:w="1180" w:type="dxa"/>
            <w:vAlign w:val="bottom"/>
          </w:tcPr>
          <w:p>
            <w:pPr>
              <w:jc w:val="right"/>
              <w:ind w:right="95"/>
              <w:spacing w:after="0"/>
              <w:rPr>
                <w:sz w:val="20"/>
                <w:szCs w:val="20"/>
                <w:color w:val="auto"/>
              </w:rPr>
            </w:pPr>
            <w:r>
              <w:rPr>
                <w:rFonts w:ascii="Arial" w:cs="Arial" w:eastAsia="Arial" w:hAnsi="Arial"/>
                <w:sz w:val="16"/>
                <w:szCs w:val="16"/>
                <w:b w:val="1"/>
                <w:bCs w:val="1"/>
                <w:color w:val="auto"/>
              </w:rPr>
              <w:t>Change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Gains and other income, net</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95"/>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the first three quarters of 2020, we recorded $12 million of gains and other income including $6 million of gains and other income related to the disposition of excess land parcels in Orlando, Florida and Steamboat Springs, Colorado and $4 million of net insurance proceeds related to the settlement of Legacy-MVW business interruption insurance claims arising from a prior year hurricane.</w:t>
      </w:r>
    </w:p>
    <w:p>
      <w:pPr>
        <w:spacing w:after="0" w:line="18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In the first three quarters of 2019, we recorded $9 million of gains and other income related to net insurance proceeds from the settlement of Legacy-MVW business interruption insurance claims arising from prior year hurricanes.</w:t>
      </w:r>
    </w:p>
    <w:p>
      <w:pPr>
        <w:spacing w:after="0" w:line="1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&amp; Third-Party Management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right"/>
              <w:ind w:right="413"/>
              <w:spacing w:after="0"/>
              <w:rPr>
                <w:sz w:val="20"/>
                <w:szCs w:val="20"/>
                <w:color w:val="auto"/>
              </w:rPr>
            </w:pPr>
            <w:r>
              <w:rPr>
                <w:rFonts w:ascii="Arial" w:cs="Arial" w:eastAsia="Arial" w:hAnsi="Arial"/>
                <w:sz w:val="16"/>
                <w:szCs w:val="16"/>
                <w:b w:val="1"/>
                <w:bCs w:val="1"/>
                <w:color w:val="auto"/>
              </w:rPr>
              <w:t>Nine Months Ended</w:t>
            </w:r>
          </w:p>
        </w:tc>
        <w:tc>
          <w:tcPr>
            <w:tcW w:w="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5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5"/>
              </w:rPr>
              <w:t>September 30, 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gridSpan w:val="3"/>
          </w:tcPr>
          <w:p>
            <w:pPr>
              <w:ind w:left="80"/>
              <w:spacing w:after="0"/>
              <w:rPr>
                <w:sz w:val="20"/>
                <w:szCs w:val="20"/>
                <w:color w:val="auto"/>
              </w:rPr>
            </w:pPr>
            <w:r>
              <w:rPr>
                <w:rFonts w:ascii="Arial" w:cs="Arial" w:eastAsia="Arial" w:hAnsi="Arial"/>
                <w:sz w:val="16"/>
                <w:szCs w:val="16"/>
                <w:b w:val="1"/>
                <w:bCs w:val="1"/>
                <w:color w:val="auto"/>
                <w:w w:val="95"/>
              </w:rPr>
              <w:t>September 30, 2019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5"/>
          </w:tcPr>
          <w:p>
            <w:pPr>
              <w:ind w:left="80"/>
              <w:spacing w:after="0"/>
              <w:rPr>
                <w:sz w:val="20"/>
                <w:szCs w:val="20"/>
                <w:color w:val="auto"/>
              </w:rPr>
            </w:pPr>
            <w:r>
              <w:rPr>
                <w:rFonts w:ascii="Arial" w:cs="Arial" w:eastAsia="Arial" w:hAnsi="Arial"/>
                <w:sz w:val="16"/>
                <w:szCs w:val="16"/>
                <w:b w:val="1"/>
                <w:bCs w:val="1"/>
                <w:color w:val="auto"/>
              </w:rPr>
              <w:t>September 30, 2020</w:t>
            </w:r>
          </w:p>
        </w:tc>
        <w:tc>
          <w:tcPr>
            <w:tcW w:w="1520" w:type="dxa"/>
            <w:vAlign w:val="bottom"/>
            <w:gridSpan w:val="3"/>
          </w:tcPr>
          <w:p>
            <w:pPr>
              <w:ind w:left="80"/>
              <w:spacing w:after="0"/>
              <w:rPr>
                <w:sz w:val="20"/>
                <w:szCs w:val="20"/>
                <w:color w:val="auto"/>
              </w:rPr>
            </w:pPr>
            <w:r>
              <w:rPr>
                <w:rFonts w:ascii="Arial" w:cs="Arial" w:eastAsia="Arial" w:hAnsi="Arial"/>
                <w:sz w:val="16"/>
                <w:szCs w:val="16"/>
                <w:b w:val="1"/>
                <w:bCs w:val="1"/>
                <w:color w:val="auto"/>
                <w:w w:val="95"/>
              </w:rPr>
              <w:t>September 30, 2019</w:t>
            </w:r>
          </w:p>
        </w:tc>
        <w:tc>
          <w:tcPr>
            <w:tcW w:w="0" w:type="dxa"/>
            <w:vAlign w:val="bottom"/>
          </w:tcPr>
          <w:p>
            <w:pPr>
              <w:spacing w:after="0"/>
              <w:rPr>
                <w:sz w:val="1"/>
                <w:szCs w:val="1"/>
                <w:color w:val="auto"/>
              </w:rPr>
            </w:pPr>
          </w:p>
        </w:tc>
      </w:tr>
      <w:tr>
        <w:trPr>
          <w:trHeight w:val="212"/>
        </w:trPr>
        <w:tc>
          <w:tcPr>
            <w:tcW w:w="4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Management and exchange</w:t>
            </w: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9"/>
                <w:szCs w:val="19"/>
                <w:color w:val="auto"/>
              </w:rPr>
            </w:pPr>
          </w:p>
        </w:tc>
        <w:tc>
          <w:tcPr>
            <w:tcW w:w="1140" w:type="dxa"/>
            <w:vAlign w:val="bottom"/>
            <w:gridSpan w:val="3"/>
          </w:tcPr>
          <w:p>
            <w:pPr>
              <w:jc w:val="right"/>
              <w:ind w:right="83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9"/>
                <w:szCs w:val="19"/>
                <w:color w:val="auto"/>
              </w:rPr>
            </w:pPr>
          </w:p>
        </w:tc>
        <w:tc>
          <w:tcPr>
            <w:tcW w:w="340" w:type="dxa"/>
            <w:vAlign w:val="bottom"/>
            <w:gridSpan w:val="3"/>
          </w:tcPr>
          <w:p>
            <w:pPr>
              <w:jc w:val="right"/>
              <w:ind w:right="39"/>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right"/>
              <w:ind w:right="933"/>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3"/>
              </w:rPr>
              <w:t>232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Financing</w:t>
            </w:r>
          </w:p>
        </w:tc>
        <w:tc>
          <w:tcPr>
            <w:tcW w:w="3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reimbursements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tcPr>
          <w:p>
            <w:pPr>
              <w:ind w:left="40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351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Marketing and sales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 and exchange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Rental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Impairment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reimbursements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tcPr>
          <w:p>
            <w:pPr>
              <w:ind w:left="400"/>
              <w:spacing w:after="0"/>
              <w:rPr>
                <w:sz w:val="20"/>
                <w:szCs w:val="20"/>
                <w:color w:val="auto"/>
              </w:rPr>
            </w:pPr>
            <w:r>
              <w:rPr>
                <w:rFonts w:ascii="Arial" w:cs="Arial" w:eastAsia="Arial" w:hAnsi="Arial"/>
                <w:sz w:val="18"/>
                <w:szCs w:val="18"/>
                <w:b w:val="1"/>
                <w:bCs w:val="1"/>
                <w:color w:val="auto"/>
              </w:rPr>
              <w:t>TOTAL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shd w:val="clear" w:color="auto" w:fill="CCEEFF"/>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(Losses) gains and 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860" w:type="dxa"/>
            <w:vAlign w:val="bottom"/>
            <w:gridSpan w:val="2"/>
          </w:tcPr>
          <w:p>
            <w:pPr>
              <w:ind w:left="20"/>
              <w:spacing w:after="0" w:line="156" w:lineRule="exact"/>
              <w:rPr>
                <w:sz w:val="20"/>
                <w:szCs w:val="20"/>
                <w:color w:val="auto"/>
              </w:rPr>
            </w:pPr>
            <w:r>
              <w:rPr>
                <w:rFonts w:ascii="Arial" w:cs="Arial" w:eastAsia="Arial" w:hAnsi="Arial"/>
                <w:sz w:val="18"/>
                <w:szCs w:val="18"/>
                <w:b w:val="1"/>
                <w:bCs w:val="1"/>
                <w:color w:val="auto"/>
              </w:rPr>
              <w:t>SEGMENT FINANCIAL RESULTS ATTRIBUTABLE TO</w:t>
            </w:r>
          </w:p>
        </w:tc>
        <w:tc>
          <w:tcPr>
            <w:tcW w:w="300" w:type="dxa"/>
            <w:vAlign w:val="bottom"/>
            <w:vMerge w:val="restart"/>
          </w:tcPr>
          <w:p>
            <w:pPr>
              <w:jc w:val="right"/>
              <w:ind w:right="93"/>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3"/>
                <w:szCs w:val="13"/>
                <w:color w:val="auto"/>
              </w:rPr>
            </w:pPr>
          </w:p>
        </w:tc>
        <w:tc>
          <w:tcPr>
            <w:tcW w:w="1140" w:type="dxa"/>
            <w:vAlign w:val="bottom"/>
            <w:gridSpan w:val="3"/>
            <w:vMerge w:val="restart"/>
          </w:tcPr>
          <w:p>
            <w:pPr>
              <w:jc w:val="right"/>
              <w:ind w:right="839"/>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3"/>
                <w:szCs w:val="13"/>
                <w:color w:val="auto"/>
              </w:rPr>
            </w:pPr>
          </w:p>
        </w:tc>
        <w:tc>
          <w:tcPr>
            <w:tcW w:w="340" w:type="dxa"/>
            <w:vAlign w:val="bottom"/>
            <w:gridSpan w:val="3"/>
            <w:vMerge w:val="restart"/>
          </w:tcPr>
          <w:p>
            <w:pPr>
              <w:jc w:val="right"/>
              <w:ind w:right="39"/>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vMerge w:val="restart"/>
          </w:tcPr>
          <w:p>
            <w:pPr>
              <w:jc w:val="right"/>
              <w:ind w:right="933"/>
              <w:spacing w:after="0"/>
              <w:rPr>
                <w:sz w:val="20"/>
                <w:szCs w:val="20"/>
                <w:color w:val="auto"/>
              </w:rPr>
            </w:pPr>
            <w:r>
              <w:rPr>
                <w:rFonts w:ascii="Arial" w:cs="Arial" w:eastAsia="Arial" w:hAnsi="Arial"/>
                <w:sz w:val="18"/>
                <w:szCs w:val="18"/>
                <w:color w:val="auto"/>
                <w:w w:val="99"/>
              </w:rPr>
              <w:t>$</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w w:val="93"/>
              </w:rPr>
              <w:t>107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COMMON SHAREHOLDERS</w:t>
            </w:r>
          </w:p>
        </w:tc>
        <w:tc>
          <w:tcPr>
            <w:tcW w:w="30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Management and Exchange Margin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8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2020 Third Quarter</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29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5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2"/>
              </w:rPr>
              <w:t>September 30, 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September 30, 2019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4"/>
          </w:tcPr>
          <w:p>
            <w:pPr>
              <w:ind w:left="220"/>
              <w:spacing w:after="0"/>
              <w:rPr>
                <w:sz w:val="20"/>
                <w:szCs w:val="20"/>
                <w:color w:val="auto"/>
              </w:rPr>
            </w:pPr>
            <w:r>
              <w:rPr>
                <w:rFonts w:ascii="Arial" w:cs="Arial" w:eastAsia="Arial" w:hAnsi="Arial"/>
                <w:sz w:val="16"/>
                <w:szCs w:val="16"/>
                <w:b w:val="1"/>
                <w:bCs w:val="1"/>
                <w:color w:val="auto"/>
              </w:rPr>
              <w:t>Change</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and exchange revenue</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gridSpan w:val="2"/>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91"/>
              </w:rPr>
              <w:t>(33%)</w:t>
            </w:r>
          </w:p>
        </w:tc>
        <w:tc>
          <w:tcPr>
            <w:tcW w:w="340" w:type="dxa"/>
            <w:vAlign w:val="bottom"/>
            <w:tcBorders>
              <w:top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Management and exchange expense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center"/>
              <w:ind w:left="213"/>
              <w:spacing w:after="0"/>
              <w:rPr>
                <w:sz w:val="20"/>
                <w:szCs w:val="20"/>
                <w:color w:val="auto"/>
              </w:rPr>
            </w:pPr>
            <w:r>
              <w:rPr>
                <w:rFonts w:ascii="Arial" w:cs="Arial" w:eastAsia="Arial" w:hAnsi="Arial"/>
                <w:sz w:val="18"/>
                <w:szCs w:val="18"/>
                <w:color w:val="auto"/>
                <w:w w:val="92"/>
              </w:rPr>
              <w:t>6%</w:t>
            </w:r>
          </w:p>
        </w:tc>
        <w:tc>
          <w:tcPr>
            <w:tcW w:w="34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and exchange margin</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gridSpan w:val="2"/>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left="213"/>
              <w:spacing w:after="0"/>
              <w:rPr>
                <w:sz w:val="20"/>
                <w:szCs w:val="20"/>
                <w:color w:val="auto"/>
              </w:rPr>
            </w:pPr>
            <w:r>
              <w:rPr>
                <w:rFonts w:ascii="Arial" w:cs="Arial" w:eastAsia="Arial" w:hAnsi="Arial"/>
                <w:sz w:val="18"/>
                <w:szCs w:val="18"/>
                <w:color w:val="auto"/>
                <w:w w:val="91"/>
              </w:rPr>
              <w:t>(47%)</w:t>
            </w:r>
          </w:p>
        </w:tc>
        <w:tc>
          <w:tcPr>
            <w:tcW w:w="34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Management and exchange margin percentage</w:t>
            </w: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 w:type="dxa"/>
            <w:vAlign w:val="bottom"/>
          </w:tcPr>
          <w:p>
            <w:pPr>
              <w:spacing w:after="0"/>
              <w:rPr>
                <w:sz w:val="17"/>
                <w:szCs w:val="17"/>
                <w:color w:val="auto"/>
              </w:rPr>
            </w:pPr>
          </w:p>
        </w:tc>
        <w:tc>
          <w:tcPr>
            <w:tcW w:w="4800" w:type="dxa"/>
            <w:vAlign w:val="bottom"/>
            <w:tcBorders>
              <w:top w:val="single" w:sz="8" w:color="CCEEFF"/>
            </w:tcBorders>
            <w:vMerge w:val="continue"/>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431"/>
              <w:spacing w:after="0" w:line="204" w:lineRule="exact"/>
              <w:rPr>
                <w:sz w:val="20"/>
                <w:szCs w:val="20"/>
                <w:color w:val="auto"/>
              </w:rPr>
            </w:pPr>
            <w:r>
              <w:rPr>
                <w:rFonts w:ascii="Arial" w:cs="Arial" w:eastAsia="Arial" w:hAnsi="Arial"/>
                <w:sz w:val="18"/>
                <w:szCs w:val="18"/>
                <w:color w:val="auto"/>
              </w:rPr>
              <w:t>53.0%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Borders>
              <w:top w:val="single" w:sz="8" w:color="auto"/>
            </w:tcBorders>
            <w:gridSpan w:val="2"/>
          </w:tcPr>
          <w:p>
            <w:pPr>
              <w:jc w:val="right"/>
              <w:ind w:right="19"/>
              <w:spacing w:after="0" w:line="204" w:lineRule="exact"/>
              <w:rPr>
                <w:sz w:val="20"/>
                <w:szCs w:val="20"/>
                <w:color w:val="auto"/>
              </w:rPr>
            </w:pPr>
            <w:r>
              <w:rPr>
                <w:rFonts w:ascii="Arial" w:cs="Arial" w:eastAsia="Arial" w:hAnsi="Arial"/>
                <w:sz w:val="18"/>
                <w:szCs w:val="18"/>
                <w:color w:val="auto"/>
              </w:rPr>
              <w:t>66.8%</w:t>
            </w:r>
          </w:p>
        </w:tc>
        <w:tc>
          <w:tcPr>
            <w:tcW w:w="4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331"/>
              <w:spacing w:after="0" w:line="204" w:lineRule="exact"/>
              <w:rPr>
                <w:sz w:val="20"/>
                <w:szCs w:val="20"/>
                <w:color w:val="auto"/>
              </w:rPr>
            </w:pPr>
            <w:r>
              <w:rPr>
                <w:rFonts w:ascii="Arial" w:cs="Arial" w:eastAsia="Arial" w:hAnsi="Arial"/>
                <w:sz w:val="18"/>
                <w:szCs w:val="18"/>
                <w:color w:val="auto"/>
              </w:rPr>
              <w:t>(13.8 pts)</w:t>
            </w: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decline in management and exchange revenue and margin reflected lower management fees, exchange activity and lower average exchange transaction fees at Interval International, primarily due to the closure of a large number of affiliated resorts, and the fact that additional resorts stopped taking reservations, in response to the COVID-19 pandemic. In addition, Aqua-Aston was negatively impacted by travel restrictions that significantly impacted the majority of their properties in Hawaii. Lower management and exchange expense reflected lower costs associated with the furlough and reduced work week programs and lower print and postage costs.</w:t>
      </w:r>
    </w:p>
    <w:p>
      <w:pPr>
        <w:spacing w:after="0" w:line="18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While exchange revenues were down in the quarter, exchange transactions increased 1 percent as compared to the prior year quarter reflecting customers’ more recent desire to travel and pent up demand. More than 90 percent of Interval International’s affiliated resorts had reopened as of the end of the third quarter (compared to the second quarter when nearly 1,300 resorts were either closed or not taking reservations).</w:t>
      </w:r>
    </w:p>
    <w:p>
      <w:pPr>
        <w:spacing w:after="0" w:line="1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Three Quarters</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6"/>
                <w:szCs w:val="16"/>
                <w:b w:val="1"/>
                <w:bCs w:val="1"/>
                <w:color w:val="auto"/>
              </w:rPr>
              <w:t>Nine Months Ended</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412"/>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20" w:type="dxa"/>
            <w:vAlign w:val="bottom"/>
          </w:tcPr>
          <w:p>
            <w:pPr>
              <w:jc w:val="right"/>
              <w:ind w:right="31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and exchange revenue</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Management and exchange expense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20" w:type="dxa"/>
            <w:vAlign w:val="bottom"/>
            <w:tcBorders>
              <w:bottom w:val="single" w:sz="8" w:color="CCEEFF"/>
            </w:tcBorders>
            <w:gridSpan w:val="2"/>
          </w:tcPr>
          <w:p>
            <w:pPr>
              <w:jc w:val="right"/>
              <w:ind w:right="5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and exchange margin</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20" w:type="dxa"/>
            <w:vAlign w:val="bottom"/>
            <w:tcBorders>
              <w:bottom w:val="single" w:sz="8" w:color="CCEEFF"/>
            </w:tcBorders>
            <w:gridSpan w:val="2"/>
            <w:shd w:val="clear" w:color="auto" w:fill="CCEEFF"/>
          </w:tcPr>
          <w:p>
            <w:pPr>
              <w:jc w:val="right"/>
              <w:ind w:right="455"/>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Management and exchange margin percentage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432"/>
              <w:spacing w:after="0" w:line="204" w:lineRule="exact"/>
              <w:rPr>
                <w:sz w:val="20"/>
                <w:szCs w:val="20"/>
                <w:color w:val="auto"/>
              </w:rPr>
            </w:pPr>
            <w:r>
              <w:rPr>
                <w:rFonts w:ascii="Arial" w:cs="Arial" w:eastAsia="Arial" w:hAnsi="Arial"/>
                <w:sz w:val="18"/>
                <w:szCs w:val="18"/>
                <w:color w:val="auto"/>
              </w:rPr>
              <w:t>57.2%</w:t>
            </w:r>
          </w:p>
        </w:tc>
        <w:tc>
          <w:tcPr>
            <w:tcW w:w="100" w:type="dxa"/>
            <w:vAlign w:val="bottom"/>
          </w:tcPr>
          <w:p>
            <w:pPr>
              <w:spacing w:after="0"/>
              <w:rPr>
                <w:sz w:val="17"/>
                <w:szCs w:val="17"/>
                <w:color w:val="auto"/>
              </w:rPr>
            </w:pPr>
          </w:p>
        </w:tc>
        <w:tc>
          <w:tcPr>
            <w:tcW w:w="1080" w:type="dxa"/>
            <w:vAlign w:val="bottom"/>
          </w:tcPr>
          <w:p>
            <w:pPr>
              <w:jc w:val="right"/>
              <w:ind w:right="12"/>
              <w:spacing w:after="0" w:line="204" w:lineRule="exact"/>
              <w:rPr>
                <w:sz w:val="20"/>
                <w:szCs w:val="20"/>
                <w:color w:val="auto"/>
              </w:rPr>
            </w:pPr>
            <w:r>
              <w:rPr>
                <w:rFonts w:ascii="Arial" w:cs="Arial" w:eastAsia="Arial" w:hAnsi="Arial"/>
                <w:sz w:val="18"/>
                <w:szCs w:val="18"/>
                <w:color w:val="auto"/>
              </w:rPr>
              <w:t>66.9%</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372"/>
              <w:spacing w:after="0" w:line="204" w:lineRule="exact"/>
              <w:rPr>
                <w:sz w:val="20"/>
                <w:szCs w:val="20"/>
                <w:color w:val="auto"/>
              </w:rPr>
            </w:pPr>
            <w:r>
              <w:rPr>
                <w:rFonts w:ascii="Arial" w:cs="Arial" w:eastAsia="Arial" w:hAnsi="Arial"/>
                <w:sz w:val="18"/>
                <w:szCs w:val="18"/>
                <w:color w:val="auto"/>
              </w:rPr>
              <w:t>(9.7 pts)</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decline in management and exchange revenue and margin reflected lower exchange revenues and lower average exchange transaction fees at Interval International, primarily due to the closure of a large number of affiliated resorts, and the fact that additional resorts stopped taking reservations, in response to the COVID-19 pandemic. In addition, Aqua-Aston was negatively impacted by travel restrictions that significantly impacted the majority of their properties in Hawaii. Lower management and exchange expense reflected lower costs associated with the furlough and reduced work week programs and lower print and postage costs.</w:t>
      </w:r>
    </w:p>
    <w:p>
      <w:pPr>
        <w:spacing w:after="0" w:line="18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While exchange revenues were down in the first nine months, exchange transactions increased 1 percent in the third quarter as compared to the prior year quarter reflecting customers’ more recent desire to travel and pent up demand. More than 90 percent of Interval International’s affiliated resorts had reopened as of the end of the third quarter.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Third Quarter</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ind w:left="20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20" w:type="dxa"/>
            <w:vAlign w:val="bottom"/>
          </w:tcPr>
          <w:p>
            <w:pPr>
              <w:jc w:val="right"/>
              <w:ind w:right="31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center"/>
              <w:ind w:left="852"/>
              <w:spacing w:after="0"/>
              <w:rPr>
                <w:sz w:val="20"/>
                <w:szCs w:val="20"/>
                <w:color w:val="auto"/>
              </w:rPr>
            </w:pPr>
            <w:r>
              <w:rPr>
                <w:rFonts w:ascii="Arial" w:cs="Arial" w:eastAsia="Arial" w:hAnsi="Arial"/>
                <w:sz w:val="18"/>
                <w:szCs w:val="18"/>
                <w:color w:val="auto"/>
                <w:w w:val="90"/>
              </w:rPr>
              <w:t>(4)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expenses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892"/>
              <w:spacing w:after="0"/>
              <w:rPr>
                <w:sz w:val="20"/>
                <w:szCs w:val="20"/>
                <w:color w:val="auto"/>
              </w:rPr>
            </w:pPr>
            <w:r>
              <w:rPr>
                <w:rFonts w:ascii="Arial" w:cs="Arial" w:eastAsia="Arial" w:hAnsi="Arial"/>
                <w:sz w:val="18"/>
                <w:szCs w:val="18"/>
                <w:color w:val="auto"/>
                <w:w w:val="79"/>
              </w:rPr>
              <w:t>3</w:t>
            </w:r>
          </w:p>
        </w:tc>
        <w:tc>
          <w:tcPr>
            <w:tcW w:w="1620" w:type="dxa"/>
            <w:vAlign w:val="bottom"/>
            <w:tcBorders>
              <w:bottom w:val="single" w:sz="8" w:color="CCEEFF"/>
            </w:tcBorders>
            <w:gridSpan w:val="2"/>
          </w:tcPr>
          <w:p>
            <w:pPr>
              <w:jc w:val="right"/>
              <w:ind w:right="515"/>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margin</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center"/>
              <w:ind w:left="852"/>
              <w:spacing w:after="0"/>
              <w:rPr>
                <w:sz w:val="20"/>
                <w:szCs w:val="20"/>
                <w:color w:val="auto"/>
              </w:rPr>
            </w:pPr>
            <w:r>
              <w:rPr>
                <w:rFonts w:ascii="Arial" w:cs="Arial" w:eastAsia="Arial" w:hAnsi="Arial"/>
                <w:sz w:val="18"/>
                <w:szCs w:val="18"/>
                <w:color w:val="auto"/>
                <w:w w:val="90"/>
              </w:rPr>
              <w:t>(1)</w:t>
            </w:r>
          </w:p>
        </w:tc>
        <w:tc>
          <w:tcPr>
            <w:tcW w:w="1620" w:type="dxa"/>
            <w:vAlign w:val="bottom"/>
            <w:tcBorders>
              <w:bottom w:val="single" w:sz="8" w:color="CCEEFF"/>
            </w:tcBorders>
            <w:gridSpan w:val="2"/>
            <w:shd w:val="clear" w:color="auto" w:fill="CCEEFF"/>
          </w:tcPr>
          <w:p>
            <w:pPr>
              <w:jc w:val="right"/>
              <w:ind w:right="45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Rental margin percentage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432"/>
              <w:spacing w:after="0" w:line="204" w:lineRule="exact"/>
              <w:rPr>
                <w:sz w:val="20"/>
                <w:szCs w:val="20"/>
                <w:color w:val="auto"/>
              </w:rPr>
            </w:pPr>
            <w:r>
              <w:rPr>
                <w:rFonts w:ascii="Arial" w:cs="Arial" w:eastAsia="Arial" w:hAnsi="Arial"/>
                <w:sz w:val="18"/>
                <w:szCs w:val="18"/>
                <w:color w:val="auto"/>
              </w:rPr>
              <w:t>78.1%</w:t>
            </w:r>
          </w:p>
        </w:tc>
        <w:tc>
          <w:tcPr>
            <w:tcW w:w="100" w:type="dxa"/>
            <w:vAlign w:val="bottom"/>
          </w:tcPr>
          <w:p>
            <w:pPr>
              <w:spacing w:after="0"/>
              <w:rPr>
                <w:sz w:val="17"/>
                <w:szCs w:val="17"/>
                <w:color w:val="auto"/>
              </w:rPr>
            </w:pPr>
          </w:p>
        </w:tc>
        <w:tc>
          <w:tcPr>
            <w:tcW w:w="1120" w:type="dxa"/>
            <w:vAlign w:val="bottom"/>
          </w:tcPr>
          <w:p>
            <w:pPr>
              <w:jc w:val="right"/>
              <w:ind w:right="52"/>
              <w:spacing w:after="0" w:line="204" w:lineRule="exact"/>
              <w:rPr>
                <w:sz w:val="20"/>
                <w:szCs w:val="20"/>
                <w:color w:val="auto"/>
              </w:rPr>
            </w:pPr>
            <w:r>
              <w:rPr>
                <w:rFonts w:ascii="Arial" w:cs="Arial" w:eastAsia="Arial" w:hAnsi="Arial"/>
                <w:sz w:val="18"/>
                <w:szCs w:val="18"/>
                <w:color w:val="auto"/>
              </w:rPr>
              <w:t>54.9%</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ind w:left="180"/>
              <w:spacing w:after="0" w:line="204" w:lineRule="exact"/>
              <w:rPr>
                <w:sz w:val="20"/>
                <w:szCs w:val="20"/>
                <w:color w:val="auto"/>
              </w:rPr>
            </w:pPr>
            <w:r>
              <w:rPr>
                <w:rFonts w:ascii="Arial" w:cs="Arial" w:eastAsia="Arial" w:hAnsi="Arial"/>
                <w:sz w:val="18"/>
                <w:szCs w:val="18"/>
                <w:color w:val="auto"/>
              </w:rPr>
              <w:t>23.2 pts</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decline in rental revenue reflected lower Getaways program transactions and lower average Getaways program transaction fees driven by supply challenges in certain markets and fewer bookings into purchased inventory as well as cancellations and resort closures in response to the COVID-19 pandemic.</w:t>
      </w:r>
    </w:p>
    <w:p>
      <w:pPr>
        <w:spacing w:after="0" w:line="76"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 decline in rental margin reflected the declines in rental revenue, partially offset by a reduction in space procurement costs resulting from fewer bookings into purchased inventory and adjustments for cancellations and resorts closing for rental stays in response to the COVID-19 pandemic.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Three Quarters</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6"/>
                <w:szCs w:val="16"/>
                <w:b w:val="1"/>
                <w:bCs w:val="1"/>
                <w:color w:val="auto"/>
              </w:rPr>
              <w:t>Nine Months Ended</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3"/>
              </w:rPr>
              <w:t>September 30, 2020</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412"/>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20" w:type="dxa"/>
            <w:vAlign w:val="bottom"/>
          </w:tcPr>
          <w:p>
            <w:pPr>
              <w:jc w:val="right"/>
              <w:ind w:right="31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expenses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20" w:type="dxa"/>
            <w:vAlign w:val="bottom"/>
            <w:tcBorders>
              <w:bottom w:val="single" w:sz="8" w:color="CCEEFF"/>
            </w:tcBorders>
            <w:gridSpan w:val="2"/>
          </w:tcPr>
          <w:p>
            <w:pPr>
              <w:jc w:val="right"/>
              <w:ind w:right="515"/>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margin</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20" w:type="dxa"/>
            <w:vAlign w:val="bottom"/>
            <w:tcBorders>
              <w:bottom w:val="single" w:sz="8" w:color="CCEEFF"/>
            </w:tcBorders>
            <w:gridSpan w:val="2"/>
            <w:shd w:val="clear" w:color="auto" w:fill="CCEEFF"/>
          </w:tcPr>
          <w:p>
            <w:pPr>
              <w:jc w:val="right"/>
              <w:ind w:right="455"/>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Rental margin percentage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432"/>
              <w:spacing w:after="0" w:line="204" w:lineRule="exact"/>
              <w:rPr>
                <w:sz w:val="20"/>
                <w:szCs w:val="20"/>
                <w:color w:val="auto"/>
              </w:rPr>
            </w:pPr>
            <w:r>
              <w:rPr>
                <w:rFonts w:ascii="Arial" w:cs="Arial" w:eastAsia="Arial" w:hAnsi="Arial"/>
                <w:sz w:val="18"/>
                <w:szCs w:val="18"/>
                <w:color w:val="auto"/>
              </w:rPr>
              <w:t>72.8%</w:t>
            </w:r>
          </w:p>
        </w:tc>
        <w:tc>
          <w:tcPr>
            <w:tcW w:w="100" w:type="dxa"/>
            <w:vAlign w:val="bottom"/>
          </w:tcPr>
          <w:p>
            <w:pPr>
              <w:spacing w:after="0"/>
              <w:rPr>
                <w:sz w:val="17"/>
                <w:szCs w:val="17"/>
                <w:color w:val="auto"/>
              </w:rPr>
            </w:pPr>
          </w:p>
        </w:tc>
        <w:tc>
          <w:tcPr>
            <w:tcW w:w="1080" w:type="dxa"/>
            <w:vAlign w:val="bottom"/>
          </w:tcPr>
          <w:p>
            <w:pPr>
              <w:jc w:val="right"/>
              <w:ind w:right="12"/>
              <w:spacing w:after="0" w:line="204" w:lineRule="exact"/>
              <w:rPr>
                <w:sz w:val="20"/>
                <w:szCs w:val="20"/>
                <w:color w:val="auto"/>
              </w:rPr>
            </w:pPr>
            <w:r>
              <w:rPr>
                <w:rFonts w:ascii="Arial" w:cs="Arial" w:eastAsia="Arial" w:hAnsi="Arial"/>
                <w:sz w:val="18"/>
                <w:szCs w:val="18"/>
                <w:color w:val="auto"/>
              </w:rPr>
              <w:t>53.4%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92"/>
              <w:spacing w:after="0" w:line="204" w:lineRule="exact"/>
              <w:rPr>
                <w:sz w:val="20"/>
                <w:szCs w:val="20"/>
                <w:color w:val="auto"/>
              </w:rPr>
            </w:pPr>
            <w:r>
              <w:rPr>
                <w:rFonts w:ascii="Arial" w:cs="Arial" w:eastAsia="Arial" w:hAnsi="Arial"/>
                <w:sz w:val="18"/>
                <w:szCs w:val="18"/>
                <w:color w:val="auto"/>
              </w:rPr>
              <w:t>19.4 pts</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decline in rental revenue reflected lower Getaways program transactions and lower average Getaways program transaction fees as a result of resort closures in response to the COVID-19 pandemic.</w:t>
      </w:r>
    </w:p>
    <w:p>
      <w:pPr>
        <w:spacing w:after="0" w:line="62"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 decline in rental margin reflected the declines in rental revenue, partially offset by a reduction in space procurement costs resulting from fewer bookings into purchased inventory and adjustments for cancellations and resorts closing for rental stays in response to the COVID-19 pandemic.</w:t>
      </w:r>
    </w:p>
    <w:p>
      <w:pPr>
        <w:spacing w:after="0" w:line="11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Third Quarter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jc w:val="right"/>
              <w:ind w:right="196"/>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 in millions)</w:t>
            </w:r>
          </w:p>
        </w:tc>
        <w:tc>
          <w:tcPr>
            <w:tcW w:w="40" w:type="dxa"/>
            <w:vAlign w:val="bottom"/>
          </w:tcPr>
          <w:p>
            <w:pPr>
              <w:spacing w:after="0"/>
              <w:rPr>
                <w:sz w:val="18"/>
                <w:szCs w:val="18"/>
                <w:color w:val="auto"/>
              </w:rPr>
            </w:pPr>
          </w:p>
        </w:tc>
        <w:tc>
          <w:tcPr>
            <w:tcW w:w="158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w w:val="92"/>
              </w:rPr>
              <w:t>September 30, 2020</w:t>
            </w:r>
          </w:p>
        </w:tc>
        <w:tc>
          <w:tcPr>
            <w:tcW w:w="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September 30, 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ind w:right="56"/>
              <w:spacing w:after="0"/>
              <w:rPr>
                <w:sz w:val="20"/>
                <w:szCs w:val="20"/>
                <w:color w:val="auto"/>
              </w:rPr>
            </w:pPr>
            <w:r>
              <w:rPr>
                <w:rFonts w:ascii="Arial" w:cs="Arial" w:eastAsia="Arial" w:hAnsi="Arial"/>
                <w:sz w:val="16"/>
                <w:szCs w:val="16"/>
                <w:b w:val="1"/>
                <w:bCs w:val="1"/>
                <w:color w:val="auto"/>
              </w:rPr>
              <w:t>Change</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20" w:type="dxa"/>
            <w:vAlign w:val="bottom"/>
          </w:tcPr>
          <w:p>
            <w:pPr>
              <w:spacing w:after="0"/>
              <w:rPr>
                <w:sz w:val="18"/>
                <w:szCs w:val="18"/>
                <w:color w:val="auto"/>
              </w:rPr>
            </w:pPr>
          </w:p>
        </w:tc>
      </w:tr>
      <w:tr>
        <w:trPr>
          <w:trHeight w:val="223"/>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Impairment</w:t>
            </w:r>
          </w:p>
        </w:tc>
        <w:tc>
          <w:tcPr>
            <w:tcW w:w="480" w:type="dxa"/>
            <w:vAlign w:val="bottom"/>
            <w:tcBorders>
              <w:top w:val="single" w:sz="8" w:color="auto"/>
            </w:tcBorders>
            <w:gridSpan w:val="2"/>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gridSpan w:val="2"/>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20" w:type="dxa"/>
            <w:vAlign w:val="bottom"/>
          </w:tcPr>
          <w:p>
            <w:pPr>
              <w:spacing w:after="0"/>
              <w:rPr>
                <w:sz w:val="19"/>
                <w:szCs w:val="19"/>
                <w:color w:val="auto"/>
              </w:rPr>
            </w:pP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2020 First Three Quarters</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236"/>
              <w:spacing w:after="0"/>
              <w:rPr>
                <w:sz w:val="20"/>
                <w:szCs w:val="20"/>
                <w:color w:val="auto"/>
              </w:rPr>
            </w:pPr>
            <w:r>
              <w:rPr>
                <w:rFonts w:ascii="Arial" w:cs="Arial" w:eastAsia="Arial" w:hAnsi="Arial"/>
                <w:sz w:val="16"/>
                <w:szCs w:val="16"/>
                <w:b w:val="1"/>
                <w:bCs w:val="1"/>
                <w:color w:val="auto"/>
              </w:rPr>
              <w:t>Nine Months Ended</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Pr>
          <w:p>
            <w:pPr>
              <w:spacing w:after="0"/>
              <w:rPr>
                <w:sz w:val="18"/>
                <w:szCs w:val="18"/>
                <w:color w:val="auto"/>
              </w:rPr>
            </w:pPr>
          </w:p>
        </w:tc>
        <w:tc>
          <w:tcPr>
            <w:tcW w:w="1580" w:type="dxa"/>
            <w:vAlign w:val="bottom"/>
            <w:gridSpan w:val="4"/>
          </w:tcPr>
          <w:p>
            <w:pPr>
              <w:jc w:val="right"/>
              <w:ind w:right="160"/>
              <w:spacing w:after="0"/>
              <w:rPr>
                <w:sz w:val="20"/>
                <w:szCs w:val="20"/>
                <w:color w:val="auto"/>
              </w:rPr>
            </w:pPr>
            <w:r>
              <w:rPr>
                <w:rFonts w:ascii="Arial" w:cs="Arial" w:eastAsia="Arial" w:hAnsi="Arial"/>
                <w:sz w:val="16"/>
                <w:szCs w:val="16"/>
                <w:b w:val="1"/>
                <w:bCs w:val="1"/>
                <w:color w:val="auto"/>
                <w:w w:val="93"/>
              </w:rPr>
              <w:t>September 30, 2020</w:t>
            </w:r>
          </w:p>
        </w:tc>
        <w:tc>
          <w:tcPr>
            <w:tcW w:w="4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3"/>
              </w:rPr>
              <w:t>September 30, 2019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6"/>
                <w:szCs w:val="16"/>
                <w:b w:val="1"/>
                <w:bCs w:val="1"/>
                <w:color w:val="auto"/>
              </w:rPr>
              <w:t>Change</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20" w:type="dxa"/>
            <w:vAlign w:val="bottom"/>
          </w:tcPr>
          <w:p>
            <w:pPr>
              <w:spacing w:after="0"/>
              <w:rPr>
                <w:sz w:val="18"/>
                <w:szCs w:val="18"/>
                <w:color w:val="auto"/>
              </w:rPr>
            </w:pPr>
          </w:p>
        </w:tc>
      </w:tr>
      <w:tr>
        <w:trPr>
          <w:trHeight w:val="226"/>
        </w:trPr>
        <w:tc>
          <w:tcPr>
            <w:tcW w:w="40" w:type="dxa"/>
            <w:vAlign w:val="bottom"/>
          </w:tcPr>
          <w:p>
            <w:pPr>
              <w:spacing w:after="0"/>
              <w:rPr>
                <w:sz w:val="19"/>
                <w:szCs w:val="19"/>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w:t>
            </w:r>
          </w:p>
        </w:tc>
        <w:tc>
          <w:tcPr>
            <w:tcW w:w="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20" w:type="dxa"/>
            <w:vAlign w:val="bottom"/>
            <w:tcBorders>
              <w:top w:val="single" w:sz="8" w:color="auto"/>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During the first three quarters of 2020, we recorded a non-cash impairment charge of $92 million primarily related to a decrease in the fair value of Goodwill and certain trademarks resulting from the impact of the COVID-19 pandemic. See Footnote 10 “Goodwill and Intangibles” to our Financial Statements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 Losses and Other Income /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Third Quarter</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12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Arial" w:cs="Arial" w:eastAsia="Arial" w:hAnsi="Arial"/>
                <w:sz w:val="16"/>
                <w:szCs w:val="16"/>
                <w:b w:val="1"/>
                <w:bCs w:val="1"/>
                <w:color w:val="auto"/>
              </w:rPr>
              <w:t>Change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(Losses) gains and other (expense) income, net</w:t>
            </w:r>
          </w:p>
        </w:tc>
        <w:tc>
          <w:tcPr>
            <w:tcW w:w="460" w:type="dxa"/>
            <w:vAlign w:val="bottom"/>
            <w:tcBorders>
              <w:top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5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NM</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third quarter of 2020, we recorded a $5 million loss and other expense related to the disposition of a previously consolidated subsidiary.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Three Quarters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6"/>
                <w:szCs w:val="16"/>
                <w:b w:val="1"/>
                <w:bCs w:val="1"/>
                <w:color w:val="auto"/>
              </w:rPr>
              <w:t>Nine Months Ended</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12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Arial" w:cs="Arial" w:eastAsia="Arial" w:hAnsi="Arial"/>
                <w:sz w:val="16"/>
                <w:szCs w:val="16"/>
                <w:b w:val="1"/>
                <w:bCs w:val="1"/>
                <w:color w:val="auto"/>
              </w:rPr>
              <w:t>Change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(Losses) gains and other (expense) income, net</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5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NM</w:t>
            </w:r>
          </w:p>
        </w:tc>
      </w:tr>
    </w:tbl>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In the third quarter of 2020, we recorded a $5 million loss and other expense related to the disposition of a previously consolidated subsidiary.</w:t>
      </w:r>
    </w:p>
    <w:p>
      <w:pPr>
        <w:spacing w:after="0" w:line="2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2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Corporate and Other consists of results that are not allocable to our segments, including company-wide general and administrative costs, corporate interest expense, ILG acquisition-related costs and provision for income taxes. In addition, Corporate and Other includes the revenues and expenses from the Consolidated Property Owners’ Associations.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6"/>
                <w:szCs w:val="16"/>
                <w:b w:val="1"/>
                <w:bCs w:val="1"/>
                <w:color w:val="auto"/>
              </w:rPr>
              <w:t>Nine Months Ended</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2020</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2019</w:t>
            </w:r>
          </w:p>
        </w:tc>
        <w:tc>
          <w:tcPr>
            <w:tcW w:w="10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2020</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2019</w:t>
            </w:r>
          </w:p>
        </w:tc>
        <w:tc>
          <w:tcPr>
            <w:tcW w:w="0" w:type="dxa"/>
            <w:vAlign w:val="bottom"/>
          </w:tcPr>
          <w:p>
            <w:pPr>
              <w:spacing w:after="0"/>
              <w:rPr>
                <w:sz w:val="1"/>
                <w:szCs w:val="1"/>
                <w:color w:val="auto"/>
              </w:rPr>
            </w:pPr>
          </w:p>
        </w:tc>
      </w:tr>
      <w:tr>
        <w:trPr>
          <w:trHeight w:val="212"/>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Resort management and other services</w:t>
            </w:r>
          </w:p>
        </w:tc>
        <w:tc>
          <w:tcPr>
            <w:tcW w:w="460" w:type="dxa"/>
            <w:vAlign w:val="bottom"/>
          </w:tcPr>
          <w:p>
            <w:pPr>
              <w:jc w:val="right"/>
              <w:ind w:right="27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500" w:type="dxa"/>
            <w:vAlign w:val="bottom"/>
          </w:tcPr>
          <w:p>
            <w:pPr>
              <w:jc w:val="right"/>
              <w:ind w:right="293"/>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880" w:type="dxa"/>
            <w:vAlign w:val="bottom"/>
          </w:tcPr>
          <w:p>
            <w:pPr>
              <w:jc w:val="right"/>
              <w:ind w:right="673"/>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Financing</w:t>
            </w:r>
          </w:p>
        </w:tc>
        <w:tc>
          <w:tcPr>
            <w:tcW w:w="4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reimbursements</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TOTAL REVENUES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20"/>
              <w:spacing w:after="0"/>
              <w:rPr>
                <w:sz w:val="20"/>
                <w:szCs w:val="20"/>
                <w:color w:val="auto"/>
              </w:rPr>
            </w:pPr>
            <w:r>
              <w:rPr>
                <w:rFonts w:ascii="Arial" w:cs="Arial" w:eastAsia="Arial" w:hAnsi="Arial"/>
                <w:sz w:val="18"/>
                <w:szCs w:val="18"/>
                <w:color w:val="auto"/>
              </w:rPr>
              <w:t>Resort management and other services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Litigation charges</w:t>
            </w:r>
          </w:p>
        </w:tc>
        <w:tc>
          <w:tcPr>
            <w:tcW w:w="4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reimbursements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EXPENSES</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4880" w:type="dxa"/>
            <w:vAlign w:val="bottom"/>
          </w:tcPr>
          <w:p>
            <w:pPr>
              <w:ind w:left="220"/>
              <w:spacing w:after="0"/>
              <w:rPr>
                <w:sz w:val="20"/>
                <w:szCs w:val="20"/>
                <w:color w:val="auto"/>
              </w:rPr>
            </w:pPr>
            <w:r>
              <w:rPr>
                <w:rFonts w:ascii="Arial" w:cs="Arial" w:eastAsia="Arial" w:hAnsi="Arial"/>
                <w:sz w:val="18"/>
                <w:szCs w:val="18"/>
                <w:color w:val="auto"/>
              </w:rPr>
              <w:t>Losses and other expense, net</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ILG acquisition-related costs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55"/>
        </w:trPr>
        <w:tc>
          <w:tcPr>
            <w:tcW w:w="48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FINANCIAL RESULTS BEFORE INCOME TAXES AND</w:t>
            </w:r>
          </w:p>
        </w:tc>
        <w:tc>
          <w:tcPr>
            <w:tcW w:w="4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4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(provision) for income taxes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56"/>
        </w:trPr>
        <w:tc>
          <w:tcPr>
            <w:tcW w:w="48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FINANCIAL RESULTS BEFORE NONCONTROLLING</w:t>
            </w:r>
          </w:p>
        </w:tc>
        <w:tc>
          <w:tcPr>
            <w:tcW w:w="4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INTERESTS</w:t>
            </w:r>
          </w:p>
        </w:tc>
        <w:tc>
          <w:tcPr>
            <w:tcW w:w="4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5"/>
        </w:trPr>
        <w:tc>
          <w:tcPr>
            <w:tcW w:w="48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FINANCIAL RESULTS ATTRIBUTABLE TO COMMON</w:t>
            </w:r>
          </w:p>
        </w:tc>
        <w:tc>
          <w:tcPr>
            <w:tcW w:w="460" w:type="dxa"/>
            <w:vAlign w:val="bottom"/>
            <w:tcBorders>
              <w:top w:val="single" w:sz="8" w:color="auto"/>
            </w:tcBorders>
            <w:vMerge w:val="restart"/>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vMerge w:val="restart"/>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SHAREHOLDERS</w:t>
            </w: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Property Owners’ Associations</w:t>
      </w:r>
    </w:p>
    <w:p>
      <w:pPr>
        <w:spacing w:after="0" w:line="121"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 following table illustrates the impact of the Consolidated Property Owners’ Associations of the acquired Legacy-ILG vacation ownership properties under the voting interest model, which represents the portion related to individual or third-party VOI owners.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6"/>
                <w:szCs w:val="16"/>
                <w:b w:val="1"/>
                <w:bCs w:val="1"/>
                <w:color w:val="auto"/>
              </w:rPr>
              <w:t>Nine Months Ended</w:t>
            </w: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w w:val="93"/>
              </w:rPr>
              <w:t>September 30, 2020</w:t>
            </w:r>
          </w:p>
        </w:tc>
        <w:tc>
          <w:tcPr>
            <w:tcW w:w="100" w:type="dxa"/>
            <w:vAlign w:val="bottom"/>
          </w:tcPr>
          <w:p>
            <w:pPr>
              <w:spacing w:after="0"/>
              <w:rPr>
                <w:sz w:val="18"/>
                <w:szCs w:val="18"/>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5"/>
              </w:rPr>
              <w:t>September 30, 2019</w:t>
            </w:r>
          </w:p>
        </w:tc>
        <w:tc>
          <w:tcPr>
            <w:tcW w:w="100" w:type="dxa"/>
            <w:vAlign w:val="bottom"/>
          </w:tcPr>
          <w:p>
            <w:pPr>
              <w:spacing w:after="0"/>
              <w:rPr>
                <w:sz w:val="18"/>
                <w:szCs w:val="18"/>
                <w:color w:val="auto"/>
              </w:rPr>
            </w:pPr>
          </w:p>
        </w:tc>
        <w:tc>
          <w:tcPr>
            <w:tcW w:w="16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September 30, 2020</w:t>
            </w:r>
          </w:p>
        </w:tc>
        <w:tc>
          <w:tcPr>
            <w:tcW w:w="15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September 30, 2019</w:t>
            </w:r>
          </w:p>
        </w:tc>
        <w:tc>
          <w:tcPr>
            <w:tcW w:w="0" w:type="dxa"/>
            <w:vAlign w:val="bottom"/>
          </w:tcPr>
          <w:p>
            <w:pPr>
              <w:spacing w:after="0"/>
              <w:rPr>
                <w:sz w:val="1"/>
                <w:szCs w:val="1"/>
                <w:color w:val="auto"/>
              </w:rPr>
            </w:pPr>
          </w:p>
        </w:tc>
      </w:tr>
      <w:tr>
        <w:trPr>
          <w:trHeight w:val="212"/>
        </w:trPr>
        <w:tc>
          <w:tcPr>
            <w:tcW w:w="4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Resort management and other services</w:t>
            </w:r>
          </w:p>
        </w:tc>
        <w:tc>
          <w:tcPr>
            <w:tcW w:w="480" w:type="dxa"/>
            <w:vAlign w:val="bottom"/>
            <w:gridSpan w:val="2"/>
          </w:tcPr>
          <w:p>
            <w:pPr>
              <w:jc w:val="right"/>
              <w:ind w:right="279"/>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1040" w:type="dxa"/>
            <w:vAlign w:val="bottom"/>
            <w:gridSpan w:val="2"/>
          </w:tcPr>
          <w:p>
            <w:pPr>
              <w:jc w:val="right"/>
              <w:ind w:right="736"/>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40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Rental</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Cost reimbursements</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Rental</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reimbursements</w:t>
            </w: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tcPr>
          <w:p>
            <w:pPr>
              <w:ind w:left="420"/>
              <w:spacing w:after="0"/>
              <w:rPr>
                <w:sz w:val="20"/>
                <w:szCs w:val="20"/>
                <w:color w:val="auto"/>
              </w:rPr>
            </w:pPr>
            <w:r>
              <w:rPr>
                <w:rFonts w:ascii="Arial" w:cs="Arial" w:eastAsia="Arial" w:hAnsi="Arial"/>
                <w:sz w:val="18"/>
                <w:szCs w:val="18"/>
                <w:b w:val="1"/>
                <w:bCs w:val="1"/>
                <w:color w:val="auto"/>
              </w:rPr>
              <w:t>TOTAL EXPENSES</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86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FINANCIAL RESULTS BEFORE NONCONTROLLING</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INTERESTS</w:t>
            </w: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86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FINANCIAL RESULTS ATTRIBUTABLE TO COMMON</w:t>
            </w:r>
          </w:p>
        </w:tc>
        <w:tc>
          <w:tcPr>
            <w:tcW w:w="480" w:type="dxa"/>
            <w:vAlign w:val="bottom"/>
            <w:gridSpan w:val="2"/>
            <w:vMerge w:val="restart"/>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gridSpan w:val="2"/>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SHAREHOLDERS</w:t>
            </w:r>
          </w:p>
        </w:tc>
        <w:tc>
          <w:tcPr>
            <w:tcW w:w="48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General and Administrative</w:t>
            </w: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8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2020 Third Quarter</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8"/>
                <w:szCs w:val="18"/>
                <w:color w:val="auto"/>
              </w:rPr>
            </w:pPr>
          </w:p>
        </w:tc>
        <w:tc>
          <w:tcPr>
            <w:tcW w:w="1500" w:type="dxa"/>
            <w:vAlign w:val="bottom"/>
            <w:gridSpan w:val="3"/>
          </w:tcPr>
          <w:p>
            <w:pPr>
              <w:ind w:left="60"/>
              <w:spacing w:after="0"/>
              <w:rPr>
                <w:sz w:val="20"/>
                <w:szCs w:val="20"/>
                <w:color w:val="auto"/>
              </w:rPr>
            </w:pPr>
            <w:r>
              <w:rPr>
                <w:rFonts w:ascii="Arial" w:cs="Arial" w:eastAsia="Arial" w:hAnsi="Arial"/>
                <w:sz w:val="16"/>
                <w:szCs w:val="16"/>
                <w:b w:val="1"/>
                <w:bCs w:val="1"/>
                <w:color w:val="auto"/>
                <w:w w:val="95"/>
              </w:rPr>
              <w:t>September 30, 2020</w:t>
            </w:r>
          </w:p>
        </w:tc>
        <w:tc>
          <w:tcPr>
            <w:tcW w:w="1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88"/>
              </w:rPr>
              <w:t>Change</w:t>
            </w:r>
          </w:p>
        </w:tc>
        <w:tc>
          <w:tcPr>
            <w:tcW w:w="1140" w:type="dxa"/>
            <w:vAlign w:val="bottom"/>
          </w:tcPr>
          <w:p>
            <w:pPr>
              <w:jc w:val="center"/>
              <w:ind w:left="274"/>
              <w:spacing w:after="0"/>
              <w:rPr>
                <w:sz w:val="20"/>
                <w:szCs w:val="20"/>
                <w:color w:val="auto"/>
              </w:rPr>
            </w:pPr>
            <w:r>
              <w:rPr>
                <w:rFonts w:ascii="Arial" w:cs="Arial" w:eastAsia="Arial" w:hAnsi="Arial"/>
                <w:sz w:val="16"/>
                <w:szCs w:val="16"/>
                <w:b w:val="1"/>
                <w:bCs w:val="1"/>
                <w:color w:val="auto"/>
                <w:w w:val="95"/>
              </w:rPr>
              <w:t>% Change</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80" w:type="dxa"/>
            <w:vAlign w:val="bottom"/>
            <w:tcBorders>
              <w:top w:val="single" w:sz="8" w:color="auto"/>
            </w:tcBorders>
            <w:gridSpan w:val="2"/>
            <w:shd w:val="clear" w:color="auto" w:fill="CCEEFF"/>
          </w:tcPr>
          <w:p>
            <w:pPr>
              <w:jc w:val="right"/>
              <w:ind w:right="299"/>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ind w:left="254"/>
              <w:spacing w:after="0"/>
              <w:rPr>
                <w:sz w:val="20"/>
                <w:szCs w:val="20"/>
                <w:color w:val="auto"/>
              </w:rPr>
            </w:pPr>
            <w:r>
              <w:rPr>
                <w:rFonts w:ascii="Arial" w:cs="Arial" w:eastAsia="Arial" w:hAnsi="Arial"/>
                <w:sz w:val="18"/>
                <w:szCs w:val="18"/>
                <w:color w:val="auto"/>
                <w:w w:val="91"/>
              </w:rPr>
              <w:t>(42%)</w:t>
            </w:r>
          </w:p>
        </w:tc>
        <w:tc>
          <w:tcPr>
            <w:tcW w:w="36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General and administrative expenses decreased $25 million due to $13 million of savings related to synergy efforts and lower costs associated with the furlough and reduced work week programs, $3 million related to lower bonus expense, a $5 million credit related to the incentive under the CARES Act for companies to continue paying associates' benefit costs while they are not working, and $4 million of lower net overall spending across the business on technology, travel, training and other costs that we have deferred due to the COVID-19 pandemic.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Three Quarters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6"/>
                <w:szCs w:val="16"/>
                <w:b w:val="1"/>
                <w:bCs w:val="1"/>
                <w:color w:val="auto"/>
              </w:rPr>
              <w:t>Nine Months Ended</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3"/>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1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rPr>
              <w:t>(36%)</w:t>
            </w: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General and administrative expenses decreased $67 million due to $24 million of savings related to synergy efforts and lower costs associated with the furlough and reduced work week programs, $21 million related to lower bonus expense, an $11 million credit related to the incentive under the CARES Act for companies to continue paying associates' benefit costs while they are not working, and $18 million of lower net overall spending across the business on technology, travel, training and other costs that we have deferred due to the COVID-19 pandemic, partially offset by a $7 million accrual for health and welfare costs for furloughed associates.</w:t>
      </w:r>
    </w:p>
    <w:p>
      <w:pPr>
        <w:spacing w:after="0" w:line="17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Third Quarter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jc w:val="right"/>
              <w:ind w:right="195"/>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47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w w:val="93"/>
              </w:rPr>
              <w:t>September 30, 2020</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5"/>
              </w:rPr>
              <w:t>September 30, 2019</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Change</w:t>
            </w: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20" w:type="dxa"/>
            <w:vAlign w:val="bottom"/>
            <w:shd w:val="clear" w:color="auto" w:fill="CCEEFF"/>
          </w:tcPr>
          <w:p>
            <w:pPr>
              <w:spacing w:after="0"/>
              <w:rPr>
                <w:sz w:val="19"/>
                <w:szCs w:val="19"/>
                <w:color w:val="auto"/>
              </w:rPr>
            </w:pP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2020 First Three Quarters</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235"/>
              <w:spacing w:after="0"/>
              <w:rPr>
                <w:sz w:val="20"/>
                <w:szCs w:val="20"/>
                <w:color w:val="auto"/>
              </w:rPr>
            </w:pPr>
            <w:r>
              <w:rPr>
                <w:rFonts w:ascii="Arial" w:cs="Arial" w:eastAsia="Arial" w:hAnsi="Arial"/>
                <w:sz w:val="16"/>
                <w:szCs w:val="16"/>
                <w:b w:val="1"/>
                <w:bCs w:val="1"/>
                <w:color w:val="auto"/>
              </w:rPr>
              <w:t>Nine Months Ended</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40" w:type="dxa"/>
            <w:vAlign w:val="bottom"/>
          </w:tcPr>
          <w:p>
            <w:pPr>
              <w:spacing w:after="0"/>
              <w:rPr>
                <w:sz w:val="18"/>
                <w:szCs w:val="18"/>
                <w:color w:val="auto"/>
              </w:rPr>
            </w:pPr>
          </w:p>
        </w:tc>
        <w:tc>
          <w:tcPr>
            <w:tcW w:w="47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w w:val="93"/>
              </w:rPr>
              <w:t>September 30, 2020</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5"/>
              </w:rPr>
              <w:t>September 30, 2019</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Change</w:t>
            </w: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w:t>
            </w:r>
          </w:p>
        </w:tc>
        <w:tc>
          <w:tcPr>
            <w:tcW w:w="20" w:type="dxa"/>
            <w:vAlign w:val="bottom"/>
            <w:shd w:val="clear" w:color="auto" w:fill="CCEEFF"/>
          </w:tcPr>
          <w:p>
            <w:pPr>
              <w:spacing w:after="0"/>
              <w:rPr>
                <w:sz w:val="19"/>
                <w:szCs w:val="19"/>
                <w:color w:val="auto"/>
              </w:rPr>
            </w:pP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Gains / Losses and Other Income / Expense</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2020 Third Quarter</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215"/>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48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Pr>
          <w:p>
            <w:pPr>
              <w:spacing w:after="0"/>
              <w:rPr>
                <w:sz w:val="18"/>
                <w:szCs w:val="18"/>
                <w:color w:val="auto"/>
              </w:rPr>
            </w:pP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w w:val="96"/>
              </w:rPr>
              <w:t>September 30, 2020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September 30, 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ind w:left="460"/>
              <w:spacing w:after="0"/>
              <w:rPr>
                <w:sz w:val="20"/>
                <w:szCs w:val="20"/>
                <w:color w:val="auto"/>
              </w:rPr>
            </w:pPr>
            <w:r>
              <w:rPr>
                <w:rFonts w:ascii="Arial" w:cs="Arial" w:eastAsia="Arial" w:hAnsi="Arial"/>
                <w:sz w:val="16"/>
                <w:szCs w:val="16"/>
                <w:b w:val="1"/>
                <w:bCs w:val="1"/>
                <w:color w:val="auto"/>
              </w:rPr>
              <w:t>Change</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Losses and other expense, net</w:t>
            </w:r>
          </w:p>
        </w:tc>
        <w:tc>
          <w:tcPr>
            <w:tcW w:w="500" w:type="dxa"/>
            <w:vAlign w:val="bottom"/>
            <w:tcBorders>
              <w:top w:val="single" w:sz="8" w:color="auto"/>
            </w:tcBorders>
            <w:gridSpan w:val="2"/>
            <w:shd w:val="clear" w:color="auto" w:fill="CCEEFF"/>
          </w:tcPr>
          <w:p>
            <w:pPr>
              <w:jc w:val="right"/>
              <w:ind w:right="295"/>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gridSpan w:val="2"/>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87%</w:t>
            </w:r>
          </w:p>
        </w:tc>
        <w:tc>
          <w:tcPr>
            <w:tcW w:w="20" w:type="dxa"/>
            <w:vAlign w:val="bottom"/>
          </w:tcPr>
          <w:p>
            <w:pPr>
              <w:spacing w:after="0"/>
              <w:rPr>
                <w:sz w:val="19"/>
                <w:szCs w:val="19"/>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third quarter of 2020, we recorded a loss of $1 million driven mainly by foreign currency translation.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Three Quarters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6"/>
                <w:szCs w:val="16"/>
                <w:b w:val="1"/>
                <w:bCs w:val="1"/>
                <w:color w:val="auto"/>
              </w:rPr>
              <w:t>Nine Months Ended</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3"/>
        </w:trPr>
        <w:tc>
          <w:tcPr>
            <w:tcW w:w="4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2020</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2019</w:t>
            </w:r>
          </w:p>
        </w:tc>
        <w:tc>
          <w:tcPr>
            <w:tcW w:w="10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and other expense, net</w:t>
            </w:r>
          </w:p>
        </w:tc>
        <w:tc>
          <w:tcPr>
            <w:tcW w:w="50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rPr>
              <w:t>840%</w:t>
            </w: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first three quarters of 2020, we recorded a loss of $49 million, including $32 million for the true-up to an indemnification receivable from Marriott International as a result of the settlement of the indemnified liability with a taxing authority (the true-up to the offsetting accrual is included in the Benefit (provision) for income taxes line) and $24 million related to foreign currency translation, partially offset by $6 million of other income related to an indemnification from Marriott International for VAT penalties and interest.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Third Quarter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4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2020</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5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80" w:type="dxa"/>
            <w:vAlign w:val="bottom"/>
            <w:tcBorders>
              <w:top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(22%)</w:t>
            </w:r>
          </w:p>
        </w:tc>
        <w:tc>
          <w:tcPr>
            <w:tcW w:w="40" w:type="dxa"/>
            <w:vAlign w:val="bottom"/>
          </w:tcPr>
          <w:p>
            <w:pPr>
              <w:spacing w:after="0"/>
              <w:rPr>
                <w:sz w:val="19"/>
                <w:szCs w:val="19"/>
                <w:color w:val="auto"/>
              </w:rPr>
            </w:pPr>
          </w:p>
        </w:tc>
      </w:tr>
      <w:tr>
        <w:trPr>
          <w:trHeight w:val="432"/>
        </w:trPr>
        <w:tc>
          <w:tcPr>
            <w:tcW w:w="4820" w:type="dxa"/>
            <w:vAlign w:val="bottom"/>
          </w:tcPr>
          <w:p>
            <w:pPr>
              <w:spacing w:after="0"/>
              <w:rPr>
                <w:sz w:val="20"/>
                <w:szCs w:val="20"/>
                <w:color w:val="auto"/>
              </w:rPr>
            </w:pPr>
            <w:r>
              <w:rPr>
                <w:rFonts w:ascii="Arial" w:cs="Arial" w:eastAsia="Arial" w:hAnsi="Arial"/>
                <w:sz w:val="18"/>
                <w:szCs w:val="18"/>
                <w:i w:val="1"/>
                <w:iCs w:val="1"/>
                <w:color w:val="auto"/>
              </w:rPr>
              <w:t>2020 First Three Quarters</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48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6"/>
                <w:szCs w:val="16"/>
                <w:b w:val="1"/>
                <w:bCs w:val="1"/>
                <w:color w:val="auto"/>
              </w:rPr>
              <w:t>Nine Months Ended</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3"/>
        </w:trPr>
        <w:tc>
          <w:tcPr>
            <w:tcW w:w="4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2020</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5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80" w:type="dxa"/>
            <w:vAlign w:val="bottom"/>
            <w:tcBorders>
              <w:top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(13%)</w:t>
            </w:r>
          </w:p>
        </w:tc>
        <w:tc>
          <w:tcPr>
            <w:tcW w:w="40" w:type="dxa"/>
            <w:vAlign w:val="bottom"/>
          </w:tcPr>
          <w:p>
            <w:pPr>
              <w:spacing w:after="0"/>
              <w:rPr>
                <w:sz w:val="19"/>
                <w:szCs w:val="19"/>
                <w:color w:val="auto"/>
              </w:rPr>
            </w:pPr>
          </w:p>
        </w:tc>
      </w:tr>
      <w:tr>
        <w:trPr>
          <w:trHeight w:val="499"/>
        </w:trPr>
        <w:tc>
          <w:tcPr>
            <w:tcW w:w="4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ind w:right="214"/>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6"/>
        </w:trPr>
        <w:tc>
          <w:tcPr>
            <w:tcW w:w="48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ILG Acquisition-Related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Third Quarter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12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0" w:type="dxa"/>
            <w:vAlign w:val="bottom"/>
          </w:tcPr>
          <w:p>
            <w:pPr>
              <w:spacing w:after="0"/>
              <w:rPr>
                <w:sz w:val="19"/>
                <w:szCs w:val="19"/>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ILG acquisition-related costs</w:t>
            </w:r>
          </w:p>
        </w:tc>
        <w:tc>
          <w:tcPr>
            <w:tcW w:w="460" w:type="dxa"/>
            <w:vAlign w:val="bottom"/>
            <w:tcBorders>
              <w:top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64%</w:t>
            </w: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2020 First Three Quarters</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18"/>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6"/>
                <w:szCs w:val="16"/>
                <w:b w:val="1"/>
                <w:bCs w:val="1"/>
                <w:color w:val="auto"/>
              </w:rPr>
              <w:t>Nine Months Ended</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3"/>
        </w:trPr>
        <w:tc>
          <w:tcPr>
            <w:tcW w:w="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c>
          <w:tcPr>
            <w:tcW w:w="12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0" w:type="dxa"/>
            <w:vAlign w:val="bottom"/>
          </w:tcPr>
          <w:p>
            <w:pPr>
              <w:spacing w:after="0"/>
              <w:rPr>
                <w:sz w:val="19"/>
                <w:szCs w:val="19"/>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ILG acquisition-related costs</w:t>
            </w:r>
          </w:p>
        </w:tc>
        <w:tc>
          <w:tcPr>
            <w:tcW w:w="460" w:type="dxa"/>
            <w:vAlign w:val="bottom"/>
            <w:tcBorders>
              <w:top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53%</w:t>
            </w:r>
          </w:p>
        </w:tc>
      </w:tr>
    </w:tbl>
    <w:p>
      <w:pPr>
        <w:spacing w:after="0" w:line="256"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ILG acquisition-related costs include transaction costs, employee termination costs and integration costs. Transaction costs represent costs related to the planning and execution of the ILG Acquisition, primarily for financial advisory, legal, and other professional service fees, as well as certain tax related accruals. Employee termination costs represent charges for employee severance, retention and other termination related benefits. Acquisition and integration costs primarily represent integration employee salaries and share-based compensation, fees paid to change management consultants and technology-related costs. As a result of the COVID-19 pandemic, we have scaled back spending on integration efforts.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Third Quarter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3"/>
        </w:trPr>
        <w:tc>
          <w:tcPr>
            <w:tcW w:w="4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5"/>
              </w:rPr>
              <w:t>September 30, 2020</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2019</w:t>
            </w:r>
          </w:p>
        </w:tc>
        <w:tc>
          <w:tcPr>
            <w:tcW w:w="1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480" w:type="dxa"/>
            <w:vAlign w:val="bottom"/>
            <w:tcBorders>
              <w:top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rPr>
              <w:t>248%</w:t>
            </w: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change in the Benefit (provision) for income taxes is predominately attributable to benefits of the CARES Act and a pre-tax loss for the three months ended September 30, 2020 compared to pre-tax income for the three months ended September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Three Quarters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6"/>
                <w:szCs w:val="16"/>
                <w:b w:val="1"/>
                <w:bCs w:val="1"/>
                <w:color w:val="auto"/>
              </w:rPr>
              <w:t>Nine Months Ended</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3"/>
        </w:trPr>
        <w:tc>
          <w:tcPr>
            <w:tcW w:w="4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5"/>
              </w:rPr>
              <w:t>September 30, 2020</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2019</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50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rPr>
              <w:t>281%</w:t>
            </w:r>
          </w:p>
        </w:tc>
      </w:tr>
    </w:tbl>
    <w:p>
      <w:pPr>
        <w:spacing w:after="0" w:line="202" w:lineRule="exact"/>
        <w:rPr>
          <w:sz w:val="20"/>
          <w:szCs w:val="20"/>
          <w:color w:val="auto"/>
        </w:rPr>
      </w:pPr>
    </w:p>
    <w:p>
      <w:pPr>
        <w:ind w:right="580" w:firstLine="648"/>
        <w:spacing w:after="0" w:line="263" w:lineRule="auto"/>
        <w:rPr>
          <w:sz w:val="20"/>
          <w:szCs w:val="20"/>
          <w:color w:val="auto"/>
        </w:rPr>
      </w:pPr>
      <w:r>
        <w:rPr>
          <w:rFonts w:ascii="Arial" w:cs="Arial" w:eastAsia="Arial" w:hAnsi="Arial"/>
          <w:sz w:val="18"/>
          <w:szCs w:val="18"/>
          <w:color w:val="auto"/>
        </w:rPr>
        <w:t>The increase in the Benefit (provision) for income taxes is predominately attributable to a pre-tax loss, a reduction in uncertain tax benefits predominately related to a settlement with a taxing authority (for which an offset of $32 million relating to an indemnification asset from Marriott International is recorded in Losses and other expense, net), and benefits of the CARES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Third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gridSpan w:val="6"/>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89"/>
              </w:rPr>
              <w:t>September 30,</w:t>
            </w: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36"/>
              <w:spacing w:after="0" w:line="158" w:lineRule="exact"/>
              <w:rPr>
                <w:sz w:val="20"/>
                <w:szCs w:val="20"/>
                <w:color w:val="auto"/>
              </w:rPr>
            </w:pPr>
            <w:r>
              <w:rPr>
                <w:rFonts w:ascii="Arial" w:cs="Arial" w:eastAsia="Arial" w:hAnsi="Arial"/>
                <w:sz w:val="16"/>
                <w:szCs w:val="16"/>
                <w:b w:val="1"/>
                <w:bCs w:val="1"/>
                <w:color w:val="auto"/>
                <w:w w:val="89"/>
              </w:rPr>
              <w:t>September 30,</w:t>
            </w:r>
          </w:p>
        </w:tc>
        <w:tc>
          <w:tcPr>
            <w:tcW w:w="360" w:type="dxa"/>
            <w:vAlign w:val="bottom"/>
            <w:gridSpan w:val="2"/>
          </w:tcPr>
          <w:p>
            <w:pPr>
              <w:spacing w:after="0"/>
              <w:rPr>
                <w:sz w:val="13"/>
                <w:szCs w:val="13"/>
                <w:color w:val="auto"/>
              </w:rPr>
            </w:pPr>
          </w:p>
        </w:tc>
        <w:tc>
          <w:tcPr>
            <w:tcW w:w="106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Change</w:t>
            </w:r>
          </w:p>
        </w:tc>
        <w:tc>
          <w:tcPr>
            <w:tcW w:w="120" w:type="dxa"/>
            <w:vAlign w:val="bottom"/>
            <w:vMerge w:val="restart"/>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10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020" w:type="dxa"/>
            <w:vAlign w:val="bottom"/>
          </w:tcPr>
          <w:p>
            <w:pPr>
              <w:spacing w:after="0"/>
              <w:rPr>
                <w:sz w:val="21"/>
                <w:szCs w:val="21"/>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Net income attributable to noncontrolling interests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(1,483%)</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10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First Three Quarters</w:t>
      </w:r>
    </w:p>
    <w:p>
      <w:pPr>
        <w:spacing w:after="0" w:line="307" w:lineRule="exact"/>
        <w:rPr>
          <w:sz w:val="20"/>
          <w:szCs w:val="20"/>
          <w:color w:val="auto"/>
        </w:rPr>
      </w:pPr>
    </w:p>
    <w:tbl>
      <w:tblPr>
        <w:tblLayout w:type="fixed"/>
        <w:tblInd w:w="1020" w:type="dxa"/>
        <w:tblCellMar>
          <w:top w:w="0" w:type="dxa"/>
          <w:left w:w="0" w:type="dxa"/>
          <w:bottom w:w="0" w:type="dxa"/>
          <w:right w:w="0" w:type="dxa"/>
        </w:tblCellMar>
      </w:tblPr>
      <w:tr>
        <w:trPr>
          <w:trHeight w:val="213"/>
        </w:trPr>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5"/>
          </w:tcPr>
          <w:p>
            <w:pPr>
              <w:ind w:left="54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89"/>
              </w:rPr>
              <w:t>September 30,</w:t>
            </w: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56"/>
              <w:spacing w:after="0" w:line="158" w:lineRule="exact"/>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Change</w:t>
            </w:r>
          </w:p>
        </w:tc>
        <w:tc>
          <w:tcPr>
            <w:tcW w:w="140" w:type="dxa"/>
            <w:vAlign w:val="bottom"/>
            <w:vMerge w:val="restart"/>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1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Net income attributable to noncontrolling interests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Footnote 2 “Significant Accounting Policies and Recent Accounting Standards” to our Financial Statements for a discussion of recently issued accounting pronouncements, including information on new accounting standards and the future adoption of such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Typically, our capital needs are supported by cash on hand ($660 million at the end of the third quarter of 2020), cash generated from operations, our ability to raise capital through securitizations in the ABS market and, to the extent necessary, funds available under the Warehouse Credit Facility and the Revolving Corporate Credit Facility with a borrowing capacity of $600 million.</w:t>
      </w:r>
    </w:p>
    <w:p>
      <w:pPr>
        <w:spacing w:after="0" w:line="7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a precautionary measure to provide additional liquidity for a sustained period, during the second quarter of 2020, we issued $500 million in aggregate principal amount of senior secured notes and we amended our Warehouse Credit Facility to temporarily increase the borrowing capacity by approximately $181 million, bringing the total capacity to approximately $531 million. During the third quarter of 2020, we terminated the additional $181 million capacity of the Warehouse Credit Facility.</w:t>
      </w:r>
    </w:p>
    <w:p>
      <w:pPr>
        <w:spacing w:after="0" w:line="79"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We also entered into the Waiver to suspend the requirement to comply with the leverage covenant in our Revolving Corporate Credit Facility for up to four quarters, commencing with the fiscal quarter ending June 30, 2020. See Footnote 13 “Debt” to our Financial Statements for further information on the Waiver. In addition, during the second quarter of 2020, we repaid $596 million, the entire amount outstanding at March 31, 2020, on the Revolving Corporate Credit Facility.</w:t>
      </w:r>
    </w:p>
    <w:p>
      <w:pPr>
        <w:spacing w:after="0" w:line="7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took proactive measures to help increase our liquidity position and preserve financial flexibility in light of the impact on global markets resulting from the COVID-19 pandemic. Measures currently in place include:</w:t>
      </w:r>
    </w:p>
    <w:p>
      <w:pPr>
        <w:spacing w:after="0" w:line="8"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Reducing executive and senior leadership team salaries;</w:t>
      </w:r>
    </w:p>
    <w:p>
      <w:pPr>
        <w:spacing w:after="0" w:line="63" w:lineRule="exact"/>
        <w:rPr>
          <w:rFonts w:ascii="Arial" w:cs="Arial" w:eastAsia="Arial" w:hAnsi="Arial"/>
          <w:sz w:val="18"/>
          <w:szCs w:val="18"/>
          <w:color w:val="auto"/>
        </w:rPr>
      </w:pPr>
    </w:p>
    <w:p>
      <w:pPr>
        <w:ind w:left="980" w:right="380" w:hanging="324"/>
        <w:spacing w:after="0" w:line="263" w:lineRule="auto"/>
        <w:tabs>
          <w:tab w:leader="none" w:pos="976"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Furloughing, in the second quarter, approximately 65% of our associates and reducing work weeks by roughly 25%, on average, for our remaining associates. As of the end of the third quarter, approximately 45% of our associates remain on furlough or have a reduced work week or reduced pay.</w:t>
      </w:r>
    </w:p>
    <w:p>
      <w:pPr>
        <w:spacing w:after="0" w:line="35" w:lineRule="exact"/>
        <w:rPr>
          <w:rFonts w:ascii="Arial" w:cs="Arial" w:eastAsia="Arial" w:hAnsi="Arial"/>
          <w:sz w:val="18"/>
          <w:szCs w:val="18"/>
          <w:color w:val="auto"/>
        </w:rPr>
      </w:pPr>
    </w:p>
    <w:p>
      <w:pPr>
        <w:ind w:left="980" w:right="260" w:hanging="324"/>
        <w:spacing w:after="0" w:line="250" w:lineRule="auto"/>
        <w:tabs>
          <w:tab w:leader="none" w:pos="969" w:val="left"/>
        </w:tabs>
        <w:numPr>
          <w:ilvl w:val="0"/>
          <w:numId w:val="37"/>
        </w:numPr>
        <w:rPr>
          <w:rFonts w:ascii="Arial" w:cs="Arial" w:eastAsia="Arial" w:hAnsi="Arial"/>
          <w:sz w:val="20"/>
          <w:szCs w:val="20"/>
          <w:color w:val="auto"/>
        </w:rPr>
      </w:pPr>
      <w:r>
        <w:rPr>
          <w:rFonts w:ascii="Arial" w:cs="Arial" w:eastAsia="Arial" w:hAnsi="Arial"/>
          <w:sz w:val="18"/>
          <w:szCs w:val="18"/>
          <w:color w:val="auto"/>
        </w:rPr>
        <w:t>Deferring inventory and other investments, substantially reducing other operating costs, and temporarily suspending share repurchases and dividends, all of which is expected to save up to $300 million of cash in 2020;</w:t>
      </w:r>
    </w:p>
    <w:p>
      <w:pPr>
        <w:spacing w:after="0" w:line="30" w:lineRule="exact"/>
        <w:rPr>
          <w:rFonts w:ascii="Arial" w:cs="Arial" w:eastAsia="Arial" w:hAnsi="Arial"/>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Approving a workforce reduction plan, which is currently expected to impact approximately 3,000 associates.</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began reopening our sales centers and allowing rentals / transient occupancy at our vacation ownership resorts in the second quarter of 2020 and have continued to do so to date. We believe these actions will enable us to generate additional revenue as we continue throughout 2020. However, even if we are required to close sales centers and limit rentals / transient occupancy at our resorts again, we believe we have adequate liquidity to fund our operations and debt service payments through at least 2021.</w:t>
      </w:r>
    </w:p>
    <w:p>
      <w:pPr>
        <w:spacing w:after="0" w:line="7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At September 30, 2020, we had $4.5 billion of total gross debt outstanding, which included $1.8 billion of non-recourse debt associated with vacation ownership notes receivable securitizations, $1.1 billion of senior unsecured notes, $0.9 billion of debt under our Corporate Credit Facility, $500 million of senior secured notes, $230 million of Convertible Notes and $9 million related to finance lease obligations.</w:t>
      </w:r>
    </w:p>
    <w:p>
      <w:pPr>
        <w:spacing w:after="0" w:line="57"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At September 30, 2020, we had $751 million of completed real estate inventory on hand. In addition, we had $173 million of completed vacation ownership units that have been classified as a component of Property and equipment until the time at which they are legally registered and held for sale as vacation ownership products.</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cash, cash equivalents and restricted cash:</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113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2020</w:t>
            </w:r>
          </w:p>
        </w:tc>
        <w:tc>
          <w:tcPr>
            <w:tcW w:w="180" w:type="dxa"/>
            <w:vAlign w:val="bottom"/>
          </w:tcPr>
          <w:p>
            <w:pPr>
              <w:spacing w:after="0"/>
              <w:rPr>
                <w:sz w:val="18"/>
                <w:szCs w:val="18"/>
                <w:color w:val="auto"/>
              </w:rPr>
            </w:pPr>
          </w:p>
        </w:tc>
        <w:tc>
          <w:tcPr>
            <w:tcW w:w="1680" w:type="dxa"/>
            <w:vAlign w:val="bottom"/>
          </w:tcPr>
          <w:p>
            <w:pPr>
              <w:jc w:val="right"/>
              <w:ind w:right="152"/>
              <w:spacing w:after="0"/>
              <w:rPr>
                <w:sz w:val="20"/>
                <w:szCs w:val="20"/>
                <w:color w:val="auto"/>
              </w:rPr>
            </w:pPr>
            <w:r>
              <w:rPr>
                <w:rFonts w:ascii="Arial" w:cs="Arial" w:eastAsia="Arial" w:hAnsi="Arial"/>
                <w:sz w:val="16"/>
                <w:szCs w:val="16"/>
                <w:b w:val="1"/>
                <w:bCs w:val="1"/>
                <w:color w:val="auto"/>
                <w:w w:val="95"/>
              </w:rPr>
              <w:t>September 30, 2019</w:t>
            </w:r>
          </w:p>
        </w:tc>
      </w:tr>
      <w:tr>
        <w:trPr>
          <w:trHeight w:val="212"/>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provided by (used in):</w:t>
            </w:r>
          </w:p>
        </w:tc>
        <w:tc>
          <w:tcPr>
            <w:tcW w:w="1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740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40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30"/>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change in exchange rates on cash, cash equivalents and restricted cash</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400" w:type="dxa"/>
            <w:vAlign w:val="bottom"/>
          </w:tcPr>
          <w:p>
            <w:pPr>
              <w:ind w:left="460"/>
              <w:spacing w:after="0"/>
              <w:rPr>
                <w:sz w:val="20"/>
                <w:szCs w:val="20"/>
                <w:color w:val="auto"/>
              </w:rPr>
            </w:pPr>
            <w:r>
              <w:rPr>
                <w:rFonts w:ascii="Arial" w:cs="Arial" w:eastAsia="Arial" w:hAnsi="Arial"/>
                <w:sz w:val="18"/>
                <w:szCs w:val="18"/>
                <w:color w:val="auto"/>
              </w:rPr>
              <w:t>Net change in cash, cash equivalents and restricted cash</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1"/>
        </w:trPr>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Operating Activities</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 Outflows include spending for the development of new phases of existing resorts, the acquisition of additional inventory, enhancement of our inventory exchange network of resorts and related technology infrastructure and funding our working capital needs.</w:t>
      </w:r>
    </w:p>
    <w:p>
      <w:pPr>
        <w:spacing w:after="0" w:line="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or recording of sales contracts for vacation ownership products, financing propensity and cash outlays for inventory acquisition and development.</w:t>
      </w:r>
    </w:p>
    <w:p>
      <w:pPr>
        <w:spacing w:after="0" w:line="8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the first three quarters of 2020, we had $158 million of cash inflows for operating activities, compared to $180 million in the first three quarters of 2019. Excluding the impact of changes in net (loss) income and adjustments for non-cash items, the change in cash flows from operations reflected lower operational expenses combined with lower sales and rentals deposits due to the COVID-19 pandemic, partially offset by lower inventory spending and higher collections of outstanding vacation ownership notes receivable.</w:t>
      </w:r>
    </w:p>
    <w:p>
      <w:pPr>
        <w:spacing w:after="0" w:line="7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 addition to net (loss) income and adjustments for non-cash items, the following operating activities are key drivers of our cash flow from operating activities: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Inventory Spending (In Excess of) Less Than Cost of Sales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113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2020</w:t>
            </w:r>
          </w:p>
        </w:tc>
        <w:tc>
          <w:tcPr>
            <w:tcW w:w="180" w:type="dxa"/>
            <w:vAlign w:val="bottom"/>
          </w:tcPr>
          <w:p>
            <w:pPr>
              <w:spacing w:after="0"/>
              <w:rPr>
                <w:sz w:val="18"/>
                <w:szCs w:val="18"/>
                <w:color w:val="auto"/>
              </w:rPr>
            </w:pPr>
          </w:p>
        </w:tc>
        <w:tc>
          <w:tcPr>
            <w:tcW w:w="1680" w:type="dxa"/>
            <w:vAlign w:val="bottom"/>
          </w:tcPr>
          <w:p>
            <w:pPr>
              <w:jc w:val="right"/>
              <w:ind w:right="152"/>
              <w:spacing w:after="0"/>
              <w:rPr>
                <w:sz w:val="20"/>
                <w:szCs w:val="20"/>
                <w:color w:val="auto"/>
              </w:rPr>
            </w:pPr>
            <w:r>
              <w:rPr>
                <w:rFonts w:ascii="Arial" w:cs="Arial" w:eastAsia="Arial" w:hAnsi="Arial"/>
                <w:sz w:val="16"/>
                <w:szCs w:val="16"/>
                <w:b w:val="1"/>
                <w:bCs w:val="1"/>
                <w:color w:val="auto"/>
                <w:w w:val="95"/>
              </w:rPr>
              <w:t>September 30, 2019</w:t>
            </w:r>
          </w:p>
        </w:tc>
      </w:tr>
      <w:tr>
        <w:trPr>
          <w:trHeight w:val="226"/>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spending</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center"/>
              <w:ind w:left="1233"/>
              <w:spacing w:after="0"/>
              <w:rPr>
                <w:sz w:val="20"/>
                <w:szCs w:val="20"/>
                <w:color w:val="auto"/>
              </w:rPr>
            </w:pPr>
            <w:r>
              <w:rPr>
                <w:rFonts w:ascii="Arial" w:cs="Arial" w:eastAsia="Arial" w:hAnsi="Arial"/>
                <w:sz w:val="18"/>
                <w:szCs w:val="18"/>
                <w:color w:val="auto"/>
                <w:w w:val="93"/>
              </w:rPr>
              <w:t>(88)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180" w:type="dxa"/>
            <w:vAlign w:val="bottom"/>
          </w:tcPr>
          <w:p>
            <w:pPr>
              <w:spacing w:after="0"/>
              <w:rPr>
                <w:sz w:val="19"/>
                <w:szCs w:val="19"/>
                <w:color w:val="auto"/>
              </w:rPr>
            </w:pPr>
          </w:p>
        </w:tc>
        <w:tc>
          <w:tcPr>
            <w:tcW w:w="1660" w:type="dxa"/>
            <w:vAlign w:val="bottom"/>
          </w:tcPr>
          <w:p>
            <w:pPr>
              <w:jc w:val="center"/>
              <w:ind w:left="1233"/>
              <w:spacing w:after="0"/>
              <w:rPr>
                <w:sz w:val="20"/>
                <w:szCs w:val="20"/>
                <w:color w:val="auto"/>
              </w:rPr>
            </w:pPr>
            <w:r>
              <w:rPr>
                <w:rFonts w:ascii="Arial" w:cs="Arial" w:eastAsia="Arial" w:hAnsi="Arial"/>
                <w:sz w:val="18"/>
                <w:szCs w:val="18"/>
                <w:color w:val="auto"/>
                <w:w w:val="93"/>
              </w:rPr>
              <w:t>(61)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costs</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center"/>
              <w:ind w:left="1273"/>
              <w:spacing w:after="0"/>
              <w:rPr>
                <w:sz w:val="20"/>
                <w:szCs w:val="20"/>
                <w:color w:val="auto"/>
              </w:rPr>
            </w:pPr>
            <w:r>
              <w:rPr>
                <w:rFonts w:ascii="Arial" w:cs="Arial" w:eastAsia="Arial" w:hAnsi="Arial"/>
                <w:sz w:val="18"/>
                <w:szCs w:val="18"/>
                <w:color w:val="auto"/>
                <w:w w:val="89"/>
              </w:rPr>
              <w:t>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23"/>
        </w:trPr>
        <w:tc>
          <w:tcPr>
            <w:tcW w:w="7400" w:type="dxa"/>
            <w:vAlign w:val="bottom"/>
          </w:tcPr>
          <w:p>
            <w:pPr>
              <w:ind w:left="220"/>
              <w:spacing w:after="0"/>
              <w:rPr>
                <w:sz w:val="20"/>
                <w:szCs w:val="20"/>
                <w:color w:val="auto"/>
              </w:rPr>
            </w:pPr>
            <w:r>
              <w:rPr>
                <w:rFonts w:ascii="Arial" w:cs="Arial" w:eastAsia="Arial" w:hAnsi="Arial"/>
                <w:sz w:val="18"/>
                <w:szCs w:val="18"/>
                <w:color w:val="auto"/>
              </w:rPr>
              <w:t>Inventory spending (in excess of) less than cost of sales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center"/>
              <w:ind w:left="1233"/>
              <w:spacing w:after="0"/>
              <w:rPr>
                <w:sz w:val="20"/>
                <w:szCs w:val="20"/>
                <w:color w:val="auto"/>
              </w:rPr>
            </w:pPr>
            <w:r>
              <w:rPr>
                <w:rFonts w:ascii="Arial" w:cs="Arial" w:eastAsia="Arial" w:hAnsi="Arial"/>
                <w:sz w:val="18"/>
                <w:szCs w:val="18"/>
                <w:color w:val="auto"/>
                <w:w w:val="93"/>
              </w:rPr>
              <w:t>(63)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
        </w:trPr>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Our Vacation Ownership segment product offerings allow us to utilize our inventory efficiently. The majority of our sales are of points-based products, which permits us to sell vacation ownership products at most of our sales locations, including those where little or no weeks-based inventory remains available for sale. Because we do not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inventory acquisitions with the pace of sales of vacation ownership products.</w:t>
      </w:r>
    </w:p>
    <w:p>
      <w:pPr>
        <w:spacing w:after="0" w:line="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part of our long-term strategy, we selectively pursue growth opportunities in our Vacation Ownership segment by targeting high-quality inventory that allows us to add desirable new destinations to our systems with new on-site sales locations through transactions that limit our up-front capital investment and allow us to purchase finished inventory closer to the time it is needed for sale. These capital efficient deal structures may consist of the development of new inventory, or the conversion of previously built units by third parties, just prior to sale.</w:t>
      </w:r>
    </w:p>
    <w:p>
      <w:pPr>
        <w:spacing w:after="0" w:line="1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440" w:firstLine="648"/>
        <w:spacing w:after="0" w:line="34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on our Income Statements related to sale of vacation ownership products (a non-cash item).</w:t>
      </w:r>
    </w:p>
    <w:p>
      <w:pPr>
        <w:spacing w:after="0" w:line="1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Our spending for real estate inventory in the first three quarters of 2020 was higher than the amount of real estate inventory costs given the timing of payments to satisfy our remaining commitments to purchase vacation ownership units. We entered into these commitments in prior periods as part of our capital efficient strategy to limit our up-front capital investment and purchase finished inventory closer to the time it is needed for sale. See Footnote 11 “Contingencies and Commitments” to our Financial Statements for additional information regarding our remaining commitments. Given the impact of the COVID-19 pandemic, we significantly reduced our planned inventory spending beginning in the second quarter of 2020.</w:t>
      </w:r>
    </w:p>
    <w:p>
      <w:pPr>
        <w:spacing w:after="0" w:line="68"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Through our existing vacation ownership interest repurchase program, we proactively buy back previously sold vacation ownership interests at lower costs than would be required to develop new inventory. By repurchasing inventory, we expect to be able to stabilize the future cost of vacation ownership products. However, given the impact of the COVID-19 pandemic, we have temporarily discontinued the majority of this repurchase activity.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Vacation Ownership Notes Receivable Collections In Excess of (Less Than) Originations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ind w:left="102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2020</w:t>
            </w:r>
          </w:p>
        </w:tc>
        <w:tc>
          <w:tcPr>
            <w:tcW w:w="180" w:type="dxa"/>
            <w:vAlign w:val="bottom"/>
          </w:tcPr>
          <w:p>
            <w:pPr>
              <w:spacing w:after="0"/>
              <w:rPr>
                <w:sz w:val="18"/>
                <w:szCs w:val="18"/>
                <w:color w:val="auto"/>
              </w:rPr>
            </w:pPr>
          </w:p>
        </w:tc>
        <w:tc>
          <w:tcPr>
            <w:tcW w:w="1680" w:type="dxa"/>
            <w:vAlign w:val="bottom"/>
          </w:tcPr>
          <w:p>
            <w:pPr>
              <w:ind w:left="80"/>
              <w:spacing w:after="0"/>
              <w:rPr>
                <w:sz w:val="20"/>
                <w:szCs w:val="20"/>
                <w:color w:val="auto"/>
              </w:rPr>
            </w:pPr>
            <w:r>
              <w:rPr>
                <w:rFonts w:ascii="Arial" w:cs="Arial" w:eastAsia="Arial" w:hAnsi="Arial"/>
                <w:sz w:val="16"/>
                <w:szCs w:val="16"/>
                <w:b w:val="1"/>
                <w:bCs w:val="1"/>
                <w:color w:val="auto"/>
              </w:rPr>
              <w:t>September 30, 2019</w:t>
            </w:r>
          </w:p>
        </w:tc>
      </w:tr>
      <w:tr>
        <w:trPr>
          <w:trHeight w:val="226"/>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collections — non-securitized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center"/>
              <w:ind w:left="1173"/>
              <w:spacing w:after="0"/>
              <w:rPr>
                <w:sz w:val="20"/>
                <w:szCs w:val="20"/>
                <w:color w:val="auto"/>
              </w:rPr>
            </w:pPr>
            <w:r>
              <w:rPr>
                <w:rFonts w:ascii="Arial" w:cs="Arial" w:eastAsia="Arial" w:hAnsi="Arial"/>
                <w:sz w:val="18"/>
                <w:szCs w:val="18"/>
                <w:color w:val="auto"/>
                <w:w w:val="93"/>
              </w:rPr>
              <w:t>180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center"/>
              <w:ind w:left="1172"/>
              <w:spacing w:after="0"/>
              <w:rPr>
                <w:sz w:val="20"/>
                <w:szCs w:val="20"/>
                <w:color w:val="auto"/>
              </w:rPr>
            </w:pPr>
            <w:r>
              <w:rPr>
                <w:rFonts w:ascii="Arial" w:cs="Arial" w:eastAsia="Arial" w:hAnsi="Arial"/>
                <w:sz w:val="18"/>
                <w:szCs w:val="18"/>
                <w:color w:val="auto"/>
                <w:w w:val="86"/>
              </w:rPr>
              <w:t>134</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Vacation ownership notes receivable collections — securitized</w:t>
            </w:r>
          </w:p>
        </w:tc>
        <w:tc>
          <w:tcPr>
            <w:tcW w:w="180" w:type="dxa"/>
            <w:vAlign w:val="bottom"/>
          </w:tcPr>
          <w:p>
            <w:pPr>
              <w:spacing w:after="0"/>
              <w:rPr>
                <w:sz w:val="19"/>
                <w:szCs w:val="19"/>
                <w:color w:val="auto"/>
              </w:rPr>
            </w:pPr>
          </w:p>
        </w:tc>
        <w:tc>
          <w:tcPr>
            <w:tcW w:w="1660" w:type="dxa"/>
            <w:vAlign w:val="bottom"/>
          </w:tcPr>
          <w:p>
            <w:pPr>
              <w:jc w:val="center"/>
              <w:ind w:left="1173"/>
              <w:spacing w:after="0"/>
              <w:rPr>
                <w:sz w:val="20"/>
                <w:szCs w:val="20"/>
                <w:color w:val="auto"/>
              </w:rPr>
            </w:pPr>
            <w:r>
              <w:rPr>
                <w:rFonts w:ascii="Arial" w:cs="Arial" w:eastAsia="Arial" w:hAnsi="Arial"/>
                <w:sz w:val="18"/>
                <w:szCs w:val="18"/>
                <w:color w:val="auto"/>
                <w:w w:val="93"/>
              </w:rPr>
              <w:t>307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center"/>
              <w:ind w:left="1172"/>
              <w:spacing w:after="0"/>
              <w:rPr>
                <w:sz w:val="20"/>
                <w:szCs w:val="20"/>
                <w:color w:val="auto"/>
              </w:rPr>
            </w:pPr>
            <w:r>
              <w:rPr>
                <w:rFonts w:ascii="Arial" w:cs="Arial" w:eastAsia="Arial" w:hAnsi="Arial"/>
                <w:sz w:val="18"/>
                <w:szCs w:val="18"/>
                <w:color w:val="auto"/>
                <w:w w:val="86"/>
              </w:rPr>
              <w:t>328</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originations</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center"/>
              <w:ind w:left="1133"/>
              <w:spacing w:after="0"/>
              <w:rPr>
                <w:sz w:val="20"/>
                <w:szCs w:val="20"/>
                <w:color w:val="auto"/>
              </w:rPr>
            </w:pPr>
            <w:r>
              <w:rPr>
                <w:rFonts w:ascii="Arial" w:cs="Arial" w:eastAsia="Arial" w:hAnsi="Arial"/>
                <w:sz w:val="18"/>
                <w:szCs w:val="18"/>
                <w:color w:val="auto"/>
                <w:w w:val="95"/>
              </w:rPr>
              <w:t>(265)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center"/>
              <w:ind w:left="1152"/>
              <w:spacing w:after="0"/>
              <w:rPr>
                <w:sz w:val="20"/>
                <w:szCs w:val="20"/>
                <w:color w:val="auto"/>
              </w:rPr>
            </w:pPr>
            <w:r>
              <w:rPr>
                <w:rFonts w:ascii="Arial" w:cs="Arial" w:eastAsia="Arial" w:hAnsi="Arial"/>
                <w:sz w:val="18"/>
                <w:szCs w:val="18"/>
                <w:color w:val="auto"/>
                <w:w w:val="95"/>
              </w:rPr>
              <w:t>(681)</w:t>
            </w:r>
          </w:p>
        </w:tc>
      </w:tr>
      <w:tr>
        <w:trPr>
          <w:trHeight w:val="223"/>
        </w:trPr>
        <w:tc>
          <w:tcPr>
            <w:tcW w:w="7400" w:type="dxa"/>
            <w:vAlign w:val="bottom"/>
          </w:tcPr>
          <w:p>
            <w:pPr>
              <w:ind w:left="220"/>
              <w:spacing w:after="0"/>
              <w:rPr>
                <w:sz w:val="20"/>
                <w:szCs w:val="20"/>
                <w:color w:val="auto"/>
              </w:rPr>
            </w:pPr>
            <w:r>
              <w:rPr>
                <w:rFonts w:ascii="Arial" w:cs="Arial" w:eastAsia="Arial" w:hAnsi="Arial"/>
                <w:sz w:val="18"/>
                <w:szCs w:val="18"/>
                <w:color w:val="auto"/>
              </w:rPr>
              <w:t>Vacation ownership notes receivable collections in excess of (less than) originations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center"/>
              <w:ind w:left="1173"/>
              <w:spacing w:after="0"/>
              <w:rPr>
                <w:sz w:val="20"/>
                <w:szCs w:val="20"/>
                <w:color w:val="auto"/>
              </w:rPr>
            </w:pPr>
            <w:r>
              <w:rPr>
                <w:rFonts w:ascii="Arial" w:cs="Arial" w:eastAsia="Arial" w:hAnsi="Arial"/>
                <w:sz w:val="18"/>
                <w:szCs w:val="18"/>
                <w:color w:val="auto"/>
                <w:w w:val="93"/>
              </w:rPr>
              <w:t>222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center"/>
              <w:ind w:left="1152"/>
              <w:spacing w:after="0"/>
              <w:rPr>
                <w:sz w:val="20"/>
                <w:szCs w:val="20"/>
                <w:color w:val="auto"/>
              </w:rPr>
            </w:pPr>
            <w:r>
              <w:rPr>
                <w:rFonts w:ascii="Arial" w:cs="Arial" w:eastAsia="Arial" w:hAnsi="Arial"/>
                <w:sz w:val="18"/>
                <w:szCs w:val="18"/>
                <w:color w:val="auto"/>
                <w:w w:val="95"/>
              </w:rPr>
              <w:t>(219)</w:t>
            </w:r>
          </w:p>
        </w:tc>
      </w:tr>
      <w:tr>
        <w:trPr>
          <w:trHeight w:val="21"/>
        </w:trPr>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Vacation ownership notes receivable collections include principal from non-securitized and securitized vacation ownership notes receivable. Vacation ownership notes receivable collections increased during the first three quarters of 2020, as compared to the first three quarters of 2019, due to an increase in the portfolio of outstanding vacation ownership notes receivable. Vacation ownership notes receivable originations in the first three quarters of 2020 decreased due to lower sales in the first three quarters of 2020 due to the COVID-19 pandemic and a lower financing propensity. Financing propensity declined to 51 percent for the first three quarters of 2020 compared to 63 percent for the first three quarters of 2019 as a result of the various sales programs that incented cash purchases over financed purchases in the quarter, in response to the COVID-19 pandemic.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Investing Activities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113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2020</w:t>
            </w:r>
          </w:p>
        </w:tc>
        <w:tc>
          <w:tcPr>
            <w:tcW w:w="180" w:type="dxa"/>
            <w:vAlign w:val="bottom"/>
          </w:tcPr>
          <w:p>
            <w:pPr>
              <w:spacing w:after="0"/>
              <w:rPr>
                <w:sz w:val="18"/>
                <w:szCs w:val="18"/>
                <w:color w:val="auto"/>
              </w:rPr>
            </w:pPr>
          </w:p>
        </w:tc>
        <w:tc>
          <w:tcPr>
            <w:tcW w:w="1680" w:type="dxa"/>
            <w:vAlign w:val="bottom"/>
          </w:tcPr>
          <w:p>
            <w:pPr>
              <w:jc w:val="right"/>
              <w:ind w:right="152"/>
              <w:spacing w:after="0"/>
              <w:rPr>
                <w:sz w:val="20"/>
                <w:szCs w:val="20"/>
                <w:color w:val="auto"/>
              </w:rPr>
            </w:pPr>
            <w:r>
              <w:rPr>
                <w:rFonts w:ascii="Arial" w:cs="Arial" w:eastAsia="Arial" w:hAnsi="Arial"/>
                <w:sz w:val="16"/>
                <w:szCs w:val="16"/>
                <w:b w:val="1"/>
                <w:bCs w:val="1"/>
                <w:color w:val="auto"/>
                <w:w w:val="95"/>
              </w:rPr>
              <w:t>September 30, 2019</w:t>
            </w:r>
          </w:p>
        </w:tc>
      </w:tr>
      <w:tr>
        <w:trPr>
          <w:trHeight w:val="226"/>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Proceeds from collection of notes receivable</w:t>
            </w:r>
          </w:p>
        </w:tc>
        <w:tc>
          <w:tcPr>
            <w:tcW w:w="180" w:type="dxa"/>
            <w:vAlign w:val="bottom"/>
          </w:tcPr>
          <w:p>
            <w:pPr>
              <w:spacing w:after="0"/>
              <w:rPr>
                <w:sz w:val="19"/>
                <w:szCs w:val="19"/>
                <w:color w:val="auto"/>
              </w:rPr>
            </w:pP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company owned life insurance</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Dispositions, net</w:t>
            </w:r>
          </w:p>
        </w:tc>
        <w:tc>
          <w:tcPr>
            <w:tcW w:w="180" w:type="dxa"/>
            <w:vAlign w:val="bottom"/>
          </w:tcPr>
          <w:p>
            <w:pPr>
              <w:spacing w:after="0"/>
              <w:rPr>
                <w:sz w:val="19"/>
                <w:szCs w:val="19"/>
                <w:color w:val="auto"/>
              </w:rPr>
            </w:pPr>
          </w:p>
        </w:tc>
        <w:tc>
          <w:tcPr>
            <w:tcW w:w="1660" w:type="dxa"/>
            <w:vAlign w:val="bottom"/>
          </w:tcPr>
          <w:p>
            <w:pPr>
              <w:ind w:left="14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4"/>
        </w:trPr>
        <w:tc>
          <w:tcPr>
            <w:tcW w:w="7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cash, cash equivalents and restricted cash (used in) provided by investing activities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1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 Additionally, it includes spending related to maintenance of buildings and equipment used in common areas at some of our resorts.</w:t>
      </w:r>
    </w:p>
    <w:p>
      <w:pPr>
        <w:spacing w:after="0" w:line="76"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In the first three quarters of 2020, capital expenditures for property and equipment of $36 million included $33 million to support business operations (including $21 million for ancillary and other operations assets and $12 million for sales locations) and $3 million for technology spending. Given the impact of the COVID-19 pandemic, we significantly reduced our planned spending for property and equipment beginning with the second quarter of 2020.</w:t>
      </w:r>
    </w:p>
    <w:p>
      <w:pPr>
        <w:spacing w:after="0" w:line="7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In the first three quarters of 2019, capital expenditures for property and equipment of $32 million included $19 million to support business operations (including $9 million for ancillary and other operations assets and $10 million for sales locations) and $13 million for technology spending.</w:t>
      </w:r>
    </w:p>
    <w:p>
      <w:pPr>
        <w:spacing w:after="0" w:line="11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Proceeds from Collection of Notes Receivable</w:t>
      </w:r>
    </w:p>
    <w:p>
      <w:pPr>
        <w:spacing w:after="0" w:line="11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During the first three quarters of 2019, we collected $23 million of notes receivable related to the disposition of our interest in VRI Europe in the fourth quarter of 2018. In addition, we collected a $15 million note receivable acquired in the ILG Acquisition.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Company Owned Life Insurance</w:t>
      </w:r>
    </w:p>
    <w:p>
      <w:pPr>
        <w:spacing w:after="0" w:line="11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To support our ability to meet a portion of our obligations under the Marriott Vacations Worldwide Corporation Deferred Compensation Plan (the “Deferred Compensation Plan”), we acquired company owned insurance policies on the lives of certain participants in the Deferred Compensation Plan, the proceeds of which are intended to be aligned with the investment alternatives elected by plan participants. We paid $3 million to acquire these policies during the first three quarters of 2020 and $5 million during the first three quarters of 2019.</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Dispositions, net</w:t>
      </w:r>
    </w:p>
    <w:p>
      <w:pPr>
        <w:spacing w:after="0" w:line="117"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Dispositions of $15 million during the first three quarters of 2020 related to the disposition of excess land parcels in Orlando, Florida and Steamboat Springs, Colorado as part of our strategic decision to reduce holdings in markets where we have excess supply. See discussion included in Footnote 3 “Acquisitions and Dispositions” to our Financial Statements for additional information.</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significant dispositions of property and assets during the first three quarters of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Financing Activities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113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2020</w:t>
            </w:r>
          </w:p>
        </w:tc>
        <w:tc>
          <w:tcPr>
            <w:tcW w:w="180" w:type="dxa"/>
            <w:vAlign w:val="bottom"/>
          </w:tcPr>
          <w:p>
            <w:pPr>
              <w:spacing w:after="0"/>
              <w:rPr>
                <w:sz w:val="18"/>
                <w:szCs w:val="18"/>
                <w:color w:val="auto"/>
              </w:rPr>
            </w:pPr>
          </w:p>
        </w:tc>
        <w:tc>
          <w:tcPr>
            <w:tcW w:w="1680" w:type="dxa"/>
            <w:vAlign w:val="bottom"/>
          </w:tcPr>
          <w:p>
            <w:pPr>
              <w:jc w:val="right"/>
              <w:ind w:right="151"/>
              <w:spacing w:after="0"/>
              <w:rPr>
                <w:sz w:val="20"/>
                <w:szCs w:val="20"/>
                <w:color w:val="auto"/>
              </w:rPr>
            </w:pPr>
            <w:r>
              <w:rPr>
                <w:rFonts w:ascii="Arial" w:cs="Arial" w:eastAsia="Arial" w:hAnsi="Arial"/>
                <w:sz w:val="16"/>
                <w:szCs w:val="16"/>
                <w:b w:val="1"/>
                <w:bCs w:val="1"/>
                <w:color w:val="auto"/>
                <w:w w:val="95"/>
              </w:rPr>
              <w:t>September 30, 2019</w:t>
            </w:r>
          </w:p>
        </w:tc>
      </w:tr>
      <w:tr>
        <w:trPr>
          <w:trHeight w:val="226"/>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 from securitization transactions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Repayment of debt related to securitization transactions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(673)</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debt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payment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Payment of dividends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74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cash, cash equivalents and restricted cash provided by (used in) financing activities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 from / Repayment of Debt Related to Securitization Transactions</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2020, $62 million of gross vacation ownership notes receivable were eligible for securitization.</w:t>
      </w:r>
    </w:p>
    <w:p>
      <w:pPr>
        <w:spacing w:after="0" w:line="11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During the first three quarters of 2020, we securitized vacation ownership notes receivable under our Warehouse Credit Facility. The total carrying amount of the vacation ownership notes receivable securitized was $372 million. The average advance rate was 85 percent, which resulted in total gross proceeds of $315 million. Total net proceeds were $313 million due to the funding of reserve accounts of $2 million.</w:t>
      </w:r>
    </w:p>
    <w:p>
      <w:pPr>
        <w:spacing w:after="0" w:line="1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During the third quarter of 2020, we completed the securitization of a pool of $383 million of vacation ownership notes receivable. In connection with the securitization, investors purchased in a private placement $375 million in vacation ownership loan backed notes from the 2020-1 LLC. Four classes of vacation ownership loan backed notes were issued by the 2020-1 LLC: $238 million of Class A Notes, $72 million of Class B Notes, $44 million of Class C Notes, and $21 million of Class D Notes. The Class A Notes have an interest rate of 1.74 percent, the Class B Notes have an interest rate of 2.73 percent, the Class C Notes have an interest rate of 4.21 percent, and the Class D Notes have an interest rate of 7.14 percent, for an overall weighted average interest rate of 2.53 percent. Of the $375 million in proceeds from the transaction, $300 million was used to repay all outstanding amounts previously drawn under the Warehouse Credit Facility, $7 million was used to pay transaction expenses and fund required reserves, and the remainder will be used for general corporate purposes.</w:t>
      </w:r>
    </w:p>
    <w:p>
      <w:pPr>
        <w:spacing w:after="0" w:line="8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During the second quarter of 2019, we completed the securitization of a pool of $459 million of vacation ownership notes receivable. In connection with the securitization, investors purchased $450 million in vacation ownership loan backed notes from the 2019-1 LLC in a private placement. Three classes of vacation ownership loan backed notes were issued by the 2019-1 LLC: $350 million of Class A Notes, $67 million of Class B Notes, and $33 million of Class C Notes. The Class A Notes have an interest rate of 2.89 percent, the Class B Notes have an interest rate of 3.00 percent, and the Class C Notes have an interest rate of 3.33 percent, for an overall weighted average interest rate of 2.94 percent.</w:t>
      </w:r>
    </w:p>
    <w:p>
      <w:pPr>
        <w:spacing w:after="0" w:line="6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During the first three quarters of 2019, we also securitized vacation ownership notes receivable under our Warehouse Credit Facility. The carrying amount of the vacation ownership notes receivable securitized was $213 million. The advance rate was 85 percent, which resulted in gross proceeds of $181 million. Net proceeds were $180 million due to the funding of reserve accounts of $1 million.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Proceeds from / Repayments of Debt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Borrowings from / Repayment of Corporate Credit Facility</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first three quarters of 2020, we borrowed an additional $666 million under our Revolving Corporate Credit Facility to facilitate the funding of our short-term working capital needs and to increase our cash position and preserve financial flexibility in light of the impact on global markets resulting from the COVID-19 pandemic. We later repaid $696 million during the first three quarters of 2020 and had no amounts outstanding as of September 30, 2020. During the first three quarters of 2020, we also repaid $7 million of the amount outstanding under the Term Loan, which is part of our Corporate Credit Facility.</w:t>
      </w:r>
    </w:p>
    <w:p>
      <w:pPr>
        <w:spacing w:after="0" w:line="8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the second quarter of 2020, we issued the 2025 Notes, as discussed in Footnote 13 “Debt” to our Financial Statements. The 2025 Notes are pari passu with and secured by the same collateral as our Corporate Credit Facility. After deducting offering expenses and the underwriting discount, we received net proceeds of approximately $493 million from the offering of the 2025 Notes, which we used to repay all amounts outstanding at that time on our Revolving Corporate Credit Facility.</w:t>
      </w:r>
    </w:p>
    <w:p>
      <w:pPr>
        <w:spacing w:after="0" w:line="7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During the first three quarters of 2019, we borrowed $495 million under our Revolving Corporate Credit Facility to facilitate the funding of our short-term working capital needs, $270 million of which was repaid during the first three quarters of 2019, and we had $225 million outstanding as of September 30, 2019. During the first three quarters of 2019, we also repaid $7 million of the amount outstanding under the Term Loan.</w:t>
      </w:r>
    </w:p>
    <w:p>
      <w:pPr>
        <w:spacing w:after="0" w:line="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Footnote 13 “Debt” to our Financial Statements for additional information regarding our Corporate Credit Facility that includes our Revolving Corporate Credit Facility and the Term Loan.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Finance Lease Payment</w:t>
      </w:r>
    </w:p>
    <w:p>
      <w:pPr>
        <w:spacing w:after="0" w:line="11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During the first three quarters of 2020, in conjunction with the acquisition of the 57 completed vacation ownership units at our Marriott Vacation Club Pulse, New York City property, we made finance lease payments of $7 million related to the purchase of the accompanying ancillary and office space. Additionally, we paid $3 million related to our finance lease obligations for technology and business operations equipment.</w:t>
      </w:r>
    </w:p>
    <w:p>
      <w:pPr>
        <w:spacing w:after="0" w:line="5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During the first three quarters of 2019, in conjunction with the acquisition of the 78 completed vacation ownership units at our Marriott Vacation Club Pulse, San Francisco property, we acquired the accompanying sales gallery for $10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During the first three quarters of 2020, we paid $14 million of debt issuance costs, which included $7 million associated with the 2025 Notes, $5 million associated with the 2020-1 vacation ownership notes receivable securitization, $1 million associated with the Waiver and $1 million associated with the amendment of our Warehouse Credit Facility.</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During the first three quarters of 2019, we paid $11 million of debt issuance costs, which included $6 million associated with the 2019-1 vacation ownership notes receivable securitization and $5 million associated with the issuance of the 2028 Notes on October 1, 2019, subsequent to the third quarter of 2019.</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Repayment of Other Debt</w:t>
      </w:r>
    </w:p>
    <w:p>
      <w:pPr>
        <w:spacing w:after="0" w:line="11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During the first three quarters of 2019, we paid the remaining balance of $31 million on the non-interest bearing note payable related to the acquisition of 112 completed vacation ownership units located on the Big Island of Hawaii in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Number of Shares</w:t>
            </w:r>
          </w:p>
        </w:tc>
        <w:tc>
          <w:tcPr>
            <w:tcW w:w="20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Cost of Shares</w:t>
            </w:r>
          </w:p>
        </w:tc>
        <w:tc>
          <w:tcPr>
            <w:tcW w:w="120" w:type="dxa"/>
            <w:vAlign w:val="bottom"/>
          </w:tcPr>
          <w:p>
            <w:pPr>
              <w:spacing w:after="0"/>
              <w:rPr>
                <w:sz w:val="16"/>
                <w:szCs w:val="16"/>
                <w:color w:val="auto"/>
              </w:rPr>
            </w:pPr>
          </w:p>
        </w:tc>
        <w:tc>
          <w:tcPr>
            <w:tcW w:w="1460" w:type="dxa"/>
            <w:vAlign w:val="bottom"/>
          </w:tcPr>
          <w:p>
            <w:pPr>
              <w:jc w:val="right"/>
              <w:ind w:right="54"/>
              <w:spacing w:after="0"/>
              <w:rPr>
                <w:sz w:val="20"/>
                <w:szCs w:val="20"/>
                <w:color w:val="auto"/>
              </w:rPr>
            </w:pPr>
            <w:r>
              <w:rPr>
                <w:rFonts w:ascii="Arial" w:cs="Arial" w:eastAsia="Arial" w:hAnsi="Arial"/>
                <w:sz w:val="16"/>
                <w:szCs w:val="16"/>
                <w:b w:val="1"/>
                <w:bCs w:val="1"/>
                <w:color w:val="auto"/>
                <w:w w:val="89"/>
              </w:rPr>
              <w:t>Average Price Paid</w:t>
            </w:r>
          </w:p>
        </w:tc>
      </w:tr>
      <w:tr>
        <w:trPr>
          <w:trHeight w:val="213"/>
        </w:trPr>
        <w:tc>
          <w:tcPr>
            <w:tcW w:w="6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Repurchased</w:t>
            </w:r>
          </w:p>
        </w:tc>
        <w:tc>
          <w:tcPr>
            <w:tcW w:w="2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Repurchased</w:t>
            </w:r>
          </w:p>
        </w:tc>
        <w:tc>
          <w:tcPr>
            <w:tcW w:w="120" w:type="dxa"/>
            <w:vAlign w:val="bottom"/>
          </w:tcPr>
          <w:p>
            <w:pPr>
              <w:spacing w:after="0"/>
              <w:rPr>
                <w:sz w:val="18"/>
                <w:szCs w:val="18"/>
                <w:color w:val="auto"/>
              </w:rPr>
            </w:pPr>
          </w:p>
        </w:tc>
        <w:tc>
          <w:tcPr>
            <w:tcW w:w="1460" w:type="dxa"/>
            <w:vAlign w:val="bottom"/>
          </w:tcPr>
          <w:p>
            <w:pPr>
              <w:jc w:val="right"/>
              <w:ind w:right="374"/>
              <w:spacing w:after="0"/>
              <w:rPr>
                <w:sz w:val="20"/>
                <w:szCs w:val="20"/>
                <w:color w:val="auto"/>
              </w:rPr>
            </w:pPr>
            <w:r>
              <w:rPr>
                <w:rFonts w:ascii="Arial" w:cs="Arial" w:eastAsia="Arial" w:hAnsi="Arial"/>
                <w:sz w:val="16"/>
                <w:szCs w:val="16"/>
                <w:b w:val="1"/>
                <w:bCs w:val="1"/>
                <w:color w:val="auto"/>
              </w:rPr>
              <w:t>per Share</w:t>
            </w:r>
          </w:p>
        </w:tc>
      </w:tr>
      <w:tr>
        <w:trPr>
          <w:trHeight w:val="226"/>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2019</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16,418,950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76.60</w:t>
            </w:r>
          </w:p>
        </w:tc>
      </w:tr>
      <w:tr>
        <w:trPr>
          <w:trHeight w:val="230"/>
        </w:trPr>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 the first three quarters of 2020</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769,935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106.60</w:t>
            </w: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September 30, 2020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17,188,885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See Footnote 14 “Shareholders' Equity” to our Financial Statements for further information related to our share repurchase program. Due to the impact of the COVID-19 pandemic, we temporarily suspended repurchasing shares of our common stock. Future share repurchases will be subject to the restrictions imposed under the Waiver.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distributed cash dividends to holders of common stock during the first three quarters of 2020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Declaration Date</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Shareholder Record Date</w:t>
            </w:r>
          </w:p>
        </w:tc>
        <w:tc>
          <w:tcPr>
            <w:tcW w:w="2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Distribution Date</w:t>
            </w:r>
          </w:p>
        </w:tc>
        <w:tc>
          <w:tcPr>
            <w:tcW w:w="2740" w:type="dxa"/>
            <w:vAlign w:val="bottom"/>
          </w:tcPr>
          <w:p>
            <w:pPr>
              <w:jc w:val="center"/>
              <w:spacing w:after="0"/>
              <w:rPr>
                <w:sz w:val="20"/>
                <w:szCs w:val="20"/>
                <w:color w:val="auto"/>
              </w:rPr>
            </w:pPr>
            <w:r>
              <w:rPr>
                <w:rFonts w:ascii="Arial" w:cs="Arial" w:eastAsia="Arial" w:hAnsi="Arial"/>
                <w:sz w:val="16"/>
                <w:szCs w:val="16"/>
                <w:b w:val="1"/>
                <w:bCs w:val="1"/>
                <w:color w:val="auto"/>
                <w:w w:val="91"/>
              </w:rPr>
              <w:t>Dividend per Share</w:t>
            </w:r>
          </w:p>
        </w:tc>
      </w:tr>
      <w:tr>
        <w:trPr>
          <w:trHeight w:val="226"/>
        </w:trPr>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9, 2019</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23, 2019</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January 6, 2020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$0.54</w:t>
            </w:r>
          </w:p>
        </w:tc>
      </w:tr>
      <w:tr>
        <w:trPr>
          <w:trHeight w:val="230"/>
        </w:trPr>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14, 2020</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27, 2020</w:t>
            </w:r>
          </w:p>
        </w:tc>
        <w:tc>
          <w:tcPr>
            <w:tcW w:w="28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March 12, 2020</w:t>
            </w:r>
          </w:p>
        </w:tc>
        <w:tc>
          <w:tcPr>
            <w:tcW w:w="2740" w:type="dxa"/>
            <w:vAlign w:val="bottom"/>
          </w:tcPr>
          <w:p>
            <w:pPr>
              <w:jc w:val="center"/>
              <w:spacing w:after="0"/>
              <w:rPr>
                <w:sz w:val="20"/>
                <w:szCs w:val="20"/>
                <w:color w:val="auto"/>
              </w:rPr>
            </w:pPr>
            <w:r>
              <w:rPr>
                <w:rFonts w:ascii="Arial" w:cs="Arial" w:eastAsia="Arial" w:hAnsi="Arial"/>
                <w:sz w:val="18"/>
                <w:szCs w:val="18"/>
                <w:color w:val="auto"/>
                <w:w w:val="93"/>
              </w:rPr>
              <w:t>$0.54</w:t>
            </w:r>
          </w:p>
        </w:tc>
      </w:tr>
    </w:tbl>
    <w:p>
      <w:pPr>
        <w:spacing w:after="0" w:line="20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Given the impact of the COVID-19 pandemic, we temporarily suspended cash dividends. In addition, our Corporate Credit Facility and the indentures governing our senior notes contain restrictions on our ability to pay dividends. Future dividend payments will also be subject to both the restrictions imposed under the Waiver and Board approval, which will depend on our financial condition, results of operations and capital requirements, as well as applicable law, regulatory constraints, industry practice and other business considerations that our Board of Directors considers relevant. The payment of certain cash dividends may also result in an adjustment to the conversion rate of the Convertible Notes in a manner adverse to us. Accordingly, there can be no assurance that we will pay dividends in the future at the same rate or at all.</w:t>
      </w:r>
    </w:p>
    <w:p>
      <w:pPr>
        <w:spacing w:after="0" w:line="16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Supplemental Guarantor Information</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2026 Notes and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7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The following tables present consolidating financial information as of September 30, 2020 and for the nine months ended September 30, 2020 for MVWC and MORI on a stand-alone basis (collectively, the “Issuers”), the Senior Notes Guarantors, the combined non-guarantor subsidiaries of MVW and MVW on a consolidated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Consolidating Balance Sheet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340"/>
              <w:spacing w:after="0"/>
              <w:rPr>
                <w:sz w:val="20"/>
                <w:szCs w:val="20"/>
                <w:color w:val="auto"/>
              </w:rPr>
            </w:pPr>
            <w:r>
              <w:rPr>
                <w:rFonts w:ascii="Arial" w:cs="Arial" w:eastAsia="Arial" w:hAnsi="Arial"/>
                <w:sz w:val="16"/>
                <w:szCs w:val="16"/>
                <w:b w:val="1"/>
                <w:bCs w:val="1"/>
                <w:color w:val="auto"/>
              </w:rPr>
              <w:t>As of September 30, 2020</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Issuers</w:t>
            </w: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Senior Notes</w:t>
            </w:r>
          </w:p>
        </w:tc>
        <w:tc>
          <w:tcPr>
            <w:tcW w:w="120" w:type="dxa"/>
            <w:vAlign w:val="bottom"/>
          </w:tcPr>
          <w:p>
            <w:pPr>
              <w:spacing w:after="0"/>
              <w:rPr>
                <w:sz w:val="21"/>
                <w:szCs w:val="2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Non-Guarantor</w:t>
            </w:r>
          </w:p>
        </w:tc>
        <w:tc>
          <w:tcPr>
            <w:tcW w:w="160" w:type="dxa"/>
            <w:vAlign w:val="bottom"/>
          </w:tcPr>
          <w:p>
            <w:pPr>
              <w:spacing w:after="0"/>
              <w:rPr>
                <w:sz w:val="21"/>
                <w:szCs w:val="21"/>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Pr>
          <w:p>
            <w:pPr>
              <w:spacing w:after="0"/>
              <w:rPr>
                <w:sz w:val="21"/>
                <w:szCs w:val="21"/>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7"/>
        </w:trPr>
        <w:tc>
          <w:tcPr>
            <w:tcW w:w="2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MVWC</w:t>
            </w:r>
          </w:p>
        </w:tc>
        <w:tc>
          <w:tcPr>
            <w:tcW w:w="320" w:type="dxa"/>
            <w:vAlign w:val="bottom"/>
          </w:tcPr>
          <w:p>
            <w:pPr>
              <w:spacing w:after="0"/>
              <w:rPr>
                <w:sz w:val="3"/>
                <w:szCs w:val="3"/>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MORI</w:t>
            </w: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8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Guarantors</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Subsidiaries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Eliminations</w:t>
            </w:r>
          </w:p>
        </w:tc>
        <w:tc>
          <w:tcPr>
            <w:tcW w:w="16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26"/>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line="176" w:lineRule="exact"/>
              <w:rPr>
                <w:sz w:val="20"/>
                <w:szCs w:val="20"/>
                <w:color w:val="auto"/>
              </w:rPr>
            </w:pPr>
            <w:r>
              <w:rPr>
                <w:rFonts w:ascii="Arial" w:cs="Arial" w:eastAsia="Arial" w:hAnsi="Arial"/>
                <w:sz w:val="18"/>
                <w:szCs w:val="18"/>
                <w:color w:val="auto"/>
                <w:w w:val="92"/>
              </w:rPr>
              <w:t>Vacation ownership notes receivable,</w:t>
            </w:r>
          </w:p>
        </w:tc>
        <w:tc>
          <w:tcPr>
            <w:tcW w:w="2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1,913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Intangibles, net</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subsidiaries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Advance deposits</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benefits liability</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Deferred compensation liability</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Securitized debt, net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Debt, net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MVW shareholders' equity</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3"/>
        </w:trPr>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7"/>
          </w:tcPr>
          <w:p>
            <w:pPr>
              <w:ind w:left="400"/>
              <w:spacing w:after="0"/>
              <w:rPr>
                <w:sz w:val="20"/>
                <w:szCs w:val="20"/>
                <w:color w:val="auto"/>
              </w:rPr>
            </w:pPr>
            <w:r>
              <w:rPr>
                <w:rFonts w:ascii="Arial" w:cs="Arial" w:eastAsia="Arial" w:hAnsi="Arial"/>
                <w:sz w:val="16"/>
                <w:szCs w:val="16"/>
                <w:b w:val="1"/>
                <w:bCs w:val="1"/>
                <w:color w:val="auto"/>
              </w:rPr>
              <w:t>As of December 31, 2019</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Issuers</w:t>
            </w: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Senior Notes</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Non-Guarantor</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7"/>
        </w:trPr>
        <w:tc>
          <w:tcPr>
            <w:tcW w:w="28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MVWC</w:t>
            </w: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MORI</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Guarantors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8"/>
              </w:rPr>
              <w:t>Subsidiaries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w w:val="98"/>
              </w:rPr>
              <w:t>Eliminations</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2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line="176" w:lineRule="exact"/>
              <w:rPr>
                <w:sz w:val="20"/>
                <w:szCs w:val="20"/>
                <w:color w:val="auto"/>
              </w:rPr>
            </w:pPr>
            <w:r>
              <w:rPr>
                <w:rFonts w:ascii="Arial" w:cs="Arial" w:eastAsia="Arial" w:hAnsi="Arial"/>
                <w:sz w:val="18"/>
                <w:szCs w:val="18"/>
                <w:color w:val="auto"/>
                <w:w w:val="92"/>
              </w:rPr>
              <w:t>Vacation ownership notes receivable,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1,829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2,233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net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Intangibles, net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subsidiaries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Advance deposits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benefits liability</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Deferred compensation liability</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Securitized debt, net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Debt, net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MVW shareholders' equity</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(7,947)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160" w:type="dxa"/>
            <w:vAlign w:val="bottom"/>
            <w:gridSpan w:val="5"/>
          </w:tcPr>
          <w:p>
            <w:pPr>
              <w:spacing w:after="0"/>
              <w:rPr>
                <w:sz w:val="20"/>
                <w:szCs w:val="20"/>
                <w:color w:val="auto"/>
              </w:rPr>
            </w:pPr>
            <w:r>
              <w:rPr>
                <w:rFonts w:ascii="Arial" w:cs="Arial" w:eastAsia="Arial" w:hAnsi="Arial"/>
                <w:sz w:val="18"/>
                <w:szCs w:val="18"/>
                <w:i w:val="1"/>
                <w:iCs w:val="1"/>
                <w:color w:val="auto"/>
              </w:rPr>
              <w:t>Condensed Consolidating Statements of Income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8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w w:val="91"/>
              </w:rPr>
              <w:t>Nine Months Ended September 30, 2020</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6"/>
                <w:szCs w:val="16"/>
                <w:b w:val="1"/>
                <w:bCs w:val="1"/>
                <w:color w:val="auto"/>
              </w:rPr>
              <w:t>Issuers</w:t>
            </w:r>
          </w:p>
        </w:tc>
        <w:tc>
          <w:tcPr>
            <w:tcW w:w="9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Senior Notes</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4"/>
              </w:rPr>
              <w:t>Non-Guarantor</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7"/>
        </w:trPr>
        <w:tc>
          <w:tcPr>
            <w:tcW w:w="28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MVWC</w:t>
            </w: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MORI</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8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Guarantors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Subsidiaries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2"/>
              </w:rPr>
              <w:t>Eliminations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26"/>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Expenses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Benefit (provision) for income taxes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00" w:type="dxa"/>
            <w:vAlign w:val="bottom"/>
          </w:tcPr>
          <w:p>
            <w:pPr>
              <w:ind w:left="20"/>
              <w:spacing w:after="0" w:line="176" w:lineRule="exact"/>
              <w:rPr>
                <w:sz w:val="20"/>
                <w:szCs w:val="20"/>
                <w:color w:val="auto"/>
              </w:rPr>
            </w:pPr>
            <w:r>
              <w:rPr>
                <w:rFonts w:ascii="Arial" w:cs="Arial" w:eastAsia="Arial" w:hAnsi="Arial"/>
                <w:sz w:val="18"/>
                <w:szCs w:val="18"/>
                <w:color w:val="auto"/>
              </w:rPr>
              <w:t>Equity in net (loss) income of</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243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subsidiaries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00" w:type="dxa"/>
            <w:vAlign w:val="bottom"/>
          </w:tcPr>
          <w:p>
            <w:pPr>
              <w:ind w:left="20"/>
              <w:spacing w:after="0" w:line="176" w:lineRule="exact"/>
              <w:rPr>
                <w:sz w:val="20"/>
                <w:szCs w:val="20"/>
                <w:color w:val="auto"/>
              </w:rPr>
            </w:pPr>
            <w:r>
              <w:rPr>
                <w:rFonts w:ascii="Arial" w:cs="Arial" w:eastAsia="Arial" w:hAnsi="Arial"/>
                <w:sz w:val="18"/>
                <w:szCs w:val="18"/>
                <w:color w:val="auto"/>
              </w:rPr>
              <w:t>Net income attributable to</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restart"/>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CCEEFF"/>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CCEEFF"/>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CCEEFF"/>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CCEEFF"/>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8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income (loss) attributable to</w:t>
            </w:r>
          </w:p>
        </w:tc>
        <w:tc>
          <w:tcPr>
            <w:tcW w:w="28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60" w:type="dxa"/>
            <w:vAlign w:val="bottom"/>
            <w:shd w:val="clear" w:color="auto" w:fill="CCEEFF"/>
          </w:tcPr>
          <w:p>
            <w:pPr>
              <w:spacing w:after="0"/>
              <w:rPr>
                <w:sz w:val="13"/>
                <w:szCs w:val="13"/>
                <w:color w:val="auto"/>
              </w:rPr>
            </w:pPr>
          </w:p>
        </w:tc>
        <w:tc>
          <w:tcPr>
            <w:tcW w:w="400" w:type="dxa"/>
            <w:vAlign w:val="bottom"/>
            <w:gridSpan w:val="3"/>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3"/>
                <w:szCs w:val="13"/>
                <w:color w:val="auto"/>
              </w:rPr>
            </w:pP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3"/>
                <w:szCs w:val="13"/>
                <w:color w:val="auto"/>
              </w:rPr>
            </w:pP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0" w:type="dxa"/>
            <w:vAlign w:val="bottom"/>
            <w:shd w:val="clear" w:color="auto" w:fill="CCEEFF"/>
          </w:tcPr>
          <w:p>
            <w:pPr>
              <w:spacing w:after="0"/>
              <w:rPr>
                <w:sz w:val="13"/>
                <w:szCs w:val="13"/>
                <w:color w:val="auto"/>
              </w:rPr>
            </w:pP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common shareholders</w:t>
            </w:r>
          </w:p>
        </w:tc>
        <w:tc>
          <w:tcPr>
            <w:tcW w:w="28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3"/>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3"/>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3"/>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3"/>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3"/>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8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79" w:name="page80"/>
    <w:bookmarkEnd w:id="79"/>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September 30,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Payments Due by Period</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Remainder</w:t>
            </w:r>
          </w:p>
        </w:tc>
        <w:tc>
          <w:tcPr>
            <w:tcW w:w="160" w:type="dxa"/>
            <w:vAlign w:val="bottom"/>
          </w:tcPr>
          <w:p>
            <w:pPr>
              <w:spacing w:after="0"/>
              <w:rPr>
                <w:sz w:val="13"/>
                <w:szCs w:val="13"/>
                <w:color w:val="auto"/>
              </w:rPr>
            </w:pPr>
          </w:p>
        </w:tc>
        <w:tc>
          <w:tcPr>
            <w:tcW w:w="1140" w:type="dxa"/>
            <w:vAlign w:val="bottom"/>
            <w:gridSpan w:val="2"/>
          </w:tcPr>
          <w:p>
            <w:pPr>
              <w:ind w:left="240"/>
              <w:spacing w:after="0" w:line="158" w:lineRule="exact"/>
              <w:rPr>
                <w:sz w:val="20"/>
                <w:szCs w:val="20"/>
                <w:color w:val="auto"/>
              </w:rPr>
            </w:pPr>
            <w:r>
              <w:rPr>
                <w:rFonts w:ascii="Arial" w:cs="Arial" w:eastAsia="Arial" w:hAnsi="Arial"/>
                <w:sz w:val="16"/>
                <w:szCs w:val="16"/>
                <w:b w:val="1"/>
                <w:bCs w:val="1"/>
                <w:color w:val="auto"/>
              </w:rPr>
              <w:t>Years</w:t>
            </w:r>
          </w:p>
        </w:tc>
        <w:tc>
          <w:tcPr>
            <w:tcW w:w="160" w:type="dxa"/>
            <w:vAlign w:val="bottom"/>
          </w:tcPr>
          <w:p>
            <w:pPr>
              <w:spacing w:after="0"/>
              <w:rPr>
                <w:sz w:val="13"/>
                <w:szCs w:val="13"/>
                <w:color w:val="auto"/>
              </w:rPr>
            </w:pPr>
          </w:p>
        </w:tc>
        <w:tc>
          <w:tcPr>
            <w:tcW w:w="1140" w:type="dxa"/>
            <w:vAlign w:val="bottom"/>
            <w:gridSpan w:val="2"/>
          </w:tcPr>
          <w:p>
            <w:pPr>
              <w:ind w:left="240"/>
              <w:spacing w:after="0" w:line="158" w:lineRule="exact"/>
              <w:rPr>
                <w:sz w:val="20"/>
                <w:szCs w:val="20"/>
                <w:color w:val="auto"/>
              </w:rPr>
            </w:pPr>
            <w:r>
              <w:rPr>
                <w:rFonts w:ascii="Arial" w:cs="Arial" w:eastAsia="Arial" w:hAnsi="Arial"/>
                <w:sz w:val="16"/>
                <w:szCs w:val="16"/>
                <w:b w:val="1"/>
                <w:bCs w:val="1"/>
                <w:color w:val="auto"/>
              </w:rPr>
              <w:t>Years</w:t>
            </w:r>
          </w:p>
        </w:tc>
        <w:tc>
          <w:tcPr>
            <w:tcW w:w="160" w:type="dxa"/>
            <w:vAlign w:val="bottom"/>
          </w:tcPr>
          <w:p>
            <w:pPr>
              <w:spacing w:after="0"/>
              <w:rPr>
                <w:sz w:val="13"/>
                <w:szCs w:val="13"/>
                <w:color w:val="auto"/>
              </w:rPr>
            </w:pPr>
          </w:p>
        </w:tc>
        <w:tc>
          <w:tcPr>
            <w:tcW w:w="104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213"/>
        </w:trPr>
        <w:tc>
          <w:tcPr>
            <w:tcW w:w="484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of 2020</w:t>
            </w:r>
          </w:p>
        </w:tc>
        <w:tc>
          <w:tcPr>
            <w:tcW w:w="160" w:type="dxa"/>
            <w:vAlign w:val="bottom"/>
          </w:tcPr>
          <w:p>
            <w:pPr>
              <w:spacing w:after="0"/>
              <w:rPr>
                <w:sz w:val="18"/>
                <w:szCs w:val="18"/>
                <w:color w:val="auto"/>
              </w:rPr>
            </w:pPr>
          </w:p>
        </w:tc>
        <w:tc>
          <w:tcPr>
            <w:tcW w:w="1040" w:type="dxa"/>
            <w:vAlign w:val="bottom"/>
          </w:tcPr>
          <w:p>
            <w:pPr>
              <w:jc w:val="right"/>
              <w:ind w:right="113"/>
              <w:spacing w:after="0"/>
              <w:rPr>
                <w:sz w:val="20"/>
                <w:szCs w:val="20"/>
                <w:color w:val="auto"/>
              </w:rPr>
            </w:pPr>
            <w:r>
              <w:rPr>
                <w:rFonts w:ascii="Arial" w:cs="Arial" w:eastAsia="Arial" w:hAnsi="Arial"/>
                <w:sz w:val="16"/>
                <w:szCs w:val="16"/>
                <w:b w:val="1"/>
                <w:bCs w:val="1"/>
                <w:color w:val="auto"/>
                <w:w w:val="95"/>
              </w:rPr>
              <w:t>2021 - 2022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32"/>
              <w:spacing w:after="0"/>
              <w:rPr>
                <w:sz w:val="20"/>
                <w:szCs w:val="20"/>
                <w:color w:val="auto"/>
              </w:rPr>
            </w:pPr>
            <w:r>
              <w:rPr>
                <w:rFonts w:ascii="Arial" w:cs="Arial" w:eastAsia="Arial" w:hAnsi="Arial"/>
                <w:sz w:val="16"/>
                <w:szCs w:val="16"/>
                <w:b w:val="1"/>
                <w:bCs w:val="1"/>
                <w:color w:val="auto"/>
                <w:w w:val="93"/>
              </w:rPr>
              <w:t>2023 - 2024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4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Contractual Obligations</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Debt</w:t>
            </w:r>
            <w:r>
              <w:rPr>
                <w:rFonts w:ascii="Arial" w:cs="Arial" w:eastAsia="Arial" w:hAnsi="Arial"/>
                <w:sz w:val="9"/>
                <w:szCs w:val="9"/>
                <w:color w:val="auto"/>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5,451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149"/>
        </w:trPr>
        <w:tc>
          <w:tcPr>
            <w:tcW w:w="22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Purchase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w w:val="90"/>
                <w:shd w:val="clear" w:color="auto" w:fill="CCEEFF"/>
              </w:rPr>
              <w:t>(2)</w:t>
            </w:r>
          </w:p>
        </w:tc>
        <w:tc>
          <w:tcPr>
            <w:tcW w:w="3000" w:type="dxa"/>
            <w:vAlign w:val="bottom"/>
            <w:vMerge w:val="restart"/>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80"/>
        </w:trPr>
        <w:tc>
          <w:tcPr>
            <w:tcW w:w="22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840" w:type="dxa"/>
            <w:vAlign w:val="bottom"/>
            <w:gridSpan w:val="4"/>
          </w:tcPr>
          <w:p>
            <w:pPr>
              <w:ind w:left="220"/>
              <w:spacing w:after="0"/>
              <w:rPr>
                <w:sz w:val="20"/>
                <w:szCs w:val="20"/>
                <w:color w:val="auto"/>
              </w:rPr>
            </w:pPr>
            <w:r>
              <w:rPr>
                <w:rFonts w:ascii="Arial" w:cs="Arial" w:eastAsia="Arial" w:hAnsi="Arial"/>
                <w:sz w:val="18"/>
                <w:szCs w:val="18"/>
                <w:color w:val="auto"/>
              </w:rPr>
              <w:t>Operating lease obligations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2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Finance lease obligations</w:t>
            </w:r>
            <w:r>
              <w:rPr>
                <w:rFonts w:ascii="Arial" w:cs="Arial" w:eastAsia="Arial" w:hAnsi="Arial"/>
                <w:sz w:val="9"/>
                <w:szCs w:val="9"/>
                <w:color w:val="auto"/>
              </w:rPr>
              <w:t>(3)</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long-term obligations</w:t>
            </w:r>
            <w:r>
              <w:rPr>
                <w:rFonts w:ascii="Arial" w:cs="Arial" w:eastAsia="Arial" w:hAnsi="Arial"/>
                <w:sz w:val="9"/>
                <w:szCs w:val="9"/>
                <w:color w:val="auto"/>
              </w:rPr>
              <w:t>(4)</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ectPr>
          <w:pgSz w:w="11900" w:h="16838" w:orient="portrait"/>
          <w:cols w:equalWidth="0" w:num="1">
            <w:col w:w="11240"/>
          </w:cols>
          <w:pgMar w:left="320" w:top="233" w:right="33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Includes principal as well as interest payments and excludes unamortized debt discount and issuance costs.</w:t>
      </w:r>
    </w:p>
    <w:p>
      <w:pPr>
        <w:spacing w:after="0" w:line="63" w:lineRule="exact"/>
        <w:rPr>
          <w:sz w:val="20"/>
          <w:szCs w:val="20"/>
          <w:color w:val="auto"/>
        </w:rPr>
      </w:pPr>
    </w:p>
    <w:p>
      <w:pPr>
        <w:ind w:left="20" w:right="360" w:hanging="11"/>
        <w:spacing w:after="0" w:line="305" w:lineRule="auto"/>
        <w:rPr>
          <w:sz w:val="20"/>
          <w:szCs w:val="20"/>
          <w:color w:val="auto"/>
        </w:rPr>
      </w:pPr>
      <w:r>
        <w:rPr>
          <w:rFonts w:ascii="Arial" w:cs="Arial" w:eastAsia="Arial" w:hAnsi="Arial"/>
          <w:sz w:val="16"/>
          <w:szCs w:val="16"/>
          <w:color w:val="auto"/>
        </w:rPr>
        <w:t>Arrangements are considered purchase obligations if a contract specifies all significant terms, including fixed or minimum quantities to be purchased, a pricing structure, and approximate timing of the transaction. Amounts reflected represent expected funding under such contracts. Amounts reflected on the consolidated balance sheet as accounts payable and accrued liabilities are excluded from the table above.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Includes interest.</w:t>
      </w:r>
    </w:p>
    <w:p>
      <w:pPr>
        <w:spacing w:after="0" w:line="63" w:lineRule="exact"/>
        <w:rPr>
          <w:sz w:val="20"/>
          <w:szCs w:val="20"/>
          <w:color w:val="auto"/>
        </w:rPr>
      </w:pPr>
    </w:p>
    <w:p>
      <w:pPr>
        <w:ind w:left="20" w:right="720" w:hanging="11"/>
        <w:spacing w:after="0" w:line="277" w:lineRule="auto"/>
        <w:rPr>
          <w:sz w:val="20"/>
          <w:szCs w:val="20"/>
          <w:color w:val="auto"/>
        </w:rPr>
      </w:pPr>
      <w:r>
        <w:rPr>
          <w:rFonts w:ascii="Arial" w:cs="Arial" w:eastAsia="Arial" w:hAnsi="Arial"/>
          <w:sz w:val="18"/>
          <w:szCs w:val="18"/>
          <w:color w:val="auto"/>
        </w:rPr>
        <w:t>Primarily relates to future guaranteed purchases of rental inventory, operational support services, marketing related benefits, membership fulfillment benefits and other commitments.</w:t>
      </w:r>
    </w:p>
    <w:p>
      <w:pPr>
        <w:spacing w:after="0" w:line="166" w:lineRule="exact"/>
        <w:rPr>
          <w:sz w:val="20"/>
          <w:szCs w:val="20"/>
          <w:color w:val="auto"/>
        </w:rPr>
      </w:pPr>
    </w:p>
    <w:p>
      <w:pPr>
        <w:sectPr>
          <w:pgSz w:w="11900" w:h="16838" w:orient="portrait"/>
          <w:cols w:equalWidth="0" w:num="2">
            <w:col w:w="140" w:space="500"/>
            <w:col w:w="10600"/>
          </w:cols>
          <w:pgMar w:left="320" w:top="233"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Our preparation of financial statements in accordance with GAAP requires management to make estimates and assumptions that affect reported amounts and related disclosures. We have discussed those policies and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 except those resulting from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acquired vacation ownership notes receivable</w:t>
      </w:r>
      <w:r>
        <w:rPr>
          <w:rFonts w:ascii="Arial" w:cs="Arial" w:eastAsia="Arial" w:hAnsi="Arial"/>
          <w:sz w:val="18"/>
          <w:szCs w:val="18"/>
          <w:color w:val="auto"/>
        </w:rPr>
        <w:t>, which is discussed in Footnote 2 “Significant Accounting Policies and Recent Accounting Standards”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Footnote 6 “Vacation Ownership Notes Receivable” to our interim consolidated financial statements presented in Part 1, Item 1 of this Quarterly Report on Form 10-Q.</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exposure to market risk has not changed materially from that disclosed in Part I, Item 7A of our Annual Report on Form 10-K for the year ended December 31, 2019.</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September 30, 2020,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w:t>
      </w:r>
    </w:p>
    <w:p>
      <w:pPr>
        <w:spacing w:after="0" w:line="15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80" w:name="page81"/>
    <w:bookmarkEnd w:id="80"/>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communicate such information to our management, including our Chief Executive Officer and Chief Financial Officer, as appropriate to allow timely decisions about required disclosure.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made no changes in our internal control over financial reporting during the third quarter of 2020 that have materially affected, or are reasonably likely to materially affect, our internal control over financial reporting other than changes in control over financial reporting to integrate the business we acquired in the ILG Acquisition. As previously disclosed, during the first quarter of 2020, we implemented a new enterprise-wide human resources information system and we transitioned the U.S.-based Legacy-ILG associates to our U.S. payroll service provider. Subsequent to the end of the period covered by this Quarterly Report on Form 10-Q, we replaced our U.S. payroll service provider with new functionality provided by our enterprise-wide human resources information system supported by internal processes.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11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There have been no material changes from the risk factors disclosed in Part I, Item 1A of our Annual Report on Form 10-K for the fiscal year ended December 31, 2019 (the “2019 Annual Report”), other than as disclosed in our Current Report on Form 8-K filed on May 6, 2020, our Quarterly Report on Form 10-Q filed on May 22, 2020, and our Quarterly Report on Form 10-Q filed on August 5, 2020. The COVID-19 pandemic has heightened, and in some cases, manifested, certain of the risks we normally face in our business, including those disclosed in the 2019 Annual Report, as updated by the risk factors disclosed in our Current Report on Form 8-K filed on May 6, 2020, our Quarterly Report on Form 10-Q filed on May 22, 2020, and our Quarterly Report on Form 10-Q filed on August 5, 2020.</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Due to the impact of the COVID-19 pandemic, we temporarily suspended repurchasing shares of our common stock in April 2020. Any further share repurchases will be subject to the restrictions imposed under the Waiver.</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Average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 of</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00" w:type="dxa"/>
            <w:vAlign w:val="bottom"/>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Shares That May Yet Be</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Price Paid per</w:t>
            </w: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Publicly Announced Plans</w:t>
            </w:r>
          </w:p>
        </w:tc>
        <w:tc>
          <w:tcPr>
            <w:tcW w:w="100" w:type="dxa"/>
            <w:vAlign w:val="bottom"/>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Purchased Under the</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Period</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8"/>
              </w:rPr>
              <w:t>Shares Purchased</w:t>
            </w: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Share</w:t>
            </w:r>
          </w:p>
        </w:tc>
        <w:tc>
          <w:tcPr>
            <w:tcW w:w="188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9"/>
              </w:rPr>
              <w:t>or Programs</w:t>
            </w:r>
            <w:r>
              <w:rPr>
                <w:rFonts w:ascii="Arial" w:cs="Arial" w:eastAsia="Arial" w:hAnsi="Arial"/>
                <w:sz w:val="21"/>
                <w:szCs w:val="21"/>
                <w:b w:val="1"/>
                <w:bCs w:val="1"/>
                <w:color w:val="auto"/>
                <w:w w:val="89"/>
                <w:vertAlign w:val="superscript"/>
              </w:rPr>
              <w:t>(1)</w:t>
            </w:r>
          </w:p>
        </w:tc>
        <w:tc>
          <w:tcPr>
            <w:tcW w:w="100" w:type="dxa"/>
            <w:vAlign w:val="bottom"/>
          </w:tcPr>
          <w:p>
            <w:pPr>
              <w:spacing w:after="0"/>
              <w:rPr>
                <w:sz w:val="18"/>
                <w:szCs w:val="18"/>
                <w:color w:val="auto"/>
              </w:rPr>
            </w:pPr>
          </w:p>
        </w:tc>
        <w:tc>
          <w:tcPr>
            <w:tcW w:w="188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7"/>
              </w:rPr>
              <w:t>Plans or Programs</w:t>
            </w:r>
            <w:r>
              <w:rPr>
                <w:rFonts w:ascii="Arial" w:cs="Arial" w:eastAsia="Arial" w:hAnsi="Arial"/>
                <w:sz w:val="21"/>
                <w:szCs w:val="21"/>
                <w:b w:val="1"/>
                <w:bCs w:val="1"/>
                <w:color w:val="auto"/>
                <w:w w:val="87"/>
                <w:vertAlign w:val="superscript"/>
              </w:rPr>
              <w:t>(1)</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2020 – July 31, 2020</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1,924,968</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August 1, 2020 – August 31, 2020</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1,924,968</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2020 – September 30, 2020</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t>
            </w:r>
          </w:p>
        </w:tc>
        <w:tc>
          <w:tcPr>
            <w:tcW w:w="1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1,924,968</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1,924,968</w:t>
            </w:r>
          </w:p>
        </w:tc>
        <w:tc>
          <w:tcPr>
            <w:tcW w:w="0" w:type="dxa"/>
            <w:vAlign w:val="bottom"/>
          </w:tcPr>
          <w:p>
            <w:pPr>
              <w:spacing w:after="0"/>
              <w:rPr>
                <w:sz w:val="1"/>
                <w:szCs w:val="1"/>
                <w:color w:val="auto"/>
              </w:rPr>
            </w:pPr>
          </w:p>
        </w:tc>
      </w:tr>
      <w:tr>
        <w:trPr>
          <w:trHeight w:val="21"/>
        </w:trPr>
        <w:tc>
          <w:tcPr>
            <w:tcW w:w="44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448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652"/>
        <w:spacing w:after="0" w:line="238" w:lineRule="auto"/>
        <w:tabs>
          <w:tab w:leader="none" w:pos="648"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On July 30, 2019, our Board of Directors authorized the extension of the duration of our existing share repurchase program to December 31, 2020, as well as the repurchase of up to 4.5 million additional shares of our common stock. As of September 30, 2020, our Board of Directors had authorized the repurchase of an aggregate of up to 19.4 million shares of our common stock under the share repurchase program since the initiation of the program in October 2013.</w:t>
      </w:r>
    </w:p>
    <w:p>
      <w:pPr>
        <w:spacing w:after="0" w:line="18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81" w:name="page82"/>
    <w:bookmarkEnd w:id="81"/>
    <w:p>
      <w:pPr>
        <w:ind w:left="66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documents referenced below are being filed as a part of this Quarterly Report on Form 10-Q, unless otherwise noted.</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10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Filed</w:t>
            </w:r>
          </w:p>
        </w:tc>
        <w:tc>
          <w:tcPr>
            <w:tcW w:w="316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rPr>
              <w:t>Incorporation By Reference From</w:t>
            </w:r>
          </w:p>
        </w:tc>
        <w:tc>
          <w:tcPr>
            <w:tcW w:w="0" w:type="dxa"/>
            <w:vAlign w:val="bottom"/>
          </w:tcPr>
          <w:p>
            <w:pPr>
              <w:spacing w:after="0"/>
              <w:rPr>
                <w:sz w:val="1"/>
                <w:szCs w:val="1"/>
                <w:color w:val="auto"/>
              </w:rPr>
            </w:pPr>
          </w:p>
        </w:tc>
      </w:tr>
      <w:tr>
        <w:trPr>
          <w:trHeight w:val="23"/>
        </w:trPr>
        <w:tc>
          <w:tcPr>
            <w:tcW w:w="1040" w:type="dxa"/>
            <w:vAlign w:val="bottom"/>
            <w:gridSpan w:val="2"/>
            <w:vMerge w:val="continue"/>
          </w:tcPr>
          <w:p>
            <w:pPr>
              <w:spacing w:after="0"/>
              <w:rPr>
                <w:sz w:val="2"/>
                <w:szCs w:val="2"/>
                <w:color w:val="auto"/>
              </w:rPr>
            </w:pPr>
          </w:p>
        </w:tc>
        <w:tc>
          <w:tcPr>
            <w:tcW w:w="5740" w:type="dxa"/>
            <w:vAlign w:val="bottom"/>
            <w:vMerge w:val="restart"/>
          </w:tcPr>
          <w:p>
            <w:pPr>
              <w:ind w:left="2460"/>
              <w:spacing w:after="0"/>
              <w:rPr>
                <w:sz w:val="20"/>
                <w:szCs w:val="20"/>
                <w:color w:val="auto"/>
              </w:rPr>
            </w:pPr>
            <w:r>
              <w:rPr>
                <w:rFonts w:ascii="Arial" w:cs="Arial" w:eastAsia="Arial" w:hAnsi="Arial"/>
                <w:sz w:val="16"/>
                <w:szCs w:val="16"/>
                <w:b w:val="1"/>
                <w:bCs w:val="1"/>
                <w:color w:val="auto"/>
              </w:rPr>
              <w:t>Description</w:t>
            </w:r>
          </w:p>
        </w:tc>
        <w:tc>
          <w:tcPr>
            <w:tcW w:w="100" w:type="dxa"/>
            <w:vAlign w:val="bottom"/>
            <w:vMerge w:val="restart"/>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Form</w:t>
            </w:r>
          </w:p>
        </w:tc>
        <w:tc>
          <w:tcPr>
            <w:tcW w:w="100" w:type="dxa"/>
            <w:vAlign w:val="bottom"/>
            <w:vMerge w:val="restart"/>
          </w:tcPr>
          <w:p>
            <w:pPr>
              <w:spacing w:after="0"/>
              <w:rPr>
                <w:sz w:val="2"/>
                <w:szCs w:val="2"/>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20" w:type="dxa"/>
            <w:vAlign w:val="bottom"/>
            <w:vMerge w:val="restart"/>
          </w:tcPr>
          <w:p>
            <w:pPr>
              <w:spacing w:after="0"/>
              <w:rPr>
                <w:sz w:val="2"/>
                <w:szCs w:val="2"/>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Date Filed</w:t>
            </w:r>
          </w:p>
        </w:tc>
        <w:tc>
          <w:tcPr>
            <w:tcW w:w="0" w:type="dxa"/>
            <w:vAlign w:val="bottom"/>
          </w:tcPr>
          <w:p>
            <w:pPr>
              <w:spacing w:after="0" w:line="20" w:lineRule="exact"/>
              <w:rPr>
                <w:sz w:val="1"/>
                <w:szCs w:val="1"/>
                <w:color w:val="auto"/>
              </w:rPr>
            </w:pPr>
          </w:p>
        </w:tc>
      </w:tr>
      <w:tr>
        <w:trPr>
          <w:trHeight w:val="213"/>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w:t>
            </w:r>
          </w:p>
        </w:tc>
        <w:tc>
          <w:tcPr>
            <w:tcW w:w="100" w:type="dxa"/>
            <w:vAlign w:val="bottom"/>
          </w:tcPr>
          <w:p>
            <w:pPr>
              <w:spacing w:after="0"/>
              <w:rPr>
                <w:sz w:val="18"/>
                <w:szCs w:val="18"/>
                <w:color w:val="auto"/>
              </w:rPr>
            </w:pPr>
          </w:p>
        </w:tc>
        <w:tc>
          <w:tcPr>
            <w:tcW w:w="57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12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40" w:type="dxa"/>
            <w:vAlign w:val="bottom"/>
            <w:gridSpan w:val="2"/>
          </w:tcPr>
          <w:p>
            <w:pPr>
              <w:ind w:left="20"/>
              <w:spacing w:after="0"/>
              <w:rPr>
                <w:sz w:val="20"/>
                <w:szCs w:val="20"/>
                <w:color w:val="auto"/>
              </w:rPr>
            </w:pPr>
            <w:r>
              <w:rPr>
                <w:rFonts w:ascii="Arial" w:cs="Arial" w:eastAsia="Arial" w:hAnsi="Arial"/>
                <w:sz w:val="18"/>
                <w:szCs w:val="18"/>
                <w:color w:val="auto"/>
                <w:w w:val="99"/>
              </w:rPr>
              <w:t>Agreement and Plan of Merger, dated as of April 30, 2018, by and among</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40" w:type="dxa"/>
            <w:vAlign w:val="bottom"/>
            <w:vMerge w:val="restart"/>
          </w:tcPr>
          <w:p>
            <w:pPr>
              <w:jc w:val="center"/>
              <w:spacing w:after="0"/>
              <w:rPr>
                <w:rFonts w:ascii="Arial" w:cs="Arial" w:eastAsia="Arial" w:hAnsi="Arial"/>
                <w:sz w:val="18"/>
                <w:szCs w:val="18"/>
                <w:u w:val="single" w:color="auto"/>
                <w:color w:val="0000FF"/>
                <w:w w:val="95"/>
              </w:rPr>
            </w:pPr>
            <w:hyperlink r:id="rId121">
              <w:r>
                <w:rPr>
                  <w:rFonts w:ascii="Arial" w:cs="Arial" w:eastAsia="Arial" w:hAnsi="Arial"/>
                  <w:sz w:val="18"/>
                  <w:szCs w:val="18"/>
                  <w:u w:val="single" w:color="auto"/>
                  <w:color w:val="0000FF"/>
                  <w:w w:val="95"/>
                </w:rPr>
                <w:t>2.1</w:t>
              </w:r>
            </w:hyperlink>
          </w:p>
        </w:tc>
        <w:tc>
          <w:tcPr>
            <w:tcW w:w="100" w:type="dxa"/>
            <w:vAlign w:val="bottom"/>
          </w:tcPr>
          <w:p>
            <w:pPr>
              <w:spacing w:after="0"/>
              <w:rPr>
                <w:sz w:val="15"/>
                <w:szCs w:val="15"/>
                <w:color w:val="auto"/>
              </w:rPr>
            </w:pPr>
          </w:p>
        </w:tc>
        <w:tc>
          <w:tcPr>
            <w:tcW w:w="5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Marriott Vacations Worldwide Corporation, ILG, Inc., Ignite Holdco, Inc.,</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9"/>
              </w:rPr>
              <w:t>8-K</w:t>
            </w:r>
          </w:p>
        </w:tc>
        <w:tc>
          <w:tcPr>
            <w:tcW w:w="800" w:type="dxa"/>
            <w:vAlign w:val="bottom"/>
            <w:vMerge w:val="restart"/>
          </w:tcPr>
          <w:p>
            <w:pPr>
              <w:jc w:val="right"/>
              <w:ind w:right="195"/>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1240" w:type="dxa"/>
            <w:vAlign w:val="bottom"/>
            <w:vMerge w:val="restart"/>
          </w:tcPr>
          <w:p>
            <w:pPr>
              <w:jc w:val="right"/>
              <w:ind w:right="215"/>
              <w:spacing w:after="0"/>
              <w:rPr>
                <w:sz w:val="20"/>
                <w:szCs w:val="20"/>
                <w:color w:val="auto"/>
              </w:rPr>
            </w:pPr>
            <w:r>
              <w:rPr>
                <w:rFonts w:ascii="Arial" w:cs="Arial" w:eastAsia="Arial" w:hAnsi="Arial"/>
                <w:sz w:val="18"/>
                <w:szCs w:val="18"/>
                <w:color w:val="auto"/>
              </w:rPr>
              <w:t>5/1/2018</w:t>
            </w:r>
          </w:p>
        </w:tc>
        <w:tc>
          <w:tcPr>
            <w:tcW w:w="0" w:type="dxa"/>
            <w:vAlign w:val="bottom"/>
          </w:tcPr>
          <w:p>
            <w:pPr>
              <w:spacing w:after="0"/>
              <w:rPr>
                <w:sz w:val="1"/>
                <w:szCs w:val="1"/>
                <w:color w:val="auto"/>
              </w:rPr>
            </w:pPr>
          </w:p>
        </w:tc>
      </w:tr>
      <w:tr>
        <w:trPr>
          <w:trHeight w:val="135"/>
        </w:trPr>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840" w:type="dxa"/>
            <w:vAlign w:val="bottom"/>
            <w:gridSpan w:val="2"/>
            <w:vMerge w:val="restart"/>
          </w:tcPr>
          <w:p>
            <w:pPr>
              <w:ind w:left="20"/>
              <w:spacing w:after="0" w:line="191" w:lineRule="exact"/>
              <w:rPr>
                <w:sz w:val="20"/>
                <w:szCs w:val="20"/>
                <w:color w:val="auto"/>
              </w:rPr>
            </w:pPr>
            <w:r>
              <w:rPr>
                <w:rFonts w:ascii="Arial" w:cs="Arial" w:eastAsia="Arial" w:hAnsi="Arial"/>
                <w:sz w:val="18"/>
                <w:szCs w:val="18"/>
                <w:color w:val="auto"/>
                <w:w w:val="98"/>
              </w:rPr>
              <w:t>Ignite Holdco Subsidiary, Inc., Volt Merger Sub, Inc., and Volt Merger Sub</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4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140"/>
        <w:spacing w:after="0"/>
        <w:rPr>
          <w:sz w:val="20"/>
          <w:szCs w:val="20"/>
          <w:color w:val="auto"/>
        </w:rPr>
      </w:pPr>
      <w:r>
        <w:rPr>
          <w:rFonts w:ascii="Arial" w:cs="Arial" w:eastAsia="Arial" w:hAnsi="Arial"/>
          <w:sz w:val="18"/>
          <w:szCs w:val="18"/>
          <w:color w:val="auto"/>
        </w:rPr>
        <w:t>LLC*</w:t>
      </w:r>
    </w:p>
    <w:p>
      <w:pPr>
        <w:sectPr>
          <w:pgSz w:w="11900" w:h="16838" w:orient="portrait"/>
          <w:cols w:equalWidth="0" w:num="1">
            <w:col w:w="11180"/>
          </w:cols>
          <w:pgMar w:left="320" w:top="233" w:right="399" w:bottom="1440" w:gutter="0" w:footer="0" w:header="0"/>
        </w:sectPr>
      </w:pPr>
    </w:p>
    <w:p>
      <w:pPr>
        <w:spacing w:after="0" w:line="138"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540" w:type="dxa"/>
            <w:vAlign w:val="bottom"/>
            <w:vMerge w:val="restart"/>
          </w:tcPr>
          <w:p>
            <w:pPr>
              <w:jc w:val="center"/>
              <w:ind w:right="130"/>
              <w:spacing w:after="0"/>
              <w:rPr>
                <w:rFonts w:ascii="Arial" w:cs="Arial" w:eastAsia="Arial" w:hAnsi="Arial"/>
                <w:sz w:val="18"/>
                <w:szCs w:val="18"/>
                <w:u w:val="single" w:color="auto"/>
                <w:color w:val="0000FF"/>
                <w:w w:val="95"/>
              </w:rPr>
            </w:pPr>
            <w:hyperlink r:id="rId122">
              <w:r>
                <w:rPr>
                  <w:rFonts w:ascii="Arial" w:cs="Arial" w:eastAsia="Arial" w:hAnsi="Arial"/>
                  <w:sz w:val="18"/>
                  <w:szCs w:val="18"/>
                  <w:u w:val="single" w:color="auto"/>
                  <w:color w:val="0000FF"/>
                  <w:w w:val="95"/>
                </w:rPr>
                <w:t>3.1</w:t>
              </w:r>
            </w:hyperlink>
          </w:p>
        </w:tc>
        <w:tc>
          <w:tcPr>
            <w:tcW w:w="5900" w:type="dxa"/>
            <w:vAlign w:val="bottom"/>
          </w:tcPr>
          <w:p>
            <w:pPr>
              <w:ind w:left="220"/>
              <w:spacing w:after="0"/>
              <w:rPr>
                <w:sz w:val="20"/>
                <w:szCs w:val="20"/>
                <w:color w:val="auto"/>
              </w:rPr>
            </w:pPr>
            <w:r>
              <w:rPr>
                <w:rFonts w:ascii="Arial" w:cs="Arial" w:eastAsia="Arial" w:hAnsi="Arial"/>
                <w:sz w:val="18"/>
                <w:szCs w:val="18"/>
                <w:color w:val="auto"/>
              </w:rPr>
              <w:t>Restated Certificate of Incorporation of Marriott Vacations Worldwide</w:t>
            </w:r>
          </w:p>
        </w:tc>
        <w:tc>
          <w:tcPr>
            <w:tcW w:w="0" w:type="dxa"/>
            <w:vAlign w:val="bottom"/>
          </w:tcPr>
          <w:p>
            <w:pPr>
              <w:spacing w:after="0"/>
              <w:rPr>
                <w:sz w:val="1"/>
                <w:szCs w:val="1"/>
                <w:color w:val="auto"/>
              </w:rPr>
            </w:pPr>
          </w:p>
        </w:tc>
      </w:tr>
      <w:tr>
        <w:trPr>
          <w:trHeight w:val="135"/>
        </w:trPr>
        <w:tc>
          <w:tcPr>
            <w:tcW w:w="540" w:type="dxa"/>
            <w:vAlign w:val="bottom"/>
            <w:vMerge w:val="continue"/>
          </w:tcPr>
          <w:p>
            <w:pPr>
              <w:spacing w:after="0"/>
              <w:rPr>
                <w:sz w:val="11"/>
                <w:szCs w:val="11"/>
                <w:color w:val="auto"/>
              </w:rPr>
            </w:pPr>
          </w:p>
        </w:tc>
        <w:tc>
          <w:tcPr>
            <w:tcW w:w="5900" w:type="dxa"/>
            <w:vAlign w:val="bottom"/>
            <w:vMerge w:val="restart"/>
          </w:tcPr>
          <w:p>
            <w:pPr>
              <w:ind w:left="220"/>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95"/>
        </w:trPr>
        <w:tc>
          <w:tcPr>
            <w:tcW w:w="540" w:type="dxa"/>
            <w:vAlign w:val="bottom"/>
          </w:tcPr>
          <w:p>
            <w:pPr>
              <w:spacing w:after="0"/>
              <w:rPr>
                <w:sz w:val="8"/>
                <w:szCs w:val="8"/>
                <w:color w:val="auto"/>
              </w:rPr>
            </w:pPr>
          </w:p>
        </w:tc>
        <w:tc>
          <w:tcPr>
            <w:tcW w:w="5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540" w:type="dxa"/>
            <w:vAlign w:val="bottom"/>
          </w:tcPr>
          <w:p>
            <w:pPr>
              <w:jc w:val="center"/>
              <w:ind w:right="130"/>
              <w:spacing w:after="0"/>
              <w:rPr>
                <w:rFonts w:ascii="Arial" w:cs="Arial" w:eastAsia="Arial" w:hAnsi="Arial"/>
                <w:sz w:val="18"/>
                <w:szCs w:val="18"/>
                <w:u w:val="single" w:color="auto"/>
                <w:color w:val="0000FF"/>
                <w:w w:val="95"/>
              </w:rPr>
            </w:pPr>
            <w:hyperlink r:id="rId123">
              <w:r>
                <w:rPr>
                  <w:rFonts w:ascii="Arial" w:cs="Arial" w:eastAsia="Arial" w:hAnsi="Arial"/>
                  <w:sz w:val="18"/>
                  <w:szCs w:val="18"/>
                  <w:u w:val="single" w:color="auto"/>
                  <w:color w:val="0000FF"/>
                  <w:w w:val="95"/>
                </w:rPr>
                <w:t>3.2</w:t>
              </w:r>
            </w:hyperlink>
          </w:p>
        </w:tc>
        <w:tc>
          <w:tcPr>
            <w:tcW w:w="5900" w:type="dxa"/>
            <w:vAlign w:val="bottom"/>
          </w:tcPr>
          <w:p>
            <w:pPr>
              <w:ind w:left="220"/>
              <w:spacing w:after="0"/>
              <w:rPr>
                <w:sz w:val="20"/>
                <w:szCs w:val="20"/>
                <w:color w:val="auto"/>
              </w:rPr>
            </w:pPr>
            <w:r>
              <w:rPr>
                <w:rFonts w:ascii="Arial" w:cs="Arial" w:eastAsia="Arial" w:hAnsi="Arial"/>
                <w:sz w:val="18"/>
                <w:szCs w:val="18"/>
                <w:color w:val="auto"/>
              </w:rPr>
              <w:t>Restated Bylaws of Marriott Vacations Worldwide Corporation</w:t>
            </w:r>
          </w:p>
        </w:tc>
        <w:tc>
          <w:tcPr>
            <w:tcW w:w="0" w:type="dxa"/>
            <w:vAlign w:val="bottom"/>
          </w:tcPr>
          <w:p>
            <w:pPr>
              <w:spacing w:after="0"/>
              <w:rPr>
                <w:sz w:val="1"/>
                <w:szCs w:val="1"/>
                <w:color w:val="auto"/>
              </w:rPr>
            </w:pPr>
          </w:p>
        </w:tc>
      </w:tr>
      <w:tr>
        <w:trPr>
          <w:trHeight w:val="283"/>
        </w:trPr>
        <w:tc>
          <w:tcPr>
            <w:tcW w:w="540" w:type="dxa"/>
            <w:vAlign w:val="bottom"/>
            <w:vMerge w:val="restart"/>
          </w:tcPr>
          <w:p>
            <w:pPr>
              <w:jc w:val="center"/>
              <w:ind w:right="130"/>
              <w:spacing w:after="0"/>
              <w:rPr>
                <w:rFonts w:ascii="Arial" w:cs="Arial" w:eastAsia="Arial" w:hAnsi="Arial"/>
                <w:sz w:val="18"/>
                <w:szCs w:val="18"/>
                <w:u w:val="single" w:color="auto"/>
                <w:color w:val="0000FF"/>
                <w:w w:val="95"/>
              </w:rPr>
            </w:pPr>
            <w:hyperlink r:id="rId124">
              <w:r>
                <w:rPr>
                  <w:rFonts w:ascii="Arial" w:cs="Arial" w:eastAsia="Arial" w:hAnsi="Arial"/>
                  <w:sz w:val="18"/>
                  <w:szCs w:val="18"/>
                  <w:u w:val="single" w:color="auto"/>
                  <w:color w:val="0000FF"/>
                  <w:w w:val="95"/>
                </w:rPr>
                <w:t>4.1</w:t>
              </w:r>
            </w:hyperlink>
          </w:p>
        </w:tc>
        <w:tc>
          <w:tcPr>
            <w:tcW w:w="5900" w:type="dxa"/>
            <w:vAlign w:val="bottom"/>
          </w:tcPr>
          <w:p>
            <w:pPr>
              <w:ind w:left="220"/>
              <w:spacing w:after="0"/>
              <w:rPr>
                <w:sz w:val="20"/>
                <w:szCs w:val="20"/>
                <w:color w:val="auto"/>
              </w:rPr>
            </w:pPr>
            <w:r>
              <w:rPr>
                <w:rFonts w:ascii="Arial" w:cs="Arial" w:eastAsia="Arial" w:hAnsi="Arial"/>
                <w:sz w:val="18"/>
                <w:szCs w:val="18"/>
                <w:color w:val="auto"/>
                <w:w w:val="92"/>
              </w:rPr>
              <w:t>Form of certificate representing shares of common stock, par value $0.01 per</w:t>
            </w:r>
          </w:p>
        </w:tc>
        <w:tc>
          <w:tcPr>
            <w:tcW w:w="0" w:type="dxa"/>
            <w:vAlign w:val="bottom"/>
          </w:tcPr>
          <w:p>
            <w:pPr>
              <w:spacing w:after="0"/>
              <w:rPr>
                <w:sz w:val="1"/>
                <w:szCs w:val="1"/>
                <w:color w:val="auto"/>
              </w:rPr>
            </w:pPr>
          </w:p>
        </w:tc>
      </w:tr>
      <w:tr>
        <w:trPr>
          <w:trHeight w:val="135"/>
        </w:trPr>
        <w:tc>
          <w:tcPr>
            <w:tcW w:w="540" w:type="dxa"/>
            <w:vAlign w:val="bottom"/>
            <w:vMerge w:val="continue"/>
          </w:tcPr>
          <w:p>
            <w:pPr>
              <w:spacing w:after="0"/>
              <w:rPr>
                <w:sz w:val="11"/>
                <w:szCs w:val="11"/>
                <w:color w:val="auto"/>
              </w:rPr>
            </w:pPr>
          </w:p>
        </w:tc>
        <w:tc>
          <w:tcPr>
            <w:tcW w:w="5900" w:type="dxa"/>
            <w:vAlign w:val="bottom"/>
            <w:vMerge w:val="restart"/>
          </w:tcPr>
          <w:p>
            <w:pPr>
              <w:ind w:left="220"/>
              <w:spacing w:after="0"/>
              <w:rPr>
                <w:sz w:val="20"/>
                <w:szCs w:val="20"/>
                <w:color w:val="auto"/>
              </w:rPr>
            </w:pPr>
            <w:r>
              <w:rPr>
                <w:rFonts w:ascii="Arial" w:cs="Arial" w:eastAsia="Arial" w:hAnsi="Arial"/>
                <w:sz w:val="18"/>
                <w:szCs w:val="18"/>
                <w:color w:val="auto"/>
              </w:rPr>
              <w:t>share, of Marriott Vacations Worldwide Corporation</w:t>
            </w:r>
          </w:p>
        </w:tc>
        <w:tc>
          <w:tcPr>
            <w:tcW w:w="0" w:type="dxa"/>
            <w:vAlign w:val="bottom"/>
          </w:tcPr>
          <w:p>
            <w:pPr>
              <w:spacing w:after="0"/>
              <w:rPr>
                <w:sz w:val="1"/>
                <w:szCs w:val="1"/>
                <w:color w:val="auto"/>
              </w:rPr>
            </w:pPr>
          </w:p>
        </w:tc>
      </w:tr>
      <w:tr>
        <w:trPr>
          <w:trHeight w:val="95"/>
        </w:trPr>
        <w:tc>
          <w:tcPr>
            <w:tcW w:w="540" w:type="dxa"/>
            <w:vAlign w:val="bottom"/>
          </w:tcPr>
          <w:p>
            <w:pPr>
              <w:spacing w:after="0"/>
              <w:rPr>
                <w:sz w:val="8"/>
                <w:szCs w:val="8"/>
                <w:color w:val="auto"/>
              </w:rPr>
            </w:pPr>
          </w:p>
        </w:tc>
        <w:tc>
          <w:tcPr>
            <w:tcW w:w="5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540" w:type="dxa"/>
            <w:vAlign w:val="bottom"/>
            <w:vMerge w:val="restart"/>
          </w:tcPr>
          <w:p>
            <w:pPr>
              <w:jc w:val="center"/>
              <w:ind w:right="130"/>
              <w:spacing w:after="0"/>
              <w:rPr>
                <w:rFonts w:ascii="Arial" w:cs="Arial" w:eastAsia="Arial" w:hAnsi="Arial"/>
                <w:sz w:val="18"/>
                <w:szCs w:val="18"/>
                <w:u w:val="single" w:color="auto"/>
                <w:color w:val="0000FF"/>
                <w:w w:val="95"/>
              </w:rPr>
            </w:pPr>
            <w:hyperlink r:id="rId125">
              <w:r>
                <w:rPr>
                  <w:rFonts w:ascii="Arial" w:cs="Arial" w:eastAsia="Arial" w:hAnsi="Arial"/>
                  <w:sz w:val="18"/>
                  <w:szCs w:val="18"/>
                  <w:u w:val="single" w:color="auto"/>
                  <w:color w:val="0000FF"/>
                  <w:w w:val="95"/>
                </w:rPr>
                <w:t>4.2</w:t>
              </w:r>
            </w:hyperlink>
          </w:p>
        </w:tc>
        <w:tc>
          <w:tcPr>
            <w:tcW w:w="5900" w:type="dxa"/>
            <w:vAlign w:val="bottom"/>
          </w:tcPr>
          <w:p>
            <w:pPr>
              <w:ind w:left="220"/>
              <w:spacing w:after="0"/>
              <w:rPr>
                <w:sz w:val="20"/>
                <w:szCs w:val="20"/>
                <w:color w:val="auto"/>
              </w:rPr>
            </w:pPr>
            <w:r>
              <w:rPr>
                <w:rFonts w:ascii="Arial" w:cs="Arial" w:eastAsia="Arial" w:hAnsi="Arial"/>
                <w:sz w:val="18"/>
                <w:szCs w:val="18"/>
                <w:color w:val="auto"/>
                <w:w w:val="93"/>
              </w:rPr>
              <w:t>Indenture between Marriott Vacations Worldwide Corporation and The Bank</w:t>
            </w:r>
          </w:p>
        </w:tc>
        <w:tc>
          <w:tcPr>
            <w:tcW w:w="0" w:type="dxa"/>
            <w:vAlign w:val="bottom"/>
          </w:tcPr>
          <w:p>
            <w:pPr>
              <w:spacing w:after="0"/>
              <w:rPr>
                <w:sz w:val="1"/>
                <w:szCs w:val="1"/>
                <w:color w:val="auto"/>
              </w:rPr>
            </w:pPr>
          </w:p>
        </w:tc>
      </w:tr>
      <w:tr>
        <w:trPr>
          <w:trHeight w:val="176"/>
        </w:trPr>
        <w:tc>
          <w:tcPr>
            <w:tcW w:w="540" w:type="dxa"/>
            <w:vAlign w:val="bottom"/>
            <w:vMerge w:val="continue"/>
          </w:tcPr>
          <w:p>
            <w:pPr>
              <w:spacing w:after="0"/>
              <w:rPr>
                <w:sz w:val="15"/>
                <w:szCs w:val="15"/>
                <w:color w:val="auto"/>
              </w:rPr>
            </w:pPr>
          </w:p>
        </w:tc>
        <w:tc>
          <w:tcPr>
            <w:tcW w:w="5900" w:type="dxa"/>
            <w:vAlign w:val="bottom"/>
          </w:tcPr>
          <w:p>
            <w:pPr>
              <w:ind w:left="220"/>
              <w:spacing w:after="0" w:line="176" w:lineRule="exact"/>
              <w:rPr>
                <w:sz w:val="20"/>
                <w:szCs w:val="20"/>
                <w:color w:val="auto"/>
              </w:rPr>
            </w:pPr>
            <w:r>
              <w:rPr>
                <w:rFonts w:ascii="Arial" w:cs="Arial" w:eastAsia="Arial" w:hAnsi="Arial"/>
                <w:sz w:val="18"/>
                <w:szCs w:val="18"/>
                <w:color w:val="auto"/>
                <w:w w:val="94"/>
              </w:rPr>
              <w:t>of New York Mellon Trust Company, N.A., as trustee, dated September 25,</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5900" w:type="dxa"/>
            <w:vAlign w:val="bottom"/>
          </w:tcPr>
          <w:p>
            <w:pPr>
              <w:ind w:left="22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83"/>
        </w:trPr>
        <w:tc>
          <w:tcPr>
            <w:tcW w:w="540" w:type="dxa"/>
            <w:vAlign w:val="bottom"/>
            <w:vMerge w:val="restart"/>
          </w:tcPr>
          <w:p>
            <w:pPr>
              <w:jc w:val="center"/>
              <w:ind w:right="130"/>
              <w:spacing w:after="0"/>
              <w:rPr>
                <w:rFonts w:ascii="Arial" w:cs="Arial" w:eastAsia="Arial" w:hAnsi="Arial"/>
                <w:sz w:val="18"/>
                <w:szCs w:val="18"/>
                <w:u w:val="single" w:color="auto"/>
                <w:color w:val="0000FF"/>
                <w:w w:val="95"/>
              </w:rPr>
            </w:pPr>
            <w:hyperlink r:id="rId126">
              <w:r>
                <w:rPr>
                  <w:rFonts w:ascii="Arial" w:cs="Arial" w:eastAsia="Arial" w:hAnsi="Arial"/>
                  <w:sz w:val="18"/>
                  <w:szCs w:val="18"/>
                  <w:u w:val="single" w:color="auto"/>
                  <w:color w:val="0000FF"/>
                  <w:w w:val="95"/>
                </w:rPr>
                <w:t>4.3</w:t>
              </w:r>
            </w:hyperlink>
          </w:p>
        </w:tc>
        <w:tc>
          <w:tcPr>
            <w:tcW w:w="5900" w:type="dxa"/>
            <w:vAlign w:val="bottom"/>
          </w:tcPr>
          <w:p>
            <w:pPr>
              <w:ind w:left="220"/>
              <w:spacing w:after="0"/>
              <w:rPr>
                <w:sz w:val="20"/>
                <w:szCs w:val="20"/>
                <w:color w:val="auto"/>
              </w:rPr>
            </w:pPr>
            <w:r>
              <w:rPr>
                <w:rFonts w:ascii="Arial" w:cs="Arial" w:eastAsia="Arial" w:hAnsi="Arial"/>
                <w:sz w:val="18"/>
                <w:szCs w:val="18"/>
                <w:color w:val="auto"/>
                <w:w w:val="95"/>
              </w:rPr>
              <w:t>Form of 1.50% Convertible Senior Note due 2022 (included as Exhibit A to</w:t>
            </w:r>
          </w:p>
        </w:tc>
        <w:tc>
          <w:tcPr>
            <w:tcW w:w="0" w:type="dxa"/>
            <w:vAlign w:val="bottom"/>
          </w:tcPr>
          <w:p>
            <w:pPr>
              <w:spacing w:after="0"/>
              <w:rPr>
                <w:sz w:val="1"/>
                <w:szCs w:val="1"/>
                <w:color w:val="auto"/>
              </w:rPr>
            </w:pPr>
          </w:p>
        </w:tc>
      </w:tr>
      <w:tr>
        <w:trPr>
          <w:trHeight w:val="135"/>
        </w:trPr>
        <w:tc>
          <w:tcPr>
            <w:tcW w:w="540" w:type="dxa"/>
            <w:vAlign w:val="bottom"/>
            <w:vMerge w:val="continue"/>
          </w:tcPr>
          <w:p>
            <w:pPr>
              <w:spacing w:after="0"/>
              <w:rPr>
                <w:sz w:val="11"/>
                <w:szCs w:val="11"/>
                <w:color w:val="auto"/>
              </w:rPr>
            </w:pPr>
          </w:p>
        </w:tc>
        <w:tc>
          <w:tcPr>
            <w:tcW w:w="5900" w:type="dxa"/>
            <w:vAlign w:val="bottom"/>
            <w:vMerge w:val="restart"/>
          </w:tcPr>
          <w:p>
            <w:pPr>
              <w:ind w:left="220"/>
              <w:spacing w:after="0"/>
              <w:rPr>
                <w:sz w:val="20"/>
                <w:szCs w:val="20"/>
                <w:color w:val="auto"/>
              </w:rPr>
            </w:pPr>
            <w:r>
              <w:rPr>
                <w:rFonts w:ascii="Arial" w:cs="Arial" w:eastAsia="Arial" w:hAnsi="Arial"/>
                <w:sz w:val="18"/>
                <w:szCs w:val="18"/>
                <w:color w:val="auto"/>
              </w:rPr>
              <w:t>Exhibit 4.2 above)</w:t>
            </w:r>
          </w:p>
        </w:tc>
        <w:tc>
          <w:tcPr>
            <w:tcW w:w="0" w:type="dxa"/>
            <w:vAlign w:val="bottom"/>
          </w:tcPr>
          <w:p>
            <w:pPr>
              <w:spacing w:after="0"/>
              <w:rPr>
                <w:sz w:val="1"/>
                <w:szCs w:val="1"/>
                <w:color w:val="auto"/>
              </w:rPr>
            </w:pPr>
          </w:p>
        </w:tc>
      </w:tr>
      <w:tr>
        <w:trPr>
          <w:trHeight w:val="95"/>
        </w:trPr>
        <w:tc>
          <w:tcPr>
            <w:tcW w:w="540" w:type="dxa"/>
            <w:vAlign w:val="bottom"/>
          </w:tcPr>
          <w:p>
            <w:pPr>
              <w:spacing w:after="0"/>
              <w:rPr>
                <w:sz w:val="8"/>
                <w:szCs w:val="8"/>
                <w:color w:val="auto"/>
              </w:rPr>
            </w:pPr>
          </w:p>
        </w:tc>
        <w:tc>
          <w:tcPr>
            <w:tcW w:w="5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540" w:type="dxa"/>
            <w:vAlign w:val="bottom"/>
          </w:tcPr>
          <w:p>
            <w:pPr>
              <w:spacing w:after="0"/>
              <w:rPr>
                <w:sz w:val="24"/>
                <w:szCs w:val="24"/>
                <w:color w:val="auto"/>
              </w:rPr>
            </w:pPr>
          </w:p>
        </w:tc>
        <w:tc>
          <w:tcPr>
            <w:tcW w:w="5900" w:type="dxa"/>
            <w:vAlign w:val="bottom"/>
          </w:tcPr>
          <w:p>
            <w:pPr>
              <w:ind w:left="220"/>
              <w:spacing w:after="0"/>
              <w:rPr>
                <w:sz w:val="20"/>
                <w:szCs w:val="20"/>
                <w:color w:val="auto"/>
              </w:rPr>
            </w:pPr>
            <w:r>
              <w:rPr>
                <w:rFonts w:ascii="Arial" w:cs="Arial" w:eastAsia="Arial" w:hAnsi="Arial"/>
                <w:sz w:val="18"/>
                <w:szCs w:val="18"/>
                <w:color w:val="auto"/>
                <w:w w:val="95"/>
              </w:rPr>
              <w:t>Indenture, dated as of August 23, 2018, by and among Marriott Ownership</w:t>
            </w:r>
          </w:p>
        </w:tc>
        <w:tc>
          <w:tcPr>
            <w:tcW w:w="0" w:type="dxa"/>
            <w:vAlign w:val="bottom"/>
          </w:tcPr>
          <w:p>
            <w:pPr>
              <w:spacing w:after="0"/>
              <w:rPr>
                <w:sz w:val="1"/>
                <w:szCs w:val="1"/>
                <w:color w:val="auto"/>
              </w:rPr>
            </w:pPr>
          </w:p>
        </w:tc>
      </w:tr>
      <w:tr>
        <w:trPr>
          <w:trHeight w:val="175"/>
        </w:trPr>
        <w:tc>
          <w:tcPr>
            <w:tcW w:w="540" w:type="dxa"/>
            <w:vAlign w:val="bottom"/>
            <w:vMerge w:val="restart"/>
          </w:tcPr>
          <w:p>
            <w:pPr>
              <w:jc w:val="center"/>
              <w:ind w:right="130"/>
              <w:spacing w:after="0"/>
              <w:rPr>
                <w:rFonts w:ascii="Arial" w:cs="Arial" w:eastAsia="Arial" w:hAnsi="Arial"/>
                <w:sz w:val="18"/>
                <w:szCs w:val="18"/>
                <w:u w:val="single" w:color="auto"/>
                <w:color w:val="0000FF"/>
                <w:w w:val="95"/>
              </w:rPr>
            </w:pPr>
            <w:hyperlink r:id="rId127">
              <w:r>
                <w:rPr>
                  <w:rFonts w:ascii="Arial" w:cs="Arial" w:eastAsia="Arial" w:hAnsi="Arial"/>
                  <w:sz w:val="18"/>
                  <w:szCs w:val="18"/>
                  <w:u w:val="single" w:color="auto"/>
                  <w:color w:val="0000FF"/>
                  <w:w w:val="95"/>
                </w:rPr>
                <w:t>4.4</w:t>
              </w:r>
            </w:hyperlink>
          </w:p>
        </w:tc>
        <w:tc>
          <w:tcPr>
            <w:tcW w:w="5900" w:type="dxa"/>
            <w:vAlign w:val="bottom"/>
          </w:tcPr>
          <w:p>
            <w:pPr>
              <w:ind w:left="220"/>
              <w:spacing w:after="0" w:line="176" w:lineRule="exact"/>
              <w:rPr>
                <w:sz w:val="20"/>
                <w:szCs w:val="20"/>
                <w:color w:val="auto"/>
              </w:rPr>
            </w:pPr>
            <w:r>
              <w:rPr>
                <w:rFonts w:ascii="Arial" w:cs="Arial" w:eastAsia="Arial" w:hAnsi="Arial"/>
                <w:sz w:val="18"/>
                <w:szCs w:val="18"/>
                <w:color w:val="auto"/>
                <w:w w:val="95"/>
              </w:rPr>
              <w:t>Resorts, Inc., Marriott Vacations Worldwide Corporation, as guarantor, the</w:t>
            </w:r>
          </w:p>
        </w:tc>
        <w:tc>
          <w:tcPr>
            <w:tcW w:w="0" w:type="dxa"/>
            <w:vAlign w:val="bottom"/>
          </w:tcPr>
          <w:p>
            <w:pPr>
              <w:spacing w:after="0"/>
              <w:rPr>
                <w:sz w:val="1"/>
                <w:szCs w:val="1"/>
                <w:color w:val="auto"/>
              </w:rPr>
            </w:pPr>
          </w:p>
        </w:tc>
      </w:tr>
      <w:tr>
        <w:trPr>
          <w:trHeight w:val="135"/>
        </w:trPr>
        <w:tc>
          <w:tcPr>
            <w:tcW w:w="540" w:type="dxa"/>
            <w:vAlign w:val="bottom"/>
            <w:vMerge w:val="continue"/>
          </w:tcPr>
          <w:p>
            <w:pPr>
              <w:spacing w:after="0"/>
              <w:rPr>
                <w:sz w:val="11"/>
                <w:szCs w:val="11"/>
                <w:color w:val="auto"/>
              </w:rPr>
            </w:pPr>
          </w:p>
        </w:tc>
        <w:tc>
          <w:tcPr>
            <w:tcW w:w="5900" w:type="dxa"/>
            <w:vAlign w:val="bottom"/>
            <w:vMerge w:val="restart"/>
          </w:tcPr>
          <w:p>
            <w:pPr>
              <w:ind w:left="220"/>
              <w:spacing w:after="0" w:line="176" w:lineRule="exact"/>
              <w:rPr>
                <w:sz w:val="20"/>
                <w:szCs w:val="20"/>
                <w:color w:val="auto"/>
              </w:rPr>
            </w:pPr>
            <w:r>
              <w:rPr>
                <w:rFonts w:ascii="Arial" w:cs="Arial" w:eastAsia="Arial" w:hAnsi="Arial"/>
                <w:sz w:val="18"/>
                <w:szCs w:val="18"/>
                <w:color w:val="auto"/>
              </w:rPr>
              <w:t>other guarantors party thereto and the Bank of New York Mellon Trust</w:t>
            </w:r>
          </w:p>
        </w:tc>
        <w:tc>
          <w:tcPr>
            <w:tcW w:w="0" w:type="dxa"/>
            <w:vAlign w:val="bottom"/>
          </w:tcPr>
          <w:p>
            <w:pPr>
              <w:spacing w:after="0"/>
              <w:rPr>
                <w:sz w:val="1"/>
                <w:szCs w:val="1"/>
                <w:color w:val="auto"/>
              </w:rPr>
            </w:pPr>
          </w:p>
        </w:tc>
      </w:tr>
      <w:tr>
        <w:trPr>
          <w:trHeight w:val="40"/>
        </w:trPr>
        <w:tc>
          <w:tcPr>
            <w:tcW w:w="540" w:type="dxa"/>
            <w:vAlign w:val="bottom"/>
          </w:tcPr>
          <w:p>
            <w:pPr>
              <w:spacing w:after="0"/>
              <w:rPr>
                <w:sz w:val="3"/>
                <w:szCs w:val="3"/>
                <w:color w:val="auto"/>
              </w:rPr>
            </w:pPr>
          </w:p>
        </w:tc>
        <w:tc>
          <w:tcPr>
            <w:tcW w:w="5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5900" w:type="dxa"/>
            <w:vAlign w:val="bottom"/>
          </w:tcPr>
          <w:p>
            <w:pPr>
              <w:ind w:left="220"/>
              <w:spacing w:after="0"/>
              <w:rPr>
                <w:sz w:val="20"/>
                <w:szCs w:val="20"/>
                <w:color w:val="auto"/>
              </w:rPr>
            </w:pPr>
            <w:r>
              <w:rPr>
                <w:rFonts w:ascii="Arial" w:cs="Arial" w:eastAsia="Arial" w:hAnsi="Arial"/>
                <w:sz w:val="18"/>
                <w:szCs w:val="18"/>
                <w:color w:val="auto"/>
              </w:rPr>
              <w:t>Company, N.A., as trustee</w:t>
            </w:r>
          </w:p>
        </w:tc>
        <w:tc>
          <w:tcPr>
            <w:tcW w:w="0" w:type="dxa"/>
            <w:vAlign w:val="bottom"/>
          </w:tcPr>
          <w:p>
            <w:pPr>
              <w:spacing w:after="0"/>
              <w:rPr>
                <w:sz w:val="1"/>
                <w:szCs w:val="1"/>
                <w:color w:val="auto"/>
              </w:rPr>
            </w:pPr>
          </w:p>
        </w:tc>
      </w:tr>
      <w:tr>
        <w:trPr>
          <w:trHeight w:val="283"/>
        </w:trPr>
        <w:tc>
          <w:tcPr>
            <w:tcW w:w="540" w:type="dxa"/>
            <w:vAlign w:val="bottom"/>
            <w:vMerge w:val="restart"/>
          </w:tcPr>
          <w:p>
            <w:pPr>
              <w:jc w:val="center"/>
              <w:ind w:right="130"/>
              <w:spacing w:after="0"/>
              <w:rPr>
                <w:rFonts w:ascii="Arial" w:cs="Arial" w:eastAsia="Arial" w:hAnsi="Arial"/>
                <w:sz w:val="18"/>
                <w:szCs w:val="18"/>
                <w:u w:val="single" w:color="auto"/>
                <w:color w:val="0000FF"/>
                <w:w w:val="95"/>
              </w:rPr>
            </w:pPr>
            <w:hyperlink r:id="rId128">
              <w:r>
                <w:rPr>
                  <w:rFonts w:ascii="Arial" w:cs="Arial" w:eastAsia="Arial" w:hAnsi="Arial"/>
                  <w:sz w:val="18"/>
                  <w:szCs w:val="18"/>
                  <w:u w:val="single" w:color="auto"/>
                  <w:color w:val="0000FF"/>
                  <w:w w:val="95"/>
                </w:rPr>
                <w:t>4.5</w:t>
              </w:r>
            </w:hyperlink>
          </w:p>
        </w:tc>
        <w:tc>
          <w:tcPr>
            <w:tcW w:w="5900" w:type="dxa"/>
            <w:vAlign w:val="bottom"/>
          </w:tcPr>
          <w:p>
            <w:pPr>
              <w:ind w:left="220"/>
              <w:spacing w:after="0"/>
              <w:rPr>
                <w:sz w:val="20"/>
                <w:szCs w:val="20"/>
                <w:color w:val="auto"/>
              </w:rPr>
            </w:pPr>
            <w:r>
              <w:rPr>
                <w:rFonts w:ascii="Arial" w:cs="Arial" w:eastAsia="Arial" w:hAnsi="Arial"/>
                <w:sz w:val="18"/>
                <w:szCs w:val="18"/>
                <w:color w:val="auto"/>
                <w:w w:val="99"/>
              </w:rPr>
              <w:t>First Supplemental Indenture, dated September 1, 2018, by and among</w:t>
            </w:r>
          </w:p>
        </w:tc>
        <w:tc>
          <w:tcPr>
            <w:tcW w:w="0" w:type="dxa"/>
            <w:vAlign w:val="bottom"/>
          </w:tcPr>
          <w:p>
            <w:pPr>
              <w:spacing w:after="0"/>
              <w:rPr>
                <w:sz w:val="1"/>
                <w:szCs w:val="1"/>
                <w:color w:val="auto"/>
              </w:rPr>
            </w:pPr>
          </w:p>
        </w:tc>
      </w:tr>
      <w:tr>
        <w:trPr>
          <w:trHeight w:val="175"/>
        </w:trPr>
        <w:tc>
          <w:tcPr>
            <w:tcW w:w="540" w:type="dxa"/>
            <w:vAlign w:val="bottom"/>
            <w:vMerge w:val="continue"/>
          </w:tcPr>
          <w:p>
            <w:pPr>
              <w:spacing w:after="0"/>
              <w:rPr>
                <w:sz w:val="15"/>
                <w:szCs w:val="15"/>
                <w:color w:val="auto"/>
              </w:rPr>
            </w:pPr>
          </w:p>
        </w:tc>
        <w:tc>
          <w:tcPr>
            <w:tcW w:w="5900" w:type="dxa"/>
            <w:vAlign w:val="bottom"/>
          </w:tcPr>
          <w:p>
            <w:pPr>
              <w:ind w:left="220"/>
              <w:spacing w:after="0" w:line="176" w:lineRule="exact"/>
              <w:rPr>
                <w:sz w:val="20"/>
                <w:szCs w:val="20"/>
                <w:color w:val="auto"/>
              </w:rPr>
            </w:pPr>
            <w:r>
              <w:rPr>
                <w:rFonts w:ascii="Arial" w:cs="Arial" w:eastAsia="Arial" w:hAnsi="Arial"/>
                <w:sz w:val="18"/>
                <w:szCs w:val="18"/>
                <w:color w:val="auto"/>
                <w:w w:val="93"/>
              </w:rPr>
              <w:t>Marriott Ownership Resorts, Inc., ILG, LLC, the guarantors party thereto and</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5900" w:type="dxa"/>
            <w:vAlign w:val="bottom"/>
          </w:tcPr>
          <w:p>
            <w:pPr>
              <w:ind w:left="220"/>
              <w:spacing w:after="0"/>
              <w:rPr>
                <w:sz w:val="20"/>
                <w:szCs w:val="20"/>
                <w:color w:val="auto"/>
              </w:rPr>
            </w:pPr>
            <w:r>
              <w:rPr>
                <w:rFonts w:ascii="Arial" w:cs="Arial" w:eastAsia="Arial" w:hAnsi="Arial"/>
                <w:sz w:val="18"/>
                <w:szCs w:val="18"/>
                <w:color w:val="auto"/>
              </w:rPr>
              <w:t>the Bank of New York Mellon Trust Company, N.A., as trustee</w:t>
            </w:r>
          </w:p>
        </w:tc>
        <w:tc>
          <w:tcPr>
            <w:tcW w:w="0" w:type="dxa"/>
            <w:vAlign w:val="bottom"/>
          </w:tcPr>
          <w:p>
            <w:pPr>
              <w:spacing w:after="0"/>
              <w:rPr>
                <w:sz w:val="1"/>
                <w:szCs w:val="1"/>
                <w:color w:val="auto"/>
              </w:rPr>
            </w:pPr>
          </w:p>
        </w:tc>
      </w:tr>
      <w:tr>
        <w:trPr>
          <w:trHeight w:val="229"/>
        </w:trPr>
        <w:tc>
          <w:tcPr>
            <w:tcW w:w="540" w:type="dxa"/>
            <w:vAlign w:val="bottom"/>
            <w:vMerge w:val="restart"/>
          </w:tcPr>
          <w:p>
            <w:pPr>
              <w:jc w:val="center"/>
              <w:ind w:right="130"/>
              <w:spacing w:after="0"/>
              <w:rPr>
                <w:rFonts w:ascii="Arial" w:cs="Arial" w:eastAsia="Arial" w:hAnsi="Arial"/>
                <w:sz w:val="18"/>
                <w:szCs w:val="18"/>
                <w:u w:val="single" w:color="auto"/>
                <w:color w:val="0000FF"/>
                <w:w w:val="95"/>
              </w:rPr>
            </w:pPr>
            <w:hyperlink r:id="rId129">
              <w:r>
                <w:rPr>
                  <w:rFonts w:ascii="Arial" w:cs="Arial" w:eastAsia="Arial" w:hAnsi="Arial"/>
                  <w:sz w:val="18"/>
                  <w:szCs w:val="18"/>
                  <w:u w:val="single" w:color="auto"/>
                  <w:color w:val="0000FF"/>
                  <w:w w:val="95"/>
                </w:rPr>
                <w:t>4.6</w:t>
              </w:r>
            </w:hyperlink>
          </w:p>
        </w:tc>
        <w:tc>
          <w:tcPr>
            <w:tcW w:w="5900" w:type="dxa"/>
            <w:vAlign w:val="bottom"/>
          </w:tcPr>
          <w:p>
            <w:pPr>
              <w:ind w:left="220"/>
              <w:spacing w:after="0"/>
              <w:rPr>
                <w:sz w:val="20"/>
                <w:szCs w:val="20"/>
                <w:color w:val="auto"/>
              </w:rPr>
            </w:pPr>
            <w:r>
              <w:rPr>
                <w:rFonts w:ascii="Arial" w:cs="Arial" w:eastAsia="Arial" w:hAnsi="Arial"/>
                <w:sz w:val="18"/>
                <w:szCs w:val="18"/>
                <w:color w:val="auto"/>
                <w:w w:val="94"/>
              </w:rPr>
              <w:t>Second Supplemental Indenture, dated December 31, 2019, by and among</w:t>
            </w:r>
          </w:p>
        </w:tc>
        <w:tc>
          <w:tcPr>
            <w:tcW w:w="0" w:type="dxa"/>
            <w:vAlign w:val="bottom"/>
          </w:tcPr>
          <w:p>
            <w:pPr>
              <w:spacing w:after="0"/>
              <w:rPr>
                <w:sz w:val="1"/>
                <w:szCs w:val="1"/>
                <w:color w:val="auto"/>
              </w:rPr>
            </w:pPr>
          </w:p>
        </w:tc>
      </w:tr>
      <w:tr>
        <w:trPr>
          <w:trHeight w:val="175"/>
        </w:trPr>
        <w:tc>
          <w:tcPr>
            <w:tcW w:w="540" w:type="dxa"/>
            <w:vAlign w:val="bottom"/>
            <w:vMerge w:val="continue"/>
          </w:tcPr>
          <w:p>
            <w:pPr>
              <w:spacing w:after="0"/>
              <w:rPr>
                <w:sz w:val="15"/>
                <w:szCs w:val="15"/>
                <w:color w:val="auto"/>
              </w:rPr>
            </w:pPr>
          </w:p>
        </w:tc>
        <w:tc>
          <w:tcPr>
            <w:tcW w:w="5900" w:type="dxa"/>
            <w:vAlign w:val="bottom"/>
          </w:tcPr>
          <w:p>
            <w:pPr>
              <w:ind w:left="220"/>
              <w:spacing w:after="0" w:line="176" w:lineRule="exact"/>
              <w:rPr>
                <w:sz w:val="20"/>
                <w:szCs w:val="20"/>
                <w:color w:val="auto"/>
              </w:rPr>
            </w:pPr>
            <w:r>
              <w:rPr>
                <w:rFonts w:ascii="Arial" w:cs="Arial" w:eastAsia="Arial" w:hAnsi="Arial"/>
                <w:sz w:val="18"/>
                <w:szCs w:val="18"/>
                <w:color w:val="auto"/>
                <w:w w:val="96"/>
              </w:rPr>
              <w:t>Marriott Ownership Resorts, Inc., ILG, LLC, MVW Vacations, LLC and the</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5900" w:type="dxa"/>
            <w:vAlign w:val="bottom"/>
          </w:tcPr>
          <w:p>
            <w:pPr>
              <w:ind w:left="220"/>
              <w:spacing w:after="0"/>
              <w:rPr>
                <w:sz w:val="20"/>
                <w:szCs w:val="20"/>
                <w:color w:val="auto"/>
              </w:rPr>
            </w:pPr>
            <w:r>
              <w:rPr>
                <w:rFonts w:ascii="Arial" w:cs="Arial" w:eastAsia="Arial" w:hAnsi="Arial"/>
                <w:sz w:val="18"/>
                <w:szCs w:val="18"/>
                <w:color w:val="auto"/>
              </w:rPr>
              <w:t>Bank of New York Mellon Trust Company, N.A., as trustee</w:t>
            </w:r>
          </w:p>
        </w:tc>
        <w:tc>
          <w:tcPr>
            <w:tcW w:w="0" w:type="dxa"/>
            <w:vAlign w:val="bottom"/>
          </w:tcPr>
          <w:p>
            <w:pPr>
              <w:spacing w:after="0"/>
              <w:rPr>
                <w:sz w:val="1"/>
                <w:szCs w:val="1"/>
                <w:color w:val="auto"/>
              </w:rPr>
            </w:pPr>
          </w:p>
        </w:tc>
      </w:tr>
      <w:tr>
        <w:trPr>
          <w:trHeight w:val="176"/>
        </w:trPr>
        <w:tc>
          <w:tcPr>
            <w:tcW w:w="540" w:type="dxa"/>
            <w:vAlign w:val="bottom"/>
            <w:vMerge w:val="restart"/>
          </w:tcPr>
          <w:p>
            <w:pPr>
              <w:jc w:val="center"/>
              <w:ind w:right="130"/>
              <w:spacing w:after="0"/>
              <w:rPr>
                <w:rFonts w:ascii="Arial" w:cs="Arial" w:eastAsia="Arial" w:hAnsi="Arial"/>
                <w:sz w:val="18"/>
                <w:szCs w:val="18"/>
                <w:u w:val="single" w:color="auto"/>
                <w:color w:val="0000FF"/>
                <w:w w:val="95"/>
              </w:rPr>
            </w:pPr>
            <w:hyperlink r:id="rId130">
              <w:r>
                <w:rPr>
                  <w:rFonts w:ascii="Arial" w:cs="Arial" w:eastAsia="Arial" w:hAnsi="Arial"/>
                  <w:sz w:val="18"/>
                  <w:szCs w:val="18"/>
                  <w:u w:val="single" w:color="auto"/>
                  <w:color w:val="0000FF"/>
                  <w:w w:val="95"/>
                </w:rPr>
                <w:t>4.7</w:t>
              </w:r>
            </w:hyperlink>
          </w:p>
        </w:tc>
        <w:tc>
          <w:tcPr>
            <w:tcW w:w="5900" w:type="dxa"/>
            <w:vAlign w:val="bottom"/>
          </w:tcPr>
          <w:p>
            <w:pPr>
              <w:ind w:left="220"/>
              <w:spacing w:after="0" w:line="176" w:lineRule="exact"/>
              <w:rPr>
                <w:sz w:val="20"/>
                <w:szCs w:val="20"/>
                <w:color w:val="auto"/>
              </w:rPr>
            </w:pPr>
            <w:r>
              <w:rPr>
                <w:rFonts w:ascii="Arial" w:cs="Arial" w:eastAsia="Arial" w:hAnsi="Arial"/>
                <w:sz w:val="18"/>
                <w:szCs w:val="18"/>
                <w:color w:val="auto"/>
                <w:w w:val="99"/>
              </w:rPr>
              <w:t>Third Supplemental Indenture, dated February 26, 2020, by and among</w:t>
            </w:r>
          </w:p>
        </w:tc>
        <w:tc>
          <w:tcPr>
            <w:tcW w:w="0" w:type="dxa"/>
            <w:vAlign w:val="bottom"/>
          </w:tcPr>
          <w:p>
            <w:pPr>
              <w:spacing w:after="0"/>
              <w:rPr>
                <w:sz w:val="1"/>
                <w:szCs w:val="1"/>
                <w:color w:val="auto"/>
              </w:rPr>
            </w:pPr>
          </w:p>
        </w:tc>
      </w:tr>
      <w:tr>
        <w:trPr>
          <w:trHeight w:val="175"/>
        </w:trPr>
        <w:tc>
          <w:tcPr>
            <w:tcW w:w="540" w:type="dxa"/>
            <w:vAlign w:val="bottom"/>
            <w:vMerge w:val="continue"/>
          </w:tcPr>
          <w:p>
            <w:pPr>
              <w:spacing w:after="0"/>
              <w:rPr>
                <w:sz w:val="15"/>
                <w:szCs w:val="15"/>
                <w:color w:val="auto"/>
              </w:rPr>
            </w:pPr>
          </w:p>
        </w:tc>
        <w:tc>
          <w:tcPr>
            <w:tcW w:w="5900" w:type="dxa"/>
            <w:vAlign w:val="bottom"/>
          </w:tcPr>
          <w:p>
            <w:pPr>
              <w:ind w:left="220"/>
              <w:spacing w:after="0" w:line="176" w:lineRule="exact"/>
              <w:rPr>
                <w:sz w:val="20"/>
                <w:szCs w:val="20"/>
                <w:color w:val="auto"/>
              </w:rPr>
            </w:pPr>
            <w:r>
              <w:rPr>
                <w:rFonts w:ascii="Arial" w:cs="Arial" w:eastAsia="Arial" w:hAnsi="Arial"/>
                <w:sz w:val="18"/>
                <w:szCs w:val="18"/>
                <w:color w:val="auto"/>
                <w:w w:val="93"/>
              </w:rPr>
              <w:t>Marriott Ownership Resorts, Inc., ILG, LLC, MVW Services Corporation, and</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5900" w:type="dxa"/>
            <w:vAlign w:val="bottom"/>
          </w:tcPr>
          <w:p>
            <w:pPr>
              <w:ind w:left="220"/>
              <w:spacing w:after="0"/>
              <w:rPr>
                <w:sz w:val="20"/>
                <w:szCs w:val="20"/>
                <w:color w:val="auto"/>
              </w:rPr>
            </w:pPr>
            <w:r>
              <w:rPr>
                <w:rFonts w:ascii="Arial" w:cs="Arial" w:eastAsia="Arial" w:hAnsi="Arial"/>
                <w:sz w:val="18"/>
                <w:szCs w:val="18"/>
                <w:color w:val="auto"/>
              </w:rPr>
              <w:t>the Bank of New York Mellon Trust Company, N.A., as trustee</w:t>
            </w:r>
          </w:p>
        </w:tc>
        <w:tc>
          <w:tcPr>
            <w:tcW w:w="0" w:type="dxa"/>
            <w:vAlign w:val="bottom"/>
          </w:tcPr>
          <w:p>
            <w:pPr>
              <w:spacing w:after="0"/>
              <w:rPr>
                <w:sz w:val="1"/>
                <w:szCs w:val="1"/>
                <w:color w:val="auto"/>
              </w:rPr>
            </w:pPr>
          </w:p>
        </w:tc>
      </w:tr>
      <w:tr>
        <w:trPr>
          <w:trHeight w:val="176"/>
        </w:trPr>
        <w:tc>
          <w:tcPr>
            <w:tcW w:w="540" w:type="dxa"/>
            <w:vAlign w:val="bottom"/>
            <w:vMerge w:val="restart"/>
          </w:tcPr>
          <w:p>
            <w:pPr>
              <w:jc w:val="center"/>
              <w:ind w:right="130"/>
              <w:spacing w:after="0"/>
              <w:rPr>
                <w:rFonts w:ascii="Arial" w:cs="Arial" w:eastAsia="Arial" w:hAnsi="Arial"/>
                <w:sz w:val="18"/>
                <w:szCs w:val="18"/>
                <w:u w:val="single" w:color="auto"/>
                <w:color w:val="0000FF"/>
                <w:w w:val="95"/>
              </w:rPr>
            </w:pPr>
            <w:hyperlink r:id="rId127">
              <w:r>
                <w:rPr>
                  <w:rFonts w:ascii="Arial" w:cs="Arial" w:eastAsia="Arial" w:hAnsi="Arial"/>
                  <w:sz w:val="18"/>
                  <w:szCs w:val="18"/>
                  <w:u w:val="single" w:color="auto"/>
                  <w:color w:val="0000FF"/>
                  <w:w w:val="95"/>
                </w:rPr>
                <w:t>4.8</w:t>
              </w:r>
            </w:hyperlink>
          </w:p>
        </w:tc>
        <w:tc>
          <w:tcPr>
            <w:tcW w:w="5900" w:type="dxa"/>
            <w:vAlign w:val="bottom"/>
          </w:tcPr>
          <w:p>
            <w:pPr>
              <w:ind w:left="220"/>
              <w:spacing w:after="0" w:line="176" w:lineRule="exact"/>
              <w:rPr>
                <w:sz w:val="20"/>
                <w:szCs w:val="20"/>
                <w:color w:val="auto"/>
              </w:rPr>
            </w:pPr>
            <w:r>
              <w:rPr>
                <w:rFonts w:ascii="Arial" w:cs="Arial" w:eastAsia="Arial" w:hAnsi="Arial"/>
                <w:sz w:val="18"/>
                <w:szCs w:val="18"/>
                <w:color w:val="auto"/>
                <w:w w:val="95"/>
              </w:rPr>
              <w:t>Form of 6.500% Senior Note due 2026 (included as Exhibit A to Exhibit 4.4</w:t>
            </w:r>
          </w:p>
        </w:tc>
        <w:tc>
          <w:tcPr>
            <w:tcW w:w="0" w:type="dxa"/>
            <w:vAlign w:val="bottom"/>
          </w:tcPr>
          <w:p>
            <w:pPr>
              <w:spacing w:after="0"/>
              <w:rPr>
                <w:sz w:val="1"/>
                <w:szCs w:val="1"/>
                <w:color w:val="auto"/>
              </w:rPr>
            </w:pPr>
          </w:p>
        </w:tc>
      </w:tr>
      <w:tr>
        <w:trPr>
          <w:trHeight w:val="135"/>
        </w:trPr>
        <w:tc>
          <w:tcPr>
            <w:tcW w:w="540" w:type="dxa"/>
            <w:vAlign w:val="bottom"/>
            <w:vMerge w:val="continue"/>
          </w:tcPr>
          <w:p>
            <w:pPr>
              <w:spacing w:after="0"/>
              <w:rPr>
                <w:sz w:val="11"/>
                <w:szCs w:val="11"/>
                <w:color w:val="auto"/>
              </w:rPr>
            </w:pPr>
          </w:p>
        </w:tc>
        <w:tc>
          <w:tcPr>
            <w:tcW w:w="5900" w:type="dxa"/>
            <w:vAlign w:val="bottom"/>
            <w:vMerge w:val="restart"/>
          </w:tcPr>
          <w:p>
            <w:pPr>
              <w:ind w:left="220"/>
              <w:spacing w:after="0"/>
              <w:rPr>
                <w:sz w:val="20"/>
                <w:szCs w:val="20"/>
                <w:color w:val="auto"/>
              </w:rPr>
            </w:pPr>
            <w:r>
              <w:rPr>
                <w:rFonts w:ascii="Arial" w:cs="Arial" w:eastAsia="Arial" w:hAnsi="Arial"/>
                <w:sz w:val="18"/>
                <w:szCs w:val="18"/>
                <w:color w:val="auto"/>
              </w:rPr>
              <w:t>above)</w:t>
            </w:r>
          </w:p>
        </w:tc>
        <w:tc>
          <w:tcPr>
            <w:tcW w:w="0" w:type="dxa"/>
            <w:vAlign w:val="bottom"/>
          </w:tcPr>
          <w:p>
            <w:pPr>
              <w:spacing w:after="0"/>
              <w:rPr>
                <w:sz w:val="1"/>
                <w:szCs w:val="1"/>
                <w:color w:val="auto"/>
              </w:rPr>
            </w:pPr>
          </w:p>
        </w:tc>
      </w:tr>
      <w:tr>
        <w:trPr>
          <w:trHeight w:val="94"/>
        </w:trPr>
        <w:tc>
          <w:tcPr>
            <w:tcW w:w="540" w:type="dxa"/>
            <w:vAlign w:val="bottom"/>
          </w:tcPr>
          <w:p>
            <w:pPr>
              <w:spacing w:after="0"/>
              <w:rPr>
                <w:sz w:val="8"/>
                <w:szCs w:val="8"/>
                <w:color w:val="auto"/>
              </w:rPr>
            </w:pPr>
          </w:p>
        </w:tc>
        <w:tc>
          <w:tcPr>
            <w:tcW w:w="5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5900" w:type="dxa"/>
            <w:vAlign w:val="bottom"/>
          </w:tcPr>
          <w:p>
            <w:pPr>
              <w:ind w:left="220"/>
              <w:spacing w:after="0" w:line="176" w:lineRule="exact"/>
              <w:rPr>
                <w:sz w:val="20"/>
                <w:szCs w:val="20"/>
                <w:color w:val="auto"/>
              </w:rPr>
            </w:pPr>
            <w:r>
              <w:rPr>
                <w:rFonts w:ascii="Arial" w:cs="Arial" w:eastAsia="Arial" w:hAnsi="Arial"/>
                <w:sz w:val="18"/>
                <w:szCs w:val="18"/>
                <w:color w:val="auto"/>
                <w:w w:val="93"/>
              </w:rPr>
              <w:t>Registration Rights Agreement, dated as of August 23, 2018, by and among</w:t>
            </w:r>
          </w:p>
        </w:tc>
        <w:tc>
          <w:tcPr>
            <w:tcW w:w="0" w:type="dxa"/>
            <w:vAlign w:val="bottom"/>
          </w:tcPr>
          <w:p>
            <w:pPr>
              <w:spacing w:after="0"/>
              <w:rPr>
                <w:sz w:val="1"/>
                <w:szCs w:val="1"/>
                <w:color w:val="auto"/>
              </w:rPr>
            </w:pPr>
          </w:p>
        </w:tc>
      </w:tr>
      <w:tr>
        <w:trPr>
          <w:trHeight w:val="175"/>
        </w:trPr>
        <w:tc>
          <w:tcPr>
            <w:tcW w:w="540" w:type="dxa"/>
            <w:vAlign w:val="bottom"/>
            <w:vMerge w:val="restart"/>
          </w:tcPr>
          <w:p>
            <w:pPr>
              <w:jc w:val="center"/>
              <w:ind w:right="130"/>
              <w:spacing w:after="0"/>
              <w:rPr>
                <w:rFonts w:ascii="Arial" w:cs="Arial" w:eastAsia="Arial" w:hAnsi="Arial"/>
                <w:sz w:val="18"/>
                <w:szCs w:val="18"/>
                <w:u w:val="single" w:color="auto"/>
                <w:color w:val="0000FF"/>
                <w:w w:val="95"/>
              </w:rPr>
            </w:pPr>
            <w:hyperlink r:id="rId131">
              <w:r>
                <w:rPr>
                  <w:rFonts w:ascii="Arial" w:cs="Arial" w:eastAsia="Arial" w:hAnsi="Arial"/>
                  <w:sz w:val="18"/>
                  <w:szCs w:val="18"/>
                  <w:u w:val="single" w:color="auto"/>
                  <w:color w:val="0000FF"/>
                  <w:w w:val="95"/>
                </w:rPr>
                <w:t>4.9</w:t>
              </w:r>
            </w:hyperlink>
          </w:p>
        </w:tc>
        <w:tc>
          <w:tcPr>
            <w:tcW w:w="5900" w:type="dxa"/>
            <w:vAlign w:val="bottom"/>
          </w:tcPr>
          <w:p>
            <w:pPr>
              <w:ind w:left="220"/>
              <w:spacing w:after="0" w:line="176" w:lineRule="exact"/>
              <w:rPr>
                <w:sz w:val="20"/>
                <w:szCs w:val="20"/>
                <w:color w:val="auto"/>
              </w:rPr>
            </w:pPr>
            <w:r>
              <w:rPr>
                <w:rFonts w:ascii="Arial" w:cs="Arial" w:eastAsia="Arial" w:hAnsi="Arial"/>
                <w:sz w:val="18"/>
                <w:szCs w:val="18"/>
                <w:color w:val="auto"/>
                <w:w w:val="93"/>
              </w:rPr>
              <w:t>Marriott Ownership Resorts, Inc., Marriott Vacations Worldwide Corporation,</w:t>
            </w:r>
          </w:p>
        </w:tc>
        <w:tc>
          <w:tcPr>
            <w:tcW w:w="0" w:type="dxa"/>
            <w:vAlign w:val="bottom"/>
          </w:tcPr>
          <w:p>
            <w:pPr>
              <w:spacing w:after="0"/>
              <w:rPr>
                <w:sz w:val="1"/>
                <w:szCs w:val="1"/>
                <w:color w:val="auto"/>
              </w:rPr>
            </w:pPr>
          </w:p>
        </w:tc>
      </w:tr>
      <w:tr>
        <w:trPr>
          <w:trHeight w:val="135"/>
        </w:trPr>
        <w:tc>
          <w:tcPr>
            <w:tcW w:w="540" w:type="dxa"/>
            <w:vAlign w:val="bottom"/>
            <w:vMerge w:val="continue"/>
          </w:tcPr>
          <w:p>
            <w:pPr>
              <w:spacing w:after="0"/>
              <w:rPr>
                <w:sz w:val="11"/>
                <w:szCs w:val="11"/>
                <w:color w:val="auto"/>
              </w:rPr>
            </w:pPr>
          </w:p>
        </w:tc>
        <w:tc>
          <w:tcPr>
            <w:tcW w:w="5900" w:type="dxa"/>
            <w:vAlign w:val="bottom"/>
            <w:vMerge w:val="restart"/>
          </w:tcPr>
          <w:p>
            <w:pPr>
              <w:ind w:left="220"/>
              <w:spacing w:after="0" w:line="176" w:lineRule="exact"/>
              <w:rPr>
                <w:sz w:val="20"/>
                <w:szCs w:val="20"/>
                <w:color w:val="auto"/>
              </w:rPr>
            </w:pPr>
            <w:r>
              <w:rPr>
                <w:rFonts w:ascii="Arial" w:cs="Arial" w:eastAsia="Arial" w:hAnsi="Arial"/>
                <w:sz w:val="18"/>
                <w:szCs w:val="18"/>
                <w:color w:val="auto"/>
                <w:w w:val="96"/>
              </w:rPr>
              <w:t>as guarantor, the other guarantors party thereto and Merrill Lynch, Pierce,</w:t>
            </w:r>
          </w:p>
        </w:tc>
        <w:tc>
          <w:tcPr>
            <w:tcW w:w="0" w:type="dxa"/>
            <w:vAlign w:val="bottom"/>
          </w:tcPr>
          <w:p>
            <w:pPr>
              <w:spacing w:after="0"/>
              <w:rPr>
                <w:sz w:val="1"/>
                <w:szCs w:val="1"/>
                <w:color w:val="auto"/>
              </w:rPr>
            </w:pPr>
          </w:p>
        </w:tc>
      </w:tr>
      <w:tr>
        <w:trPr>
          <w:trHeight w:val="40"/>
        </w:trPr>
        <w:tc>
          <w:tcPr>
            <w:tcW w:w="540" w:type="dxa"/>
            <w:vAlign w:val="bottom"/>
          </w:tcPr>
          <w:p>
            <w:pPr>
              <w:spacing w:after="0"/>
              <w:rPr>
                <w:sz w:val="3"/>
                <w:szCs w:val="3"/>
                <w:color w:val="auto"/>
              </w:rPr>
            </w:pPr>
          </w:p>
        </w:tc>
        <w:tc>
          <w:tcPr>
            <w:tcW w:w="5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5900" w:type="dxa"/>
            <w:vAlign w:val="bottom"/>
          </w:tcPr>
          <w:p>
            <w:pPr>
              <w:ind w:left="220"/>
              <w:spacing w:after="0"/>
              <w:rPr>
                <w:sz w:val="20"/>
                <w:szCs w:val="20"/>
                <w:color w:val="auto"/>
              </w:rPr>
            </w:pPr>
            <w:r>
              <w:rPr>
                <w:rFonts w:ascii="Arial" w:cs="Arial" w:eastAsia="Arial" w:hAnsi="Arial"/>
                <w:sz w:val="18"/>
                <w:szCs w:val="18"/>
                <w:color w:val="auto"/>
              </w:rPr>
              <w:t>Fenner &amp; Smith Incorporated</w:t>
            </w: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5900" w:type="dxa"/>
            <w:vAlign w:val="bottom"/>
          </w:tcPr>
          <w:p>
            <w:pPr>
              <w:ind w:left="220"/>
              <w:spacing w:after="0" w:line="176" w:lineRule="exact"/>
              <w:rPr>
                <w:sz w:val="20"/>
                <w:szCs w:val="20"/>
                <w:color w:val="auto"/>
              </w:rPr>
            </w:pPr>
            <w:r>
              <w:rPr>
                <w:rFonts w:ascii="Arial" w:cs="Arial" w:eastAsia="Arial" w:hAnsi="Arial"/>
                <w:sz w:val="18"/>
                <w:szCs w:val="18"/>
                <w:color w:val="auto"/>
                <w:w w:val="92"/>
              </w:rPr>
              <w:t>Joinder Agreement to Registration Rights Agreement, dated as of September</w:t>
            </w:r>
          </w:p>
        </w:tc>
        <w:tc>
          <w:tcPr>
            <w:tcW w:w="0" w:type="dxa"/>
            <w:vAlign w:val="bottom"/>
          </w:tcPr>
          <w:p>
            <w:pPr>
              <w:spacing w:after="0"/>
              <w:rPr>
                <w:sz w:val="1"/>
                <w:szCs w:val="1"/>
                <w:color w:val="auto"/>
              </w:rPr>
            </w:pPr>
          </w:p>
        </w:tc>
      </w:tr>
      <w:tr>
        <w:trPr>
          <w:trHeight w:val="175"/>
        </w:trPr>
        <w:tc>
          <w:tcPr>
            <w:tcW w:w="540" w:type="dxa"/>
            <w:vAlign w:val="bottom"/>
            <w:vMerge w:val="restart"/>
          </w:tcPr>
          <w:p>
            <w:pPr>
              <w:jc w:val="center"/>
              <w:ind w:right="130"/>
              <w:spacing w:after="0"/>
              <w:rPr>
                <w:rFonts w:ascii="Arial" w:cs="Arial" w:eastAsia="Arial" w:hAnsi="Arial"/>
                <w:sz w:val="18"/>
                <w:szCs w:val="18"/>
                <w:u w:val="single" w:color="auto"/>
                <w:color w:val="0000FF"/>
                <w:w w:val="91"/>
              </w:rPr>
            </w:pPr>
            <w:hyperlink r:id="rId132">
              <w:r>
                <w:rPr>
                  <w:rFonts w:ascii="Arial" w:cs="Arial" w:eastAsia="Arial" w:hAnsi="Arial"/>
                  <w:sz w:val="18"/>
                  <w:szCs w:val="18"/>
                  <w:u w:val="single" w:color="auto"/>
                  <w:color w:val="0000FF"/>
                  <w:w w:val="91"/>
                </w:rPr>
                <w:t>4.10</w:t>
              </w:r>
            </w:hyperlink>
          </w:p>
        </w:tc>
        <w:tc>
          <w:tcPr>
            <w:tcW w:w="5900" w:type="dxa"/>
            <w:vAlign w:val="bottom"/>
          </w:tcPr>
          <w:p>
            <w:pPr>
              <w:ind w:left="220"/>
              <w:spacing w:after="0" w:line="176" w:lineRule="exact"/>
              <w:rPr>
                <w:sz w:val="20"/>
                <w:szCs w:val="20"/>
                <w:color w:val="auto"/>
              </w:rPr>
            </w:pPr>
            <w:r>
              <w:rPr>
                <w:rFonts w:ascii="Arial" w:cs="Arial" w:eastAsia="Arial" w:hAnsi="Arial"/>
                <w:sz w:val="18"/>
                <w:szCs w:val="18"/>
                <w:color w:val="auto"/>
                <w:w w:val="97"/>
              </w:rPr>
              <w:t>1, 2018, by and among ILG, LLC, the guarantors party thereto and Merrill</w:t>
            </w:r>
          </w:p>
        </w:tc>
        <w:tc>
          <w:tcPr>
            <w:tcW w:w="0" w:type="dxa"/>
            <w:vAlign w:val="bottom"/>
          </w:tcPr>
          <w:p>
            <w:pPr>
              <w:spacing w:after="0"/>
              <w:rPr>
                <w:sz w:val="1"/>
                <w:szCs w:val="1"/>
                <w:color w:val="auto"/>
              </w:rPr>
            </w:pPr>
          </w:p>
        </w:tc>
      </w:tr>
      <w:tr>
        <w:trPr>
          <w:trHeight w:val="135"/>
        </w:trPr>
        <w:tc>
          <w:tcPr>
            <w:tcW w:w="540" w:type="dxa"/>
            <w:vAlign w:val="bottom"/>
            <w:vMerge w:val="continue"/>
          </w:tcPr>
          <w:p>
            <w:pPr>
              <w:spacing w:after="0"/>
              <w:rPr>
                <w:sz w:val="11"/>
                <w:szCs w:val="11"/>
                <w:color w:val="auto"/>
              </w:rPr>
            </w:pPr>
          </w:p>
        </w:tc>
        <w:tc>
          <w:tcPr>
            <w:tcW w:w="5900" w:type="dxa"/>
            <w:vAlign w:val="bottom"/>
            <w:vMerge w:val="restart"/>
          </w:tcPr>
          <w:p>
            <w:pPr>
              <w:ind w:left="220"/>
              <w:spacing w:after="0" w:line="176" w:lineRule="exact"/>
              <w:rPr>
                <w:sz w:val="20"/>
                <w:szCs w:val="20"/>
                <w:color w:val="auto"/>
              </w:rPr>
            </w:pPr>
            <w:r>
              <w:rPr>
                <w:rFonts w:ascii="Arial" w:cs="Arial" w:eastAsia="Arial" w:hAnsi="Arial"/>
                <w:sz w:val="18"/>
                <w:szCs w:val="18"/>
                <w:color w:val="auto"/>
                <w:w w:val="91"/>
              </w:rPr>
              <w:t>Lynch, Pierce, Fenner &amp; Smith Incorporated as the representative of the initial</w:t>
            </w:r>
          </w:p>
        </w:tc>
        <w:tc>
          <w:tcPr>
            <w:tcW w:w="0" w:type="dxa"/>
            <w:vAlign w:val="bottom"/>
          </w:tcPr>
          <w:p>
            <w:pPr>
              <w:spacing w:after="0"/>
              <w:rPr>
                <w:sz w:val="1"/>
                <w:szCs w:val="1"/>
                <w:color w:val="auto"/>
              </w:rPr>
            </w:pPr>
          </w:p>
        </w:tc>
      </w:tr>
      <w:tr>
        <w:trPr>
          <w:trHeight w:val="40"/>
        </w:trPr>
        <w:tc>
          <w:tcPr>
            <w:tcW w:w="540" w:type="dxa"/>
            <w:vAlign w:val="bottom"/>
          </w:tcPr>
          <w:p>
            <w:pPr>
              <w:spacing w:after="0"/>
              <w:rPr>
                <w:sz w:val="3"/>
                <w:szCs w:val="3"/>
                <w:color w:val="auto"/>
              </w:rPr>
            </w:pPr>
          </w:p>
        </w:tc>
        <w:tc>
          <w:tcPr>
            <w:tcW w:w="5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5900" w:type="dxa"/>
            <w:vAlign w:val="bottom"/>
          </w:tcPr>
          <w:p>
            <w:pPr>
              <w:ind w:left="220"/>
              <w:spacing w:after="0"/>
              <w:rPr>
                <w:sz w:val="20"/>
                <w:szCs w:val="20"/>
                <w:color w:val="auto"/>
              </w:rPr>
            </w:pPr>
            <w:r>
              <w:rPr>
                <w:rFonts w:ascii="Arial" w:cs="Arial" w:eastAsia="Arial" w:hAnsi="Arial"/>
                <w:sz w:val="18"/>
                <w:szCs w:val="18"/>
                <w:color w:val="auto"/>
              </w:rPr>
              <w:t>purchasers</w:t>
            </w: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5900" w:type="dxa"/>
            <w:vAlign w:val="bottom"/>
          </w:tcPr>
          <w:p>
            <w:pPr>
              <w:ind w:left="220"/>
              <w:spacing w:after="0" w:line="176" w:lineRule="exact"/>
              <w:rPr>
                <w:sz w:val="20"/>
                <w:szCs w:val="20"/>
                <w:color w:val="auto"/>
              </w:rPr>
            </w:pPr>
            <w:r>
              <w:rPr>
                <w:rFonts w:ascii="Arial" w:cs="Arial" w:eastAsia="Arial" w:hAnsi="Arial"/>
                <w:sz w:val="18"/>
                <w:szCs w:val="18"/>
                <w:color w:val="auto"/>
                <w:w w:val="95"/>
              </w:rPr>
              <w:t>Indenture, dated as of October 1, 2019, by and among Marriott Ownership</w:t>
            </w:r>
          </w:p>
        </w:tc>
        <w:tc>
          <w:tcPr>
            <w:tcW w:w="0" w:type="dxa"/>
            <w:vAlign w:val="bottom"/>
          </w:tcPr>
          <w:p>
            <w:pPr>
              <w:spacing w:after="0"/>
              <w:rPr>
                <w:sz w:val="1"/>
                <w:szCs w:val="1"/>
                <w:color w:val="auto"/>
              </w:rPr>
            </w:pPr>
          </w:p>
        </w:tc>
      </w:tr>
      <w:tr>
        <w:trPr>
          <w:trHeight w:val="176"/>
        </w:trPr>
        <w:tc>
          <w:tcPr>
            <w:tcW w:w="540" w:type="dxa"/>
            <w:vAlign w:val="bottom"/>
            <w:vMerge w:val="restart"/>
          </w:tcPr>
          <w:p>
            <w:pPr>
              <w:jc w:val="center"/>
              <w:ind w:right="130"/>
              <w:spacing w:after="0"/>
              <w:rPr>
                <w:rFonts w:ascii="Arial" w:cs="Arial" w:eastAsia="Arial" w:hAnsi="Arial"/>
                <w:sz w:val="18"/>
                <w:szCs w:val="18"/>
                <w:u w:val="single" w:color="auto"/>
                <w:color w:val="0000FF"/>
                <w:w w:val="91"/>
              </w:rPr>
            </w:pPr>
            <w:hyperlink r:id="rId133">
              <w:r>
                <w:rPr>
                  <w:rFonts w:ascii="Arial" w:cs="Arial" w:eastAsia="Arial" w:hAnsi="Arial"/>
                  <w:sz w:val="18"/>
                  <w:szCs w:val="18"/>
                  <w:u w:val="single" w:color="auto"/>
                  <w:color w:val="0000FF"/>
                  <w:w w:val="91"/>
                </w:rPr>
                <w:t>4.11</w:t>
              </w:r>
            </w:hyperlink>
          </w:p>
        </w:tc>
        <w:tc>
          <w:tcPr>
            <w:tcW w:w="5900" w:type="dxa"/>
            <w:vAlign w:val="bottom"/>
          </w:tcPr>
          <w:p>
            <w:pPr>
              <w:ind w:left="220"/>
              <w:spacing w:after="0" w:line="176" w:lineRule="exact"/>
              <w:rPr>
                <w:sz w:val="20"/>
                <w:szCs w:val="20"/>
                <w:color w:val="auto"/>
              </w:rPr>
            </w:pPr>
            <w:r>
              <w:rPr>
                <w:rFonts w:ascii="Arial" w:cs="Arial" w:eastAsia="Arial" w:hAnsi="Arial"/>
                <w:sz w:val="18"/>
                <w:szCs w:val="18"/>
                <w:color w:val="auto"/>
                <w:w w:val="95"/>
              </w:rPr>
              <w:t>Resorts, Inc., Marriott Vacations Worldwide Corporation, as guarantor, the</w:t>
            </w:r>
          </w:p>
        </w:tc>
        <w:tc>
          <w:tcPr>
            <w:tcW w:w="0" w:type="dxa"/>
            <w:vAlign w:val="bottom"/>
          </w:tcPr>
          <w:p>
            <w:pPr>
              <w:spacing w:after="0"/>
              <w:rPr>
                <w:sz w:val="1"/>
                <w:szCs w:val="1"/>
                <w:color w:val="auto"/>
              </w:rPr>
            </w:pPr>
          </w:p>
        </w:tc>
      </w:tr>
      <w:tr>
        <w:trPr>
          <w:trHeight w:val="135"/>
        </w:trPr>
        <w:tc>
          <w:tcPr>
            <w:tcW w:w="540" w:type="dxa"/>
            <w:vAlign w:val="bottom"/>
            <w:vMerge w:val="continue"/>
          </w:tcPr>
          <w:p>
            <w:pPr>
              <w:spacing w:after="0"/>
              <w:rPr>
                <w:sz w:val="11"/>
                <w:szCs w:val="11"/>
                <w:color w:val="auto"/>
              </w:rPr>
            </w:pPr>
          </w:p>
        </w:tc>
        <w:tc>
          <w:tcPr>
            <w:tcW w:w="5900" w:type="dxa"/>
            <w:vAlign w:val="bottom"/>
            <w:vMerge w:val="restart"/>
          </w:tcPr>
          <w:p>
            <w:pPr>
              <w:ind w:left="220"/>
              <w:spacing w:after="0" w:line="176" w:lineRule="exact"/>
              <w:rPr>
                <w:sz w:val="20"/>
                <w:szCs w:val="20"/>
                <w:color w:val="auto"/>
              </w:rPr>
            </w:pPr>
            <w:r>
              <w:rPr>
                <w:rFonts w:ascii="Arial" w:cs="Arial" w:eastAsia="Arial" w:hAnsi="Arial"/>
                <w:sz w:val="18"/>
                <w:szCs w:val="18"/>
                <w:color w:val="auto"/>
              </w:rPr>
              <w:t>other guarantors party thereto and The Bank of New York Mellon Trust</w:t>
            </w:r>
          </w:p>
        </w:tc>
        <w:tc>
          <w:tcPr>
            <w:tcW w:w="0" w:type="dxa"/>
            <w:vAlign w:val="bottom"/>
          </w:tcPr>
          <w:p>
            <w:pPr>
              <w:spacing w:after="0"/>
              <w:rPr>
                <w:sz w:val="1"/>
                <w:szCs w:val="1"/>
                <w:color w:val="auto"/>
              </w:rPr>
            </w:pPr>
          </w:p>
        </w:tc>
      </w:tr>
      <w:tr>
        <w:trPr>
          <w:trHeight w:val="40"/>
        </w:trPr>
        <w:tc>
          <w:tcPr>
            <w:tcW w:w="540" w:type="dxa"/>
            <w:vAlign w:val="bottom"/>
          </w:tcPr>
          <w:p>
            <w:pPr>
              <w:spacing w:after="0"/>
              <w:rPr>
                <w:sz w:val="3"/>
                <w:szCs w:val="3"/>
                <w:color w:val="auto"/>
              </w:rPr>
            </w:pPr>
          </w:p>
        </w:tc>
        <w:tc>
          <w:tcPr>
            <w:tcW w:w="5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5900" w:type="dxa"/>
            <w:vAlign w:val="bottom"/>
          </w:tcPr>
          <w:p>
            <w:pPr>
              <w:ind w:left="220"/>
              <w:spacing w:after="0"/>
              <w:rPr>
                <w:sz w:val="20"/>
                <w:szCs w:val="20"/>
                <w:color w:val="auto"/>
              </w:rPr>
            </w:pPr>
            <w:r>
              <w:rPr>
                <w:rFonts w:ascii="Arial" w:cs="Arial" w:eastAsia="Arial" w:hAnsi="Arial"/>
                <w:sz w:val="18"/>
                <w:szCs w:val="18"/>
                <w:color w:val="auto"/>
              </w:rPr>
              <w:t>Company, N.A., as trustee</w:t>
            </w:r>
          </w:p>
        </w:tc>
        <w:tc>
          <w:tcPr>
            <w:tcW w:w="0" w:type="dxa"/>
            <w:vAlign w:val="bottom"/>
          </w:tcPr>
          <w:p>
            <w:pPr>
              <w:spacing w:after="0"/>
              <w:rPr>
                <w:sz w:val="1"/>
                <w:szCs w:val="1"/>
                <w:color w:val="auto"/>
              </w:rPr>
            </w:pPr>
          </w:p>
        </w:tc>
      </w:tr>
      <w:tr>
        <w:trPr>
          <w:trHeight w:val="176"/>
        </w:trPr>
        <w:tc>
          <w:tcPr>
            <w:tcW w:w="540" w:type="dxa"/>
            <w:vAlign w:val="bottom"/>
            <w:vMerge w:val="restart"/>
          </w:tcPr>
          <w:p>
            <w:pPr>
              <w:jc w:val="center"/>
              <w:ind w:right="130"/>
              <w:spacing w:after="0"/>
              <w:rPr>
                <w:rFonts w:ascii="Arial" w:cs="Arial" w:eastAsia="Arial" w:hAnsi="Arial"/>
                <w:sz w:val="18"/>
                <w:szCs w:val="18"/>
                <w:u w:val="single" w:color="auto"/>
                <w:color w:val="0000FF"/>
                <w:w w:val="91"/>
              </w:rPr>
            </w:pPr>
            <w:hyperlink r:id="rId134">
              <w:r>
                <w:rPr>
                  <w:rFonts w:ascii="Arial" w:cs="Arial" w:eastAsia="Arial" w:hAnsi="Arial"/>
                  <w:sz w:val="18"/>
                  <w:szCs w:val="18"/>
                  <w:u w:val="single" w:color="auto"/>
                  <w:color w:val="0000FF"/>
                  <w:w w:val="91"/>
                </w:rPr>
                <w:t>4.12</w:t>
              </w:r>
            </w:hyperlink>
          </w:p>
        </w:tc>
        <w:tc>
          <w:tcPr>
            <w:tcW w:w="5900" w:type="dxa"/>
            <w:vAlign w:val="bottom"/>
          </w:tcPr>
          <w:p>
            <w:pPr>
              <w:ind w:left="220"/>
              <w:spacing w:after="0" w:line="176" w:lineRule="exact"/>
              <w:rPr>
                <w:sz w:val="20"/>
                <w:szCs w:val="20"/>
                <w:color w:val="auto"/>
              </w:rPr>
            </w:pPr>
            <w:r>
              <w:rPr>
                <w:rFonts w:ascii="Arial" w:cs="Arial" w:eastAsia="Arial" w:hAnsi="Arial"/>
                <w:sz w:val="18"/>
                <w:szCs w:val="18"/>
                <w:color w:val="auto"/>
                <w:w w:val="94"/>
              </w:rPr>
              <w:t>Supplemental Indenture, dated December 31, 2019, by and among Marriott</w:t>
            </w:r>
          </w:p>
        </w:tc>
        <w:tc>
          <w:tcPr>
            <w:tcW w:w="0" w:type="dxa"/>
            <w:vAlign w:val="bottom"/>
          </w:tcPr>
          <w:p>
            <w:pPr>
              <w:spacing w:after="0"/>
              <w:rPr>
                <w:sz w:val="1"/>
                <w:szCs w:val="1"/>
                <w:color w:val="auto"/>
              </w:rPr>
            </w:pPr>
          </w:p>
        </w:tc>
      </w:tr>
      <w:tr>
        <w:trPr>
          <w:trHeight w:val="175"/>
        </w:trPr>
        <w:tc>
          <w:tcPr>
            <w:tcW w:w="540" w:type="dxa"/>
            <w:vAlign w:val="bottom"/>
            <w:vMerge w:val="continue"/>
          </w:tcPr>
          <w:p>
            <w:pPr>
              <w:spacing w:after="0"/>
              <w:rPr>
                <w:sz w:val="15"/>
                <w:szCs w:val="15"/>
                <w:color w:val="auto"/>
              </w:rPr>
            </w:pPr>
          </w:p>
        </w:tc>
        <w:tc>
          <w:tcPr>
            <w:tcW w:w="5900" w:type="dxa"/>
            <w:vAlign w:val="bottom"/>
          </w:tcPr>
          <w:p>
            <w:pPr>
              <w:ind w:left="220"/>
              <w:spacing w:after="0" w:line="176" w:lineRule="exact"/>
              <w:rPr>
                <w:sz w:val="20"/>
                <w:szCs w:val="20"/>
                <w:color w:val="auto"/>
              </w:rPr>
            </w:pPr>
            <w:r>
              <w:rPr>
                <w:rFonts w:ascii="Arial" w:cs="Arial" w:eastAsia="Arial" w:hAnsi="Arial"/>
                <w:sz w:val="18"/>
                <w:szCs w:val="18"/>
                <w:color w:val="auto"/>
                <w:w w:val="96"/>
              </w:rPr>
              <w:t>Ownership Resorts, Inc., MVW Vacations, LLC and the Bank of New York</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5900" w:type="dxa"/>
            <w:vAlign w:val="bottom"/>
          </w:tcPr>
          <w:p>
            <w:pPr>
              <w:ind w:left="220"/>
              <w:spacing w:after="0"/>
              <w:rPr>
                <w:sz w:val="20"/>
                <w:szCs w:val="20"/>
                <w:color w:val="auto"/>
              </w:rPr>
            </w:pPr>
            <w:r>
              <w:rPr>
                <w:rFonts w:ascii="Arial" w:cs="Arial" w:eastAsia="Arial" w:hAnsi="Arial"/>
                <w:sz w:val="18"/>
                <w:szCs w:val="18"/>
                <w:color w:val="auto"/>
              </w:rPr>
              <w:t>Mellon Trust Company, N.A., as trustee</w:t>
            </w:r>
          </w:p>
        </w:tc>
        <w:tc>
          <w:tcPr>
            <w:tcW w:w="0" w:type="dxa"/>
            <w:vAlign w:val="bottom"/>
          </w:tcPr>
          <w:p>
            <w:pPr>
              <w:spacing w:after="0"/>
              <w:rPr>
                <w:sz w:val="1"/>
                <w:szCs w:val="1"/>
                <w:color w:val="auto"/>
              </w:rPr>
            </w:pPr>
          </w:p>
        </w:tc>
      </w:tr>
      <w:tr>
        <w:trPr>
          <w:trHeight w:val="176"/>
        </w:trPr>
        <w:tc>
          <w:tcPr>
            <w:tcW w:w="540" w:type="dxa"/>
            <w:vAlign w:val="bottom"/>
            <w:vMerge w:val="restart"/>
          </w:tcPr>
          <w:p>
            <w:pPr>
              <w:jc w:val="center"/>
              <w:ind w:right="130"/>
              <w:spacing w:after="0"/>
              <w:rPr>
                <w:rFonts w:ascii="Arial" w:cs="Arial" w:eastAsia="Arial" w:hAnsi="Arial"/>
                <w:sz w:val="18"/>
                <w:szCs w:val="18"/>
                <w:u w:val="single" w:color="auto"/>
                <w:color w:val="0000FF"/>
                <w:w w:val="91"/>
              </w:rPr>
            </w:pPr>
            <w:hyperlink r:id="rId135">
              <w:r>
                <w:rPr>
                  <w:rFonts w:ascii="Arial" w:cs="Arial" w:eastAsia="Arial" w:hAnsi="Arial"/>
                  <w:sz w:val="18"/>
                  <w:szCs w:val="18"/>
                  <w:u w:val="single" w:color="auto"/>
                  <w:color w:val="0000FF"/>
                  <w:w w:val="91"/>
                </w:rPr>
                <w:t>4.13</w:t>
              </w:r>
            </w:hyperlink>
          </w:p>
        </w:tc>
        <w:tc>
          <w:tcPr>
            <w:tcW w:w="5900" w:type="dxa"/>
            <w:vAlign w:val="bottom"/>
          </w:tcPr>
          <w:p>
            <w:pPr>
              <w:ind w:left="220"/>
              <w:spacing w:after="0" w:line="176" w:lineRule="exact"/>
              <w:rPr>
                <w:sz w:val="20"/>
                <w:szCs w:val="20"/>
                <w:color w:val="auto"/>
              </w:rPr>
            </w:pPr>
            <w:r>
              <w:rPr>
                <w:rFonts w:ascii="Arial" w:cs="Arial" w:eastAsia="Arial" w:hAnsi="Arial"/>
                <w:sz w:val="18"/>
                <w:szCs w:val="18"/>
                <w:color w:val="auto"/>
                <w:w w:val="96"/>
              </w:rPr>
              <w:t>Second Supplemental Indenture, dated February 26, 2020, by and among</w:t>
            </w:r>
          </w:p>
        </w:tc>
        <w:tc>
          <w:tcPr>
            <w:tcW w:w="0" w:type="dxa"/>
            <w:vAlign w:val="bottom"/>
          </w:tcPr>
          <w:p>
            <w:pPr>
              <w:spacing w:after="0"/>
              <w:rPr>
                <w:sz w:val="1"/>
                <w:szCs w:val="1"/>
                <w:color w:val="auto"/>
              </w:rPr>
            </w:pPr>
          </w:p>
        </w:tc>
      </w:tr>
      <w:tr>
        <w:trPr>
          <w:trHeight w:val="176"/>
        </w:trPr>
        <w:tc>
          <w:tcPr>
            <w:tcW w:w="540" w:type="dxa"/>
            <w:vAlign w:val="bottom"/>
            <w:vMerge w:val="continue"/>
          </w:tcPr>
          <w:p>
            <w:pPr>
              <w:spacing w:after="0"/>
              <w:rPr>
                <w:sz w:val="15"/>
                <w:szCs w:val="15"/>
                <w:color w:val="auto"/>
              </w:rPr>
            </w:pPr>
          </w:p>
        </w:tc>
        <w:tc>
          <w:tcPr>
            <w:tcW w:w="5900" w:type="dxa"/>
            <w:vAlign w:val="bottom"/>
          </w:tcPr>
          <w:p>
            <w:pPr>
              <w:ind w:left="220"/>
              <w:spacing w:after="0" w:line="176" w:lineRule="exact"/>
              <w:rPr>
                <w:sz w:val="20"/>
                <w:szCs w:val="20"/>
                <w:color w:val="auto"/>
              </w:rPr>
            </w:pPr>
            <w:r>
              <w:rPr>
                <w:rFonts w:ascii="Arial" w:cs="Arial" w:eastAsia="Arial" w:hAnsi="Arial"/>
                <w:sz w:val="18"/>
                <w:szCs w:val="18"/>
                <w:color w:val="auto"/>
                <w:w w:val="94"/>
              </w:rPr>
              <w:t>Marriott Ownership Resorts, Inc., MVW Services Corporation, and the Bank</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5900" w:type="dxa"/>
            <w:vAlign w:val="bottom"/>
          </w:tcPr>
          <w:p>
            <w:pPr>
              <w:ind w:left="220"/>
              <w:spacing w:after="0"/>
              <w:rPr>
                <w:sz w:val="20"/>
                <w:szCs w:val="20"/>
                <w:color w:val="auto"/>
              </w:rPr>
            </w:pPr>
            <w:r>
              <w:rPr>
                <w:rFonts w:ascii="Arial" w:cs="Arial" w:eastAsia="Arial" w:hAnsi="Arial"/>
                <w:sz w:val="18"/>
                <w:szCs w:val="18"/>
                <w:color w:val="auto"/>
              </w:rPr>
              <w:t>of New York Mellow Trust Company, N.A., as 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11/22/2011</w:t>
            </w:r>
          </w:p>
        </w:tc>
      </w:tr>
      <w:tr>
        <w:trPr>
          <w:trHeight w:val="432"/>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11/22/2011</w:t>
            </w:r>
          </w:p>
        </w:tc>
      </w:tr>
      <w:tr>
        <w:trPr>
          <w:trHeight w:val="418"/>
        </w:trPr>
        <w:tc>
          <w:tcPr>
            <w:tcW w:w="680" w:type="dxa"/>
            <w:vAlign w:val="bottom"/>
          </w:tcPr>
          <w:p>
            <w:pPr>
              <w:jc w:val="center"/>
              <w:ind w:right="250"/>
              <w:spacing w:after="0"/>
              <w:rPr>
                <w:sz w:val="20"/>
                <w:szCs w:val="20"/>
                <w:color w:val="auto"/>
              </w:rPr>
            </w:pPr>
            <w:r>
              <w:rPr>
                <w:rFonts w:ascii="Arial" w:cs="Arial" w:eastAsia="Arial" w:hAnsi="Arial"/>
                <w:sz w:val="18"/>
                <w:szCs w:val="18"/>
                <w:color w:val="auto"/>
                <w:w w:val="89"/>
              </w:rPr>
              <w:t>10</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10/14/2011</w:t>
            </w:r>
          </w:p>
        </w:tc>
      </w:tr>
      <w:tr>
        <w:trPr>
          <w:trHeight w:val="608"/>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11/2/2017</w:t>
            </w:r>
          </w:p>
        </w:tc>
      </w:tr>
      <w:tr>
        <w:trPr>
          <w:trHeight w:val="594"/>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11/2/2017</w:t>
            </w:r>
          </w:p>
        </w:tc>
      </w:tr>
      <w:tr>
        <w:trPr>
          <w:trHeight w:val="689"/>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8/23/2018</w:t>
            </w:r>
          </w:p>
        </w:tc>
      </w:tr>
      <w:tr>
        <w:trPr>
          <w:trHeight w:val="783"/>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1"/>
              </w:rPr>
              <w:t>9/5/2018</w:t>
            </w:r>
          </w:p>
        </w:tc>
      </w:tr>
      <w:tr>
        <w:trPr>
          <w:trHeight w:val="635"/>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1"/>
              </w:rPr>
              <w:t>3/2/2020</w:t>
            </w:r>
          </w:p>
        </w:tc>
      </w:tr>
      <w:tr>
        <w:trPr>
          <w:trHeight w:val="58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1"/>
              </w:rPr>
              <w:t>3/2/2020</w:t>
            </w:r>
          </w:p>
        </w:tc>
      </w:tr>
      <w:tr>
        <w:trPr>
          <w:trHeight w:val="486"/>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8/23/2018</w:t>
            </w:r>
          </w:p>
        </w:tc>
      </w:tr>
      <w:tr>
        <w:trPr>
          <w:trHeight w:val="58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8/23/2018</w:t>
            </w:r>
          </w:p>
        </w:tc>
      </w:tr>
      <w:tr>
        <w:trPr>
          <w:trHeight w:val="756"/>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1"/>
              </w:rPr>
              <w:t>9/5/2018</w:t>
            </w:r>
          </w:p>
        </w:tc>
      </w:tr>
      <w:tr>
        <w:trPr>
          <w:trHeight w:val="756"/>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10/1/2019</w:t>
            </w:r>
          </w:p>
        </w:tc>
      </w:tr>
      <w:tr>
        <w:trPr>
          <w:trHeight w:val="675"/>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1"/>
              </w:rPr>
              <w:t>3/2/2020</w:t>
            </w:r>
          </w:p>
        </w:tc>
      </w:tr>
      <w:tr>
        <w:trPr>
          <w:trHeight w:val="58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1"/>
              </w:rPr>
              <w:t>3/2/2020</w:t>
            </w:r>
          </w:p>
        </w:tc>
      </w:tr>
    </w:tbl>
    <w:p>
      <w:pPr>
        <w:spacing w:after="0" w:line="376" w:lineRule="exact"/>
        <w:rPr>
          <w:sz w:val="20"/>
          <w:szCs w:val="20"/>
          <w:color w:val="auto"/>
        </w:rPr>
      </w:pPr>
    </w:p>
    <w:p>
      <w:pPr>
        <w:sectPr>
          <w:pgSz w:w="11900" w:h="16838" w:orient="portrait"/>
          <w:cols w:equalWidth="0" w:num="2">
            <w:col w:w="7560" w:space="720"/>
            <w:col w:w="2900"/>
          </w:cols>
          <w:pgMar w:left="320" w:top="233" w:right="399" w:bottom="1440" w:gutter="0" w:footer="0" w:header="0"/>
          <w:type w:val="continuous"/>
        </w:sectPr>
      </w:pPr>
    </w:p>
    <w:p>
      <w:pPr>
        <w:spacing w:after="0" w:line="6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82" w:name="page83"/>
    <w:bookmarkEnd w:id="82"/>
    <w:p>
      <w:pPr>
        <w:ind w:left="4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40" w:type="dxa"/>
            <w:vAlign w:val="bottom"/>
            <w:vMerge w:val="restart"/>
          </w:tcPr>
          <w:p>
            <w:pPr>
              <w:jc w:val="center"/>
              <w:ind w:right="1299"/>
              <w:spacing w:after="0"/>
              <w:rPr>
                <w:sz w:val="20"/>
                <w:szCs w:val="20"/>
                <w:color w:val="auto"/>
              </w:rPr>
            </w:pPr>
            <w:r>
              <w:rPr>
                <w:rFonts w:ascii="Arial" w:cs="Arial" w:eastAsia="Arial" w:hAnsi="Arial"/>
                <w:sz w:val="16"/>
                <w:szCs w:val="16"/>
                <w:b w:val="1"/>
                <w:bCs w:val="1"/>
                <w:color w:val="auto"/>
                <w:w w:val="97"/>
              </w:rPr>
              <w:t>Exhibit</w:t>
            </w:r>
          </w:p>
        </w:tc>
        <w:tc>
          <w:tcPr>
            <w:tcW w:w="3540" w:type="dxa"/>
            <w:vAlign w:val="bottom"/>
          </w:tcPr>
          <w:p>
            <w:pPr>
              <w:spacing w:after="0"/>
              <w:rPr>
                <w:sz w:val="18"/>
                <w:szCs w:val="18"/>
                <w:color w:val="auto"/>
              </w:rPr>
            </w:pPr>
          </w:p>
        </w:tc>
        <w:tc>
          <w:tcPr>
            <w:tcW w:w="2280" w:type="dxa"/>
            <w:vAlign w:val="bottom"/>
            <w:vMerge w:val="restart"/>
          </w:tcPr>
          <w:p>
            <w:pPr>
              <w:jc w:val="center"/>
              <w:ind w:left="1019"/>
              <w:spacing w:after="0"/>
              <w:rPr>
                <w:sz w:val="20"/>
                <w:szCs w:val="20"/>
                <w:color w:val="auto"/>
              </w:rPr>
            </w:pPr>
            <w:r>
              <w:rPr>
                <w:rFonts w:ascii="Arial" w:cs="Arial" w:eastAsia="Arial" w:hAnsi="Arial"/>
                <w:sz w:val="16"/>
                <w:szCs w:val="16"/>
                <w:b w:val="1"/>
                <w:bCs w:val="1"/>
                <w:color w:val="auto"/>
                <w:w w:val="90"/>
              </w:rPr>
              <w:t>Filed</w:t>
            </w:r>
          </w:p>
        </w:tc>
        <w:tc>
          <w:tcPr>
            <w:tcW w:w="316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Incorporation By Reference From</w:t>
            </w:r>
          </w:p>
        </w:tc>
        <w:tc>
          <w:tcPr>
            <w:tcW w:w="0" w:type="dxa"/>
            <w:vAlign w:val="bottom"/>
          </w:tcPr>
          <w:p>
            <w:pPr>
              <w:spacing w:after="0"/>
              <w:rPr>
                <w:sz w:val="1"/>
                <w:szCs w:val="1"/>
                <w:color w:val="auto"/>
              </w:rPr>
            </w:pPr>
          </w:p>
        </w:tc>
      </w:tr>
      <w:tr>
        <w:trPr>
          <w:trHeight w:val="23"/>
        </w:trPr>
        <w:tc>
          <w:tcPr>
            <w:tcW w:w="1940" w:type="dxa"/>
            <w:vAlign w:val="bottom"/>
            <w:vMerge w:val="continue"/>
          </w:tcPr>
          <w:p>
            <w:pPr>
              <w:spacing w:after="0"/>
              <w:rPr>
                <w:sz w:val="2"/>
                <w:szCs w:val="2"/>
                <w:color w:val="auto"/>
              </w:rPr>
            </w:pPr>
          </w:p>
        </w:tc>
        <w:tc>
          <w:tcPr>
            <w:tcW w:w="3540" w:type="dxa"/>
            <w:vAlign w:val="bottom"/>
            <w:vMerge w:val="restart"/>
          </w:tcPr>
          <w:p>
            <w:pPr>
              <w:ind w:left="1380"/>
              <w:spacing w:after="0"/>
              <w:rPr>
                <w:sz w:val="20"/>
                <w:szCs w:val="20"/>
                <w:color w:val="auto"/>
              </w:rPr>
            </w:pPr>
            <w:r>
              <w:rPr>
                <w:rFonts w:ascii="Arial" w:cs="Arial" w:eastAsia="Arial" w:hAnsi="Arial"/>
                <w:sz w:val="16"/>
                <w:szCs w:val="16"/>
                <w:b w:val="1"/>
                <w:bCs w:val="1"/>
                <w:color w:val="auto"/>
              </w:rPr>
              <w:t>Description</w:t>
            </w:r>
          </w:p>
        </w:tc>
        <w:tc>
          <w:tcPr>
            <w:tcW w:w="2280" w:type="dxa"/>
            <w:vAlign w:val="bottom"/>
            <w:vMerge w:val="continue"/>
          </w:tcPr>
          <w:p>
            <w:pPr>
              <w:spacing w:after="0"/>
              <w:rPr>
                <w:sz w:val="2"/>
                <w:szCs w:val="2"/>
                <w:color w:val="auto"/>
              </w:rPr>
            </w:pPr>
          </w:p>
        </w:tc>
        <w:tc>
          <w:tcPr>
            <w:tcW w:w="88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Form</w:t>
            </w:r>
          </w:p>
        </w:tc>
        <w:tc>
          <w:tcPr>
            <w:tcW w:w="104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Exhibit</w:t>
            </w:r>
          </w:p>
        </w:tc>
        <w:tc>
          <w:tcPr>
            <w:tcW w:w="124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Date Filed</w:t>
            </w:r>
          </w:p>
        </w:tc>
        <w:tc>
          <w:tcPr>
            <w:tcW w:w="0" w:type="dxa"/>
            <w:vAlign w:val="bottom"/>
          </w:tcPr>
          <w:p>
            <w:pPr>
              <w:spacing w:after="0" w:line="20" w:lineRule="exact"/>
              <w:rPr>
                <w:sz w:val="1"/>
                <w:szCs w:val="1"/>
                <w:color w:val="auto"/>
              </w:rPr>
            </w:pPr>
          </w:p>
        </w:tc>
      </w:tr>
      <w:tr>
        <w:trPr>
          <w:trHeight w:val="210"/>
        </w:trPr>
        <w:tc>
          <w:tcPr>
            <w:tcW w:w="1940" w:type="dxa"/>
            <w:vAlign w:val="bottom"/>
          </w:tcPr>
          <w:p>
            <w:pPr>
              <w:jc w:val="center"/>
              <w:ind w:right="1299"/>
              <w:spacing w:after="0"/>
              <w:rPr>
                <w:sz w:val="20"/>
                <w:szCs w:val="20"/>
                <w:color w:val="auto"/>
              </w:rPr>
            </w:pPr>
            <w:r>
              <w:rPr>
                <w:rFonts w:ascii="Arial" w:cs="Arial" w:eastAsia="Arial" w:hAnsi="Arial"/>
                <w:sz w:val="16"/>
                <w:szCs w:val="16"/>
                <w:b w:val="1"/>
                <w:bCs w:val="1"/>
                <w:color w:val="auto"/>
                <w:w w:val="92"/>
              </w:rPr>
              <w:t>Number</w:t>
            </w:r>
          </w:p>
        </w:tc>
        <w:tc>
          <w:tcPr>
            <w:tcW w:w="3540" w:type="dxa"/>
            <w:vAlign w:val="bottom"/>
            <w:vMerge w:val="continue"/>
          </w:tcPr>
          <w:p>
            <w:pPr>
              <w:spacing w:after="0"/>
              <w:rPr>
                <w:sz w:val="18"/>
                <w:szCs w:val="18"/>
                <w:color w:val="auto"/>
              </w:rPr>
            </w:pPr>
          </w:p>
        </w:tc>
        <w:tc>
          <w:tcPr>
            <w:tcW w:w="2280" w:type="dxa"/>
            <w:vAlign w:val="bottom"/>
          </w:tcPr>
          <w:p>
            <w:pPr>
              <w:jc w:val="center"/>
              <w:ind w:left="999"/>
              <w:spacing w:after="0"/>
              <w:rPr>
                <w:sz w:val="20"/>
                <w:szCs w:val="20"/>
                <w:color w:val="auto"/>
              </w:rPr>
            </w:pPr>
            <w:r>
              <w:rPr>
                <w:rFonts w:ascii="Arial" w:cs="Arial" w:eastAsia="Arial" w:hAnsi="Arial"/>
                <w:sz w:val="16"/>
                <w:szCs w:val="16"/>
                <w:b w:val="1"/>
                <w:bCs w:val="1"/>
                <w:color w:val="auto"/>
                <w:w w:val="94"/>
              </w:rPr>
              <w:t>Herewith</w:t>
            </w:r>
          </w:p>
        </w:tc>
        <w:tc>
          <w:tcPr>
            <w:tcW w:w="88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3810</wp:posOffset>
            </wp:positionV>
            <wp:extent cx="70548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ectPr>
          <w:pgSz w:w="11900" w:h="16838" w:orient="portrait"/>
          <w:cols w:equalWidth="0" w:num="1">
            <w:col w:w="10920"/>
          </w:cols>
          <w:pgMar w:left="580" w:top="233" w:right="399" w:bottom="1440" w:gutter="0" w:footer="0" w:header="0"/>
        </w:sectPr>
      </w:pPr>
    </w:p>
    <w:p>
      <w:pPr>
        <w:spacing w:after="0" w:line="99" w:lineRule="exact"/>
        <w:rPr>
          <w:sz w:val="20"/>
          <w:szCs w:val="20"/>
          <w:color w:val="auto"/>
        </w:rPr>
      </w:pPr>
    </w:p>
    <w:p>
      <w:pPr>
        <w:ind w:left="120"/>
        <w:spacing w:after="0"/>
        <w:rPr>
          <w:rFonts w:ascii="Arial" w:cs="Arial" w:eastAsia="Arial" w:hAnsi="Arial"/>
          <w:sz w:val="16"/>
          <w:szCs w:val="16"/>
          <w:u w:val="single" w:color="auto"/>
          <w:color w:val="0000FF"/>
        </w:rPr>
      </w:pPr>
      <w:hyperlink r:id="rId133">
        <w:r>
          <w:rPr>
            <w:rFonts w:ascii="Arial" w:cs="Arial" w:eastAsia="Arial" w:hAnsi="Arial"/>
            <w:sz w:val="16"/>
            <w:szCs w:val="16"/>
            <w:u w:val="single" w:color="auto"/>
            <w:color w:val="0000FF"/>
          </w:rPr>
          <w:t>4.14</w:t>
        </w:r>
      </w:hyperlink>
    </w:p>
    <w:p>
      <w:pPr>
        <w:spacing w:after="0" w:line="397" w:lineRule="exact"/>
        <w:rPr>
          <w:sz w:val="20"/>
          <w:szCs w:val="20"/>
          <w:color w:val="auto"/>
        </w:rPr>
      </w:pPr>
    </w:p>
    <w:p>
      <w:pPr>
        <w:ind w:left="120"/>
        <w:spacing w:after="0"/>
        <w:rPr>
          <w:rFonts w:ascii="Arial" w:cs="Arial" w:eastAsia="Arial" w:hAnsi="Arial"/>
          <w:sz w:val="16"/>
          <w:szCs w:val="16"/>
          <w:u w:val="single" w:color="auto"/>
          <w:color w:val="0000FF"/>
        </w:rPr>
      </w:pPr>
      <w:hyperlink r:id="rId138">
        <w:r>
          <w:rPr>
            <w:rFonts w:ascii="Arial" w:cs="Arial" w:eastAsia="Arial" w:hAnsi="Arial"/>
            <w:sz w:val="16"/>
            <w:szCs w:val="16"/>
            <w:u w:val="single" w:color="auto"/>
            <w:color w:val="0000FF"/>
          </w:rPr>
          <w:t>4.15</w:t>
        </w:r>
      </w:hyperlink>
    </w:p>
    <w:p>
      <w:pPr>
        <w:spacing w:after="0" w:line="200" w:lineRule="exact"/>
        <w:rPr>
          <w:sz w:val="20"/>
          <w:szCs w:val="20"/>
          <w:color w:val="auto"/>
        </w:rPr>
      </w:pPr>
    </w:p>
    <w:p>
      <w:pPr>
        <w:spacing w:after="0" w:line="372" w:lineRule="exact"/>
        <w:rPr>
          <w:sz w:val="20"/>
          <w:szCs w:val="20"/>
          <w:color w:val="auto"/>
        </w:rPr>
      </w:pPr>
    </w:p>
    <w:p>
      <w:pPr>
        <w:ind w:left="120"/>
        <w:spacing w:after="0"/>
        <w:rPr>
          <w:rFonts w:ascii="Arial" w:cs="Arial" w:eastAsia="Arial" w:hAnsi="Arial"/>
          <w:sz w:val="16"/>
          <w:szCs w:val="16"/>
          <w:u w:val="single" w:color="auto"/>
          <w:color w:val="0000FF"/>
        </w:rPr>
      </w:pPr>
      <w:hyperlink r:id="rId139">
        <w:r>
          <w:rPr>
            <w:rFonts w:ascii="Arial" w:cs="Arial" w:eastAsia="Arial" w:hAnsi="Arial"/>
            <w:sz w:val="16"/>
            <w:szCs w:val="16"/>
            <w:u w:val="single" w:color="auto"/>
            <w:color w:val="0000FF"/>
          </w:rPr>
          <w:t>4.16</w:t>
        </w:r>
      </w:hyperlink>
    </w:p>
    <w:p>
      <w:pPr>
        <w:spacing w:after="0" w:line="397" w:lineRule="exact"/>
        <w:rPr>
          <w:sz w:val="20"/>
          <w:szCs w:val="20"/>
          <w:color w:val="auto"/>
        </w:rPr>
      </w:pPr>
    </w:p>
    <w:p>
      <w:pPr>
        <w:ind w:left="120"/>
        <w:spacing w:after="0"/>
        <w:rPr>
          <w:rFonts w:ascii="Arial" w:cs="Arial" w:eastAsia="Arial" w:hAnsi="Arial"/>
          <w:sz w:val="16"/>
          <w:szCs w:val="16"/>
          <w:u w:val="single" w:color="auto"/>
          <w:color w:val="0000FF"/>
        </w:rPr>
      </w:pPr>
      <w:hyperlink r:id="rId139">
        <w:r>
          <w:rPr>
            <w:rFonts w:ascii="Arial" w:cs="Arial" w:eastAsia="Arial" w:hAnsi="Arial"/>
            <w:sz w:val="16"/>
            <w:szCs w:val="16"/>
            <w:u w:val="single" w:color="auto"/>
            <w:color w:val="0000FF"/>
          </w:rPr>
          <w:t>4.17</w:t>
        </w:r>
      </w:hyperlink>
    </w:p>
    <w:p>
      <w:pPr>
        <w:spacing w:after="0" w:line="397" w:lineRule="exact"/>
        <w:rPr>
          <w:sz w:val="20"/>
          <w:szCs w:val="20"/>
          <w:color w:val="auto"/>
        </w:rPr>
      </w:pPr>
    </w:p>
    <w:p>
      <w:pPr>
        <w:ind w:left="120"/>
        <w:spacing w:after="0"/>
        <w:rPr>
          <w:rFonts w:ascii="Arial" w:cs="Arial" w:eastAsia="Arial" w:hAnsi="Arial"/>
          <w:sz w:val="16"/>
          <w:szCs w:val="16"/>
          <w:u w:val="single" w:color="auto"/>
          <w:color w:val="0000FF"/>
        </w:rPr>
      </w:pPr>
      <w:hyperlink r:id="rId140">
        <w:r>
          <w:rPr>
            <w:rFonts w:ascii="Arial" w:cs="Arial" w:eastAsia="Arial" w:hAnsi="Arial"/>
            <w:sz w:val="16"/>
            <w:szCs w:val="16"/>
            <w:u w:val="single" w:color="auto"/>
            <w:color w:val="0000FF"/>
          </w:rPr>
          <w:t>10.1</w:t>
        </w:r>
      </w:hyperlink>
    </w:p>
    <w:p>
      <w:pPr>
        <w:spacing w:after="0" w:line="20" w:lineRule="exact"/>
        <w:rPr>
          <w:sz w:val="20"/>
          <w:szCs w:val="20"/>
          <w:color w:val="auto"/>
        </w:rPr>
      </w:pPr>
      <w:r>
        <w:rPr>
          <w:sz w:val="20"/>
          <w:szCs w:val="20"/>
          <w:color w:val="auto"/>
        </w:rPr>
        <w:br w:type="column"/>
      </w:r>
    </w:p>
    <w:p>
      <w:pPr>
        <w:ind w:right="800"/>
        <w:spacing w:after="0" w:line="235" w:lineRule="auto"/>
        <w:rPr>
          <w:sz w:val="20"/>
          <w:szCs w:val="20"/>
          <w:color w:val="auto"/>
        </w:rPr>
      </w:pPr>
      <w:r>
        <w:rPr>
          <w:rFonts w:ascii="Arial" w:cs="Arial" w:eastAsia="Arial" w:hAnsi="Arial"/>
          <w:sz w:val="18"/>
          <w:szCs w:val="18"/>
          <w:color w:val="auto"/>
        </w:rPr>
        <w:t>Form of 4.750% Senior Notes due 2028 (included as Exhibit A to Exhibit 4.11 above)</w:t>
      </w:r>
    </w:p>
    <w:p>
      <w:pPr>
        <w:ind w:right="840"/>
        <w:spacing w:after="0" w:line="219" w:lineRule="auto"/>
        <w:rPr>
          <w:sz w:val="20"/>
          <w:szCs w:val="20"/>
          <w:color w:val="auto"/>
        </w:rPr>
      </w:pPr>
      <w:r>
        <w:rPr>
          <w:rFonts w:ascii="Arial" w:cs="Arial" w:eastAsia="Arial" w:hAnsi="Arial"/>
          <w:sz w:val="18"/>
          <w:szCs w:val="18"/>
          <w:color w:val="auto"/>
        </w:rPr>
        <w:t>Registration Rights Agreement, dated as of October 1, 2019, by and among Marriott Ownership Resorts, Inc., Marriott Vacations Worldwide Corporation, as guarantor, the other guarantors party thereto and J.P. Morgan Securities LLC</w:t>
      </w:r>
    </w:p>
    <w:p>
      <w:pPr>
        <w:spacing w:after="0" w:line="1" w:lineRule="exact"/>
        <w:rPr>
          <w:sz w:val="20"/>
          <w:szCs w:val="20"/>
          <w:color w:val="auto"/>
        </w:rPr>
      </w:pPr>
    </w:p>
    <w:p>
      <w:pPr>
        <w:ind w:right="1100"/>
        <w:spacing w:after="0" w:line="232" w:lineRule="auto"/>
        <w:rPr>
          <w:sz w:val="20"/>
          <w:szCs w:val="20"/>
          <w:color w:val="auto"/>
        </w:rPr>
      </w:pPr>
      <w:r>
        <w:rPr>
          <w:rFonts w:ascii="Arial" w:cs="Arial" w:eastAsia="Arial" w:hAnsi="Arial"/>
          <w:sz w:val="17"/>
          <w:szCs w:val="17"/>
          <w:color w:val="auto"/>
        </w:rPr>
        <w:t>Indenture, dated as of May 13, 2020, by and among Marriott Ownership Resorts, Inc., Marriott Vacations Worldwide Corporation, as guarantor, the other guarantors party thereto and The Bank of New York Mellon Trust Company, N.A., as trustee and collateral agent</w:t>
      </w:r>
    </w:p>
    <w:p>
      <w:pPr>
        <w:ind w:right="1100"/>
        <w:spacing w:after="0" w:line="234" w:lineRule="auto"/>
        <w:rPr>
          <w:sz w:val="20"/>
          <w:szCs w:val="20"/>
          <w:color w:val="auto"/>
        </w:rPr>
      </w:pPr>
      <w:r>
        <w:rPr>
          <w:rFonts w:ascii="Arial" w:cs="Arial" w:eastAsia="Arial" w:hAnsi="Arial"/>
          <w:sz w:val="18"/>
          <w:szCs w:val="18"/>
          <w:color w:val="auto"/>
        </w:rPr>
        <w:t>Form of 6.125% Senior Secured Notes due 2025 (included as Exhibit A to Exhibit 4.16)</w:t>
      </w:r>
    </w:p>
    <w:p>
      <w:pPr>
        <w:spacing w:after="0" w:line="1" w:lineRule="exact"/>
        <w:rPr>
          <w:sz w:val="20"/>
          <w:szCs w:val="20"/>
          <w:color w:val="auto"/>
        </w:rPr>
      </w:pPr>
    </w:p>
    <w:p>
      <w:pPr>
        <w:ind w:right="840"/>
        <w:spacing w:after="0" w:line="219" w:lineRule="auto"/>
        <w:rPr>
          <w:sz w:val="20"/>
          <w:szCs w:val="20"/>
          <w:color w:val="auto"/>
        </w:rPr>
      </w:pPr>
      <w:r>
        <w:rPr>
          <w:rFonts w:ascii="Arial" w:cs="Arial" w:eastAsia="Arial" w:hAnsi="Arial"/>
          <w:sz w:val="18"/>
          <w:szCs w:val="18"/>
          <w:color w:val="auto"/>
        </w:rPr>
        <w:t>Waiver to Credit Agreement, dated as of May 14, 2020, by and among Marriott Vacations Worldwide Corporation, Marriott Ownership Resorts, Inc., the Revolving Credit Lenders party thereto and JPMorgan Chase Bank, N.A., as administrative agent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tabs>
          <w:tab w:leader="none" w:pos="960" w:val="left"/>
          <w:tab w:leader="none" w:pos="18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10/1/2019</w:t>
      </w:r>
    </w:p>
    <w:p>
      <w:pPr>
        <w:spacing w:after="0" w:line="374" w:lineRule="exact"/>
        <w:rPr>
          <w:sz w:val="20"/>
          <w:szCs w:val="20"/>
          <w:color w:val="auto"/>
        </w:rPr>
      </w:pPr>
    </w:p>
    <w:p>
      <w:pPr>
        <w:spacing w:after="0"/>
        <w:tabs>
          <w:tab w:leader="none" w:pos="960" w:val="left"/>
          <w:tab w:leader="none" w:pos="18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10/1/2019</w:t>
      </w:r>
    </w:p>
    <w:p>
      <w:pPr>
        <w:spacing w:after="0" w:line="200" w:lineRule="exact"/>
        <w:rPr>
          <w:sz w:val="20"/>
          <w:szCs w:val="20"/>
          <w:color w:val="auto"/>
        </w:rPr>
      </w:pPr>
    </w:p>
    <w:p>
      <w:pPr>
        <w:spacing w:after="0" w:line="349" w:lineRule="exact"/>
        <w:rPr>
          <w:sz w:val="20"/>
          <w:szCs w:val="20"/>
          <w:color w:val="auto"/>
        </w:rPr>
      </w:pPr>
    </w:p>
    <w:p>
      <w:pPr>
        <w:spacing w:after="0"/>
        <w:tabs>
          <w:tab w:leader="none" w:pos="960" w:val="left"/>
          <w:tab w:leader="none" w:pos="18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5/15/2020</w:t>
      </w:r>
    </w:p>
    <w:p>
      <w:pPr>
        <w:spacing w:after="0" w:line="374" w:lineRule="exact"/>
        <w:rPr>
          <w:sz w:val="20"/>
          <w:szCs w:val="20"/>
          <w:color w:val="auto"/>
        </w:rPr>
      </w:pPr>
    </w:p>
    <w:p>
      <w:pPr>
        <w:spacing w:after="0"/>
        <w:tabs>
          <w:tab w:leader="none" w:pos="960" w:val="left"/>
          <w:tab w:leader="none" w:pos="18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5/15/2020</w:t>
      </w:r>
    </w:p>
    <w:p>
      <w:pPr>
        <w:spacing w:after="0" w:line="374" w:lineRule="exact"/>
        <w:rPr>
          <w:sz w:val="20"/>
          <w:szCs w:val="20"/>
          <w:color w:val="auto"/>
        </w:rPr>
      </w:pPr>
    </w:p>
    <w:p>
      <w:pPr>
        <w:spacing w:after="0"/>
        <w:tabs>
          <w:tab w:leader="none" w:pos="960" w:val="left"/>
          <w:tab w:leader="none" w:pos="18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5/15/2020</w:t>
      </w:r>
    </w:p>
    <w:p>
      <w:pPr>
        <w:spacing w:after="0" w:line="293" w:lineRule="exact"/>
        <w:rPr>
          <w:sz w:val="20"/>
          <w:szCs w:val="20"/>
          <w:color w:val="auto"/>
        </w:rPr>
      </w:pPr>
    </w:p>
    <w:p>
      <w:pPr>
        <w:sectPr>
          <w:pgSz w:w="11900" w:h="16838" w:orient="portrait"/>
          <w:cols w:equalWidth="0" w:num="3">
            <w:col w:w="440" w:space="440"/>
            <w:col w:w="6460" w:space="720"/>
            <w:col w:w="2860"/>
          </w:cols>
          <w:pgMar w:left="580" w:top="233" w:right="399" w:bottom="1440" w:gutter="0" w:footer="0" w:header="0"/>
          <w:type w:val="continuous"/>
        </w:sectPr>
      </w:pPr>
    </w:p>
    <w:p>
      <w:pPr>
        <w:ind w:left="120"/>
        <w:spacing w:after="0"/>
        <w:rPr>
          <w:rFonts w:ascii="Arial" w:cs="Arial" w:eastAsia="Arial" w:hAnsi="Arial"/>
          <w:sz w:val="16"/>
          <w:szCs w:val="16"/>
          <w:u w:val="single" w:color="auto"/>
          <w:color w:val="0000FF"/>
        </w:rPr>
      </w:pPr>
      <w:hyperlink w:anchor="page85">
        <w:r>
          <w:rPr>
            <w:rFonts w:ascii="Arial" w:cs="Arial" w:eastAsia="Arial" w:hAnsi="Arial"/>
            <w:sz w:val="16"/>
            <w:szCs w:val="16"/>
            <w:u w:val="single" w:color="auto"/>
            <w:color w:val="0000FF"/>
          </w:rPr>
          <w:t>22.1</w:t>
        </w:r>
      </w:hyperlink>
    </w:p>
    <w:p>
      <w:pPr>
        <w:spacing w:after="0" w:line="126" w:lineRule="exact"/>
        <w:rPr>
          <w:sz w:val="20"/>
          <w:szCs w:val="20"/>
          <w:color w:val="auto"/>
        </w:rPr>
      </w:pPr>
    </w:p>
    <w:p>
      <w:pPr>
        <w:ind w:left="120"/>
        <w:spacing w:after="0"/>
        <w:rPr>
          <w:rFonts w:ascii="Arial" w:cs="Arial" w:eastAsia="Arial" w:hAnsi="Arial"/>
          <w:sz w:val="16"/>
          <w:szCs w:val="16"/>
          <w:u w:val="single" w:color="auto"/>
          <w:color w:val="0000FF"/>
        </w:rPr>
      </w:pPr>
      <w:hyperlink w:anchor="page89">
        <w:r>
          <w:rPr>
            <w:rFonts w:ascii="Arial" w:cs="Arial" w:eastAsia="Arial" w:hAnsi="Arial"/>
            <w:sz w:val="16"/>
            <w:szCs w:val="16"/>
            <w:u w:val="single" w:color="auto"/>
            <w:color w:val="0000FF"/>
          </w:rPr>
          <w:t>31.1</w:t>
        </w:r>
      </w:hyperlink>
    </w:p>
    <w:p>
      <w:pPr>
        <w:spacing w:after="0" w:line="221" w:lineRule="exact"/>
        <w:rPr>
          <w:sz w:val="20"/>
          <w:szCs w:val="20"/>
          <w:color w:val="auto"/>
        </w:rPr>
      </w:pPr>
    </w:p>
    <w:p>
      <w:pPr>
        <w:ind w:left="120"/>
        <w:spacing w:after="0"/>
        <w:rPr>
          <w:rFonts w:ascii="Arial" w:cs="Arial" w:eastAsia="Arial" w:hAnsi="Arial"/>
          <w:sz w:val="16"/>
          <w:szCs w:val="16"/>
          <w:u w:val="single" w:color="auto"/>
          <w:color w:val="0000FF"/>
        </w:rPr>
      </w:pPr>
      <w:hyperlink w:anchor="page90">
        <w:r>
          <w:rPr>
            <w:rFonts w:ascii="Arial" w:cs="Arial" w:eastAsia="Arial" w:hAnsi="Arial"/>
            <w:sz w:val="16"/>
            <w:szCs w:val="16"/>
            <w:u w:val="single" w:color="auto"/>
            <w:color w:val="0000FF"/>
          </w:rPr>
          <w:t>31.2</w:t>
        </w:r>
      </w:hyperlink>
    </w:p>
    <w:p>
      <w:pPr>
        <w:spacing w:after="0" w:line="221" w:lineRule="exact"/>
        <w:rPr>
          <w:sz w:val="20"/>
          <w:szCs w:val="20"/>
          <w:color w:val="auto"/>
        </w:rPr>
      </w:pPr>
    </w:p>
    <w:p>
      <w:pPr>
        <w:ind w:left="120"/>
        <w:spacing w:after="0"/>
        <w:rPr>
          <w:rFonts w:ascii="Arial" w:cs="Arial" w:eastAsia="Arial" w:hAnsi="Arial"/>
          <w:sz w:val="16"/>
          <w:szCs w:val="16"/>
          <w:u w:val="single" w:color="auto"/>
          <w:color w:val="0000FF"/>
        </w:rPr>
      </w:pPr>
      <w:hyperlink w:anchor="page91">
        <w:r>
          <w:rPr>
            <w:rFonts w:ascii="Arial" w:cs="Arial" w:eastAsia="Arial" w:hAnsi="Arial"/>
            <w:sz w:val="16"/>
            <w:szCs w:val="16"/>
            <w:u w:val="single" w:color="auto"/>
            <w:color w:val="0000FF"/>
          </w:rPr>
          <w:t>32.1</w:t>
        </w:r>
      </w:hyperlink>
    </w:p>
    <w:p>
      <w:pPr>
        <w:spacing w:after="0" w:line="221" w:lineRule="exact"/>
        <w:rPr>
          <w:sz w:val="20"/>
          <w:szCs w:val="20"/>
          <w:color w:val="auto"/>
        </w:rPr>
      </w:pPr>
    </w:p>
    <w:p>
      <w:pPr>
        <w:ind w:left="120"/>
        <w:spacing w:after="0"/>
        <w:rPr>
          <w:rFonts w:ascii="Arial" w:cs="Arial" w:eastAsia="Arial" w:hAnsi="Arial"/>
          <w:sz w:val="16"/>
          <w:szCs w:val="16"/>
          <w:u w:val="single" w:color="auto"/>
          <w:color w:val="0000FF"/>
        </w:rPr>
      </w:pPr>
      <w:hyperlink w:anchor="page92">
        <w:r>
          <w:rPr>
            <w:rFonts w:ascii="Arial" w:cs="Arial" w:eastAsia="Arial" w:hAnsi="Arial"/>
            <w:sz w:val="16"/>
            <w:szCs w:val="16"/>
            <w:u w:val="single" w:color="auto"/>
            <w:color w:val="0000FF"/>
          </w:rPr>
          <w:t>32.2</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List of the Issuer and its Guarantor Subsidiaries</w:t>
      </w:r>
    </w:p>
    <w:p>
      <w:pPr>
        <w:spacing w:after="0" w:line="23"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p>
      <w:pPr>
        <w:spacing w:after="0" w:line="1"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p>
      <w:pPr>
        <w:spacing w:after="0" w:line="1"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p>
      <w:pPr>
        <w:spacing w:after="0" w:line="1" w:lineRule="exact"/>
        <w:rPr>
          <w:sz w:val="20"/>
          <w:szCs w:val="20"/>
          <w:color w:val="auto"/>
        </w:rPr>
      </w:pPr>
    </w:p>
    <w:p>
      <w:pPr>
        <w:ind w:right="380"/>
        <w:spacing w:after="0" w:line="234" w:lineRule="auto"/>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X</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Furnished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Furnished</w:t>
      </w:r>
    </w:p>
    <w:p>
      <w:pPr>
        <w:spacing w:after="0" w:line="140" w:lineRule="exact"/>
        <w:rPr>
          <w:sz w:val="20"/>
          <w:szCs w:val="20"/>
          <w:color w:val="auto"/>
        </w:rPr>
      </w:pPr>
    </w:p>
    <w:p>
      <w:pPr>
        <w:sectPr>
          <w:pgSz w:w="11900" w:h="16838" w:orient="portrait"/>
          <w:cols w:equalWidth="0" w:num="4">
            <w:col w:w="440" w:space="440"/>
            <w:col w:w="5500" w:space="720"/>
            <w:col w:w="620" w:space="720"/>
            <w:col w:w="2480"/>
          </w:cols>
          <w:pgMar w:left="580" w:top="233" w:right="399" w:bottom="1440" w:gutter="0" w:footer="0" w:header="0"/>
          <w:type w:val="continuous"/>
        </w:sectPr>
      </w:pPr>
    </w:p>
    <w:p>
      <w:pPr>
        <w:ind w:left="880"/>
        <w:spacing w:after="0" w:line="235" w:lineRule="auto"/>
        <w:rPr>
          <w:sz w:val="20"/>
          <w:szCs w:val="20"/>
          <w:color w:val="auto"/>
        </w:rPr>
      </w:pPr>
      <w:r>
        <w:rPr>
          <w:rFonts w:ascii="Arial" w:cs="Arial" w:eastAsia="Arial" w:hAnsi="Arial"/>
          <w:sz w:val="17"/>
          <w:szCs w:val="17"/>
          <w:color w:val="auto"/>
        </w:rPr>
        <w:t>The following financial statements from the Company’s Quarterly Report on Form 10-Q for the quarter ended September 30, 2020,</w:t>
      </w:r>
    </w:p>
    <w:p>
      <w:pPr>
        <w:spacing w:after="0" w:line="1" w:lineRule="exact"/>
        <w:rPr>
          <w:sz w:val="20"/>
          <w:szCs w:val="20"/>
          <w:color w:val="auto"/>
        </w:rPr>
      </w:pPr>
    </w:p>
    <w:p>
      <w:pPr>
        <w:ind w:left="880" w:right="640" w:hanging="734"/>
        <w:spacing w:after="0" w:line="184" w:lineRule="auto"/>
        <w:tabs>
          <w:tab w:leader="none" w:pos="880" w:val="left"/>
        </w:tabs>
        <w:numPr>
          <w:ilvl w:val="0"/>
          <w:numId w:val="39"/>
        </w:numPr>
        <w:rPr>
          <w:rFonts w:ascii="Arial" w:cs="Arial" w:eastAsia="Arial" w:hAnsi="Arial"/>
          <w:sz w:val="32"/>
          <w:szCs w:val="32"/>
          <w:color w:val="auto"/>
          <w:vertAlign w:val="subscript"/>
        </w:rPr>
      </w:pPr>
      <w:r>
        <w:rPr>
          <w:rFonts w:ascii="Arial" w:cs="Arial" w:eastAsia="Arial" w:hAnsi="Arial"/>
          <w:sz w:val="16"/>
          <w:szCs w:val="16"/>
          <w:color w:val="auto"/>
        </w:rPr>
        <w:t>formatted in Inline XBRL: (i) Interim Consolidated Statements of Income, (ii) Interim Consolidated Statements of Comprehensive Income, (iii) Interim Consolidated Balance Sheets, (iv) Interim Consolidated Statements of Cash Flows, (v) Interim Consolidated Statements of Shareholders’ Equity, and (vi) Notes to Interim Consolidated Financial Statements</w:t>
      </w:r>
    </w:p>
    <w:p>
      <w:pPr>
        <w:spacing w:after="0" w:line="1" w:lineRule="exact"/>
        <w:rPr>
          <w:sz w:val="20"/>
          <w:szCs w:val="20"/>
          <w:color w:val="auto"/>
        </w:rPr>
      </w:pPr>
    </w:p>
    <w:p>
      <w:pPr>
        <w:ind w:left="880" w:right="60" w:hanging="734"/>
        <w:spacing w:after="0" w:line="183" w:lineRule="auto"/>
        <w:tabs>
          <w:tab w:leader="none" w:pos="880" w:val="left"/>
        </w:tabs>
        <w:numPr>
          <w:ilvl w:val="0"/>
          <w:numId w:val="40"/>
        </w:numPr>
        <w:rPr>
          <w:rFonts w:ascii="Arial" w:cs="Arial" w:eastAsia="Arial" w:hAnsi="Arial"/>
          <w:sz w:val="30"/>
          <w:szCs w:val="30"/>
          <w:color w:val="auto"/>
          <w:vertAlign w:val="subscript"/>
        </w:rPr>
      </w:pPr>
      <w:r>
        <w:rPr>
          <w:rFonts w:ascii="Arial" w:cs="Arial" w:eastAsia="Arial" w:hAnsi="Arial"/>
          <w:sz w:val="16"/>
          <w:szCs w:val="16"/>
          <w:color w:val="auto"/>
        </w:rPr>
        <w:t>The cover page from the Company’s Quarterly Report on Form 10-Q for the quarter ended September 30, 2020, formatted in Inline XBRL and contained in Exhibit 101</w:t>
      </w:r>
    </w:p>
    <w:p>
      <w:pPr>
        <w:spacing w:after="0" w:line="217" w:lineRule="exact"/>
        <w:rPr>
          <w:sz w:val="20"/>
          <w:szCs w:val="20"/>
          <w:color w:val="auto"/>
        </w:rPr>
      </w:pPr>
    </w:p>
    <w:p>
      <w:pPr>
        <w:ind w:left="840" w:right="340" w:hanging="624"/>
        <w:spacing w:after="0" w:line="180" w:lineRule="auto"/>
        <w:tabs>
          <w:tab w:leader="none" w:pos="840" w:val="left"/>
        </w:tabs>
        <w:numPr>
          <w:ilvl w:val="0"/>
          <w:numId w:val="41"/>
        </w:numPr>
        <w:rPr>
          <w:rFonts w:ascii="Arial" w:cs="Arial" w:eastAsia="Arial" w:hAnsi="Arial"/>
          <w:sz w:val="31"/>
          <w:szCs w:val="31"/>
          <w:color w:val="auto"/>
          <w:vertAlign w:val="subscript"/>
        </w:rPr>
      </w:pPr>
      <w:r>
        <w:rPr>
          <w:rFonts w:ascii="Arial" w:cs="Arial" w:eastAsia="Arial" w:hAnsi="Arial"/>
          <w:sz w:val="16"/>
          <w:szCs w:val="16"/>
          <w:color w:val="auto"/>
        </w:rPr>
        <w:t>Schedules have been omitted pursuant to Item 601(b)(2) of Regulation S-K. The Company agrees to furnish supplemental copies to the SEC of any omitted schedule upon request by the SEC.</w:t>
      </w:r>
    </w:p>
    <w:p>
      <w:pPr>
        <w:spacing w:after="0" w:line="28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306070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580" w:top="233" w:right="399" w:bottom="1440" w:gutter="0" w:footer="0" w:header="0"/>
          <w:type w:val="continuous"/>
        </w:sectPr>
      </w:pPr>
    </w:p>
    <w:bookmarkStart w:id="83" w:name="page84"/>
    <w:bookmarkEnd w:id="83"/>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8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MARRIOTT VACATIONS WORLDWIDE CORPORATION</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Date: November 5, 2020</w:t>
            </w:r>
          </w:p>
        </w:tc>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P. Weisz</w:t>
            </w:r>
          </w:p>
        </w:tc>
      </w:tr>
      <w:tr>
        <w:trPr>
          <w:trHeight w:val="222"/>
        </w:trPr>
        <w:tc>
          <w:tcPr>
            <w:tcW w:w="4360" w:type="dxa"/>
            <w:vAlign w:val="bottom"/>
          </w:tcPr>
          <w:p>
            <w:pPr>
              <w:spacing w:after="0"/>
              <w:rPr>
                <w:sz w:val="19"/>
                <w:szCs w:val="19"/>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Stephen P. Weisz</w:t>
            </w:r>
          </w:p>
        </w:tc>
      </w:tr>
      <w:tr>
        <w:trPr>
          <w:trHeight w:val="230"/>
        </w:trPr>
        <w:tc>
          <w:tcPr>
            <w:tcW w:w="4360" w:type="dxa"/>
            <w:vAlign w:val="bottom"/>
          </w:tcPr>
          <w:p>
            <w:pPr>
              <w:spacing w:after="0"/>
              <w:rPr>
                <w:sz w:val="20"/>
                <w:szCs w:val="20"/>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499"/>
        </w:trPr>
        <w:tc>
          <w:tcPr>
            <w:tcW w:w="4360" w:type="dxa"/>
            <w:vAlign w:val="bottom"/>
          </w:tcPr>
          <w:p>
            <w:pPr>
              <w:spacing w:after="0"/>
              <w:rPr>
                <w:sz w:val="24"/>
                <w:szCs w:val="24"/>
                <w:color w:val="auto"/>
              </w:rPr>
            </w:pPr>
          </w:p>
        </w:tc>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E. Geller, Jr.</w:t>
            </w:r>
          </w:p>
        </w:tc>
      </w:tr>
      <w:tr>
        <w:trPr>
          <w:trHeight w:val="222"/>
        </w:trPr>
        <w:tc>
          <w:tcPr>
            <w:tcW w:w="4360" w:type="dxa"/>
            <w:vAlign w:val="bottom"/>
          </w:tcPr>
          <w:p>
            <w:pPr>
              <w:spacing w:after="0"/>
              <w:rPr>
                <w:sz w:val="19"/>
                <w:szCs w:val="19"/>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John E. Geller, Jr.</w:t>
            </w:r>
          </w:p>
        </w:tc>
      </w:tr>
      <w:tr>
        <w:trPr>
          <w:trHeight w:val="230"/>
        </w:trPr>
        <w:tc>
          <w:tcPr>
            <w:tcW w:w="4360" w:type="dxa"/>
            <w:vAlign w:val="bottom"/>
          </w:tcPr>
          <w:p>
            <w:pPr>
              <w:spacing w:after="0"/>
              <w:rPr>
                <w:sz w:val="20"/>
                <w:szCs w:val="20"/>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and Administrative Officer</w:t>
            </w:r>
          </w:p>
        </w:tc>
      </w:tr>
      <w:tr>
        <w:trPr>
          <w:trHeight w:val="499"/>
        </w:trPr>
        <w:tc>
          <w:tcPr>
            <w:tcW w:w="4360" w:type="dxa"/>
            <w:vAlign w:val="bottom"/>
          </w:tcPr>
          <w:p>
            <w:pPr>
              <w:spacing w:after="0"/>
              <w:rPr>
                <w:sz w:val="24"/>
                <w:szCs w:val="24"/>
                <w:color w:val="auto"/>
              </w:rPr>
            </w:pPr>
          </w:p>
        </w:tc>
        <w:tc>
          <w:tcPr>
            <w:tcW w:w="6860" w:type="dxa"/>
            <w:vAlign w:val="bottom"/>
          </w:tcPr>
          <w:p>
            <w:pPr>
              <w:ind w:left="1480"/>
              <w:spacing w:after="0"/>
              <w:rPr>
                <w:sz w:val="20"/>
                <w:szCs w:val="20"/>
                <w:color w:val="auto"/>
              </w:rPr>
            </w:pPr>
            <w:r>
              <w:rPr>
                <w:rFonts w:ascii="Arial" w:cs="Arial" w:eastAsia="Arial" w:hAnsi="Arial"/>
                <w:sz w:val="18"/>
                <w:szCs w:val="18"/>
                <w:color w:val="auto"/>
              </w:rPr>
              <w:t>81</w:t>
            </w:r>
          </w:p>
        </w:tc>
      </w:tr>
    </w:tbl>
    <w:p>
      <w:pPr>
        <w:sectPr>
          <w:pgSz w:w="11900" w:h="16838" w:orient="portrait"/>
          <w:cols w:equalWidth="0" w:num="1">
            <w:col w:w="11240"/>
          </w:cols>
          <w:pgMar w:left="320" w:top="1107"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22.1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the Issuer and its Guarantor Subsidiaries</w:t>
      </w:r>
    </w:p>
    <w:p>
      <w:pPr>
        <w:spacing w:after="0" w:line="12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September 30, 2020, the following subsidiaries of Marriott Vacations Worldwide Corporation guarantee the $750 million aggregate principal amount of 6.500% Senior Unsecured Notes due 2026 issued in the third quarter of 2018 with a maturity date of September 15, 2026 (the "2026 Notes") and the $350 million aggregate principal amount of 4.750% Senior Unsecured Notes due 2028 issued in the fourth quarter of 2019 with a maturity date of January 15, 2028 (the "2028 Notes"):</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18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0"/>
              </w:rPr>
              <w:t>Jurisdiction of</w:t>
            </w:r>
          </w:p>
        </w:tc>
        <w:tc>
          <w:tcPr>
            <w:tcW w:w="1860" w:type="dxa"/>
            <w:vAlign w:val="bottom"/>
            <w:tcBorders>
              <w:top w:val="single" w:sz="8" w:color="auto"/>
              <w:right w:val="single" w:sz="8" w:color="auto"/>
            </w:tcBorders>
          </w:tcPr>
          <w:p>
            <w:pPr>
              <w:spacing w:after="0"/>
              <w:rPr>
                <w:sz w:val="16"/>
                <w:szCs w:val="16"/>
                <w:color w:val="auto"/>
              </w:rPr>
            </w:pPr>
          </w:p>
        </w:tc>
        <w:tc>
          <w:tcPr>
            <w:tcW w:w="18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180" w:type="dxa"/>
            <w:vAlign w:val="bottom"/>
            <w:tcBorders>
              <w:left w:val="single" w:sz="8" w:color="auto"/>
              <w:right w:val="single" w:sz="8" w:color="auto"/>
            </w:tcBorders>
            <w:vMerge w:val="restart"/>
          </w:tcPr>
          <w:p>
            <w:pPr>
              <w:ind w:left="2340"/>
              <w:spacing w:after="0"/>
              <w:rPr>
                <w:sz w:val="20"/>
                <w:szCs w:val="20"/>
                <w:color w:val="auto"/>
              </w:rPr>
            </w:pPr>
            <w:r>
              <w:rPr>
                <w:rFonts w:ascii="Arial" w:cs="Arial" w:eastAsia="Arial" w:hAnsi="Arial"/>
                <w:sz w:val="18"/>
                <w:szCs w:val="18"/>
                <w:b w:val="1"/>
                <w:bCs w:val="1"/>
                <w:color w:val="auto"/>
              </w:rPr>
              <w:t>Entity</w:t>
            </w:r>
          </w:p>
        </w:tc>
        <w:tc>
          <w:tcPr>
            <w:tcW w:w="21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2"/>
              </w:rPr>
              <w:t>Incorporation or</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2026 Notes</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2028 Notes</w:t>
            </w:r>
          </w:p>
        </w:tc>
        <w:tc>
          <w:tcPr>
            <w:tcW w:w="0" w:type="dxa"/>
            <w:vAlign w:val="bottom"/>
          </w:tcPr>
          <w:p>
            <w:pPr>
              <w:spacing w:after="0"/>
              <w:rPr>
                <w:sz w:val="1"/>
                <w:szCs w:val="1"/>
                <w:color w:val="auto"/>
              </w:rPr>
            </w:pPr>
          </w:p>
        </w:tc>
      </w:tr>
      <w:tr>
        <w:trPr>
          <w:trHeight w:val="230"/>
        </w:trPr>
        <w:tc>
          <w:tcPr>
            <w:tcW w:w="51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Organization</w:t>
            </w:r>
          </w:p>
        </w:tc>
        <w:tc>
          <w:tcPr>
            <w:tcW w:w="1860" w:type="dxa"/>
            <w:vAlign w:val="bottom"/>
            <w:tcBorders>
              <w:bottom w:val="single" w:sz="8" w:color="auto"/>
              <w:right w:val="single" w:sz="8" w:color="auto"/>
            </w:tcBorders>
            <w:vMerge w:val="continue"/>
          </w:tcPr>
          <w:p>
            <w:pPr>
              <w:spacing w:after="0"/>
              <w:rPr>
                <w:sz w:val="19"/>
                <w:szCs w:val="19"/>
                <w:color w:val="auto"/>
              </w:rPr>
            </w:pPr>
          </w:p>
        </w:tc>
        <w:tc>
          <w:tcPr>
            <w:tcW w:w="18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Marriott Ownership Resorts,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Issuer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Issuer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ILG,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Issuer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Marriott Vacations Worldwide Corporation</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Aqua Hospitality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Aqua Hotels and Resorts Operator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Aqua Hotels and Resorts,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Aqua Hotels &amp; Resorts,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Aqua Luana Operator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Aqua-Aston Holdings,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Aqua-Aston Hospitality,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Aston Hotels &amp; Resorts Florida,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Beach House Development Partnership</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CDP GP,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CDP Investors, L.P.</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Cerromar Development Partners GP,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Cerromar Development Partners, L.P., S.E.</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Coconut Plantation Partner,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Data Marketing Associates East,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Diamond Head Management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Flex Collection,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FOH Holdings,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FOH Hospitality,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Grand Aspen Holdings,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Grand Aspen Lodging,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Hawaii Vacation Title Services,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Hotel Management Services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HPC Developer,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HT-Highlands,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HTS-BC,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HTS-Beach House Partner,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HTS-Beach House,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HTS-Coconut Point,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HTS-Ground Lake Tahoe,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HTS-Key West,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HTS-KW,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HTS-Lake Tahoe,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HTS-Loan Servicing,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HTS-Main Street Station,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871"/>
        </w:trPr>
        <w:tc>
          <w:tcPr>
            <w:tcW w:w="5180" w:type="dxa"/>
            <w:vAlign w:val="bottom"/>
          </w:tcPr>
          <w:p>
            <w:pPr>
              <w:spacing w:after="0"/>
              <w:rPr>
                <w:sz w:val="24"/>
                <w:szCs w:val="24"/>
                <w:color w:val="auto"/>
              </w:rPr>
            </w:pPr>
          </w:p>
        </w:tc>
        <w:tc>
          <w:tcPr>
            <w:tcW w:w="2120" w:type="dxa"/>
            <w:vAlign w:val="bottom"/>
          </w:tcPr>
          <w:p>
            <w:pPr>
              <w:jc w:val="right"/>
              <w:ind w:right="1550"/>
              <w:spacing w:after="0"/>
              <w:rPr>
                <w:sz w:val="20"/>
                <w:szCs w:val="20"/>
                <w:color w:val="auto"/>
              </w:rPr>
            </w:pPr>
            <w:r>
              <w:rPr>
                <w:rFonts w:ascii="Arial" w:cs="Arial" w:eastAsia="Arial" w:hAnsi="Arial"/>
                <w:sz w:val="18"/>
                <w:szCs w:val="18"/>
                <w:color w:val="auto"/>
              </w:rPr>
              <w:t>1</w:t>
            </w: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85" w:name="page86"/>
    <w:bookmarkEnd w:id="8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18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0"/>
              </w:rPr>
              <w:t>Jurisdiction of</w:t>
            </w:r>
          </w:p>
        </w:tc>
        <w:tc>
          <w:tcPr>
            <w:tcW w:w="1860" w:type="dxa"/>
            <w:vAlign w:val="bottom"/>
            <w:tcBorders>
              <w:top w:val="single" w:sz="8" w:color="auto"/>
              <w:right w:val="single" w:sz="8" w:color="auto"/>
            </w:tcBorders>
          </w:tcPr>
          <w:p>
            <w:pPr>
              <w:spacing w:after="0"/>
              <w:rPr>
                <w:sz w:val="16"/>
                <w:szCs w:val="16"/>
                <w:color w:val="auto"/>
              </w:rPr>
            </w:pPr>
          </w:p>
        </w:tc>
        <w:tc>
          <w:tcPr>
            <w:tcW w:w="18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180" w:type="dxa"/>
            <w:vAlign w:val="bottom"/>
            <w:tcBorders>
              <w:left w:val="single" w:sz="8" w:color="auto"/>
              <w:right w:val="single" w:sz="8" w:color="auto"/>
            </w:tcBorders>
            <w:vMerge w:val="restart"/>
          </w:tcPr>
          <w:p>
            <w:pPr>
              <w:ind w:left="2340"/>
              <w:spacing w:after="0"/>
              <w:rPr>
                <w:sz w:val="20"/>
                <w:szCs w:val="20"/>
                <w:color w:val="auto"/>
              </w:rPr>
            </w:pPr>
            <w:r>
              <w:rPr>
                <w:rFonts w:ascii="Arial" w:cs="Arial" w:eastAsia="Arial" w:hAnsi="Arial"/>
                <w:sz w:val="18"/>
                <w:szCs w:val="18"/>
                <w:b w:val="1"/>
                <w:bCs w:val="1"/>
                <w:color w:val="auto"/>
              </w:rPr>
              <w:t>Entity</w:t>
            </w:r>
          </w:p>
        </w:tc>
        <w:tc>
          <w:tcPr>
            <w:tcW w:w="21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2"/>
              </w:rPr>
              <w:t>Incorporation or</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2026 Notes</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2028 Notes</w:t>
            </w:r>
          </w:p>
        </w:tc>
        <w:tc>
          <w:tcPr>
            <w:tcW w:w="0" w:type="dxa"/>
            <w:vAlign w:val="bottom"/>
          </w:tcPr>
          <w:p>
            <w:pPr>
              <w:spacing w:after="0"/>
              <w:rPr>
                <w:sz w:val="1"/>
                <w:szCs w:val="1"/>
                <w:color w:val="auto"/>
              </w:rPr>
            </w:pPr>
          </w:p>
        </w:tc>
      </w:tr>
      <w:tr>
        <w:trPr>
          <w:trHeight w:val="230"/>
        </w:trPr>
        <w:tc>
          <w:tcPr>
            <w:tcW w:w="51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Organization</w:t>
            </w:r>
          </w:p>
        </w:tc>
        <w:tc>
          <w:tcPr>
            <w:tcW w:w="1860" w:type="dxa"/>
            <w:vAlign w:val="bottom"/>
            <w:tcBorders>
              <w:bottom w:val="single" w:sz="8" w:color="auto"/>
              <w:right w:val="single" w:sz="8" w:color="auto"/>
            </w:tcBorders>
            <w:vMerge w:val="continue"/>
          </w:tcPr>
          <w:p>
            <w:pPr>
              <w:spacing w:after="0"/>
              <w:rPr>
                <w:sz w:val="19"/>
                <w:szCs w:val="19"/>
                <w:color w:val="auto"/>
              </w:rPr>
            </w:pPr>
          </w:p>
        </w:tc>
        <w:tc>
          <w:tcPr>
            <w:tcW w:w="18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HTS-Maui,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HTS-San Antonio,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HTS-San Antonio,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HTS-San Antonio, L.P.</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HTS-Sedona,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HTS-Sunset Harbor Partner,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HTS-Windward Pointe Partner,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HV Global Group,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HV Global Management Corporation</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HV Global Marketing Corporation</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HVO Key West Holdings,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IIC Holdings, Incorporated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ILG Management,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ILG Shared Ownership,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Interval Holdings,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Interval International,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Interval Resort &amp; Financial Services,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Interval Software Services,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Kai Management Services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Kauai Blue,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Kauai Lagoons Holdings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Key Wester Limited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Lagunamar Cancun Mexico,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Management Acquisition Holdings,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Marriott Kauai Ownership Resorts,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Marriott Ownership Resorts Procurement,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Marriott Resorts Hospitality Corporation</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South Carolina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Marriott Resorts Sales Company,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Maui Condo and Home,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MH Kapalua Venture,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MORI Golf (Kauai),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MORI Member (Kauai),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MORI Residences,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MORI Waikoloa Holding Company,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MTSC,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MVW of Hawaii,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MVW Services Corporation</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MVW SSC,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MVW US Holdings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MVW US Services,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MVW Vacations,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Pelican Landing Timeshare Ventures Limited Partnership</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R.C. Chronicle Building, L.P.</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RBF,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871"/>
        </w:trPr>
        <w:tc>
          <w:tcPr>
            <w:tcW w:w="5180" w:type="dxa"/>
            <w:vAlign w:val="bottom"/>
          </w:tcPr>
          <w:p>
            <w:pPr>
              <w:spacing w:after="0"/>
              <w:rPr>
                <w:sz w:val="24"/>
                <w:szCs w:val="24"/>
                <w:color w:val="auto"/>
              </w:rPr>
            </w:pPr>
          </w:p>
        </w:tc>
        <w:tc>
          <w:tcPr>
            <w:tcW w:w="2120" w:type="dxa"/>
            <w:vAlign w:val="bottom"/>
          </w:tcPr>
          <w:p>
            <w:pPr>
              <w:jc w:val="right"/>
              <w:ind w:right="1550"/>
              <w:spacing w:after="0"/>
              <w:rPr>
                <w:sz w:val="20"/>
                <w:szCs w:val="20"/>
                <w:color w:val="auto"/>
              </w:rPr>
            </w:pPr>
            <w:r>
              <w:rPr>
                <w:rFonts w:ascii="Arial" w:cs="Arial" w:eastAsia="Arial" w:hAnsi="Arial"/>
                <w:sz w:val="18"/>
                <w:szCs w:val="18"/>
                <w:color w:val="auto"/>
              </w:rPr>
              <w:t>2</w:t>
            </w: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1024" w:right="559" w:bottom="1440" w:gutter="0" w:footer="0" w:header="0"/>
        </w:sectPr>
      </w:pPr>
    </w:p>
    <w:bookmarkStart w:id="86" w:name="page87"/>
    <w:bookmarkEnd w:id="8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18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0"/>
              </w:rPr>
              <w:t>Jurisdiction of</w:t>
            </w:r>
          </w:p>
        </w:tc>
        <w:tc>
          <w:tcPr>
            <w:tcW w:w="1860" w:type="dxa"/>
            <w:vAlign w:val="bottom"/>
            <w:tcBorders>
              <w:top w:val="single" w:sz="8" w:color="auto"/>
              <w:right w:val="single" w:sz="8" w:color="auto"/>
            </w:tcBorders>
          </w:tcPr>
          <w:p>
            <w:pPr>
              <w:spacing w:after="0"/>
              <w:rPr>
                <w:sz w:val="16"/>
                <w:szCs w:val="16"/>
                <w:color w:val="auto"/>
              </w:rPr>
            </w:pPr>
          </w:p>
        </w:tc>
        <w:tc>
          <w:tcPr>
            <w:tcW w:w="18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180" w:type="dxa"/>
            <w:vAlign w:val="bottom"/>
            <w:tcBorders>
              <w:left w:val="single" w:sz="8" w:color="auto"/>
              <w:right w:val="single" w:sz="8" w:color="auto"/>
            </w:tcBorders>
            <w:vMerge w:val="restart"/>
          </w:tcPr>
          <w:p>
            <w:pPr>
              <w:ind w:left="2340"/>
              <w:spacing w:after="0"/>
              <w:rPr>
                <w:sz w:val="20"/>
                <w:szCs w:val="20"/>
                <w:color w:val="auto"/>
              </w:rPr>
            </w:pPr>
            <w:r>
              <w:rPr>
                <w:rFonts w:ascii="Arial" w:cs="Arial" w:eastAsia="Arial" w:hAnsi="Arial"/>
                <w:sz w:val="18"/>
                <w:szCs w:val="18"/>
                <w:b w:val="1"/>
                <w:bCs w:val="1"/>
                <w:color w:val="auto"/>
              </w:rPr>
              <w:t>Entity</w:t>
            </w:r>
          </w:p>
        </w:tc>
        <w:tc>
          <w:tcPr>
            <w:tcW w:w="21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2"/>
              </w:rPr>
              <w:t>Incorporation or</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2026 Notes</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2028 Notes</w:t>
            </w:r>
          </w:p>
        </w:tc>
        <w:tc>
          <w:tcPr>
            <w:tcW w:w="0" w:type="dxa"/>
            <w:vAlign w:val="bottom"/>
          </w:tcPr>
          <w:p>
            <w:pPr>
              <w:spacing w:after="0"/>
              <w:rPr>
                <w:sz w:val="1"/>
                <w:szCs w:val="1"/>
                <w:color w:val="auto"/>
              </w:rPr>
            </w:pPr>
          </w:p>
        </w:tc>
      </w:tr>
      <w:tr>
        <w:trPr>
          <w:trHeight w:val="230"/>
        </w:trPr>
        <w:tc>
          <w:tcPr>
            <w:tcW w:w="51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Organization</w:t>
            </w:r>
          </w:p>
        </w:tc>
        <w:tc>
          <w:tcPr>
            <w:tcW w:w="1860" w:type="dxa"/>
            <w:vAlign w:val="bottom"/>
            <w:tcBorders>
              <w:bottom w:val="single" w:sz="8" w:color="auto"/>
              <w:right w:val="single" w:sz="8" w:color="auto"/>
            </w:tcBorders>
            <w:vMerge w:val="continue"/>
          </w:tcPr>
          <w:p>
            <w:pPr>
              <w:spacing w:after="0"/>
              <w:rPr>
                <w:sz w:val="19"/>
                <w:szCs w:val="19"/>
                <w:color w:val="auto"/>
              </w:rPr>
            </w:pPr>
          </w:p>
        </w:tc>
        <w:tc>
          <w:tcPr>
            <w:tcW w:w="18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RCC (GP) Holdings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RCC (LP) Holdings L.P.</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RCDC 942,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RCDC Chronicle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REP Holdings, Ltd.</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Resort Management Finance Services,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Resort Sales Services,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RQI Holdings,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S.O.I. Acquisition Corp.</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Scottsdale Residence Club,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Sheraton Flex Vacations,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 Regis New York Management,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 Regis Residence Club, New York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 Cobalt Travel Company,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 Lion &amp; Crown Travel Co.,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 Ritz-Carlton Development Company,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 Ritz-Carlton Management Company,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 Ritz-Carlton Sales Company,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 Ritz-Carlton Title Company,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Vacation Ownership Lending GP,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Vacation Ownership Lending, L.P.</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Vacation Title Services,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VCH Communications,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VCH Consulting,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VCH Systems,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Vistana Acceptance Corp.</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Vistana Aventuras,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Vistana Development,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Vistana Hawaii Management,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Vistana Management,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Vistana MB Management,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South Carolina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Vistana Portfolio Services,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Vistana PSL,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Vistana Residential Management,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Vistana Signature Experiences,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Vistana Signature Network,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Vistana Vacation Ownership,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Vistana Vacation Realty,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Vistana Vacation Services Hawaii,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Hawaii</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VOL GP,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VOL Investors, L.P.</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Volt Merger Sub,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VSE Development,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871"/>
        </w:trPr>
        <w:tc>
          <w:tcPr>
            <w:tcW w:w="5180" w:type="dxa"/>
            <w:vAlign w:val="bottom"/>
          </w:tcPr>
          <w:p>
            <w:pPr>
              <w:spacing w:after="0"/>
              <w:rPr>
                <w:sz w:val="24"/>
                <w:szCs w:val="24"/>
                <w:color w:val="auto"/>
              </w:rPr>
            </w:pPr>
          </w:p>
        </w:tc>
        <w:tc>
          <w:tcPr>
            <w:tcW w:w="2120" w:type="dxa"/>
            <w:vAlign w:val="bottom"/>
          </w:tcPr>
          <w:p>
            <w:pPr>
              <w:jc w:val="right"/>
              <w:ind w:right="1550"/>
              <w:spacing w:after="0"/>
              <w:rPr>
                <w:sz w:val="20"/>
                <w:szCs w:val="20"/>
                <w:color w:val="auto"/>
              </w:rPr>
            </w:pPr>
            <w:r>
              <w:rPr>
                <w:rFonts w:ascii="Arial" w:cs="Arial" w:eastAsia="Arial" w:hAnsi="Arial"/>
                <w:sz w:val="18"/>
                <w:szCs w:val="18"/>
                <w:color w:val="auto"/>
              </w:rPr>
              <w:t>3</w:t>
            </w: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1024" w:right="559" w:bottom="1440" w:gutter="0" w:footer="0" w:header="0"/>
        </w:sectPr>
      </w:pPr>
    </w:p>
    <w:bookmarkStart w:id="87" w:name="page88"/>
    <w:bookmarkEnd w:id="8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18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0"/>
              </w:rPr>
              <w:t>Jurisdiction of</w:t>
            </w:r>
          </w:p>
        </w:tc>
        <w:tc>
          <w:tcPr>
            <w:tcW w:w="1860" w:type="dxa"/>
            <w:vAlign w:val="bottom"/>
            <w:tcBorders>
              <w:top w:val="single" w:sz="8" w:color="auto"/>
              <w:right w:val="single" w:sz="8" w:color="auto"/>
            </w:tcBorders>
          </w:tcPr>
          <w:p>
            <w:pPr>
              <w:spacing w:after="0"/>
              <w:rPr>
                <w:sz w:val="16"/>
                <w:szCs w:val="16"/>
                <w:color w:val="auto"/>
              </w:rPr>
            </w:pPr>
          </w:p>
        </w:tc>
        <w:tc>
          <w:tcPr>
            <w:tcW w:w="18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180" w:type="dxa"/>
            <w:vAlign w:val="bottom"/>
            <w:tcBorders>
              <w:left w:val="single" w:sz="8" w:color="auto"/>
              <w:right w:val="single" w:sz="8" w:color="auto"/>
            </w:tcBorders>
            <w:vMerge w:val="restart"/>
          </w:tcPr>
          <w:p>
            <w:pPr>
              <w:ind w:left="2340"/>
              <w:spacing w:after="0"/>
              <w:rPr>
                <w:sz w:val="20"/>
                <w:szCs w:val="20"/>
                <w:color w:val="auto"/>
              </w:rPr>
            </w:pPr>
            <w:r>
              <w:rPr>
                <w:rFonts w:ascii="Arial" w:cs="Arial" w:eastAsia="Arial" w:hAnsi="Arial"/>
                <w:sz w:val="18"/>
                <w:szCs w:val="18"/>
                <w:b w:val="1"/>
                <w:bCs w:val="1"/>
                <w:color w:val="auto"/>
              </w:rPr>
              <w:t>Entity</w:t>
            </w:r>
          </w:p>
        </w:tc>
        <w:tc>
          <w:tcPr>
            <w:tcW w:w="21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2"/>
              </w:rPr>
              <w:t>Incorporation or</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2026 Notes</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2028 Notes</w:t>
            </w:r>
          </w:p>
        </w:tc>
        <w:tc>
          <w:tcPr>
            <w:tcW w:w="0" w:type="dxa"/>
            <w:vAlign w:val="bottom"/>
          </w:tcPr>
          <w:p>
            <w:pPr>
              <w:spacing w:after="0"/>
              <w:rPr>
                <w:sz w:val="1"/>
                <w:szCs w:val="1"/>
                <w:color w:val="auto"/>
              </w:rPr>
            </w:pPr>
          </w:p>
        </w:tc>
      </w:tr>
      <w:tr>
        <w:trPr>
          <w:trHeight w:val="230"/>
        </w:trPr>
        <w:tc>
          <w:tcPr>
            <w:tcW w:w="51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Organization</w:t>
            </w:r>
          </w:p>
        </w:tc>
        <w:tc>
          <w:tcPr>
            <w:tcW w:w="1860" w:type="dxa"/>
            <w:vAlign w:val="bottom"/>
            <w:tcBorders>
              <w:bottom w:val="single" w:sz="8" w:color="auto"/>
              <w:right w:val="single" w:sz="8" w:color="auto"/>
            </w:tcBorders>
            <w:vMerge w:val="continue"/>
          </w:tcPr>
          <w:p>
            <w:pPr>
              <w:spacing w:after="0"/>
              <w:rPr>
                <w:sz w:val="19"/>
                <w:szCs w:val="19"/>
                <w:color w:val="auto"/>
              </w:rPr>
            </w:pPr>
          </w:p>
        </w:tc>
        <w:tc>
          <w:tcPr>
            <w:tcW w:w="18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VSE East,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VSE Mexico Portfolio Services,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VSE Myrtle Beach,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South Carolina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VSE Pacific,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VSE Trademark,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VSE Vistana Villages,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VSE West,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Westin Sheraton Vacation Services,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Windward Pointe II, L.L.C.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Worldwide Vacation &amp; Travel,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Florida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223"/>
        </w:trPr>
        <w:tc>
          <w:tcPr>
            <w:tcW w:w="5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WVC Rancho Mirage, Inc.</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Guarantor</w:t>
            </w:r>
          </w:p>
        </w:tc>
        <w:tc>
          <w:tcPr>
            <w:tcW w:w="0" w:type="dxa"/>
            <w:vAlign w:val="bottom"/>
          </w:tcPr>
          <w:p>
            <w:pPr>
              <w:spacing w:after="0"/>
              <w:rPr>
                <w:sz w:val="1"/>
                <w:szCs w:val="1"/>
                <w:color w:val="auto"/>
              </w:rPr>
            </w:pPr>
          </w:p>
        </w:tc>
      </w:tr>
      <w:tr>
        <w:trPr>
          <w:trHeight w:val="871"/>
        </w:trPr>
        <w:tc>
          <w:tcPr>
            <w:tcW w:w="5180" w:type="dxa"/>
            <w:vAlign w:val="bottom"/>
          </w:tcPr>
          <w:p>
            <w:pPr>
              <w:spacing w:after="0"/>
              <w:rPr>
                <w:sz w:val="24"/>
                <w:szCs w:val="24"/>
                <w:color w:val="auto"/>
              </w:rPr>
            </w:pPr>
          </w:p>
        </w:tc>
        <w:tc>
          <w:tcPr>
            <w:tcW w:w="2120" w:type="dxa"/>
            <w:vAlign w:val="bottom"/>
          </w:tcPr>
          <w:p>
            <w:pPr>
              <w:jc w:val="right"/>
              <w:ind w:right="1550"/>
              <w:spacing w:after="0"/>
              <w:rPr>
                <w:sz w:val="20"/>
                <w:szCs w:val="20"/>
                <w:color w:val="auto"/>
              </w:rPr>
            </w:pPr>
            <w:r>
              <w:rPr>
                <w:rFonts w:ascii="Arial" w:cs="Arial" w:eastAsia="Arial" w:hAnsi="Arial"/>
                <w:sz w:val="18"/>
                <w:szCs w:val="18"/>
                <w:color w:val="auto"/>
              </w:rPr>
              <w:t>4</w:t>
            </w: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1024" w:right="55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17"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00" w:lineRule="exact"/>
        <w:rPr>
          <w:sz w:val="20"/>
          <w:szCs w:val="20"/>
          <w:color w:val="auto"/>
        </w:rPr>
      </w:pPr>
    </w:p>
    <w:p>
      <w:pPr>
        <w:spacing w:after="0" w:line="21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14605</wp:posOffset>
            </wp:positionV>
            <wp:extent cx="42005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117"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00" w:lineRule="exact"/>
        <w:rPr>
          <w:sz w:val="20"/>
          <w:szCs w:val="20"/>
          <w:color w:val="auto"/>
        </w:rPr>
      </w:pPr>
    </w:p>
    <w:p>
      <w:pPr>
        <w:spacing w:after="0" w:line="20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14605</wp:posOffset>
            </wp:positionV>
            <wp:extent cx="43802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4380230" cy="8890"/>
                    </a:xfrm>
                    <a:prstGeom prst="rect">
                      <a:avLst/>
                    </a:prstGeom>
                    <a:noFill/>
                  </pic:spPr>
                </pic:pic>
              </a:graphicData>
            </a:graphic>
          </wp:anchor>
        </w:drawing>
      </w:r>
    </w:p>
    <w:p>
      <w:pPr>
        <w:spacing w:after="0" w:line="1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Executive Vice President and Chief Financial and Administrative Officer</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117" w:lineRule="exact"/>
        <w:rPr>
          <w:sz w:val="20"/>
          <w:szCs w:val="20"/>
          <w:color w:val="auto"/>
        </w:rPr>
      </w:pPr>
    </w:p>
    <w:p>
      <w:pPr>
        <w:ind w:left="660" w:right="260" w:hanging="652"/>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2020 (the “Quarterly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5, 2020</w:t>
      </w:r>
    </w:p>
    <w:p>
      <w:pPr>
        <w:spacing w:after="0" w:line="200" w:lineRule="exact"/>
        <w:rPr>
          <w:sz w:val="20"/>
          <w:szCs w:val="20"/>
          <w:color w:val="auto"/>
        </w:rPr>
      </w:pPr>
    </w:p>
    <w:p>
      <w:pPr>
        <w:spacing w:after="0" w:line="26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14605</wp:posOffset>
            </wp:positionV>
            <wp:extent cx="34544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4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John E. Geller, Jr., Executive Vice President and Chief Financial Officer of Marriott Vacations Worldwide Corporation (the “Company”) certify that:</w:t>
      </w:r>
    </w:p>
    <w:p>
      <w:pPr>
        <w:spacing w:after="0" w:line="129" w:lineRule="exact"/>
        <w:rPr>
          <w:sz w:val="20"/>
          <w:szCs w:val="20"/>
          <w:color w:val="auto"/>
        </w:rPr>
      </w:pPr>
    </w:p>
    <w:p>
      <w:pPr>
        <w:ind w:left="660" w:right="260" w:hanging="652"/>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2020 (the “Quarterly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5, 2020</w:t>
      </w:r>
    </w:p>
    <w:p>
      <w:pPr>
        <w:spacing w:after="0" w:line="200" w:lineRule="exact"/>
        <w:rPr>
          <w:sz w:val="20"/>
          <w:szCs w:val="20"/>
          <w:color w:val="auto"/>
        </w:rPr>
      </w:pPr>
    </w:p>
    <w:p>
      <w:pPr>
        <w:spacing w:after="0" w:line="25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36004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John E. Geller, Jr.</w:t>
      </w:r>
    </w:p>
    <w:p>
      <w:pPr>
        <w:spacing w:after="0" w:line="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Executive Vice President and Chief Financial and Administrative Officer</w:t>
      </w:r>
    </w:p>
    <w:p>
      <w:pPr>
        <w:spacing w:after="0" w:line="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1."/>
      <w:numFmt w:val="decimal"/>
      <w:start w:val="3"/>
    </w:lvl>
  </w:abstractNum>
  <w:abstractNum w:abstractNumId="5">
    <w:nsid w:val="4353D0CD"/>
    <w:multiLevelType w:val="hybridMultilevel"/>
    <w:lvl w:ilvl="0">
      <w:lvlJc w:val="left"/>
      <w:lvlText w:val="%1."/>
      <w:numFmt w:val="decimal"/>
      <w:start w:val="4"/>
    </w:lvl>
  </w:abstractNum>
  <w:abstractNum w:abstractNumId="6">
    <w:nsid w:val="B03E0C6"/>
    <w:multiLevelType w:val="hybridMultilevel"/>
    <w:lvl w:ilvl="0">
      <w:lvlJc w:val="left"/>
      <w:lvlText w:val="%1."/>
      <w:numFmt w:val="decimal"/>
      <w:start w:val="5"/>
    </w:lvl>
  </w:abstractNum>
  <w:abstractNum w:abstractNumId="7">
    <w:nsid w:val="189A769B"/>
    <w:multiLevelType w:val="hybridMultilevel"/>
    <w:lvl w:ilvl="0">
      <w:lvlJc w:val="left"/>
      <w:lvlText w:val="%1."/>
      <w:numFmt w:val="decimal"/>
      <w:start w:val="6"/>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7"/>
    </w:lvl>
  </w:abstractNum>
  <w:abstractNum w:abstractNumId="12">
    <w:nsid w:val="2901D82"/>
    <w:multiLevelType w:val="hybridMultilevel"/>
    <w:lvl w:ilvl="0">
      <w:lvlJc w:val="left"/>
      <w:lvlText w:val="%1."/>
      <w:numFmt w:val="decimal"/>
      <w:start w:val="8"/>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0"/>
    </w:lvl>
  </w:abstractNum>
  <w:abstractNum w:abstractNumId="16">
    <w:nsid w:val="7C3DBD3D"/>
    <w:multiLevelType w:val="hybridMultilevel"/>
    <w:lvl w:ilvl="0">
      <w:lvlJc w:val="left"/>
      <w:lvlText w:val="%1."/>
      <w:numFmt w:val="decimal"/>
      <w:start w:val="1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decimal"/>
      <w:start w:val="12"/>
    </w:lvl>
  </w:abstractNum>
  <w:abstractNum w:abstractNumId="20">
    <w:nsid w:val="4516DDE9"/>
    <w:multiLevelType w:val="hybridMultilevel"/>
    <w:lvl w:ilvl="0">
      <w:lvlJc w:val="left"/>
      <w:lvlText w:val="%1."/>
      <w:numFmt w:val="decimal"/>
      <w:start w:val="13"/>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decimal"/>
      <w:start w:val="14"/>
    </w:lvl>
  </w:abstractNum>
  <w:abstractNum w:abstractNumId="24">
    <w:nsid w:val="5577F8E1"/>
    <w:multiLevelType w:val="hybridMultilevel"/>
    <w:lvl w:ilvl="0">
      <w:lvlJc w:val="left"/>
      <w:lvlText w:val="%1."/>
      <w:numFmt w:val="decimal"/>
      <w:start w:val="15"/>
    </w:lvl>
  </w:abstractNum>
  <w:abstractNum w:abstractNumId="25">
    <w:nsid w:val="440BADFC"/>
    <w:multiLevelType w:val="hybridMultilevel"/>
    <w:lvl w:ilvl="0">
      <w:lvlJc w:val="left"/>
      <w:lvlText w:val="%1."/>
      <w:numFmt w:val="decimal"/>
      <w:start w:val="16"/>
    </w:lvl>
  </w:abstractNum>
  <w:abstractNum w:abstractNumId="26">
    <w:nsid w:val="5072367"/>
    <w:multiLevelType w:val="hybridMultilevel"/>
    <w:lvl w:ilvl="0">
      <w:lvlJc w:val="left"/>
      <w:lvlText w:val="%1."/>
      <w:numFmt w:val="decimal"/>
      <w:start w:val="17"/>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lvl w:ilvl="1">
      <w:lvlJc w:val="left"/>
      <w:lvlText w:val="•"/>
      <w:numFmt w:val="bullet"/>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101"/>
    </w:lvl>
  </w:abstractNum>
  <w:abstractNum w:abstractNumId="39">
    <w:nsid w:val="6A2342EC"/>
    <w:multiLevelType w:val="hybridMultilevel"/>
    <w:lvl w:ilvl="0">
      <w:lvlJc w:val="left"/>
      <w:lvlText w:val="%1"/>
      <w:numFmt w:val="decimal"/>
      <w:start w:val="104"/>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21" Type="http://schemas.openxmlformats.org/officeDocument/2006/relationships/hyperlink" Target="http://www.sec.gov/Archives/edgar/data/1524358/000119312518144431/d577638dex21.htm" TargetMode="External"/><Relationship Id="rId122" Type="http://schemas.openxmlformats.org/officeDocument/2006/relationships/hyperlink" Target="http://www.sec.gov/Archives/edgar/data/1524358/000119312511320045/d256766dex31.htm" TargetMode="External"/><Relationship Id="rId123" Type="http://schemas.openxmlformats.org/officeDocument/2006/relationships/hyperlink" Target="http://www.sec.gov/Archives/edgar/data/1524358/000119312511320045/d256766dex32.htm" TargetMode="External"/><Relationship Id="rId124" Type="http://schemas.openxmlformats.org/officeDocument/2006/relationships/hyperlink" Target="http://www.sec.gov/Archives/edgar/data/1524358/000119312511271851/d197736dex41.htm" TargetMode="External"/><Relationship Id="rId125" Type="http://schemas.openxmlformats.org/officeDocument/2006/relationships/hyperlink" Target="http://www.sec.gov/Archives/edgar/data/1524358/000152435817000036/q3201710-qexhibit41xindent.htm" TargetMode="External"/><Relationship Id="rId126" Type="http://schemas.openxmlformats.org/officeDocument/2006/relationships/hyperlink" Target="http://www.sec.gov/Archives/edgar/data/1524358/000152435817000036/q3201710-qexhibit41xindent.htm#s5A3ABC734649FE299B9DF361BE642613" TargetMode="External"/><Relationship Id="rId127" Type="http://schemas.openxmlformats.org/officeDocument/2006/relationships/hyperlink" Target="http://www.sec.gov/Archives/edgar/data/1524358/000119312518256374/d608569dex41.htm" TargetMode="External"/><Relationship Id="rId128" Type="http://schemas.openxmlformats.org/officeDocument/2006/relationships/hyperlink" Target="http://www.sec.gov/Archives/edgar/data/1524358/000119312518266807/d597652dex47.htm" TargetMode="External"/><Relationship Id="rId129" Type="http://schemas.openxmlformats.org/officeDocument/2006/relationships/hyperlink" Target="http://www.sec.gov/Archives/edgar/data/1524358/000152435820000011/a201910-kex46xsecondsu.htm" TargetMode="External"/><Relationship Id="rId130" Type="http://schemas.openxmlformats.org/officeDocument/2006/relationships/hyperlink" Target="http://www.sec.gov/Archives/edgar/data/1524358/000152435820000011/a201910-kex47thirdsupp.htm" TargetMode="External"/><Relationship Id="rId131" Type="http://schemas.openxmlformats.org/officeDocument/2006/relationships/hyperlink" Target="http://www.sec.gov/Archives/edgar/data/1524358/000119312518256374/d608569dex43.htm" TargetMode="External"/><Relationship Id="rId132" Type="http://schemas.openxmlformats.org/officeDocument/2006/relationships/hyperlink" Target="http://www.sec.gov/Archives/edgar/data/1524358/000119312518266807/d597652dex48.htm" TargetMode="External"/><Relationship Id="rId133" Type="http://schemas.openxmlformats.org/officeDocument/2006/relationships/hyperlink" Target="http://www.sec.gov/Archives/edgar/data/1524358/000119312519259964/d812229dex41.htm" TargetMode="External"/><Relationship Id="rId134" Type="http://schemas.openxmlformats.org/officeDocument/2006/relationships/hyperlink" Target="http://www.sec.gov/Archives/edgar/data/1524358/000152435820000011/a201910-kex412suppleme.htm" TargetMode="External"/><Relationship Id="rId135" Type="http://schemas.openxmlformats.org/officeDocument/2006/relationships/hyperlink" Target="http://www.sec.gov/Archives/edgar/data/1524358/000152435820000011/a201910-kex413xseconds.htm" TargetMode="External"/><Relationship Id="rId138" Type="http://schemas.openxmlformats.org/officeDocument/2006/relationships/hyperlink" Target="http://www.sec.gov/Archives/edgar/data/1524358/000119312519259964/d812229dex43.htm" TargetMode="External"/><Relationship Id="rId139" Type="http://schemas.openxmlformats.org/officeDocument/2006/relationships/hyperlink" Target="http://www.sec.gov/Archives/edgar/data/1524358/000119312520143993/d931016dex41.htm" TargetMode="External"/><Relationship Id="rId140" Type="http://schemas.openxmlformats.org/officeDocument/2006/relationships/hyperlink" Target="http://www.sec.gov/Archives/edgar/data/1524358/000119312520143993/d931016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2020-11-05T12:53:21Z</dcterms:created>
  <dcterms:modified xsi:type="dcterms:W3CDTF">2020-11-05T12:53:21Z</dcterms:modified>
</cp:coreProperties>
</file>