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580"/>
        <w:spacing w:after="0"/>
        <w:rPr>
          <w:sz w:val="20"/>
          <w:szCs w:val="20"/>
          <w:color w:val="auto"/>
        </w:rPr>
      </w:pPr>
      <w:r>
        <w:rPr>
          <w:rFonts w:ascii="Arial" w:cs="Arial" w:eastAsia="Arial" w:hAnsi="Arial"/>
          <w:sz w:val="18"/>
          <w:szCs w:val="18"/>
          <w:color w:val="auto"/>
        </w:rPr>
        <w:t>_________________________</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7" w:lineRule="exact"/>
        <w:rPr>
          <w:sz w:val="24"/>
          <w:szCs w:val="24"/>
          <w:color w:val="auto"/>
        </w:rPr>
      </w:pPr>
    </w:p>
    <w:p>
      <w:pPr>
        <w:ind w:left="4560"/>
        <w:spacing w:after="0"/>
        <w:rPr>
          <w:sz w:val="20"/>
          <w:szCs w:val="20"/>
          <w:color w:val="auto"/>
        </w:rPr>
      </w:pPr>
      <w:r>
        <w:rPr>
          <w:rFonts w:ascii="Arial" w:cs="Arial" w:eastAsia="Arial" w:hAnsi="Arial"/>
          <w:sz w:val="11"/>
          <w:szCs w:val="11"/>
          <w:color w:val="auto"/>
        </w:rPr>
        <w:t>___________________________________________</w:t>
      </w:r>
    </w:p>
    <w:p>
      <w:pPr>
        <w:spacing w:after="0"/>
        <w:rPr>
          <w:sz w:val="20"/>
          <w:szCs w:val="20"/>
          <w:color w:val="auto"/>
        </w:rPr>
      </w:pPr>
      <w:r>
        <w:rPr>
          <w:rFonts w:ascii="Arial" w:cs="Arial" w:eastAsia="Arial" w:hAnsi="Arial"/>
          <w:sz w:val="18"/>
          <w:szCs w:val="18"/>
          <w:b w:val="1"/>
          <w:bCs w:val="1"/>
          <w:color w:val="auto"/>
        </w:rPr>
        <w:t>(Mark One)</w:t>
      </w:r>
    </w:p>
    <w:p>
      <w:pPr>
        <w:spacing w:after="0" w:line="156"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57"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4"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001-35219</w:t>
      </w:r>
    </w:p>
    <w:p>
      <w:pPr>
        <w:spacing w:after="0" w:line="27"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Marriott Vacations Worldwide Corporation</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153"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2960" w:type="dxa"/>
            <w:vAlign w:val="bottom"/>
          </w:tcPr>
          <w:p>
            <w:pPr>
              <w:jc w:val="center"/>
              <w:ind w:right="499"/>
              <w:spacing w:after="0"/>
              <w:rPr>
                <w:sz w:val="20"/>
                <w:szCs w:val="20"/>
                <w:color w:val="auto"/>
              </w:rPr>
            </w:pPr>
            <w:r>
              <w:rPr>
                <w:rFonts w:ascii="Arial" w:cs="Arial" w:eastAsia="Arial" w:hAnsi="Arial"/>
                <w:sz w:val="18"/>
                <w:szCs w:val="18"/>
                <w:b w:val="1"/>
                <w:bCs w:val="1"/>
                <w:color w:val="auto"/>
                <w:w w:val="93"/>
              </w:rPr>
              <w:t>Delaware</w:t>
            </w:r>
          </w:p>
        </w:tc>
        <w:tc>
          <w:tcPr>
            <w:tcW w:w="4560" w:type="dxa"/>
            <w:vAlign w:val="bottom"/>
          </w:tcPr>
          <w:p>
            <w:pPr>
              <w:jc w:val="right"/>
              <w:ind w:right="59"/>
              <w:spacing w:after="0"/>
              <w:rPr>
                <w:sz w:val="20"/>
                <w:szCs w:val="20"/>
                <w:color w:val="auto"/>
              </w:rPr>
            </w:pPr>
            <w:r>
              <w:rPr>
                <w:rFonts w:ascii="Arial" w:cs="Arial" w:eastAsia="Arial" w:hAnsi="Arial"/>
                <w:sz w:val="18"/>
                <w:szCs w:val="18"/>
                <w:b w:val="1"/>
                <w:bCs w:val="1"/>
                <w:color w:val="auto"/>
              </w:rPr>
              <w:t>45-2598330</w:t>
            </w:r>
          </w:p>
        </w:tc>
      </w:tr>
      <w:tr>
        <w:trPr>
          <w:trHeight w:val="180"/>
        </w:trPr>
        <w:tc>
          <w:tcPr>
            <w:tcW w:w="2960" w:type="dxa"/>
            <w:vAlign w:val="bottom"/>
          </w:tcPr>
          <w:p>
            <w:pPr>
              <w:jc w:val="center"/>
              <w:ind w:right="499"/>
              <w:spacing w:after="0"/>
              <w:rPr>
                <w:sz w:val="20"/>
                <w:szCs w:val="20"/>
                <w:color w:val="auto"/>
              </w:rPr>
            </w:pPr>
            <w:r>
              <w:rPr>
                <w:rFonts w:ascii="Arial" w:cs="Arial" w:eastAsia="Arial" w:hAnsi="Arial"/>
                <w:sz w:val="14"/>
                <w:szCs w:val="14"/>
                <w:b w:val="1"/>
                <w:bCs w:val="1"/>
                <w:color w:val="auto"/>
                <w:w w:val="92"/>
              </w:rPr>
              <w:t>(State or other jurisdiction of</w:t>
            </w:r>
          </w:p>
        </w:tc>
        <w:tc>
          <w:tcPr>
            <w:tcW w:w="4560" w:type="dxa"/>
            <w:vAlign w:val="bottom"/>
          </w:tcPr>
          <w:p>
            <w:pPr>
              <w:jc w:val="center"/>
              <w:ind w:left="335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60" w:type="dxa"/>
            <w:vAlign w:val="bottom"/>
          </w:tcPr>
          <w:p>
            <w:pPr>
              <w:jc w:val="center"/>
              <w:ind w:right="499"/>
              <w:spacing w:after="0"/>
              <w:rPr>
                <w:sz w:val="20"/>
                <w:szCs w:val="20"/>
                <w:color w:val="auto"/>
              </w:rPr>
            </w:pPr>
            <w:r>
              <w:rPr>
                <w:rFonts w:ascii="Arial" w:cs="Arial" w:eastAsia="Arial" w:hAnsi="Arial"/>
                <w:sz w:val="14"/>
                <w:szCs w:val="14"/>
                <w:b w:val="1"/>
                <w:bCs w:val="1"/>
                <w:color w:val="auto"/>
                <w:w w:val="93"/>
              </w:rPr>
              <w:t>incorporation or organization)</w:t>
            </w:r>
          </w:p>
        </w:tc>
        <w:tc>
          <w:tcPr>
            <w:tcW w:w="4560" w:type="dxa"/>
            <w:vAlign w:val="bottom"/>
          </w:tcPr>
          <w:p>
            <w:pPr>
              <w:jc w:val="center"/>
              <w:ind w:left="3339"/>
              <w:spacing w:after="0"/>
              <w:rPr>
                <w:sz w:val="20"/>
                <w:szCs w:val="20"/>
                <w:color w:val="auto"/>
              </w:rPr>
            </w:pPr>
            <w:r>
              <w:rPr>
                <w:rFonts w:ascii="Arial" w:cs="Arial" w:eastAsia="Arial" w:hAnsi="Arial"/>
                <w:sz w:val="14"/>
                <w:szCs w:val="14"/>
                <w:b w:val="1"/>
                <w:bCs w:val="1"/>
                <w:color w:val="auto"/>
                <w:w w:val="96"/>
              </w:rPr>
              <w:t>Identification No.)</w:t>
            </w:r>
          </w:p>
        </w:tc>
      </w:tr>
      <w:tr>
        <w:trPr>
          <w:trHeight w:val="237"/>
        </w:trPr>
        <w:tc>
          <w:tcPr>
            <w:tcW w:w="2960" w:type="dxa"/>
            <w:vAlign w:val="bottom"/>
          </w:tcPr>
          <w:p>
            <w:pPr>
              <w:jc w:val="center"/>
              <w:ind w:right="499"/>
              <w:spacing w:after="0"/>
              <w:rPr>
                <w:sz w:val="20"/>
                <w:szCs w:val="20"/>
                <w:color w:val="auto"/>
              </w:rPr>
            </w:pPr>
            <w:r>
              <w:rPr>
                <w:rFonts w:ascii="Arial" w:cs="Arial" w:eastAsia="Arial" w:hAnsi="Arial"/>
                <w:sz w:val="18"/>
                <w:szCs w:val="18"/>
                <w:b w:val="1"/>
                <w:bCs w:val="1"/>
                <w:color w:val="auto"/>
                <w:w w:val="90"/>
              </w:rPr>
              <w:t>6649 Westwood Blvd.</w:t>
            </w:r>
          </w:p>
        </w:tc>
        <w:tc>
          <w:tcPr>
            <w:tcW w:w="4560" w:type="dxa"/>
            <w:vAlign w:val="bottom"/>
          </w:tcPr>
          <w:p>
            <w:pPr>
              <w:spacing w:after="0"/>
              <w:rPr>
                <w:sz w:val="20"/>
                <w:szCs w:val="20"/>
                <w:color w:val="auto"/>
              </w:rPr>
            </w:pPr>
          </w:p>
        </w:tc>
      </w:tr>
      <w:tr>
        <w:trPr>
          <w:trHeight w:val="234"/>
        </w:trPr>
        <w:tc>
          <w:tcPr>
            <w:tcW w:w="2960" w:type="dxa"/>
            <w:vAlign w:val="bottom"/>
          </w:tcPr>
          <w:p>
            <w:pPr>
              <w:jc w:val="center"/>
              <w:ind w:right="499"/>
              <w:spacing w:after="0"/>
              <w:rPr>
                <w:sz w:val="20"/>
                <w:szCs w:val="20"/>
                <w:color w:val="auto"/>
              </w:rPr>
            </w:pPr>
            <w:r>
              <w:rPr>
                <w:rFonts w:ascii="Arial" w:cs="Arial" w:eastAsia="Arial" w:hAnsi="Arial"/>
                <w:sz w:val="18"/>
                <w:szCs w:val="18"/>
                <w:b w:val="1"/>
                <w:bCs w:val="1"/>
                <w:color w:val="auto"/>
                <w:w w:val="96"/>
              </w:rPr>
              <w:t>Orlando, FL</w:t>
            </w:r>
          </w:p>
        </w:tc>
        <w:tc>
          <w:tcPr>
            <w:tcW w:w="4560" w:type="dxa"/>
            <w:vAlign w:val="bottom"/>
          </w:tcPr>
          <w:p>
            <w:pPr>
              <w:jc w:val="right"/>
              <w:ind w:right="259"/>
              <w:spacing w:after="0"/>
              <w:rPr>
                <w:sz w:val="20"/>
                <w:szCs w:val="20"/>
                <w:color w:val="auto"/>
              </w:rPr>
            </w:pPr>
            <w:r>
              <w:rPr>
                <w:rFonts w:ascii="Arial" w:cs="Arial" w:eastAsia="Arial" w:hAnsi="Arial"/>
                <w:sz w:val="18"/>
                <w:szCs w:val="18"/>
                <w:b w:val="1"/>
                <w:bCs w:val="1"/>
                <w:color w:val="auto"/>
              </w:rPr>
              <w:t>32821</w:t>
            </w:r>
          </w:p>
        </w:tc>
      </w:tr>
      <w:tr>
        <w:trPr>
          <w:trHeight w:val="218"/>
        </w:trPr>
        <w:tc>
          <w:tcPr>
            <w:tcW w:w="2960" w:type="dxa"/>
            <w:vAlign w:val="bottom"/>
          </w:tcPr>
          <w:p>
            <w:pPr>
              <w:jc w:val="center"/>
              <w:ind w:right="4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60" w:type="dxa"/>
            <w:vAlign w:val="bottom"/>
          </w:tcPr>
          <w:p>
            <w:pPr>
              <w:jc w:val="center"/>
              <w:ind w:left="3339"/>
              <w:spacing w:after="0"/>
              <w:rPr>
                <w:sz w:val="20"/>
                <w:szCs w:val="20"/>
                <w:color w:val="auto"/>
              </w:rPr>
            </w:pPr>
            <w:r>
              <w:rPr>
                <w:rFonts w:ascii="Arial" w:cs="Arial" w:eastAsia="Arial" w:hAnsi="Arial"/>
                <w:sz w:val="14"/>
                <w:szCs w:val="14"/>
                <w:b w:val="1"/>
                <w:bCs w:val="1"/>
                <w:color w:val="auto"/>
                <w:w w:val="95"/>
              </w:rPr>
              <w:t>(Zip Code)</w:t>
            </w:r>
          </w:p>
        </w:tc>
      </w:tr>
      <w:tr>
        <w:trPr>
          <w:trHeight w:val="397"/>
        </w:trPr>
        <w:tc>
          <w:tcPr>
            <w:tcW w:w="2960" w:type="dxa"/>
            <w:vAlign w:val="bottom"/>
          </w:tcPr>
          <w:p>
            <w:pPr>
              <w:spacing w:after="0"/>
              <w:rPr>
                <w:sz w:val="24"/>
                <w:szCs w:val="24"/>
                <w:color w:val="auto"/>
              </w:rPr>
            </w:pPr>
          </w:p>
        </w:tc>
        <w:tc>
          <w:tcPr>
            <w:tcW w:w="4560" w:type="dxa"/>
            <w:vAlign w:val="bottom"/>
          </w:tcPr>
          <w:p>
            <w:pPr>
              <w:jc w:val="right"/>
              <w:ind w:right="2779"/>
              <w:spacing w:after="0"/>
              <w:rPr>
                <w:sz w:val="20"/>
                <w:szCs w:val="20"/>
                <w:color w:val="auto"/>
              </w:rPr>
            </w:pPr>
            <w:r>
              <w:rPr>
                <w:rFonts w:ascii="Arial" w:cs="Arial" w:eastAsia="Arial" w:hAnsi="Arial"/>
                <w:sz w:val="18"/>
                <w:szCs w:val="18"/>
                <w:b w:val="1"/>
                <w:bCs w:val="1"/>
                <w:color w:val="auto"/>
              </w:rPr>
              <w:t>(407) 206-6000</w:t>
            </w:r>
          </w:p>
        </w:tc>
      </w:tr>
    </w:tbl>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01"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35"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600" w:type="dxa"/>
            <w:vAlign w:val="bottom"/>
          </w:tcPr>
          <w:p>
            <w:pPr>
              <w:ind w:left="280"/>
              <w:spacing w:after="0"/>
              <w:rPr>
                <w:sz w:val="20"/>
                <w:szCs w:val="20"/>
                <w:color w:val="auto"/>
              </w:rPr>
            </w:pPr>
            <w:r>
              <w:rPr>
                <w:rFonts w:ascii="Arial" w:cs="Arial" w:eastAsia="Arial" w:hAnsi="Arial"/>
                <w:sz w:val="18"/>
                <w:szCs w:val="18"/>
                <w:color w:val="auto"/>
              </w:rPr>
              <w:t>x</w:t>
            </w:r>
          </w:p>
        </w:tc>
        <w:tc>
          <w:tcPr>
            <w:tcW w:w="3360" w:type="dxa"/>
            <w:vAlign w:val="bottom"/>
          </w:tcPr>
          <w:p>
            <w:pPr>
              <w:ind w:left="760"/>
              <w:spacing w:after="0"/>
              <w:rPr>
                <w:sz w:val="20"/>
                <w:szCs w:val="20"/>
                <w:color w:val="auto"/>
              </w:rPr>
            </w:pPr>
            <w:r>
              <w:rPr>
                <w:rFonts w:ascii="Arial" w:cs="Arial" w:eastAsia="Arial" w:hAnsi="Arial"/>
                <w:sz w:val="18"/>
                <w:szCs w:val="18"/>
                <w:color w:val="auto"/>
              </w:rPr>
              <w:t>Accelerated filer</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460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60" w:type="dxa"/>
            <w:vAlign w:val="bottom"/>
          </w:tcPr>
          <w:p>
            <w:pPr>
              <w:ind w:left="760"/>
              <w:spacing w:after="0"/>
              <w:rPr>
                <w:sz w:val="20"/>
                <w:szCs w:val="20"/>
                <w:color w:val="auto"/>
              </w:rPr>
            </w:pPr>
            <w:r>
              <w:rPr>
                <w:rFonts w:ascii="Arial" w:cs="Arial" w:eastAsia="Arial" w:hAnsi="Arial"/>
                <w:sz w:val="18"/>
                <w:szCs w:val="18"/>
                <w:color w:val="auto"/>
              </w:rPr>
              <w:t>Smaller reporting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360" w:type="dxa"/>
            <w:vAlign w:val="bottom"/>
          </w:tcPr>
          <w:p>
            <w:pPr>
              <w:ind w:left="760"/>
              <w:spacing w:after="0"/>
              <w:rPr>
                <w:sz w:val="20"/>
                <w:szCs w:val="20"/>
                <w:color w:val="auto"/>
              </w:rPr>
            </w:pPr>
            <w:r>
              <w:rPr>
                <w:rFonts w:ascii="Arial" w:cs="Arial" w:eastAsia="Arial" w:hAnsi="Arial"/>
                <w:sz w:val="18"/>
                <w:szCs w:val="18"/>
                <w:color w:val="auto"/>
              </w:rPr>
              <w:t>Emerging growth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right="220" w:firstLine="43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40" w:right="1500"/>
        <w:spacing w:after="0" w:line="24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 The number of shares outstanding of the issuer’s common stock, par value $0.01 per share, as of July 27, 2018 was 26,572,516.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03" w:right="27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10-Q TABLE OF CONTENTS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60" w:type="dxa"/>
            <w:vAlign w:val="bottom"/>
            <w:gridSpan w:val="3"/>
          </w:tcPr>
          <w:p>
            <w:pPr>
              <w:ind w:left="3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18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3880" w:type="dxa"/>
            <w:vAlign w:val="bottom"/>
            <w:gridSpan w:val="2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 (UNAUDITED)</w:t>
              </w:r>
            </w:hyperlink>
          </w:p>
        </w:tc>
        <w:tc>
          <w:tcPr>
            <w:tcW w:w="4560" w:type="dxa"/>
            <w:vAlign w:val="bottom"/>
            <w:gridSpan w:val="6"/>
            <w:vMerge w:val="restart"/>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180" w:type="dxa"/>
            <w:vAlign w:val="bottom"/>
            <w:vMerge w:val="continue"/>
          </w:tcPr>
          <w:p>
            <w:pPr>
              <w:spacing w:after="0"/>
              <w:rPr>
                <w:sz w:val="15"/>
                <w:szCs w:val="15"/>
                <w:color w:val="auto"/>
              </w:rPr>
            </w:pPr>
          </w:p>
        </w:tc>
        <w:tc>
          <w:tcPr>
            <w:tcW w:w="3880" w:type="dxa"/>
            <w:vAlign w:val="bottom"/>
            <w:gridSpan w:val="25"/>
            <w:vMerge w:val="continue"/>
          </w:tcPr>
          <w:p>
            <w:pPr>
              <w:spacing w:after="0"/>
              <w:rPr>
                <w:sz w:val="15"/>
                <w:szCs w:val="15"/>
                <w:color w:val="auto"/>
              </w:rPr>
            </w:pPr>
          </w:p>
        </w:tc>
        <w:tc>
          <w:tcPr>
            <w:tcW w:w="4560" w:type="dxa"/>
            <w:vAlign w:val="bottom"/>
            <w:gridSpan w:val="6"/>
            <w:vMerge w:val="continue"/>
          </w:tcPr>
          <w:p>
            <w:pPr>
              <w:spacing w:after="0"/>
              <w:rPr>
                <w:sz w:val="15"/>
                <w:szCs w:val="15"/>
                <w:color w:val="auto"/>
              </w:rPr>
            </w:pPr>
          </w:p>
        </w:tc>
        <w:tc>
          <w:tcPr>
            <w:tcW w:w="560" w:type="dxa"/>
            <w:vAlign w:val="bottom"/>
            <w:gridSpan w:val="2"/>
          </w:tcPr>
          <w:p>
            <w:pPr>
              <w:jc w:val="center"/>
              <w:ind w:left="390"/>
              <w:spacing w:after="0" w:line="170"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80" w:type="dxa"/>
            <w:vAlign w:val="bottom"/>
            <w:gridSpan w:val="2"/>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gridSpan w:val="2"/>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180" w:type="dxa"/>
            <w:vAlign w:val="bottom"/>
          </w:tcPr>
          <w:p>
            <w:pPr>
              <w:ind w:left="240"/>
              <w:spacing w:after="0"/>
              <w:rPr>
                <w:sz w:val="20"/>
                <w:szCs w:val="20"/>
                <w:color w:val="auto"/>
              </w:rPr>
            </w:pPr>
            <w:r>
              <w:rPr>
                <w:rFonts w:ascii="Arial" w:cs="Arial" w:eastAsia="Arial" w:hAnsi="Arial"/>
                <w:sz w:val="18"/>
                <w:szCs w:val="18"/>
                <w:color w:val="auto"/>
              </w:rPr>
              <w:t>Item 1.</w:t>
            </w:r>
          </w:p>
        </w:tc>
        <w:tc>
          <w:tcPr>
            <w:tcW w:w="240" w:type="dxa"/>
            <w:vAlign w:val="bottom"/>
          </w:tcPr>
          <w:p>
            <w:pPr>
              <w:spacing w:after="0"/>
              <w:rPr>
                <w:sz w:val="22"/>
                <w:szCs w:val="22"/>
                <w:color w:val="auto"/>
              </w:rPr>
            </w:pPr>
          </w:p>
        </w:tc>
        <w:tc>
          <w:tcPr>
            <w:tcW w:w="1520" w:type="dxa"/>
            <w:vAlign w:val="bottom"/>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2120" w:type="dxa"/>
            <w:vAlign w:val="bottom"/>
            <w:gridSpan w:val="14"/>
          </w:tcPr>
          <w:p>
            <w:pPr>
              <w:spacing w:after="0"/>
              <w:rPr>
                <w:sz w:val="22"/>
                <w:szCs w:val="22"/>
                <w:color w:val="auto"/>
              </w:rPr>
            </w:pPr>
          </w:p>
        </w:tc>
        <w:tc>
          <w:tcPr>
            <w:tcW w:w="4560" w:type="dxa"/>
            <w:vAlign w:val="bottom"/>
            <w:gridSpan w:val="6"/>
          </w:tcPr>
          <w:p>
            <w:pPr>
              <w:spacing w:after="0"/>
              <w:rPr>
                <w:sz w:val="22"/>
                <w:szCs w:val="22"/>
                <w:color w:val="auto"/>
              </w:rPr>
            </w:pPr>
          </w:p>
        </w:tc>
        <w:tc>
          <w:tcPr>
            <w:tcW w:w="560" w:type="dxa"/>
            <w:vAlign w:val="bottom"/>
            <w:gridSpan w:val="2"/>
          </w:tcPr>
          <w:p>
            <w:pPr>
              <w:jc w:val="center"/>
              <w:ind w:left="39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980" w:type="dxa"/>
            <w:vAlign w:val="bottom"/>
            <w:gridSpan w:val="2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Interim Consolidated Statements of Income</w:t>
              </w:r>
            </w:hyperlink>
          </w:p>
        </w:tc>
        <w:tc>
          <w:tcPr>
            <w:tcW w:w="560" w:type="dxa"/>
            <w:vAlign w:val="bottom"/>
            <w:gridSpan w:val="2"/>
          </w:tcPr>
          <w:p>
            <w:pPr>
              <w:jc w:val="center"/>
              <w:ind w:left="39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320" w:type="dxa"/>
            <w:vAlign w:val="bottom"/>
            <w:gridSpan w:val="27"/>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Interim Consolidated Statements of Comprehensive Income</w:t>
              </w:r>
            </w:hyperlink>
          </w:p>
        </w:tc>
        <w:tc>
          <w:tcPr>
            <w:tcW w:w="3660" w:type="dxa"/>
            <w:vAlign w:val="bottom"/>
            <w:gridSpan w:val="2"/>
          </w:tcPr>
          <w:p>
            <w:pPr>
              <w:spacing w:after="0"/>
              <w:rPr>
                <w:sz w:val="21"/>
                <w:szCs w:val="21"/>
                <w:color w:val="auto"/>
              </w:rPr>
            </w:pPr>
          </w:p>
        </w:tc>
        <w:tc>
          <w:tcPr>
            <w:tcW w:w="560" w:type="dxa"/>
            <w:vAlign w:val="bottom"/>
            <w:gridSpan w:val="2"/>
          </w:tcPr>
          <w:p>
            <w:pPr>
              <w:jc w:val="center"/>
              <w:ind w:left="3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320" w:type="dxa"/>
            <w:vAlign w:val="bottom"/>
            <w:gridSpan w:val="2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Interim Consolidated Balance Sheets</w:t>
              </w:r>
            </w:hyperlink>
          </w:p>
        </w:tc>
        <w:tc>
          <w:tcPr>
            <w:tcW w:w="3660" w:type="dxa"/>
            <w:vAlign w:val="bottom"/>
            <w:gridSpan w:val="2"/>
          </w:tcPr>
          <w:p>
            <w:pPr>
              <w:spacing w:after="0"/>
              <w:rPr>
                <w:sz w:val="21"/>
                <w:szCs w:val="21"/>
                <w:color w:val="auto"/>
              </w:rPr>
            </w:pPr>
          </w:p>
        </w:tc>
        <w:tc>
          <w:tcPr>
            <w:tcW w:w="560" w:type="dxa"/>
            <w:vAlign w:val="bottom"/>
            <w:gridSpan w:val="2"/>
          </w:tcPr>
          <w:p>
            <w:pPr>
              <w:jc w:val="center"/>
              <w:ind w:left="39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gridSpan w:val="2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Interim Consolidated Statements of Cash Flows</w:t>
              </w:r>
            </w:hyperlink>
          </w:p>
        </w:tc>
        <w:tc>
          <w:tcPr>
            <w:tcW w:w="4540" w:type="dxa"/>
            <w:vAlign w:val="bottom"/>
            <w:gridSpan w:val="5"/>
          </w:tcPr>
          <w:p>
            <w:pPr>
              <w:spacing w:after="0"/>
              <w:rPr>
                <w:sz w:val="21"/>
                <w:szCs w:val="21"/>
                <w:color w:val="auto"/>
              </w:rPr>
            </w:pPr>
          </w:p>
        </w:tc>
        <w:tc>
          <w:tcPr>
            <w:tcW w:w="560" w:type="dxa"/>
            <w:vAlign w:val="bottom"/>
            <w:gridSpan w:val="2"/>
          </w:tcPr>
          <w:p>
            <w:pPr>
              <w:jc w:val="center"/>
              <w:ind w:left="39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740" w:type="dxa"/>
            <w:vAlign w:val="bottom"/>
            <w:gridSpan w:val="26"/>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Notes to Interim Consolidated Financial Statements</w:t>
              </w:r>
            </w:hyperlink>
          </w:p>
        </w:tc>
        <w:tc>
          <w:tcPr>
            <w:tcW w:w="4460" w:type="dxa"/>
            <w:vAlign w:val="bottom"/>
            <w:gridSpan w:val="4"/>
          </w:tcPr>
          <w:p>
            <w:pPr>
              <w:spacing w:after="0"/>
              <w:rPr>
                <w:sz w:val="21"/>
                <w:szCs w:val="21"/>
                <w:color w:val="auto"/>
              </w:rPr>
            </w:pPr>
          </w:p>
        </w:tc>
        <w:tc>
          <w:tcPr>
            <w:tcW w:w="560" w:type="dxa"/>
            <w:vAlign w:val="bottom"/>
            <w:gridSpan w:val="2"/>
          </w:tcPr>
          <w:p>
            <w:pPr>
              <w:jc w:val="center"/>
              <w:ind w:left="39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1.</w:t>
              </w:r>
            </w:hyperlink>
          </w:p>
        </w:tc>
        <w:tc>
          <w:tcPr>
            <w:tcW w:w="3260" w:type="dxa"/>
            <w:vAlign w:val="bottom"/>
            <w:gridSpan w:val="22"/>
          </w:tcPr>
          <w:p>
            <w:pPr>
              <w:ind w:left="20"/>
              <w:spacing w:after="0"/>
              <w:rPr>
                <w:rFonts w:ascii="Arial" w:cs="Arial" w:eastAsia="Arial" w:hAnsi="Arial"/>
                <w:sz w:val="18"/>
                <w:szCs w:val="18"/>
                <w:color w:val="0000EE"/>
                <w:w w:val="93"/>
              </w:rPr>
            </w:pPr>
            <w:hyperlink w:anchor="page8">
              <w:r>
                <w:rPr>
                  <w:rFonts w:ascii="Arial" w:cs="Arial" w:eastAsia="Arial" w:hAnsi="Arial"/>
                  <w:sz w:val="18"/>
                  <w:szCs w:val="18"/>
                  <w:color w:val="0000EE"/>
                  <w:w w:val="93"/>
                </w:rPr>
                <w:t>Summary of Significant Accounting Policies</w:t>
              </w:r>
            </w:hyperlink>
          </w:p>
        </w:tc>
        <w:tc>
          <w:tcPr>
            <w:tcW w:w="100" w:type="dxa"/>
            <w:vAlign w:val="bottom"/>
            <w:gridSpan w:val="2"/>
          </w:tcPr>
          <w:p>
            <w:pPr>
              <w:spacing w:after="0"/>
              <w:rPr>
                <w:sz w:val="21"/>
                <w:szCs w:val="21"/>
                <w:color w:val="auto"/>
              </w:rPr>
            </w:pPr>
          </w:p>
        </w:tc>
        <w:tc>
          <w:tcPr>
            <w:tcW w:w="4460" w:type="dxa"/>
            <w:vAlign w:val="bottom"/>
            <w:gridSpan w:val="4"/>
          </w:tcPr>
          <w:p>
            <w:pPr>
              <w:spacing w:after="0"/>
              <w:rPr>
                <w:sz w:val="21"/>
                <w:szCs w:val="21"/>
                <w:color w:val="auto"/>
              </w:rPr>
            </w:pPr>
          </w:p>
        </w:tc>
        <w:tc>
          <w:tcPr>
            <w:tcW w:w="560" w:type="dxa"/>
            <w:vAlign w:val="bottom"/>
            <w:gridSpan w:val="2"/>
          </w:tcPr>
          <w:p>
            <w:pPr>
              <w:jc w:val="center"/>
              <w:ind w:left="39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2.</w:t>
              </w:r>
            </w:hyperlink>
          </w:p>
        </w:tc>
        <w:tc>
          <w:tcPr>
            <w:tcW w:w="660" w:type="dxa"/>
            <w:vAlign w:val="bottom"/>
            <w:gridSpan w:val="4"/>
          </w:tcPr>
          <w:p>
            <w:pPr>
              <w:ind w:left="20"/>
              <w:spacing w:after="0"/>
              <w:rPr>
                <w:rFonts w:ascii="Arial" w:cs="Arial" w:eastAsia="Arial" w:hAnsi="Arial"/>
                <w:sz w:val="18"/>
                <w:szCs w:val="18"/>
                <w:color w:val="0000EE"/>
                <w:w w:val="85"/>
              </w:rPr>
            </w:pPr>
            <w:hyperlink w:anchor="page11">
              <w:r>
                <w:rPr>
                  <w:rFonts w:ascii="Arial" w:cs="Arial" w:eastAsia="Arial" w:hAnsi="Arial"/>
                  <w:sz w:val="18"/>
                  <w:szCs w:val="18"/>
                  <w:color w:val="0000EE"/>
                  <w:w w:val="85"/>
                </w:rPr>
                <w:t>Revenue</w:t>
              </w:r>
            </w:hyperlink>
          </w:p>
        </w:tc>
        <w:tc>
          <w:tcPr>
            <w:tcW w:w="2600" w:type="dxa"/>
            <w:vAlign w:val="bottom"/>
            <w:gridSpan w:val="18"/>
          </w:tcPr>
          <w:p>
            <w:pPr>
              <w:spacing w:after="0"/>
              <w:rPr>
                <w:sz w:val="21"/>
                <w:szCs w:val="21"/>
                <w:color w:val="auto"/>
              </w:rPr>
            </w:pPr>
          </w:p>
        </w:tc>
        <w:tc>
          <w:tcPr>
            <w:tcW w:w="4560" w:type="dxa"/>
            <w:vAlign w:val="bottom"/>
            <w:gridSpan w:val="6"/>
          </w:tcPr>
          <w:p>
            <w:pPr>
              <w:spacing w:after="0"/>
              <w:rPr>
                <w:sz w:val="21"/>
                <w:szCs w:val="21"/>
                <w:color w:val="auto"/>
              </w:rPr>
            </w:pPr>
          </w:p>
        </w:tc>
        <w:tc>
          <w:tcPr>
            <w:tcW w:w="560" w:type="dxa"/>
            <w:vAlign w:val="bottom"/>
            <w:gridSpan w:val="2"/>
          </w:tcPr>
          <w:p>
            <w:pPr>
              <w:jc w:val="center"/>
              <w:ind w:left="390"/>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9</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3.</w:t>
              </w:r>
            </w:hyperlink>
          </w:p>
        </w:tc>
        <w:tc>
          <w:tcPr>
            <w:tcW w:w="7820" w:type="dxa"/>
            <w:vAlign w:val="bottom"/>
            <w:gridSpan w:val="28"/>
          </w:tcPr>
          <w:p>
            <w:pPr>
              <w:ind w:left="20"/>
              <w:spacing w:after="0"/>
              <w:rPr>
                <w:rFonts w:ascii="Arial" w:cs="Arial" w:eastAsia="Arial" w:hAnsi="Arial"/>
                <w:sz w:val="18"/>
                <w:szCs w:val="18"/>
                <w:color w:val="0000EE"/>
              </w:rPr>
            </w:pPr>
            <w:hyperlink w:anchor="page16">
              <w:r>
                <w:rPr>
                  <w:rFonts w:ascii="Arial" w:cs="Arial" w:eastAsia="Arial" w:hAnsi="Arial"/>
                  <w:sz w:val="18"/>
                  <w:szCs w:val="18"/>
                  <w:color w:val="0000EE"/>
                </w:rPr>
                <w:t>Income Taxes</w:t>
              </w:r>
            </w:hyperlink>
          </w:p>
        </w:tc>
        <w:tc>
          <w:tcPr>
            <w:tcW w:w="1060" w:type="dxa"/>
            <w:vAlign w:val="bottom"/>
            <w:gridSpan w:val="3"/>
          </w:tcPr>
          <w:p>
            <w:pPr>
              <w:jc w:val="cente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14</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4.</w:t>
              </w:r>
            </w:hyperlink>
          </w:p>
        </w:tc>
        <w:tc>
          <w:tcPr>
            <w:tcW w:w="2800" w:type="dxa"/>
            <w:vAlign w:val="bottom"/>
            <w:gridSpan w:val="19"/>
          </w:tcPr>
          <w:p>
            <w:pPr>
              <w:ind w:left="20"/>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Vacation Ownership Notes Receivable</w:t>
              </w:r>
            </w:hyperlink>
          </w:p>
        </w:tc>
        <w:tc>
          <w:tcPr>
            <w:tcW w:w="5020" w:type="dxa"/>
            <w:vAlign w:val="bottom"/>
            <w:gridSpan w:val="9"/>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15</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5.</w:t>
              </w:r>
            </w:hyperlink>
          </w:p>
        </w:tc>
        <w:tc>
          <w:tcPr>
            <w:tcW w:w="2800" w:type="dxa"/>
            <w:vAlign w:val="bottom"/>
            <w:gridSpan w:val="19"/>
          </w:tcPr>
          <w:p>
            <w:pPr>
              <w:ind w:left="20"/>
              <w:spacing w:after="0"/>
              <w:rPr>
                <w:rFonts w:ascii="Arial" w:cs="Arial" w:eastAsia="Arial" w:hAnsi="Arial"/>
                <w:sz w:val="18"/>
                <w:szCs w:val="18"/>
                <w:color w:val="0000EE"/>
              </w:rPr>
            </w:pPr>
            <w:hyperlink w:anchor="page19">
              <w:r>
                <w:rPr>
                  <w:rFonts w:ascii="Arial" w:cs="Arial" w:eastAsia="Arial" w:hAnsi="Arial"/>
                  <w:sz w:val="18"/>
                  <w:szCs w:val="18"/>
                  <w:color w:val="0000EE"/>
                </w:rPr>
                <w:t>Financial Instruments</w:t>
              </w:r>
            </w:hyperlink>
          </w:p>
        </w:tc>
        <w:tc>
          <w:tcPr>
            <w:tcW w:w="5020" w:type="dxa"/>
            <w:vAlign w:val="bottom"/>
            <w:gridSpan w:val="9"/>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17</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6.</w:t>
              </w:r>
            </w:hyperlink>
          </w:p>
        </w:tc>
        <w:tc>
          <w:tcPr>
            <w:tcW w:w="7820" w:type="dxa"/>
            <w:vAlign w:val="bottom"/>
            <w:gridSpan w:val="28"/>
          </w:tcPr>
          <w:p>
            <w:pPr>
              <w:ind w:left="20"/>
              <w:spacing w:after="0"/>
              <w:rPr>
                <w:rFonts w:ascii="Arial" w:cs="Arial" w:eastAsia="Arial" w:hAnsi="Arial"/>
                <w:sz w:val="18"/>
                <w:szCs w:val="18"/>
                <w:color w:val="0000EE"/>
              </w:rPr>
            </w:pPr>
            <w:hyperlink w:anchor="page21">
              <w:r>
                <w:rPr>
                  <w:rFonts w:ascii="Arial" w:cs="Arial" w:eastAsia="Arial" w:hAnsi="Arial"/>
                  <w:sz w:val="18"/>
                  <w:szCs w:val="18"/>
                  <w:color w:val="0000EE"/>
                </w:rPr>
                <w:t>Acquisitions and Dispositions</w:t>
              </w:r>
            </w:hyperlink>
          </w:p>
        </w:tc>
        <w:tc>
          <w:tcPr>
            <w:tcW w:w="1060" w:type="dxa"/>
            <w:vAlign w:val="bottom"/>
            <w:gridSpan w:val="3"/>
          </w:tcPr>
          <w:p>
            <w:pPr>
              <w:jc w:val="cente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19</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7.</w:t>
              </w:r>
            </w:hyperlink>
          </w:p>
        </w:tc>
        <w:tc>
          <w:tcPr>
            <w:tcW w:w="1400" w:type="dxa"/>
            <w:vAlign w:val="bottom"/>
            <w:gridSpan w:val="9"/>
          </w:tcPr>
          <w:p>
            <w:pPr>
              <w:ind w:left="20"/>
              <w:spacing w:after="0"/>
              <w:rPr>
                <w:rFonts w:ascii="Arial" w:cs="Arial" w:eastAsia="Arial" w:hAnsi="Arial"/>
                <w:sz w:val="18"/>
                <w:szCs w:val="18"/>
                <w:color w:val="0000EE"/>
                <w:w w:val="85"/>
              </w:rPr>
            </w:pPr>
            <w:hyperlink w:anchor="page22">
              <w:r>
                <w:rPr>
                  <w:rFonts w:ascii="Arial" w:cs="Arial" w:eastAsia="Arial" w:hAnsi="Arial"/>
                  <w:sz w:val="18"/>
                  <w:szCs w:val="18"/>
                  <w:color w:val="0000EE"/>
                  <w:w w:val="85"/>
                </w:rPr>
                <w:t>Earnings Per Share</w:t>
              </w:r>
            </w:hyperlink>
          </w:p>
        </w:tc>
        <w:tc>
          <w:tcPr>
            <w:tcW w:w="780" w:type="dxa"/>
            <w:vAlign w:val="bottom"/>
            <w:gridSpan w:val="7"/>
          </w:tcPr>
          <w:p>
            <w:pPr>
              <w:spacing w:after="0"/>
              <w:rPr>
                <w:sz w:val="21"/>
                <w:szCs w:val="21"/>
                <w:color w:val="auto"/>
              </w:rPr>
            </w:pPr>
          </w:p>
        </w:tc>
        <w:tc>
          <w:tcPr>
            <w:tcW w:w="5640" w:type="dxa"/>
            <w:vAlign w:val="bottom"/>
            <w:gridSpan w:val="12"/>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20</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8.</w:t>
              </w:r>
            </w:hyperlink>
          </w:p>
        </w:tc>
        <w:tc>
          <w:tcPr>
            <w:tcW w:w="1400" w:type="dxa"/>
            <w:vAlign w:val="bottom"/>
            <w:gridSpan w:val="9"/>
          </w:tcPr>
          <w:p>
            <w:pPr>
              <w:ind w:left="20"/>
              <w:spacing w:after="0"/>
              <w:rPr>
                <w:rFonts w:ascii="Arial" w:cs="Arial" w:eastAsia="Arial" w:hAnsi="Arial"/>
                <w:sz w:val="18"/>
                <w:szCs w:val="18"/>
                <w:color w:val="0000EE"/>
              </w:rPr>
            </w:pPr>
            <w:hyperlink w:anchor="page23">
              <w:r>
                <w:rPr>
                  <w:rFonts w:ascii="Arial" w:cs="Arial" w:eastAsia="Arial" w:hAnsi="Arial"/>
                  <w:sz w:val="18"/>
                  <w:szCs w:val="18"/>
                  <w:color w:val="0000EE"/>
                </w:rPr>
                <w:t>Inventory</w:t>
              </w:r>
            </w:hyperlink>
          </w:p>
        </w:tc>
        <w:tc>
          <w:tcPr>
            <w:tcW w:w="6420" w:type="dxa"/>
            <w:vAlign w:val="bottom"/>
            <w:gridSpan w:val="19"/>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21</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9.</w:t>
              </w:r>
            </w:hyperlink>
          </w:p>
        </w:tc>
        <w:tc>
          <w:tcPr>
            <w:tcW w:w="7820" w:type="dxa"/>
            <w:vAlign w:val="bottom"/>
            <w:gridSpan w:val="28"/>
          </w:tcPr>
          <w:p>
            <w:pPr>
              <w:ind w:left="20"/>
              <w:spacing w:after="0"/>
              <w:rPr>
                <w:rFonts w:ascii="Arial" w:cs="Arial" w:eastAsia="Arial" w:hAnsi="Arial"/>
                <w:sz w:val="18"/>
                <w:szCs w:val="18"/>
                <w:color w:val="0000EE"/>
              </w:rPr>
            </w:pPr>
            <w:hyperlink w:anchor="page23">
              <w:r>
                <w:rPr>
                  <w:rFonts w:ascii="Arial" w:cs="Arial" w:eastAsia="Arial" w:hAnsi="Arial"/>
                  <w:sz w:val="18"/>
                  <w:szCs w:val="18"/>
                  <w:color w:val="0000EE"/>
                </w:rPr>
                <w:t>Contingencies and Commitments</w:t>
              </w:r>
            </w:hyperlink>
          </w:p>
        </w:tc>
        <w:tc>
          <w:tcPr>
            <w:tcW w:w="1060" w:type="dxa"/>
            <w:vAlign w:val="bottom"/>
            <w:gridSpan w:val="3"/>
          </w:tcPr>
          <w:p>
            <w:pPr>
              <w:jc w:val="cente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21</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80" w:type="dxa"/>
            <w:vAlign w:val="bottom"/>
            <w:gridSpan w:val="1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10. Debt</w:t>
              </w:r>
            </w:hyperlink>
          </w:p>
        </w:tc>
        <w:tc>
          <w:tcPr>
            <w:tcW w:w="5400" w:type="dxa"/>
            <w:vAlign w:val="bottom"/>
            <w:gridSpan w:val="11"/>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24</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gridSpan w:val="13"/>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11. Shareholders’ Equity</w:t>
              </w:r>
            </w:hyperlink>
          </w:p>
        </w:tc>
        <w:tc>
          <w:tcPr>
            <w:tcW w:w="6180" w:type="dxa"/>
            <w:vAlign w:val="bottom"/>
            <w:gridSpan w:val="16"/>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27</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980" w:type="dxa"/>
            <w:vAlign w:val="bottom"/>
            <w:gridSpan w:val="2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12. Share-Based Compensation</w:t>
              </w:r>
            </w:hyperlink>
          </w:p>
        </w:tc>
        <w:tc>
          <w:tcPr>
            <w:tcW w:w="1060" w:type="dxa"/>
            <w:vAlign w:val="bottom"/>
            <w:gridSpan w:val="3"/>
          </w:tcPr>
          <w:p>
            <w:pPr>
              <w:jc w:val="cente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gridSpan w:val="14"/>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13. Variable Interest Entities</w:t>
              </w:r>
            </w:hyperlink>
          </w:p>
        </w:tc>
        <w:tc>
          <w:tcPr>
            <w:tcW w:w="200" w:type="dxa"/>
            <w:vAlign w:val="bottom"/>
            <w:gridSpan w:val="2"/>
          </w:tcPr>
          <w:p>
            <w:pPr>
              <w:spacing w:after="0"/>
              <w:rPr>
                <w:sz w:val="21"/>
                <w:szCs w:val="21"/>
                <w:color w:val="auto"/>
              </w:rPr>
            </w:pPr>
          </w:p>
        </w:tc>
        <w:tc>
          <w:tcPr>
            <w:tcW w:w="5720" w:type="dxa"/>
            <w:vAlign w:val="bottom"/>
            <w:gridSpan w:val="13"/>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29</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9"/>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gridSpan w:val="11"/>
          </w:tcPr>
          <w:p>
            <w:pPr>
              <w:spacing w:after="0"/>
              <w:rPr>
                <w:rFonts w:ascii="Arial" w:cs="Arial" w:eastAsia="Arial" w:hAnsi="Arial"/>
                <w:sz w:val="18"/>
                <w:szCs w:val="18"/>
                <w:color w:val="0000EE"/>
                <w:w w:val="86"/>
              </w:rPr>
            </w:pPr>
            <w:hyperlink w:anchor="page34">
              <w:r>
                <w:rPr>
                  <w:rFonts w:ascii="Arial" w:cs="Arial" w:eastAsia="Arial" w:hAnsi="Arial"/>
                  <w:sz w:val="18"/>
                  <w:szCs w:val="18"/>
                  <w:color w:val="0000EE"/>
                  <w:w w:val="86"/>
                </w:rPr>
                <w:t>14. Business Segments</w:t>
              </w:r>
            </w:hyperlink>
          </w:p>
        </w:tc>
        <w:tc>
          <w:tcPr>
            <w:tcW w:w="400" w:type="dxa"/>
            <w:vAlign w:val="bottom"/>
            <w:gridSpan w:val="3"/>
          </w:tcPr>
          <w:p>
            <w:pPr>
              <w:spacing w:after="0"/>
              <w:rPr>
                <w:sz w:val="21"/>
                <w:szCs w:val="21"/>
                <w:color w:val="auto"/>
              </w:rPr>
            </w:pPr>
          </w:p>
        </w:tc>
        <w:tc>
          <w:tcPr>
            <w:tcW w:w="5920" w:type="dxa"/>
            <w:vAlign w:val="bottom"/>
            <w:gridSpan w:val="15"/>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32</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320" w:type="dxa"/>
            <w:vAlign w:val="bottom"/>
            <w:gridSpan w:val="9"/>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40" w:type="dxa"/>
            <w:vAlign w:val="bottom"/>
            <w:gridSpan w:val="24"/>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15. Adoption Impact of New Revenue Standard</w:t>
              </w:r>
            </w:hyperlink>
          </w:p>
        </w:tc>
        <w:tc>
          <w:tcPr>
            <w:tcW w:w="4540" w:type="dxa"/>
            <w:vAlign w:val="bottom"/>
            <w:gridSpan w:val="5"/>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33</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Borders>
              <w:left w:val="single" w:sz="8" w:color="0000EE"/>
            </w:tcBorders>
            <w:gridSpan w:val="5"/>
            <w:shd w:val="clear" w:color="auto" w:fill="0000EE"/>
          </w:tcPr>
          <w:p>
            <w:pPr>
              <w:spacing w:after="0" w:line="20" w:lineRule="exact"/>
              <w:rPr>
                <w:sz w:val="1"/>
                <w:szCs w:val="1"/>
                <w:color w:val="auto"/>
              </w:rPr>
            </w:pPr>
          </w:p>
        </w:tc>
        <w:tc>
          <w:tcPr>
            <w:tcW w:w="1320" w:type="dxa"/>
            <w:vAlign w:val="bottom"/>
            <w:gridSpan w:val="9"/>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ind w:left="240"/>
              <w:spacing w:after="0"/>
              <w:rPr>
                <w:sz w:val="20"/>
                <w:szCs w:val="20"/>
                <w:color w:val="auto"/>
              </w:rPr>
            </w:pPr>
            <w:r>
              <w:rPr>
                <w:rFonts w:ascii="Arial" w:cs="Arial" w:eastAsia="Arial" w:hAnsi="Arial"/>
                <w:sz w:val="18"/>
                <w:szCs w:val="18"/>
                <w:color w:val="auto"/>
              </w:rPr>
              <w:t>Item 2.</w:t>
            </w:r>
          </w:p>
        </w:tc>
        <w:tc>
          <w:tcPr>
            <w:tcW w:w="240" w:type="dxa"/>
            <w:vAlign w:val="bottom"/>
          </w:tcPr>
          <w:p>
            <w:pPr>
              <w:spacing w:after="0"/>
              <w:rPr>
                <w:sz w:val="21"/>
                <w:szCs w:val="21"/>
                <w:color w:val="auto"/>
              </w:rPr>
            </w:pPr>
          </w:p>
        </w:tc>
        <w:tc>
          <w:tcPr>
            <w:tcW w:w="8200" w:type="dxa"/>
            <w:vAlign w:val="bottom"/>
            <w:gridSpan w:val="3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Management’s Discussion and Analysis of Financial Condition and Results of Operations</w:t>
              </w:r>
            </w:hyperlink>
          </w:p>
        </w:tc>
        <w:tc>
          <w:tcPr>
            <w:tcW w:w="1060" w:type="dxa"/>
            <w:vAlign w:val="bottom"/>
            <w:gridSpan w:val="3"/>
          </w:tcPr>
          <w:p>
            <w:pPr>
              <w:jc w:val="cente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38</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Borders>
              <w:left w:val="single" w:sz="8" w:color="0000EE"/>
            </w:tcBorders>
            <w:gridSpan w:val="5"/>
            <w:shd w:val="clear" w:color="auto" w:fill="0000EE"/>
          </w:tcPr>
          <w:p>
            <w:pPr>
              <w:spacing w:after="0" w:line="20" w:lineRule="exact"/>
              <w:rPr>
                <w:sz w:val="1"/>
                <w:szCs w:val="1"/>
                <w:color w:val="auto"/>
              </w:rPr>
            </w:pPr>
          </w:p>
        </w:tc>
        <w:tc>
          <w:tcPr>
            <w:tcW w:w="2020" w:type="dxa"/>
            <w:vAlign w:val="bottom"/>
            <w:gridSpan w:val="11"/>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ind w:left="240"/>
              <w:spacing w:after="0"/>
              <w:rPr>
                <w:sz w:val="20"/>
                <w:szCs w:val="20"/>
                <w:color w:val="auto"/>
              </w:rPr>
            </w:pPr>
            <w:r>
              <w:rPr>
                <w:rFonts w:ascii="Arial" w:cs="Arial" w:eastAsia="Arial" w:hAnsi="Arial"/>
                <w:sz w:val="18"/>
                <w:szCs w:val="18"/>
                <w:color w:val="auto"/>
              </w:rPr>
              <w:t>Item 3.</w:t>
            </w:r>
          </w:p>
        </w:tc>
        <w:tc>
          <w:tcPr>
            <w:tcW w:w="240" w:type="dxa"/>
            <w:vAlign w:val="bottom"/>
          </w:tcPr>
          <w:p>
            <w:pPr>
              <w:spacing w:after="0"/>
              <w:rPr>
                <w:sz w:val="21"/>
                <w:szCs w:val="21"/>
                <w:color w:val="auto"/>
              </w:rPr>
            </w:pPr>
          </w:p>
        </w:tc>
        <w:tc>
          <w:tcPr>
            <w:tcW w:w="4360" w:type="dxa"/>
            <w:vAlign w:val="bottom"/>
            <w:gridSpan w:val="27"/>
          </w:tcPr>
          <w:p>
            <w:pPr>
              <w:spacing w:after="0"/>
              <w:rPr>
                <w:rFonts w:ascii="Arial" w:cs="Arial" w:eastAsia="Arial" w:hAnsi="Arial"/>
                <w:sz w:val="18"/>
                <w:szCs w:val="18"/>
                <w:color w:val="0000EE"/>
                <w:w w:val="91"/>
              </w:rPr>
            </w:pPr>
            <w:hyperlink w:anchor="page72">
              <w:r>
                <w:rPr>
                  <w:rFonts w:ascii="Arial" w:cs="Arial" w:eastAsia="Arial" w:hAnsi="Arial"/>
                  <w:sz w:val="18"/>
                  <w:szCs w:val="18"/>
                  <w:color w:val="0000EE"/>
                  <w:w w:val="91"/>
                </w:rPr>
                <w:t>Quantitative and Qualitative Disclosures About Market Risk</w:t>
              </w:r>
            </w:hyperlink>
          </w:p>
        </w:tc>
        <w:tc>
          <w:tcPr>
            <w:tcW w:w="2100" w:type="dxa"/>
            <w:vAlign w:val="bottom"/>
            <w:gridSpan w:val="2"/>
          </w:tcPr>
          <w:p>
            <w:pPr>
              <w:spacing w:after="0"/>
              <w:rPr>
                <w:sz w:val="21"/>
                <w:szCs w:val="21"/>
                <w:color w:val="auto"/>
              </w:rPr>
            </w:pPr>
          </w:p>
        </w:tc>
        <w:tc>
          <w:tcPr>
            <w:tcW w:w="1740" w:type="dxa"/>
            <w:vAlign w:val="bottom"/>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70</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Borders>
              <w:left w:val="single" w:sz="8" w:color="0000EE"/>
            </w:tcBorders>
            <w:gridSpan w:val="5"/>
            <w:shd w:val="clear" w:color="auto" w:fill="0000EE"/>
          </w:tcPr>
          <w:p>
            <w:pPr>
              <w:spacing w:after="0" w:line="20" w:lineRule="exact"/>
              <w:rPr>
                <w:sz w:val="1"/>
                <w:szCs w:val="1"/>
                <w:color w:val="auto"/>
              </w:rPr>
            </w:pPr>
          </w:p>
        </w:tc>
        <w:tc>
          <w:tcPr>
            <w:tcW w:w="2020" w:type="dxa"/>
            <w:vAlign w:val="bottom"/>
            <w:gridSpan w:val="11"/>
            <w:shd w:val="clear" w:color="auto" w:fill="0000EE"/>
          </w:tcPr>
          <w:p>
            <w:pPr>
              <w:spacing w:after="0" w:line="20" w:lineRule="exact"/>
              <w:rPr>
                <w:sz w:val="1"/>
                <w:szCs w:val="1"/>
                <w:color w:val="auto"/>
              </w:rPr>
            </w:pPr>
          </w:p>
        </w:tc>
        <w:tc>
          <w:tcPr>
            <w:tcW w:w="3840" w:type="dxa"/>
            <w:vAlign w:val="bottom"/>
            <w:tcBorders>
              <w:left w:val="single" w:sz="8" w:color="0000EE"/>
            </w:tcBorders>
            <w:gridSpan w:val="3"/>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ind w:left="240"/>
              <w:spacing w:after="0"/>
              <w:rPr>
                <w:sz w:val="20"/>
                <w:szCs w:val="20"/>
                <w:color w:val="auto"/>
              </w:rPr>
            </w:pPr>
            <w:r>
              <w:rPr>
                <w:rFonts w:ascii="Arial" w:cs="Arial" w:eastAsia="Arial" w:hAnsi="Arial"/>
                <w:sz w:val="18"/>
                <w:szCs w:val="18"/>
                <w:color w:val="auto"/>
              </w:rPr>
              <w:t>Item 4.</w:t>
            </w:r>
          </w:p>
        </w:tc>
        <w:tc>
          <w:tcPr>
            <w:tcW w:w="240" w:type="dxa"/>
            <w:vAlign w:val="bottom"/>
          </w:tcPr>
          <w:p>
            <w:pPr>
              <w:spacing w:after="0"/>
              <w:rPr>
                <w:sz w:val="21"/>
                <w:szCs w:val="21"/>
                <w:color w:val="auto"/>
              </w:rPr>
            </w:pPr>
          </w:p>
        </w:tc>
        <w:tc>
          <w:tcPr>
            <w:tcW w:w="1780" w:type="dxa"/>
            <w:vAlign w:val="bottom"/>
            <w:gridSpan w:val="11"/>
          </w:tcPr>
          <w:p>
            <w:pPr>
              <w:spacing w:after="0"/>
              <w:rPr>
                <w:rFonts w:ascii="Arial" w:cs="Arial" w:eastAsia="Arial" w:hAnsi="Arial"/>
                <w:sz w:val="18"/>
                <w:szCs w:val="18"/>
                <w:color w:val="0000EE"/>
                <w:w w:val="87"/>
              </w:rPr>
            </w:pPr>
            <w:hyperlink w:anchor="page73">
              <w:r>
                <w:rPr>
                  <w:rFonts w:ascii="Arial" w:cs="Arial" w:eastAsia="Arial" w:hAnsi="Arial"/>
                  <w:sz w:val="18"/>
                  <w:szCs w:val="18"/>
                  <w:color w:val="0000EE"/>
                  <w:w w:val="87"/>
                </w:rPr>
                <w:t>Controls and Procedures</w:t>
              </w:r>
            </w:hyperlink>
          </w:p>
        </w:tc>
        <w:tc>
          <w:tcPr>
            <w:tcW w:w="2580" w:type="dxa"/>
            <w:vAlign w:val="bottom"/>
            <w:gridSpan w:val="16"/>
          </w:tcPr>
          <w:p>
            <w:pPr>
              <w:spacing w:after="0"/>
              <w:rPr>
                <w:sz w:val="21"/>
                <w:szCs w:val="21"/>
                <w:color w:val="auto"/>
              </w:rPr>
            </w:pPr>
          </w:p>
        </w:tc>
        <w:tc>
          <w:tcPr>
            <w:tcW w:w="3840" w:type="dxa"/>
            <w:vAlign w:val="bottom"/>
            <w:gridSpan w:val="3"/>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71</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20" w:type="dxa"/>
            <w:vAlign w:val="bottom"/>
            <w:gridSpan w:val="11"/>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gridSpan w:val="12"/>
          </w:tcPr>
          <w:p>
            <w:pPr>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OTHER INFORMATION</w:t>
              </w:r>
            </w:hyperlink>
          </w:p>
        </w:tc>
        <w:tc>
          <w:tcPr>
            <w:tcW w:w="6420" w:type="dxa"/>
            <w:vAlign w:val="bottom"/>
            <w:gridSpan w:val="19"/>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72</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Borders>
              <w:left w:val="single" w:sz="8" w:color="0000EE"/>
            </w:tcBorders>
            <w:gridSpan w:val="5"/>
          </w:tcPr>
          <w:p>
            <w:pPr>
              <w:spacing w:after="0" w:line="20" w:lineRule="exact"/>
              <w:rPr>
                <w:sz w:val="1"/>
                <w:szCs w:val="1"/>
                <w:color w:val="auto"/>
              </w:rPr>
            </w:pPr>
          </w:p>
        </w:tc>
        <w:tc>
          <w:tcPr>
            <w:tcW w:w="2020" w:type="dxa"/>
            <w:vAlign w:val="bottom"/>
            <w:gridSpan w:val="11"/>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ind w:left="240"/>
              <w:spacing w:after="0"/>
              <w:rPr>
                <w:sz w:val="20"/>
                <w:szCs w:val="20"/>
                <w:color w:val="auto"/>
              </w:rPr>
            </w:pPr>
            <w:r>
              <w:rPr>
                <w:rFonts w:ascii="Arial" w:cs="Arial" w:eastAsia="Arial" w:hAnsi="Arial"/>
                <w:sz w:val="18"/>
                <w:szCs w:val="18"/>
                <w:color w:val="auto"/>
              </w:rPr>
              <w:t>Item 1.</w:t>
            </w:r>
          </w:p>
        </w:tc>
        <w:tc>
          <w:tcPr>
            <w:tcW w:w="240" w:type="dxa"/>
            <w:vAlign w:val="bottom"/>
          </w:tcPr>
          <w:p>
            <w:pPr>
              <w:spacing w:after="0"/>
              <w:rPr>
                <w:sz w:val="21"/>
                <w:szCs w:val="21"/>
                <w:color w:val="auto"/>
              </w:rPr>
            </w:pPr>
          </w:p>
        </w:tc>
        <w:tc>
          <w:tcPr>
            <w:tcW w:w="1780" w:type="dxa"/>
            <w:vAlign w:val="bottom"/>
            <w:gridSpan w:val="11"/>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Legal Proceedings</w:t>
              </w:r>
            </w:hyperlink>
          </w:p>
        </w:tc>
        <w:tc>
          <w:tcPr>
            <w:tcW w:w="6420" w:type="dxa"/>
            <w:vAlign w:val="bottom"/>
            <w:gridSpan w:val="19"/>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72</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8"/>
          </w:tcPr>
          <w:p>
            <w:pPr>
              <w:spacing w:after="0" w:line="20" w:lineRule="exact"/>
              <w:rPr>
                <w:sz w:val="1"/>
                <w:szCs w:val="1"/>
                <w:color w:val="auto"/>
              </w:rPr>
            </w:pPr>
          </w:p>
        </w:tc>
        <w:tc>
          <w:tcPr>
            <w:tcW w:w="2020" w:type="dxa"/>
            <w:vAlign w:val="bottom"/>
            <w:gridSpan w:val="11"/>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ind w:left="240"/>
              <w:spacing w:after="0"/>
              <w:rPr>
                <w:sz w:val="20"/>
                <w:szCs w:val="20"/>
                <w:color w:val="auto"/>
              </w:rPr>
            </w:pPr>
            <w:r>
              <w:rPr>
                <w:rFonts w:ascii="Arial" w:cs="Arial" w:eastAsia="Arial" w:hAnsi="Arial"/>
                <w:sz w:val="18"/>
                <w:szCs w:val="18"/>
                <w:color w:val="auto"/>
              </w:rPr>
              <w:t>Item 1A.</w:t>
            </w:r>
          </w:p>
        </w:tc>
        <w:tc>
          <w:tcPr>
            <w:tcW w:w="240" w:type="dxa"/>
            <w:vAlign w:val="bottom"/>
          </w:tcPr>
          <w:p>
            <w:pPr>
              <w:spacing w:after="0"/>
              <w:rPr>
                <w:sz w:val="21"/>
                <w:szCs w:val="21"/>
                <w:color w:val="auto"/>
              </w:rPr>
            </w:pPr>
          </w:p>
        </w:tc>
        <w:tc>
          <w:tcPr>
            <w:tcW w:w="920" w:type="dxa"/>
            <w:vAlign w:val="bottom"/>
            <w:gridSpan w:val="5"/>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Risk Factors</w:t>
              </w:r>
            </w:hyperlink>
          </w:p>
        </w:tc>
        <w:tc>
          <w:tcPr>
            <w:tcW w:w="400" w:type="dxa"/>
            <w:vAlign w:val="bottom"/>
            <w:gridSpan w:val="3"/>
          </w:tcPr>
          <w:p>
            <w:pPr>
              <w:spacing w:after="0"/>
              <w:rPr>
                <w:sz w:val="21"/>
                <w:szCs w:val="21"/>
                <w:color w:val="auto"/>
              </w:rPr>
            </w:pPr>
          </w:p>
        </w:tc>
        <w:tc>
          <w:tcPr>
            <w:tcW w:w="6880" w:type="dxa"/>
            <w:vAlign w:val="bottom"/>
            <w:gridSpan w:val="22"/>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72</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2020" w:type="dxa"/>
            <w:vAlign w:val="bottom"/>
            <w:gridSpan w:val="11"/>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ind w:left="240"/>
              <w:spacing w:after="0"/>
              <w:rPr>
                <w:sz w:val="20"/>
                <w:szCs w:val="20"/>
                <w:color w:val="auto"/>
              </w:rPr>
            </w:pPr>
            <w:r>
              <w:rPr>
                <w:rFonts w:ascii="Arial" w:cs="Arial" w:eastAsia="Arial" w:hAnsi="Arial"/>
                <w:sz w:val="18"/>
                <w:szCs w:val="18"/>
                <w:color w:val="auto"/>
              </w:rPr>
              <w:t>Item 2.</w:t>
            </w:r>
          </w:p>
        </w:tc>
        <w:tc>
          <w:tcPr>
            <w:tcW w:w="240" w:type="dxa"/>
            <w:vAlign w:val="bottom"/>
          </w:tcPr>
          <w:p>
            <w:pPr>
              <w:spacing w:after="0"/>
              <w:rPr>
                <w:sz w:val="21"/>
                <w:szCs w:val="21"/>
                <w:color w:val="auto"/>
              </w:rPr>
            </w:pPr>
          </w:p>
        </w:tc>
        <w:tc>
          <w:tcPr>
            <w:tcW w:w="4360" w:type="dxa"/>
            <w:vAlign w:val="bottom"/>
            <w:gridSpan w:val="27"/>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Unregistered Sales of Equity Securities and Use of Proceeds</w:t>
              </w:r>
            </w:hyperlink>
          </w:p>
        </w:tc>
        <w:tc>
          <w:tcPr>
            <w:tcW w:w="3840" w:type="dxa"/>
            <w:vAlign w:val="bottom"/>
            <w:gridSpan w:val="3"/>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73</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4"/>
            <w:shd w:val="clear" w:color="auto" w:fill="0000EE"/>
          </w:tcPr>
          <w:p>
            <w:pPr>
              <w:spacing w:after="0" w:line="20" w:lineRule="exact"/>
              <w:rPr>
                <w:sz w:val="1"/>
                <w:szCs w:val="1"/>
                <w:color w:val="auto"/>
              </w:rPr>
            </w:pPr>
          </w:p>
        </w:tc>
        <w:tc>
          <w:tcPr>
            <w:tcW w:w="1020" w:type="dxa"/>
            <w:vAlign w:val="bottom"/>
            <w:tcBorders>
              <w:left w:val="single" w:sz="8" w:color="0000EE"/>
            </w:tcBorders>
            <w:gridSpan w:val="8"/>
            <w:shd w:val="clear" w:color="auto" w:fill="0000EE"/>
          </w:tcPr>
          <w:p>
            <w:pPr>
              <w:spacing w:after="0" w:line="20" w:lineRule="exact"/>
              <w:rPr>
                <w:sz w:val="1"/>
                <w:szCs w:val="1"/>
                <w:color w:val="auto"/>
              </w:rPr>
            </w:pPr>
          </w:p>
        </w:tc>
        <w:tc>
          <w:tcPr>
            <w:tcW w:w="2020" w:type="dxa"/>
            <w:vAlign w:val="bottom"/>
            <w:gridSpan w:val="11"/>
            <w:shd w:val="clear" w:color="auto" w:fill="0000EE"/>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ind w:left="240"/>
              <w:spacing w:after="0"/>
              <w:rPr>
                <w:sz w:val="20"/>
                <w:szCs w:val="20"/>
                <w:color w:val="auto"/>
              </w:rPr>
            </w:pPr>
            <w:r>
              <w:rPr>
                <w:rFonts w:ascii="Arial" w:cs="Arial" w:eastAsia="Arial" w:hAnsi="Arial"/>
                <w:sz w:val="18"/>
                <w:szCs w:val="18"/>
                <w:color w:val="auto"/>
              </w:rPr>
              <w:t>Item 3.</w:t>
            </w:r>
          </w:p>
        </w:tc>
        <w:tc>
          <w:tcPr>
            <w:tcW w:w="240" w:type="dxa"/>
            <w:vAlign w:val="bottom"/>
          </w:tcPr>
          <w:p>
            <w:pPr>
              <w:spacing w:after="0"/>
              <w:rPr>
                <w:sz w:val="21"/>
                <w:szCs w:val="21"/>
                <w:color w:val="auto"/>
              </w:rPr>
            </w:pPr>
          </w:p>
        </w:tc>
        <w:tc>
          <w:tcPr>
            <w:tcW w:w="2340" w:type="dxa"/>
            <w:vAlign w:val="bottom"/>
            <w:gridSpan w:val="16"/>
          </w:tcPr>
          <w:p>
            <w:pPr>
              <w:spacing w:after="0"/>
              <w:rPr>
                <w:rFonts w:ascii="Arial" w:cs="Arial" w:eastAsia="Arial" w:hAnsi="Arial"/>
                <w:sz w:val="18"/>
                <w:szCs w:val="18"/>
                <w:color w:val="0000EE"/>
                <w:w w:val="90"/>
              </w:rPr>
            </w:pPr>
            <w:hyperlink w:anchor="page75">
              <w:r>
                <w:rPr>
                  <w:rFonts w:ascii="Arial" w:cs="Arial" w:eastAsia="Arial" w:hAnsi="Arial"/>
                  <w:sz w:val="18"/>
                  <w:szCs w:val="18"/>
                  <w:color w:val="0000EE"/>
                  <w:w w:val="90"/>
                </w:rPr>
                <w:t>Defaults Upon Senior Securities</w:t>
              </w:r>
            </w:hyperlink>
          </w:p>
        </w:tc>
        <w:tc>
          <w:tcPr>
            <w:tcW w:w="2020" w:type="dxa"/>
            <w:vAlign w:val="bottom"/>
            <w:gridSpan w:val="11"/>
          </w:tcPr>
          <w:p>
            <w:pPr>
              <w:spacing w:after="0"/>
              <w:rPr>
                <w:sz w:val="21"/>
                <w:szCs w:val="21"/>
                <w:color w:val="auto"/>
              </w:rPr>
            </w:pPr>
          </w:p>
        </w:tc>
        <w:tc>
          <w:tcPr>
            <w:tcW w:w="3840" w:type="dxa"/>
            <w:vAlign w:val="bottom"/>
            <w:gridSpan w:val="3"/>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73</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4"/>
            <w:shd w:val="clear" w:color="auto" w:fill="0000EE"/>
          </w:tcPr>
          <w:p>
            <w:pPr>
              <w:spacing w:after="0" w:line="20" w:lineRule="exact"/>
              <w:rPr>
                <w:sz w:val="1"/>
                <w:szCs w:val="1"/>
                <w:color w:val="auto"/>
              </w:rPr>
            </w:pPr>
          </w:p>
        </w:tc>
        <w:tc>
          <w:tcPr>
            <w:tcW w:w="1020" w:type="dxa"/>
            <w:vAlign w:val="bottom"/>
            <w:tcBorders>
              <w:left w:val="single" w:sz="8" w:color="0000EE"/>
            </w:tcBorders>
            <w:gridSpan w:val="8"/>
            <w:shd w:val="clear" w:color="auto" w:fill="0000EE"/>
          </w:tcPr>
          <w:p>
            <w:pPr>
              <w:spacing w:after="0" w:line="20" w:lineRule="exact"/>
              <w:rPr>
                <w:sz w:val="1"/>
                <w:szCs w:val="1"/>
                <w:color w:val="auto"/>
              </w:rPr>
            </w:pPr>
          </w:p>
        </w:tc>
        <w:tc>
          <w:tcPr>
            <w:tcW w:w="5860" w:type="dxa"/>
            <w:vAlign w:val="bottom"/>
            <w:gridSpan w:val="14"/>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ind w:left="240"/>
              <w:spacing w:after="0"/>
              <w:rPr>
                <w:sz w:val="20"/>
                <w:szCs w:val="20"/>
                <w:color w:val="auto"/>
              </w:rPr>
            </w:pPr>
            <w:r>
              <w:rPr>
                <w:rFonts w:ascii="Arial" w:cs="Arial" w:eastAsia="Arial" w:hAnsi="Arial"/>
                <w:sz w:val="18"/>
                <w:szCs w:val="18"/>
                <w:color w:val="auto"/>
              </w:rPr>
              <w:t>Item 4.</w:t>
            </w:r>
          </w:p>
        </w:tc>
        <w:tc>
          <w:tcPr>
            <w:tcW w:w="240" w:type="dxa"/>
            <w:vAlign w:val="bottom"/>
          </w:tcPr>
          <w:p>
            <w:pPr>
              <w:spacing w:after="0"/>
              <w:rPr>
                <w:sz w:val="21"/>
                <w:szCs w:val="21"/>
                <w:color w:val="auto"/>
              </w:rPr>
            </w:pPr>
          </w:p>
        </w:tc>
        <w:tc>
          <w:tcPr>
            <w:tcW w:w="1780" w:type="dxa"/>
            <w:vAlign w:val="bottom"/>
            <w:gridSpan w:val="11"/>
          </w:tcPr>
          <w:p>
            <w:pPr>
              <w:spacing w:after="0"/>
              <w:rPr>
                <w:rFonts w:ascii="Arial" w:cs="Arial" w:eastAsia="Arial" w:hAnsi="Arial"/>
                <w:sz w:val="18"/>
                <w:szCs w:val="18"/>
                <w:color w:val="0000EE"/>
                <w:w w:val="90"/>
              </w:rPr>
            </w:pPr>
            <w:hyperlink w:anchor="page75">
              <w:r>
                <w:rPr>
                  <w:rFonts w:ascii="Arial" w:cs="Arial" w:eastAsia="Arial" w:hAnsi="Arial"/>
                  <w:sz w:val="18"/>
                  <w:szCs w:val="18"/>
                  <w:color w:val="0000EE"/>
                  <w:w w:val="90"/>
                </w:rPr>
                <w:t>Mine Safety Disclosures</w:t>
              </w:r>
            </w:hyperlink>
          </w:p>
        </w:tc>
        <w:tc>
          <w:tcPr>
            <w:tcW w:w="560" w:type="dxa"/>
            <w:vAlign w:val="bottom"/>
            <w:gridSpan w:val="5"/>
          </w:tcPr>
          <w:p>
            <w:pPr>
              <w:spacing w:after="0"/>
              <w:rPr>
                <w:sz w:val="21"/>
                <w:szCs w:val="21"/>
                <w:color w:val="auto"/>
              </w:rPr>
            </w:pPr>
          </w:p>
        </w:tc>
        <w:tc>
          <w:tcPr>
            <w:tcW w:w="5860" w:type="dxa"/>
            <w:vAlign w:val="bottom"/>
            <w:gridSpan w:val="14"/>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73</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6420" w:type="dxa"/>
            <w:vAlign w:val="bottom"/>
            <w:gridSpan w:val="19"/>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ind w:left="240"/>
              <w:spacing w:after="0"/>
              <w:rPr>
                <w:sz w:val="20"/>
                <w:szCs w:val="20"/>
                <w:color w:val="auto"/>
              </w:rPr>
            </w:pPr>
            <w:r>
              <w:rPr>
                <w:rFonts w:ascii="Arial" w:cs="Arial" w:eastAsia="Arial" w:hAnsi="Arial"/>
                <w:sz w:val="18"/>
                <w:szCs w:val="18"/>
                <w:color w:val="auto"/>
              </w:rPr>
              <w:t>Item 5.</w:t>
            </w:r>
          </w:p>
        </w:tc>
        <w:tc>
          <w:tcPr>
            <w:tcW w:w="240" w:type="dxa"/>
            <w:vAlign w:val="bottom"/>
          </w:tcPr>
          <w:p>
            <w:pPr>
              <w:spacing w:after="0"/>
              <w:rPr>
                <w:sz w:val="21"/>
                <w:szCs w:val="21"/>
                <w:color w:val="auto"/>
              </w:rPr>
            </w:pPr>
          </w:p>
        </w:tc>
        <w:tc>
          <w:tcPr>
            <w:tcW w:w="1780" w:type="dxa"/>
            <w:vAlign w:val="bottom"/>
            <w:gridSpan w:val="11"/>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Other Information</w:t>
              </w:r>
            </w:hyperlink>
          </w:p>
        </w:tc>
        <w:tc>
          <w:tcPr>
            <w:tcW w:w="6420" w:type="dxa"/>
            <w:vAlign w:val="bottom"/>
            <w:gridSpan w:val="19"/>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74</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4"/>
            <w:shd w:val="clear" w:color="auto" w:fill="0000EE"/>
          </w:tcPr>
          <w:p>
            <w:pPr>
              <w:spacing w:after="0" w:line="20" w:lineRule="exact"/>
              <w:rPr>
                <w:sz w:val="1"/>
                <w:szCs w:val="1"/>
                <w:color w:val="auto"/>
              </w:rPr>
            </w:pPr>
          </w:p>
        </w:tc>
        <w:tc>
          <w:tcPr>
            <w:tcW w:w="6880" w:type="dxa"/>
            <w:vAlign w:val="bottom"/>
            <w:gridSpan w:val="22"/>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ind w:left="240"/>
              <w:spacing w:after="0"/>
              <w:rPr>
                <w:sz w:val="20"/>
                <w:szCs w:val="20"/>
                <w:color w:val="auto"/>
              </w:rPr>
            </w:pPr>
            <w:r>
              <w:rPr>
                <w:rFonts w:ascii="Arial" w:cs="Arial" w:eastAsia="Arial" w:hAnsi="Arial"/>
                <w:sz w:val="18"/>
                <w:szCs w:val="18"/>
                <w:color w:val="auto"/>
              </w:rPr>
              <w:t>Item 6.</w:t>
            </w:r>
          </w:p>
        </w:tc>
        <w:tc>
          <w:tcPr>
            <w:tcW w:w="240" w:type="dxa"/>
            <w:vAlign w:val="bottom"/>
          </w:tcPr>
          <w:p>
            <w:pPr>
              <w:spacing w:after="0"/>
              <w:rPr>
                <w:sz w:val="21"/>
                <w:szCs w:val="21"/>
                <w:color w:val="auto"/>
              </w:rPr>
            </w:pPr>
          </w:p>
        </w:tc>
        <w:tc>
          <w:tcPr>
            <w:tcW w:w="1320" w:type="dxa"/>
            <w:vAlign w:val="bottom"/>
            <w:gridSpan w:val="8"/>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Exhibits</w:t>
              </w:r>
            </w:hyperlink>
          </w:p>
        </w:tc>
        <w:tc>
          <w:tcPr>
            <w:tcW w:w="6880" w:type="dxa"/>
            <w:vAlign w:val="bottom"/>
            <w:gridSpan w:val="22"/>
          </w:tcPr>
          <w:p>
            <w:pPr>
              <w:spacing w:after="0"/>
              <w:rPr>
                <w:sz w:val="21"/>
                <w:szCs w:val="21"/>
                <w:color w:val="auto"/>
              </w:rPr>
            </w:pPr>
          </w:p>
        </w:tc>
        <w:tc>
          <w:tcPr>
            <w:tcW w:w="1060" w:type="dxa"/>
            <w:vAlign w:val="bottom"/>
            <w:gridSpan w:val="3"/>
          </w:tcPr>
          <w:p>
            <w:pPr>
              <w:jc w:val="cente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74</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360" w:type="dxa"/>
            <w:vAlign w:val="bottom"/>
            <w:gridSpan w:val="26"/>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Pr>
          <w:p>
            <w:pPr>
              <w:spacing w:after="0"/>
              <w:rPr>
                <w:sz w:val="21"/>
                <w:szCs w:val="21"/>
                <w:color w:val="auto"/>
              </w:rPr>
            </w:pPr>
          </w:p>
        </w:tc>
        <w:tc>
          <w:tcPr>
            <w:tcW w:w="8440" w:type="dxa"/>
            <w:vAlign w:val="bottom"/>
            <w:gridSpan w:val="31"/>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SIGNATURES</w:t>
              </w:r>
            </w:hyperlink>
          </w:p>
        </w:tc>
        <w:tc>
          <w:tcPr>
            <w:tcW w:w="1060" w:type="dxa"/>
            <w:vAlign w:val="bottom"/>
            <w:gridSpan w:val="3"/>
          </w:tcPr>
          <w:p>
            <w:pPr>
              <w:jc w:val="cente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75</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662"/>
        <w:spacing w:after="0" w:line="226" w:lineRule="auto"/>
        <w:rPr>
          <w:sz w:val="20"/>
          <w:szCs w:val="20"/>
          <w:color w:val="auto"/>
        </w:rPr>
      </w:pPr>
      <w:r>
        <w:rPr>
          <w:rFonts w:ascii="Arial" w:cs="Arial" w:eastAsia="Arial" w:hAnsi="Arial"/>
          <w:sz w:val="18"/>
          <w:szCs w:val="18"/>
          <w:color w:val="auto"/>
        </w:rPr>
        <w:t>Throughout this report, we refer to brands that we own, as well as those brands that we license from Marriott International, Inc. (“Marriott International”) or its affiliates, as our brands. Brand names, trademarks, service marks and trade names that we own or license from Marriott International include Marriott Vacation Club</w:t>
      </w:r>
      <w:r>
        <w:rPr>
          <w:rFonts w:ascii="Arial" w:cs="Arial" w:eastAsia="Arial" w:hAnsi="Arial"/>
          <w:sz w:val="25"/>
          <w:szCs w:val="25"/>
          <w:color w:val="auto"/>
          <w:vertAlign w:val="superscript"/>
        </w:rPr>
        <w:t>®</w:t>
      </w:r>
      <w:r>
        <w:rPr>
          <w:rFonts w:ascii="Arial" w:cs="Arial" w:eastAsia="Arial" w:hAnsi="Arial"/>
          <w:sz w:val="18"/>
          <w:szCs w:val="18"/>
          <w:color w:val="auto"/>
        </w:rPr>
        <w:t>, Marriott Vacation Club Destinations</w:t>
      </w:r>
      <w:r>
        <w:rPr>
          <w:rFonts w:ascii="Arial" w:cs="Arial" w:eastAsia="Arial" w:hAnsi="Arial"/>
          <w:sz w:val="18"/>
          <w:szCs w:val="18"/>
          <w:color w:val="auto"/>
          <w:vertAlign w:val="superscript"/>
        </w:rPr>
        <w:t>TM</w:t>
      </w:r>
      <w:r>
        <w:rPr>
          <w:rFonts w:ascii="Arial" w:cs="Arial" w:eastAsia="Arial" w:hAnsi="Arial"/>
          <w:sz w:val="14"/>
          <w:szCs w:val="14"/>
          <w:color w:val="auto"/>
        </w:rPr>
        <w:t>,</w:t>
      </w:r>
      <w:r>
        <w:rPr>
          <w:rFonts w:ascii="Arial" w:cs="Arial" w:eastAsia="Arial" w:hAnsi="Arial"/>
          <w:sz w:val="18"/>
          <w:szCs w:val="18"/>
          <w:color w:val="auto"/>
        </w:rPr>
        <w:t xml:space="preserve"> Marriott Vacation Club Pulse</w:t>
      </w:r>
      <w:r>
        <w:rPr>
          <w:rFonts w:ascii="Arial" w:cs="Arial" w:eastAsia="Arial" w:hAnsi="Arial"/>
          <w:sz w:val="18"/>
          <w:szCs w:val="18"/>
          <w:color w:val="auto"/>
          <w:vertAlign w:val="superscript"/>
        </w:rPr>
        <w:t>SM</w:t>
      </w:r>
      <w:r>
        <w:rPr>
          <w:rFonts w:ascii="Arial" w:cs="Arial" w:eastAsia="Arial" w:hAnsi="Arial"/>
          <w:sz w:val="18"/>
          <w:szCs w:val="18"/>
          <w:color w:val="auto"/>
        </w:rPr>
        <w:t>, Marriott Grand Residence Club</w:t>
      </w:r>
      <w:r>
        <w:rPr>
          <w:rFonts w:ascii="Arial" w:cs="Arial" w:eastAsia="Arial" w:hAnsi="Arial"/>
          <w:sz w:val="25"/>
          <w:szCs w:val="25"/>
          <w:color w:val="auto"/>
          <w:vertAlign w:val="superscript"/>
        </w:rPr>
        <w:t>®</w:t>
      </w:r>
      <w:r>
        <w:rPr>
          <w:rFonts w:ascii="Arial" w:cs="Arial" w:eastAsia="Arial" w:hAnsi="Arial"/>
          <w:sz w:val="18"/>
          <w:szCs w:val="18"/>
          <w:color w:val="auto"/>
        </w:rPr>
        <w:t>, Grand Residences by Marriott</w:t>
      </w:r>
      <w:r>
        <w:rPr>
          <w:rFonts w:ascii="Arial" w:cs="Arial" w:eastAsia="Arial" w:hAnsi="Arial"/>
          <w:sz w:val="25"/>
          <w:szCs w:val="25"/>
          <w:color w:val="auto"/>
          <w:vertAlign w:val="superscript"/>
        </w:rPr>
        <w:t>®</w:t>
      </w:r>
      <w:r>
        <w:rPr>
          <w:rFonts w:ascii="Arial" w:cs="Arial" w:eastAsia="Arial" w:hAnsi="Arial"/>
          <w:sz w:val="18"/>
          <w:szCs w:val="18"/>
          <w:color w:val="auto"/>
        </w:rPr>
        <w:t>, and The Ritz-Carlton Club</w:t>
      </w:r>
      <w:r>
        <w:rPr>
          <w:rFonts w:ascii="Arial" w:cs="Arial" w:eastAsia="Arial" w:hAnsi="Arial"/>
          <w:sz w:val="25"/>
          <w:szCs w:val="25"/>
          <w:color w:val="auto"/>
          <w:vertAlign w:val="superscript"/>
        </w:rPr>
        <w:t>®</w:t>
      </w:r>
      <w:r>
        <w:rPr>
          <w:rFonts w:ascii="Arial" w:cs="Arial" w:eastAsia="Arial" w:hAnsi="Arial"/>
          <w:sz w:val="18"/>
          <w:szCs w:val="18"/>
          <w:color w:val="auto"/>
        </w:rPr>
        <w:t>. We also refer to Marriott International’s Marriott Rewards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customer loyalty program. We may also refer to brand names, trademarks, service marks and trade names of other companies and organizations, and these brand names, trademarks, service marks and trade names are the property of their respective owners.</w:t>
      </w:r>
    </w:p>
    <w:p>
      <w:pPr>
        <w:sectPr>
          <w:pgSz w:w="11900" w:h="16838" w:orient="portrait"/>
          <w:cols w:equalWidth="0" w:num="1">
            <w:col w:w="11360"/>
          </w:cols>
          <w:pgMar w:left="240" w:top="364"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5"/>
          </w:tcPr>
          <w:p>
            <w:pPr>
              <w:ind w:left="62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2860" w:type="dxa"/>
            <w:vAlign w:val="bottom"/>
            <w:gridSpan w:val="4"/>
          </w:tcPr>
          <w:p>
            <w:pPr>
              <w:jc w:val="right"/>
              <w:ind w:right="790"/>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2018</w:t>
            </w: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2017</w:t>
            </w: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2018</w:t>
            </w:r>
          </w:p>
        </w:tc>
        <w:tc>
          <w:tcPr>
            <w:tcW w:w="20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Arial" w:cs="Arial" w:eastAsia="Arial" w:hAnsi="Arial"/>
                <w:sz w:val="16"/>
                <w:szCs w:val="16"/>
                <w:b w:val="1"/>
                <w:bCs w:val="1"/>
                <w:color w:val="auto"/>
                <w:w w:val="96"/>
              </w:rPr>
              <w:t>June 30, 2017</w:t>
            </w:r>
          </w:p>
        </w:tc>
      </w:tr>
      <w:tr>
        <w:trPr>
          <w:trHeight w:val="33"/>
        </w:trPr>
        <w:tc>
          <w:tcPr>
            <w:tcW w:w="5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REVENUES</w:t>
            </w:r>
          </w:p>
        </w:tc>
        <w:tc>
          <w:tcPr>
            <w:tcW w:w="40" w:type="dxa"/>
            <w:vAlign w:val="bottom"/>
            <w:tcBorders>
              <w:bottom w:val="single" w:sz="8" w:color="CCEEFF"/>
            </w:tcBorders>
            <w:shd w:val="clear" w:color="auto" w:fill="CCEEFF"/>
          </w:tcPr>
          <w:p>
            <w:pPr>
              <w:spacing w:after="0"/>
              <w:rPr>
                <w:sz w:val="21"/>
                <w:szCs w:val="21"/>
                <w:color w:val="auto"/>
              </w:rPr>
            </w:pPr>
          </w:p>
        </w:tc>
        <w:tc>
          <w:tcPr>
            <w:tcW w:w="3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4"/>
          </w:tcPr>
          <w:p>
            <w:pPr>
              <w:ind w:left="280"/>
              <w:spacing w:after="0"/>
              <w:rPr>
                <w:sz w:val="20"/>
                <w:szCs w:val="20"/>
                <w:color w:val="auto"/>
              </w:rPr>
            </w:pPr>
            <w:r>
              <w:rPr>
                <w:rFonts w:ascii="Arial" w:cs="Arial" w:eastAsia="Arial" w:hAnsi="Arial"/>
                <w:sz w:val="18"/>
                <w:szCs w:val="18"/>
                <w:color w:val="auto"/>
              </w:rPr>
              <w:t>Sale of vacation ownership products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205,168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201,856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379,957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365,733</w:t>
            </w:r>
          </w:p>
        </w:tc>
      </w:tr>
      <w:tr>
        <w:trPr>
          <w:trHeight w:val="27"/>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4"/>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Resort management and other services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77,642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147,822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139,359</w:t>
            </w:r>
          </w:p>
        </w:tc>
      </w:tr>
      <w:tr>
        <w:trPr>
          <w:trHeight w:val="243"/>
        </w:trPr>
        <w:tc>
          <w:tcPr>
            <w:tcW w:w="5160" w:type="dxa"/>
            <w:vAlign w:val="bottom"/>
            <w:gridSpan w:val="4"/>
          </w:tcPr>
          <w:p>
            <w:pPr>
              <w:ind w:left="280"/>
              <w:spacing w:after="0"/>
              <w:rPr>
                <w:sz w:val="20"/>
                <w:szCs w:val="20"/>
                <w:color w:val="auto"/>
              </w:rPr>
            </w:pPr>
            <w:r>
              <w:rPr>
                <w:rFonts w:ascii="Arial" w:cs="Arial" w:eastAsia="Arial" w:hAnsi="Arial"/>
                <w:sz w:val="18"/>
                <w:szCs w:val="18"/>
                <w:color w:val="auto"/>
              </w:rPr>
              <w:t>Financing</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35,851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32,530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71,333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64,641</w:t>
            </w:r>
          </w:p>
        </w:tc>
      </w:tr>
      <w:tr>
        <w:trPr>
          <w:trHeight w:val="27"/>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Rental</w:t>
            </w:r>
          </w:p>
        </w:tc>
        <w:tc>
          <w:tcPr>
            <w:tcW w:w="40" w:type="dxa"/>
            <w:vAlign w:val="bottom"/>
            <w:tcBorders>
              <w:bottom w:val="single" w:sz="8" w:color="CCEEFF"/>
            </w:tcBorders>
            <w:shd w:val="clear" w:color="auto" w:fill="CCEEFF"/>
          </w:tcPr>
          <w:p>
            <w:pPr>
              <w:spacing w:after="0"/>
              <w:rPr>
                <w:sz w:val="21"/>
                <w:szCs w:val="21"/>
                <w:color w:val="auto"/>
              </w:rPr>
            </w:pPr>
          </w:p>
        </w:tc>
        <w:tc>
          <w:tcPr>
            <w:tcW w:w="3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74,561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148,771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136,969</w:t>
            </w:r>
          </w:p>
        </w:tc>
      </w:tr>
      <w:tr>
        <w:trPr>
          <w:trHeight w:val="243"/>
        </w:trPr>
        <w:tc>
          <w:tcPr>
            <w:tcW w:w="5160" w:type="dxa"/>
            <w:vAlign w:val="bottom"/>
            <w:gridSpan w:val="4"/>
          </w:tcPr>
          <w:p>
            <w:pPr>
              <w:ind w:left="280"/>
              <w:spacing w:after="0"/>
              <w:rPr>
                <w:sz w:val="20"/>
                <w:szCs w:val="20"/>
                <w:color w:val="auto"/>
              </w:rPr>
            </w:pPr>
            <w:r>
              <w:rPr>
                <w:rFonts w:ascii="Arial" w:cs="Arial" w:eastAsia="Arial" w:hAnsi="Arial"/>
                <w:sz w:val="18"/>
                <w:szCs w:val="18"/>
                <w:color w:val="auto"/>
              </w:rPr>
              <w:t>Cost reimbursements</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201,470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186,820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417,658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384,034</w:t>
            </w:r>
          </w:p>
        </w:tc>
      </w:tr>
      <w:tr>
        <w:trPr>
          <w:trHeight w:val="27"/>
        </w:trPr>
        <w:tc>
          <w:tcPr>
            <w:tcW w:w="5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5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7"/>
                <w:shd w:val="clear" w:color="auto" w:fill="CCEEFF"/>
              </w:rPr>
              <w:t>TOTAL REVENUES</w:t>
            </w:r>
          </w:p>
        </w:tc>
        <w:tc>
          <w:tcPr>
            <w:tcW w:w="30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594,692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562,436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1,165,541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1,090,736</w:t>
            </w:r>
          </w:p>
        </w:tc>
      </w:tr>
      <w:tr>
        <w:trPr>
          <w:trHeight w:val="237"/>
        </w:trPr>
        <w:tc>
          <w:tcPr>
            <w:tcW w:w="5160" w:type="dxa"/>
            <w:vAlign w:val="bottom"/>
            <w:gridSpan w:val="4"/>
          </w:tcPr>
          <w:p>
            <w:pPr>
              <w:ind w:left="40"/>
              <w:spacing w:after="0"/>
              <w:rPr>
                <w:sz w:val="20"/>
                <w:szCs w:val="20"/>
                <w:color w:val="auto"/>
              </w:rPr>
            </w:pPr>
            <w:r>
              <w:rPr>
                <w:rFonts w:ascii="Arial" w:cs="Arial" w:eastAsia="Arial" w:hAnsi="Arial"/>
                <w:sz w:val="18"/>
                <w:szCs w:val="18"/>
                <w:b w:val="1"/>
                <w:bCs w:val="1"/>
                <w:color w:val="auto"/>
              </w:rPr>
              <w:t>EXPENSES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4"/>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Cost of vacation ownership products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56,863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103,226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94,796</w:t>
            </w:r>
          </w:p>
        </w:tc>
      </w:tr>
      <w:tr>
        <w:trPr>
          <w:trHeight w:val="243"/>
        </w:trPr>
        <w:tc>
          <w:tcPr>
            <w:tcW w:w="5160" w:type="dxa"/>
            <w:vAlign w:val="bottom"/>
            <w:gridSpan w:val="4"/>
          </w:tcPr>
          <w:p>
            <w:pPr>
              <w:ind w:left="280"/>
              <w:spacing w:after="0"/>
              <w:rPr>
                <w:sz w:val="20"/>
                <w:szCs w:val="20"/>
                <w:color w:val="auto"/>
              </w:rPr>
            </w:pPr>
            <w:r>
              <w:rPr>
                <w:rFonts w:ascii="Arial" w:cs="Arial" w:eastAsia="Arial" w:hAnsi="Arial"/>
                <w:sz w:val="18"/>
                <w:szCs w:val="18"/>
                <w:color w:val="auto"/>
              </w:rPr>
              <w:t>Marketing and sales</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109,315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99,168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215,249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196,666</w:t>
            </w:r>
          </w:p>
        </w:tc>
      </w:tr>
      <w:tr>
        <w:trPr>
          <w:trHeight w:val="27"/>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4"/>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Resort management and other services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41,079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78,857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76,884</w:t>
            </w:r>
          </w:p>
        </w:tc>
      </w:tr>
      <w:tr>
        <w:trPr>
          <w:trHeight w:val="243"/>
        </w:trPr>
        <w:tc>
          <w:tcPr>
            <w:tcW w:w="5160" w:type="dxa"/>
            <w:vAlign w:val="bottom"/>
            <w:gridSpan w:val="4"/>
          </w:tcPr>
          <w:p>
            <w:pPr>
              <w:ind w:left="280"/>
              <w:spacing w:after="0"/>
              <w:rPr>
                <w:sz w:val="20"/>
                <w:szCs w:val="20"/>
                <w:color w:val="auto"/>
              </w:rPr>
            </w:pPr>
            <w:r>
              <w:rPr>
                <w:rFonts w:ascii="Arial" w:cs="Arial" w:eastAsia="Arial" w:hAnsi="Arial"/>
                <w:sz w:val="18"/>
                <w:szCs w:val="18"/>
                <w:color w:val="auto"/>
              </w:rPr>
              <w:t>Financing</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3,788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8,036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7,466</w:t>
            </w:r>
          </w:p>
        </w:tc>
      </w:tr>
      <w:tr>
        <w:trPr>
          <w:trHeight w:val="27"/>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Rental</w:t>
            </w:r>
          </w:p>
        </w:tc>
        <w:tc>
          <w:tcPr>
            <w:tcW w:w="308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62,739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118,638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111,464</w:t>
            </w:r>
          </w:p>
        </w:tc>
      </w:tr>
      <w:tr>
        <w:trPr>
          <w:trHeight w:val="243"/>
        </w:trPr>
        <w:tc>
          <w:tcPr>
            <w:tcW w:w="5160" w:type="dxa"/>
            <w:vAlign w:val="bottom"/>
            <w:gridSpan w:val="4"/>
          </w:tcPr>
          <w:p>
            <w:pPr>
              <w:ind w:left="2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32,992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29,534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62,427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57,073</w:t>
            </w:r>
          </w:p>
        </w:tc>
      </w:tr>
      <w:tr>
        <w:trPr>
          <w:trHeight w:val="27"/>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Litigation settlement</w:t>
            </w:r>
          </w:p>
        </w:tc>
        <w:tc>
          <w:tcPr>
            <w:tcW w:w="308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r>
      <w:tr>
        <w:trPr>
          <w:trHeight w:val="243"/>
        </w:trPr>
        <w:tc>
          <w:tcPr>
            <w:tcW w:w="5160" w:type="dxa"/>
            <w:vAlign w:val="bottom"/>
            <w:gridSpan w:val="4"/>
          </w:tcPr>
          <w:p>
            <w:pPr>
              <w:ind w:left="280"/>
              <w:spacing w:after="0"/>
              <w:rPr>
                <w:sz w:val="20"/>
                <w:szCs w:val="20"/>
                <w:color w:val="auto"/>
              </w:rPr>
            </w:pPr>
            <w:r>
              <w:rPr>
                <w:rFonts w:ascii="Arial" w:cs="Arial" w:eastAsia="Arial" w:hAnsi="Arial"/>
                <w:sz w:val="18"/>
                <w:szCs w:val="18"/>
                <w:color w:val="auto"/>
              </w:rPr>
              <w:t>Consumer financing interest</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6,172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5,654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12,778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11,592</w:t>
            </w:r>
          </w:p>
        </w:tc>
      </w:tr>
      <w:tr>
        <w:trPr>
          <w:trHeight w:val="27"/>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Royalty fee</w:t>
            </w:r>
          </w:p>
        </w:tc>
        <w:tc>
          <w:tcPr>
            <w:tcW w:w="308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32,377</w:t>
            </w:r>
          </w:p>
        </w:tc>
      </w:tr>
      <w:tr>
        <w:trPr>
          <w:trHeight w:val="243"/>
        </w:trPr>
        <w:tc>
          <w:tcPr>
            <w:tcW w:w="5160" w:type="dxa"/>
            <w:vAlign w:val="bottom"/>
            <w:gridSpan w:val="4"/>
          </w:tcPr>
          <w:p>
            <w:pPr>
              <w:ind w:left="280"/>
              <w:spacing w:after="0"/>
              <w:rPr>
                <w:sz w:val="20"/>
                <w:szCs w:val="20"/>
                <w:color w:val="auto"/>
              </w:rPr>
            </w:pPr>
            <w:r>
              <w:rPr>
                <w:rFonts w:ascii="Arial" w:cs="Arial" w:eastAsia="Arial" w:hAnsi="Arial"/>
                <w:sz w:val="18"/>
                <w:szCs w:val="18"/>
                <w:color w:val="auto"/>
              </w:rPr>
              <w:t>Cost reimbursements</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201,470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186,820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417,658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384,034</w:t>
            </w:r>
          </w:p>
        </w:tc>
      </w:tr>
      <w:tr>
        <w:trPr>
          <w:trHeight w:val="27"/>
        </w:trPr>
        <w:tc>
          <w:tcPr>
            <w:tcW w:w="5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5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6"/>
                <w:shd w:val="clear" w:color="auto" w:fill="CCEEFF"/>
              </w:rPr>
              <w:t>TOTAL EXPENSES</w:t>
            </w:r>
          </w:p>
        </w:tc>
        <w:tc>
          <w:tcPr>
            <w:tcW w:w="3080" w:type="dxa"/>
            <w:vAlign w:val="bottom"/>
            <w:tcBorders>
              <w:bottom w:val="single" w:sz="8" w:color="CCEEFF"/>
            </w:tcBorders>
            <w:gridSpan w:val="2"/>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546,928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489,309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1,064,100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972,535</w:t>
            </w:r>
          </w:p>
        </w:tc>
      </w:tr>
      <w:tr>
        <w:trPr>
          <w:trHeight w:val="237"/>
        </w:trPr>
        <w:tc>
          <w:tcPr>
            <w:tcW w:w="5160" w:type="dxa"/>
            <w:vAlign w:val="bottom"/>
            <w:gridSpan w:val="4"/>
          </w:tcPr>
          <w:p>
            <w:pPr>
              <w:ind w:left="280"/>
              <w:spacing w:after="0"/>
              <w:rPr>
                <w:sz w:val="20"/>
                <w:szCs w:val="20"/>
                <w:color w:val="auto"/>
              </w:rPr>
            </w:pPr>
            <w:r>
              <w:rPr>
                <w:rFonts w:ascii="Arial" w:cs="Arial" w:eastAsia="Arial" w:hAnsi="Arial"/>
                <w:sz w:val="18"/>
                <w:szCs w:val="18"/>
                <w:color w:val="auto"/>
              </w:rPr>
              <w:t>Losses and other expense, net</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w:t>
            </w:r>
          </w:p>
        </w:tc>
      </w:tr>
      <w:tr>
        <w:trPr>
          <w:trHeight w:val="27"/>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4"/>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(2,538)</w:t>
            </w:r>
          </w:p>
        </w:tc>
      </w:tr>
      <w:tr>
        <w:trPr>
          <w:trHeight w:val="243"/>
        </w:trPr>
        <w:tc>
          <w:tcPr>
            <w:tcW w:w="5160" w:type="dxa"/>
            <w:vAlign w:val="bottom"/>
            <w:gridSpan w:val="4"/>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(19,686)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(22,802)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(469)</w:t>
            </w:r>
          </w:p>
        </w:tc>
      </w:tr>
      <w:tr>
        <w:trPr>
          <w:trHeight w:val="27"/>
        </w:trPr>
        <w:tc>
          <w:tcPr>
            <w:tcW w:w="5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114,969</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(22,918)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(38,893)</w:t>
            </w:r>
          </w:p>
        </w:tc>
      </w:tr>
      <w:tr>
        <w:trPr>
          <w:trHeight w:val="27"/>
        </w:trPr>
        <w:tc>
          <w:tcPr>
            <w:tcW w:w="5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10,761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48,186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46,742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76,076</w:t>
            </w:r>
          </w:p>
        </w:tc>
      </w:tr>
      <w:tr>
        <w:trPr>
          <w:trHeight w:val="20"/>
        </w:trPr>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11"/>
        </w:trPr>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4"/>
          </w:tcPr>
          <w:p>
            <w:pPr>
              <w:ind w:left="280"/>
              <w:spacing w:after="0"/>
              <w:rPr>
                <w:sz w:val="20"/>
                <w:szCs w:val="20"/>
                <w:color w:val="auto"/>
              </w:rPr>
            </w:pPr>
            <w:r>
              <w:rPr>
                <w:rFonts w:ascii="Arial" w:cs="Arial" w:eastAsia="Arial" w:hAnsi="Arial"/>
                <w:sz w:val="18"/>
                <w:szCs w:val="18"/>
                <w:color w:val="auto"/>
              </w:rPr>
              <w:t>Earnings per share - 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2.79</w:t>
            </w:r>
          </w:p>
        </w:tc>
      </w:tr>
      <w:tr>
        <w:trPr>
          <w:trHeight w:val="27"/>
        </w:trPr>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4"/>
            <w:shd w:val="clear" w:color="auto" w:fill="CCEEFF"/>
          </w:tcPr>
          <w:p>
            <w:pPr>
              <w:ind w:left="280"/>
              <w:spacing w:after="0"/>
              <w:rPr>
                <w:sz w:val="20"/>
                <w:szCs w:val="20"/>
                <w:color w:val="auto"/>
              </w:rPr>
            </w:pPr>
            <w:r>
              <w:rPr>
                <w:rFonts w:ascii="Arial" w:cs="Arial" w:eastAsia="Arial" w:hAnsi="Arial"/>
                <w:sz w:val="18"/>
                <w:szCs w:val="18"/>
                <w:color w:val="auto"/>
              </w:rPr>
              <w:t>Earnings per share - 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r>
      <w:tr>
        <w:trPr>
          <w:trHeight w:val="324"/>
        </w:trPr>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3"/>
        </w:trPr>
        <w:tc>
          <w:tcPr>
            <w:tcW w:w="516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CASH DIVIDENDS DECLARED PER SHARE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0.40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0.70</w:t>
            </w:r>
          </w:p>
        </w:tc>
      </w:tr>
      <w:tr>
        <w:trPr>
          <w:trHeight w:val="27"/>
        </w:trPr>
        <w:tc>
          <w:tcPr>
            <w:tcW w:w="5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5"/>
          </w:tcPr>
          <w:p>
            <w:pPr>
              <w:ind w:left="62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2860" w:type="dxa"/>
            <w:vAlign w:val="bottom"/>
            <w:gridSpan w:val="4"/>
          </w:tcPr>
          <w:p>
            <w:pPr>
              <w:jc w:val="right"/>
              <w:ind w:right="751"/>
              <w:spacing w:after="0"/>
              <w:rPr>
                <w:sz w:val="20"/>
                <w:szCs w:val="20"/>
                <w:color w:val="auto"/>
              </w:rPr>
            </w:pPr>
            <w:r>
              <w:rPr>
                <w:rFonts w:ascii="Arial" w:cs="Arial" w:eastAsia="Arial" w:hAnsi="Arial"/>
                <w:sz w:val="16"/>
                <w:szCs w:val="16"/>
                <w:b w:val="1"/>
                <w:bCs w:val="1"/>
                <w:color w:val="auto"/>
              </w:rPr>
              <w:t>Year to Date Ended</w:t>
            </w:r>
          </w:p>
        </w:tc>
      </w:tr>
      <w:tr>
        <w:trPr>
          <w:trHeight w:val="33"/>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2018</w:t>
            </w: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2017</w:t>
            </w: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2018</w:t>
            </w:r>
          </w:p>
        </w:tc>
        <w:tc>
          <w:tcPr>
            <w:tcW w:w="200" w:type="dxa"/>
            <w:vAlign w:val="bottom"/>
          </w:tcPr>
          <w:p>
            <w:pPr>
              <w:spacing w:after="0"/>
              <w:rPr>
                <w:sz w:val="20"/>
                <w:szCs w:val="20"/>
                <w:color w:val="auto"/>
              </w:rPr>
            </w:pPr>
          </w:p>
        </w:tc>
        <w:tc>
          <w:tcPr>
            <w:tcW w:w="1280" w:type="dxa"/>
            <w:vAlign w:val="bottom"/>
          </w:tcPr>
          <w:p>
            <w:pPr>
              <w:jc w:val="right"/>
              <w:ind w:right="171"/>
              <w:spacing w:after="0"/>
              <w:rPr>
                <w:sz w:val="20"/>
                <w:szCs w:val="20"/>
                <w:color w:val="auto"/>
              </w:rPr>
            </w:pPr>
            <w:r>
              <w:rPr>
                <w:rFonts w:ascii="Arial" w:cs="Arial" w:eastAsia="Arial" w:hAnsi="Arial"/>
                <w:sz w:val="16"/>
                <w:szCs w:val="16"/>
                <w:b w:val="1"/>
                <w:bCs w:val="1"/>
                <w:color w:val="auto"/>
                <w:w w:val="96"/>
              </w:rPr>
              <w:t>June 30, 2017</w:t>
            </w:r>
          </w:p>
        </w:tc>
      </w:tr>
      <w:tr>
        <w:trPr>
          <w:trHeight w:val="33"/>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46,742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76,076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Foreign currency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6,681</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Derivative instrument adjustment, net of tax</w:t>
            </w:r>
          </w:p>
        </w:tc>
        <w:tc>
          <w:tcPr>
            <w:tcW w:w="2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48</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shd w:val="clear" w:color="auto" w:fill="CCEEFF"/>
              </w:rPr>
              <w:t>Total other comprehensive (loss) income, net of tax</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6,729</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3,546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50,674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45,771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82,805</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the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13"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INTERIM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2018</w:t>
            </w:r>
          </w:p>
        </w:tc>
        <w:tc>
          <w:tcPr>
            <w:tcW w:w="180" w:type="dxa"/>
            <w:vAlign w:val="bottom"/>
          </w:tcPr>
          <w:p>
            <w:pPr>
              <w:spacing w:after="0"/>
              <w:rPr>
                <w:sz w:val="18"/>
                <w:szCs w:val="18"/>
                <w:color w:val="auto"/>
              </w:rPr>
            </w:pPr>
          </w:p>
        </w:tc>
        <w:tc>
          <w:tcPr>
            <w:tcW w:w="1640" w:type="dxa"/>
            <w:vAlign w:val="bottom"/>
          </w:tcPr>
          <w:p>
            <w:pPr>
              <w:jc w:val="right"/>
              <w:ind w:right="170"/>
              <w:spacing w:after="0"/>
              <w:rPr>
                <w:sz w:val="20"/>
                <w:szCs w:val="20"/>
                <w:color w:val="auto"/>
              </w:rPr>
            </w:pPr>
            <w:r>
              <w:rPr>
                <w:rFonts w:ascii="Arial" w:cs="Arial" w:eastAsia="Arial" w:hAnsi="Arial"/>
                <w:sz w:val="16"/>
                <w:szCs w:val="16"/>
                <w:b w:val="1"/>
                <w:bCs w:val="1"/>
                <w:color w:val="auto"/>
                <w:w w:val="94"/>
              </w:rPr>
              <w:t>December 31, 2017</w:t>
            </w:r>
          </w:p>
        </w:tc>
      </w:tr>
      <w:tr>
        <w:trPr>
          <w:trHeight w:val="33"/>
        </w:trPr>
        <w:tc>
          <w:tcPr>
            <w:tcW w:w="7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547,667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409,059</w:t>
            </w: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(including $144,816 and $32,321 from VIEs,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170,536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81,553</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Accounts receivable, net (including $6,039 and $5,639 from VIEs, respectively)</w:t>
            </w:r>
          </w:p>
        </w:tc>
        <w:tc>
          <w:tcPr>
            <w:tcW w:w="26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67,619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91,659</w:t>
            </w: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Vacation ownership notes receivable, net (including $964,510 and $814,011 from VIEs,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1,167,779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1,114,552</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690,154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728,379</w:t>
            </w: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246,940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252,727</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Other (including $25,688 and $13,708 from VIEs, respectively)</w:t>
            </w:r>
          </w:p>
        </w:tc>
        <w:tc>
          <w:tcPr>
            <w:tcW w:w="26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166,875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166,653</w:t>
            </w:r>
          </w:p>
        </w:tc>
      </w:tr>
      <w:tr>
        <w:trPr>
          <w:trHeight w:val="27"/>
        </w:trPr>
        <w:tc>
          <w:tcPr>
            <w:tcW w:w="7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3,057,570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2,844,582</w:t>
            </w: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84"/>
        </w:trPr>
        <w:tc>
          <w:tcPr>
            <w:tcW w:w="7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84,331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145,405</w:t>
            </w: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Advance deposits</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95,816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84,087</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Accrued liabilities (including $685 and $701 from VIEs, respectively)</w:t>
            </w:r>
          </w:p>
        </w:tc>
        <w:tc>
          <w:tcPr>
            <w:tcW w:w="26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99,469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119,810</w:t>
            </w: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69,058</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Payroll and benefits liability</w:t>
            </w:r>
          </w:p>
        </w:tc>
        <w:tc>
          <w:tcPr>
            <w:tcW w:w="26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85,216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111,885</w:t>
            </w: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82,624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74,851</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Debt, net (including $1,113,860 and $845,131 from VIEs, respectively)</w:t>
            </w:r>
          </w:p>
        </w:tc>
        <w:tc>
          <w:tcPr>
            <w:tcW w:w="26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1,332,276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1,095,213</w:t>
            </w: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13,471</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26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101,760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89,987</w:t>
            </w:r>
          </w:p>
        </w:tc>
      </w:tr>
      <w:tr>
        <w:trPr>
          <w:trHeight w:val="27"/>
        </w:trPr>
        <w:tc>
          <w:tcPr>
            <w:tcW w:w="7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7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1,991,929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1,803,767</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Contingencies and Commitments (Note 9)</w:t>
            </w: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Preferred stock — $0.01 par value; 2,000,000 shares authorized; none issued or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w w:val="92"/>
              </w:rPr>
              <w:t>Common stock — $0.01 par value; 100,000,000 shares authorized; 36,981,204 and 36,861,843 shares</w:t>
            </w: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issued, respectively</w:t>
            </w:r>
          </w:p>
        </w:tc>
        <w:tc>
          <w:tcPr>
            <w:tcW w:w="26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369</w:t>
            </w: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Treasury stock — at cost; 10,408,996 and 10,400,547 shares,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(695,746)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(694,233)</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1,190,448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1,188,538</w:t>
            </w: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16,745</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554,795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529,396</w:t>
            </w:r>
          </w:p>
        </w:tc>
      </w:tr>
      <w:tr>
        <w:trPr>
          <w:trHeight w:val="27"/>
        </w:trPr>
        <w:tc>
          <w:tcPr>
            <w:tcW w:w="7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7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1,065,641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1,040,815</w:t>
            </w:r>
          </w:p>
        </w:tc>
      </w:tr>
      <w:tr>
        <w:trPr>
          <w:trHeight w:val="257"/>
        </w:trPr>
        <w:tc>
          <w:tcPr>
            <w:tcW w:w="7600" w:type="dxa"/>
            <w:vAlign w:val="bottom"/>
          </w:tcPr>
          <w:p>
            <w:pPr>
              <w:ind w:left="48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3,057,570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2,844,582</w:t>
            </w: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abbreviation VIEs above means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1013" w:right="279" w:bottom="1440" w:gutter="0" w:footer="0" w:header="0"/>
        </w:sectPr>
      </w:pPr>
    </w:p>
    <w:bookmarkStart w:id="5" w:name="page6"/>
    <w:bookmarkEnd w:id="5"/>
    <w:p>
      <w:pPr>
        <w:ind w:left="334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50"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INTERIM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80" w:type="dxa"/>
            <w:vAlign w:val="bottom"/>
            <w:gridSpan w:val="4"/>
          </w:tcPr>
          <w:p>
            <w:pPr>
              <w:jc w:val="right"/>
              <w:ind w:right="910"/>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2018</w:t>
            </w:r>
          </w:p>
        </w:tc>
        <w:tc>
          <w:tcPr>
            <w:tcW w:w="22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Arial" w:cs="Arial" w:eastAsia="Arial" w:hAnsi="Arial"/>
                <w:sz w:val="16"/>
                <w:szCs w:val="16"/>
                <w:b w:val="1"/>
                <w:bCs w:val="1"/>
                <w:color w:val="auto"/>
                <w:w w:val="99"/>
              </w:rPr>
              <w:t>June 30, 2017</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46,742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76,076</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11,371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10,192</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discount and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2,726</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Vacation ownership notes receivable reserve</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23,970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27,051</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8,451</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12,199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12,810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change in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24,499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23,970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Vacation ownership notes receivable originations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(233,061)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(228,048)</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Vacation ownership notes receivable collections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155,257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136,731</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15,006</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Purchase of vacation ownership units for future transfer to inventory</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(33,594)</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4,475</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Accounts payable, advance deposits and accrued liabilities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(59,365)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(68,228)</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25,163</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Payroll and benefit liabilities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(26,699)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(8,698)</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compensation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7,053</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3,286</w:t>
            </w:r>
          </w:p>
        </w:tc>
      </w:tr>
      <w:tr>
        <w:trPr>
          <w:trHeight w:val="237"/>
        </w:trPr>
        <w:tc>
          <w:tcPr>
            <w:tcW w:w="8120" w:type="dxa"/>
            <w:vAlign w:val="bottom"/>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58,453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14,130</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(11,344)</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 of company owned life insurance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(10,092)</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Dispositions, net</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(21,425)</w:t>
            </w:r>
          </w:p>
        </w:tc>
      </w:tr>
      <w:tr>
        <w:trPr>
          <w:trHeight w:val="20"/>
        </w:trPr>
        <w:tc>
          <w:tcPr>
            <w:tcW w:w="8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86" w:right="239" w:bottom="1440" w:gutter="0" w:footer="0" w:header="0"/>
        </w:sectPr>
      </w:pPr>
    </w:p>
    <w:bookmarkStart w:id="6" w:name="page7"/>
    <w:bookmarkEnd w:id="6"/>
    <w:p>
      <w:pPr>
        <w:ind w:left="330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INTERIM CONSOLIDATED STATEMENTS OF CASH FLOWS (CONTINUED)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gridSpan w:val="4"/>
          </w:tcPr>
          <w:p>
            <w:pPr>
              <w:jc w:val="right"/>
              <w:ind w:right="911"/>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8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8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 2018</w:t>
            </w:r>
          </w:p>
        </w:tc>
        <w:tc>
          <w:tcPr>
            <w:tcW w:w="200" w:type="dxa"/>
            <w:vAlign w:val="bottom"/>
          </w:tcPr>
          <w:p>
            <w:pPr>
              <w:spacing w:after="0"/>
              <w:rPr>
                <w:sz w:val="20"/>
                <w:szCs w:val="20"/>
                <w:color w:val="auto"/>
              </w:rPr>
            </w:pPr>
          </w:p>
        </w:tc>
        <w:tc>
          <w:tcPr>
            <w:tcW w:w="1380" w:type="dxa"/>
            <w:vAlign w:val="bottom"/>
          </w:tcPr>
          <w:p>
            <w:pPr>
              <w:jc w:val="right"/>
              <w:ind w:right="251"/>
              <w:spacing w:after="0"/>
              <w:rPr>
                <w:sz w:val="20"/>
                <w:szCs w:val="20"/>
                <w:color w:val="auto"/>
              </w:rPr>
            </w:pPr>
            <w:r>
              <w:rPr>
                <w:rFonts w:ascii="Arial" w:cs="Arial" w:eastAsia="Arial" w:hAnsi="Arial"/>
                <w:sz w:val="16"/>
                <w:szCs w:val="16"/>
                <w:b w:val="1"/>
                <w:bCs w:val="1"/>
                <w:color w:val="auto"/>
                <w:w w:val="97"/>
              </w:rPr>
              <w:t>June 30, 2017</w:t>
            </w:r>
          </w:p>
        </w:tc>
      </w:tr>
      <w:tr>
        <w:trPr>
          <w:trHeight w:val="33"/>
        </w:trPr>
        <w:tc>
          <w:tcPr>
            <w:tcW w:w="8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280"/>
              <w:spacing w:after="0"/>
              <w:rPr>
                <w:sz w:val="20"/>
                <w:szCs w:val="20"/>
                <w:color w:val="auto"/>
              </w:rPr>
            </w:pPr>
            <w:r>
              <w:rPr>
                <w:rFonts w:ascii="Arial" w:cs="Arial" w:eastAsia="Arial" w:hAnsi="Arial"/>
                <w:sz w:val="18"/>
                <w:szCs w:val="18"/>
                <w:color w:val="auto"/>
              </w:rPr>
              <w:t>Borrowings from securitization transactions</w:t>
            </w:r>
          </w:p>
        </w:tc>
        <w:tc>
          <w:tcPr>
            <w:tcW w:w="2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423,000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50,260</w:t>
            </w: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Repayment of debt related to securitization 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(154,271)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(117,400)</w:t>
            </w:r>
          </w:p>
        </w:tc>
      </w:tr>
      <w:tr>
        <w:trPr>
          <w:trHeight w:val="243"/>
        </w:trPr>
        <w:tc>
          <w:tcPr>
            <w:tcW w:w="8080" w:type="dxa"/>
            <w:vAlign w:val="bottom"/>
          </w:tcPr>
          <w:p>
            <w:pPr>
              <w:ind w:left="280"/>
              <w:spacing w:after="0"/>
              <w:rPr>
                <w:sz w:val="20"/>
                <w:szCs w:val="20"/>
                <w:color w:val="auto"/>
              </w:rPr>
            </w:pPr>
            <w:r>
              <w:rPr>
                <w:rFonts w:ascii="Arial" w:cs="Arial" w:eastAsia="Arial" w:hAnsi="Arial"/>
                <w:sz w:val="18"/>
                <w:szCs w:val="18"/>
                <w:color w:val="auto"/>
              </w:rPr>
              <w:t>Borrowings from Revolving Corporate Credit Facility</w:t>
            </w: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60,000</w:t>
            </w: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Repayment of Revolving Corporate Credit Facility</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r>
      <w:tr>
        <w:trPr>
          <w:trHeight w:val="243"/>
        </w:trPr>
        <w:tc>
          <w:tcPr>
            <w:tcW w:w="8080" w:type="dxa"/>
            <w:vAlign w:val="bottom"/>
          </w:tcPr>
          <w:p>
            <w:pPr>
              <w:ind w:left="280"/>
              <w:spacing w:after="0"/>
              <w:rPr>
                <w:sz w:val="20"/>
                <w:szCs w:val="20"/>
                <w:color w:val="auto"/>
              </w:rPr>
            </w:pPr>
            <w:r>
              <w:rPr>
                <w:rFonts w:ascii="Arial" w:cs="Arial" w:eastAsia="Arial" w:hAnsi="Arial"/>
                <w:sz w:val="18"/>
                <w:szCs w:val="18"/>
                <w:color w:val="auto"/>
              </w:rPr>
              <w:t>Repayment of non-interest bearing note payable</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(32,680)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Debt issuance costs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r>
      <w:tr>
        <w:trPr>
          <w:trHeight w:val="243"/>
        </w:trPr>
        <w:tc>
          <w:tcPr>
            <w:tcW w:w="8080" w:type="dxa"/>
            <w:vAlign w:val="bottom"/>
          </w:tcPr>
          <w:p>
            <w:pPr>
              <w:ind w:left="280"/>
              <w:spacing w:after="0"/>
              <w:rPr>
                <w:sz w:val="20"/>
                <w:szCs w:val="20"/>
                <w:color w:val="auto"/>
              </w:rPr>
            </w:pPr>
            <w:r>
              <w:rPr>
                <w:rFonts w:ascii="Arial" w:cs="Arial" w:eastAsia="Arial" w:hAnsi="Arial"/>
                <w:sz w:val="18"/>
                <w:szCs w:val="18"/>
                <w:color w:val="auto"/>
              </w:rPr>
              <w:t>Repurchase of common stock</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(3,868)</w:t>
            </w: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Payment of dividends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(28,552)</w:t>
            </w:r>
          </w:p>
        </w:tc>
      </w:tr>
      <w:tr>
        <w:trPr>
          <w:trHeight w:val="243"/>
        </w:trPr>
        <w:tc>
          <w:tcPr>
            <w:tcW w:w="8080" w:type="dxa"/>
            <w:vAlign w:val="bottom"/>
          </w:tcPr>
          <w:p>
            <w:pPr>
              <w:ind w:left="28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(9,962)</w:t>
            </w: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Other, net</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r>
      <w:tr>
        <w:trPr>
          <w:trHeight w:val="237"/>
        </w:trPr>
        <w:tc>
          <w:tcPr>
            <w:tcW w:w="8080" w:type="dxa"/>
            <w:vAlign w:val="bottom"/>
          </w:tcPr>
          <w:p>
            <w:pPr>
              <w:ind w:left="70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187,363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(63,865)</w:t>
            </w:r>
          </w:p>
        </w:tc>
      </w:tr>
      <w:tr>
        <w:trPr>
          <w:trHeight w:val="27"/>
        </w:trPr>
        <w:tc>
          <w:tcPr>
            <w:tcW w:w="8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Effect of changes in exchange rates on cash, cash equivalents and 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1,962</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Increase (decrease) in cash, cash equivalents and restricted cash</w:t>
            </w:r>
          </w:p>
        </w:tc>
        <w:tc>
          <w:tcPr>
            <w:tcW w:w="2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227,591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(69,198)</w:t>
            </w: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Cash, cash equivalents and restricted cash,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490,612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213,102</w:t>
            </w:r>
          </w:p>
        </w:tc>
      </w:tr>
      <w:tr>
        <w:trPr>
          <w:trHeight w:val="297"/>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718,203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143,904</w:t>
            </w:r>
          </w:p>
        </w:tc>
      </w:tr>
      <w:tr>
        <w:trPr>
          <w:trHeight w:val="284"/>
        </w:trPr>
        <w:tc>
          <w:tcPr>
            <w:tcW w:w="8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0"/>
        </w:trPr>
        <w:tc>
          <w:tcPr>
            <w:tcW w:w="8080" w:type="dxa"/>
            <w:vAlign w:val="bottom"/>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Non-cash issuance of debt in connection with acquisition of vacation ownership units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63,558</w:t>
            </w:r>
          </w:p>
        </w:tc>
      </w:tr>
      <w:tr>
        <w:trPr>
          <w:trHeight w:val="41"/>
        </w:trPr>
        <w:tc>
          <w:tcPr>
            <w:tcW w:w="80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80" w:top="486"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w:t>
      </w:r>
    </w:p>
    <w:p>
      <w:pPr>
        <w:spacing w:after="0" w:line="11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Marriott Vacations Worldwide Corporation (“we,” “us,” “Marriott Vacations Worldwide” or the “Company,” which includes our consolidated subsidiaries except where the context of the reference is to a single corporate entity) is the exclusive worldwide developer, marketer, seller and manager of vacation ownership and related products under the Marriott Vacation Club and Grand Residences by Marriott brands, as well as under Marriott Vacation Club Pulse, an extension of the Marriott Vacation Club brand.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a subsidiary of Marriott International, provides on-site management for Ritz-Carlton branded properties.</w:t>
      </w:r>
    </w:p>
    <w:p>
      <w:pPr>
        <w:spacing w:after="0" w:line="81"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Our business is grouped into three reportable segments: North America, Asia Pacific and Europe. As of June 30, 2018, our portfolio consisted of over 65 properties in the United States and nine other countries and territories. We generate most of our revenues from four primary sources: selling vacation ownership products; managing our resorts; financing consumer purchases of vacation ownership products; and renting vacation ownership inventory.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 and Basis of Presentation</w:t>
      </w:r>
    </w:p>
    <w:p>
      <w:pPr>
        <w:spacing w:after="0" w:line="11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interim consolidated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for which Marriott Vacations Worldwide is the primary beneficiary in accordance with consolidation accounting guidance. Intercompany accounts and transactions between consolidated companies have been eliminated in consolidation. The interim consolidated financial statements reflect our financial position, results of operations and cash flows as prepared in conformity with United States Generally Accepted Accounting Principles (“GAAP”).</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order to make this report easier to read, we refer throughout to (i) our Interim Consolidated Financial Statements as our “Financial Statements,”</w:t>
      </w:r>
    </w:p>
    <w:p>
      <w:pPr>
        <w:spacing w:after="0" w:line="46"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Interim Consolidated Statements of Income as our “Income Statements,” (iii) our Interim Consolidated Balance Sheets as our “Balance Sheets” and</w:t>
      </w:r>
    </w:p>
    <w:p>
      <w:pPr>
        <w:spacing w:after="0" w:line="32" w:lineRule="exact"/>
        <w:rPr>
          <w:rFonts w:ascii="Arial" w:cs="Arial" w:eastAsia="Arial" w:hAnsi="Arial"/>
          <w:sz w:val="16"/>
          <w:szCs w:val="16"/>
          <w:color w:val="auto"/>
        </w:rPr>
      </w:pPr>
    </w:p>
    <w:p>
      <w:pPr>
        <w:ind w:right="40" w:firstLine="8"/>
        <w:spacing w:after="0" w:line="255" w:lineRule="auto"/>
        <w:tabs>
          <w:tab w:leader="none" w:pos="30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Interim Consolidated Statements of Cash Flows as our “Cash Flows.” In addition, references throughout to numbered “Footnotes” refer to the numbered Notes in these Notes to Interim Consolidated Financial Statements, unless otherwise noted. We use certain other terms that are defined within these Financial Statements.</w:t>
      </w:r>
    </w:p>
    <w:p>
      <w:pPr>
        <w:spacing w:after="0" w:line="8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adopted Accounting Standards Update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 amended (“ASU 2014-09”), on January 1, 2018, the first day of our 2018 fiscal year, and refer to it as the new “Revenue Standard” throughout these Financial Statements. We restated our previously reported historical results to conform with the adoption of the new Revenue Standard. See “</w:t>
      </w:r>
      <w:r>
        <w:rPr>
          <w:rFonts w:ascii="Arial" w:cs="Arial" w:eastAsia="Arial" w:hAnsi="Arial"/>
          <w:sz w:val="18"/>
          <w:szCs w:val="18"/>
          <w:i w:val="1"/>
          <w:iCs w:val="1"/>
          <w:color w:val="auto"/>
        </w:rPr>
        <w:t>New Accounting Standards</w:t>
      </w:r>
      <w:r>
        <w:rPr>
          <w:rFonts w:ascii="Arial" w:cs="Arial" w:eastAsia="Arial" w:hAnsi="Arial"/>
          <w:sz w:val="18"/>
          <w:szCs w:val="18"/>
          <w:color w:val="auto"/>
        </w:rPr>
        <w:t>” below for additional information on ASU 2014-09 and Footnote 15 “Adoption Impact of New Revenue Standard” for further discussion of the adoption and the impact on our previously reported historical results.</w:t>
      </w:r>
    </w:p>
    <w:p>
      <w:pPr>
        <w:spacing w:after="0" w:line="8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our opinion, our Financial Statements reflect all normal and recurring adjustments necessary to present fairly our financial position and the results of our operations and cash flows for the periods presented. Interim results may not be indicative of fiscal year performance because of, among other reasons, seasonal and short-term variations. These Financial Statements have not been audited. We have condensed or omitted certain information and footnote disclosures normally included in financial statements presented in accordance with GAAP. Although we believe our footnote disclosures are adequate to make the information presented not misleading, the Financial Statements in this report should be read in conjunction with the consolidated financial statements and notes thereto recast for the adoption of ASU 2014-09 included in our Current Report on Form 8-K, filed with the U.S. Securities and Exchange Commission on June 5, 2018.</w:t>
      </w:r>
    </w:p>
    <w:p>
      <w:pPr>
        <w:spacing w:after="0" w:line="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property and equipment valuation, vacation ownership notes receivable reserves, income taxes and loss contingencies. Accordingly, actual amounts may differ from these estimated amounts.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reclassified certain prior year amounts to conform to our current quarter presentation.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7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New Accounting Standards</w:t>
      </w:r>
    </w:p>
    <w:p>
      <w:pPr>
        <w:spacing w:after="0" w:line="11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Accounting Standards Update 2018-05 – “</w:t>
      </w:r>
      <w:r>
        <w:rPr>
          <w:rFonts w:ascii="Arial" w:cs="Arial" w:eastAsia="Arial" w:hAnsi="Arial"/>
          <w:sz w:val="18"/>
          <w:szCs w:val="18"/>
          <w:i w:val="1"/>
          <w:iCs w:val="1"/>
          <w:color w:val="auto"/>
        </w:rPr>
        <w:t>Income Taxes (Topic 740): Amendments to SEC Paragraphs Pursuant to SEC Staff Accounting Bulletin</w:t>
      </w:r>
      <w:r>
        <w:rPr>
          <w:rFonts w:ascii="Arial" w:cs="Arial" w:eastAsia="Arial" w:hAnsi="Arial"/>
          <w:sz w:val="18"/>
          <w:szCs w:val="18"/>
          <w:color w:val="auto"/>
        </w:rPr>
        <w:t xml:space="preserve"> </w:t>
      </w:r>
      <w:r>
        <w:rPr>
          <w:rFonts w:ascii="Arial" w:cs="Arial" w:eastAsia="Arial" w:hAnsi="Arial"/>
          <w:sz w:val="18"/>
          <w:szCs w:val="18"/>
          <w:i w:val="1"/>
          <w:iCs w:val="1"/>
          <w:color w:val="auto"/>
        </w:rPr>
        <w:t>No. 118</w:t>
      </w:r>
      <w:r>
        <w:rPr>
          <w:rFonts w:ascii="Arial" w:cs="Arial" w:eastAsia="Arial" w:hAnsi="Arial"/>
          <w:sz w:val="18"/>
          <w:szCs w:val="18"/>
          <w:color w:val="auto"/>
        </w:rPr>
        <w:t>” (“ASU 2018-05”)</w:t>
      </w:r>
    </w:p>
    <w:p>
      <w:pPr>
        <w:spacing w:after="0" w:line="62"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 March 2018, the Financial Accounting Standards Board (“FASB”) issued ASU 2018-05, which updates the income tax accounting in GAAP to reflect the interpretive guidance in Staff Accounting Bulletin (“SAB”) 118 (“SAB 118”), that was issued by the staff of the Securities and Exchange Commission in December 2017 in order to address the application of GAAP in situations where a registrant does not have all the necessary information available, prepared, or analyzed (including computations) in reasonable detail to complete the accounting for certain income tax effects of the Tax Cuts and Jobs Act (“the “Tax Act”). SAB 118 provides for a provisional one year measurement period for registrants to finalize their accounting for certain income tax effects related to the Tax Act. ASU 2018-05 was effective upon issuance. We expect to finalize our provisional amounts related to the Tax Act by the fourth quarter of 2018. See Footnote 3 “Income Taxes” for additional information.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Accounting Standards Update 2016-01 – “</w:t>
      </w:r>
      <w:r>
        <w:rPr>
          <w:rFonts w:ascii="Arial" w:cs="Arial" w:eastAsia="Arial" w:hAnsi="Arial"/>
          <w:sz w:val="18"/>
          <w:szCs w:val="18"/>
          <w:i w:val="1"/>
          <w:iCs w:val="1"/>
          <w:color w:val="auto"/>
        </w:rPr>
        <w:t>Financial Instruments – Overall (Subtopic 825-10)</w:t>
      </w:r>
      <w:r>
        <w:rPr>
          <w:rFonts w:ascii="Arial" w:cs="Arial" w:eastAsia="Arial" w:hAnsi="Arial"/>
          <w:sz w:val="18"/>
          <w:szCs w:val="18"/>
          <w:color w:val="auto"/>
        </w:rPr>
        <w:t>” (“ASU 2016-01”)</w:t>
      </w:r>
    </w:p>
    <w:p>
      <w:pPr>
        <w:spacing w:after="0" w:line="11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January 2016, the FASB issued ASU 2016-01, which updates certain aspects of recognition, measurement, presentation and disclosure of financial instruments. For public business entities, the amendments in ASU 2016-01 will be effective for fiscal years beginning after December 15, 2017, including interim periods within those fiscal years. The adoption of ASU 2016-01 in the first quarter of 2018 did not have a material impact on our financial statements or disclosures.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Accounting Standards Update 2016-16 –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(“ASU 2016-16”)</w:t>
      </w:r>
    </w:p>
    <w:p>
      <w:pPr>
        <w:spacing w:after="0" w:line="1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October 2016, the FASB issued ASU 2016-16, which changes the timing of when certain intercompany transactions are recognized within the provision for income taxes. This update is effective for public companies for annual periods beginning after December 15, 2017, and for annual periods and interim periods thereafter, with early adoption permitted. The adoption of ASU 2016-16 in the first quarter of 2018 did not have a material impact on our financial statements or disclosures.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Accounting Standards Update 2014-09 –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(“ASU 2014-09”), as Amended</w:t>
      </w:r>
    </w:p>
    <w:p>
      <w:pPr>
        <w:spacing w:after="0" w:line="11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May 2014, the FASB issued ASU 2014-09, which, as amended, creates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(“ASC 606”), and supersedes the revenue recognition requirements in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including most industry-specific guidance, and significantly enhances comparability of revenue recognition practices across entities and industries by providing a principle-based, comprehensive framework for addressing revenue recognition issues. In order for a provider of promised goods or services to recognize as revenue the consideration that it expects to receive in exchange for the promised goods or services, the provider should apply the following five steps: (1) identify the contract with a customer; (2) identify the performance obligations in the contract; (3) determine the transaction price; (4) allocate the transaction price to the performance obligations in the contract; and (5) recognize revenue when (or as) the entity satisfies a performance obligation. ASU 2014-09, as amended, is effective for annual reporting periods, and interim periods within those reporting periods, beginning after December 15, 2017. The new standard may be applied retrospectively or on a modified retrospective basis with the cumulative effect recognized on the date of adoption. We adopted ASU 2014-09, as amended, effective January 1, 2018, on a retrospective basis and restated our previously reported historical results. See Footnote 15 “Adoption Impact of New Revenue Standard” for further discussion of adoption and the impact on our previously reported historical results. See Footnote 2 “Revenue” for additional information on how we recognize revenue.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Standards</w:t>
      </w:r>
    </w:p>
    <w:p>
      <w:pPr>
        <w:spacing w:after="0" w:line="11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Accounting Standards Update 2017-12 – “</w:t>
      </w:r>
      <w:r>
        <w:rPr>
          <w:rFonts w:ascii="Arial" w:cs="Arial" w:eastAsia="Arial" w:hAnsi="Arial"/>
          <w:sz w:val="18"/>
          <w:szCs w:val="18"/>
          <w:i w:val="1"/>
          <w:iCs w:val="1"/>
          <w:color w:val="auto"/>
        </w:rPr>
        <w:t>Derivatives and Hedging (Topic 815): Targeted Improvements to Accounting for Hedging Activities</w:t>
      </w:r>
      <w:r>
        <w:rPr>
          <w:rFonts w:ascii="Arial" w:cs="Arial" w:eastAsia="Arial" w:hAnsi="Arial"/>
          <w:sz w:val="18"/>
          <w:szCs w:val="18"/>
          <w:color w:val="auto"/>
        </w:rPr>
        <w:t>” (“ASU 2017-12”)</w:t>
      </w:r>
    </w:p>
    <w:p>
      <w:pPr>
        <w:spacing w:after="0" w:line="6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In August 2017, the FASB issued ASU 2017-12, which amends and simplifies existing guidance in order to allow companies to better portray the economic effects of risk management activities in the financial statements and enhance the transparency and understandability of the results of hedging activities. ASU 2017-12 eliminates the requirement to separately measure and report hedge ineffectiveness and generally requires the entire change in the fair value of a hedging instrument to be presented in the same income statement line as the hedged item. The guidance also eases certain documentation and assessment requirements. This update is effective for public companies for fiscal years beginning after December 15, 2018, including interim periods within those fiscal years, with early adoption permitted. We expect to adopt ASU 2017-12 commencing in fiscal year 2019 and are continuing to evaluate the impact that adoption of this update will have on our financial statements and disclosures.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9" w:name="page10"/>
    <w:bookmarkEnd w:id="9"/>
    <w:p>
      <w:pPr>
        <w:ind w:right="820" w:firstLine="648"/>
        <w:spacing w:after="0" w:line="277" w:lineRule="auto"/>
        <w:rPr>
          <w:sz w:val="20"/>
          <w:szCs w:val="20"/>
          <w:color w:val="auto"/>
        </w:rPr>
      </w:pPr>
      <w:r>
        <w:rPr>
          <w:rFonts w:ascii="Arial" w:cs="Arial" w:eastAsia="Arial" w:hAnsi="Arial"/>
          <w:sz w:val="18"/>
          <w:szCs w:val="18"/>
          <w:color w:val="auto"/>
        </w:rPr>
        <w:t>Accounting Standards Update 2016-13 –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(“ASU 2016-13”)</w:t>
      </w:r>
    </w:p>
    <w:p>
      <w:pPr>
        <w:spacing w:after="0" w:line="6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June 2016, the FASB issued ASU 2016-13, which replaces the incurred loss impairment methodology in current GAAP with a methodology that reflects expected credit losses. The update is intended to provide financial statement users with more decision-useful information about the expected credit losses on financial instruments and other commitments to extend credit held by a reporting entity at each reporting date. This update is effective for fiscal years beginning after December 15, 2019, including interim periods within those fiscal years, with early adoption permitted for fiscal years beginning after December 15, 2018. We expect to adopt ASU 2016-13 commencing in fiscal year 2019 and are continuing to evaluate the impact that adoption of this update will have on our financial statements and disclosures.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Accounting Standards Update 2016-02 – “</w:t>
      </w:r>
      <w:r>
        <w:rPr>
          <w:rFonts w:ascii="Arial" w:cs="Arial" w:eastAsia="Arial" w:hAnsi="Arial"/>
          <w:sz w:val="18"/>
          <w:szCs w:val="18"/>
          <w:i w:val="1"/>
          <w:iCs w:val="1"/>
          <w:color w:val="auto"/>
        </w:rPr>
        <w:t>Leases (Topic 842)</w:t>
      </w:r>
      <w:r>
        <w:rPr>
          <w:rFonts w:ascii="Arial" w:cs="Arial" w:eastAsia="Arial" w:hAnsi="Arial"/>
          <w:sz w:val="18"/>
          <w:szCs w:val="18"/>
          <w:color w:val="auto"/>
        </w:rPr>
        <w:t>” (“ASU 2016-02”)</w:t>
      </w:r>
    </w:p>
    <w:p>
      <w:pPr>
        <w:spacing w:after="0" w:line="11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February 2016, the FASB issued ASU 2016-02 to increase transparency and comparability of information regarding an entity’s leasing activities by providing additional information to users of financial statements. ASU 2016-02 amends the existing accounting standards for lease accounting, including requiring lessees to recognize most leases on their balance sheets and making targeted changes to lessor accounting. ASU 2016-02 is effective for fiscal years beginning after December 15, 2018, including interim periods within those fiscal years, with early adoption permitted. Originally, entities were required to adopt ASU 2016-02 using a modified retrospective transition approach for all leases existing at, or entered into after, the date of initial application. However, in July 2018, the FASB issued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which now allows entities the option of recognizing the cumulative effect of applying the new standard as an adjustment to the opening balance of retained earnings in the year of adoption while continuing to present all prior periods under previous lease accounting guidance. In July 2018, the FASB also issued ASU 2018-10, “</w:t>
      </w:r>
      <w:r>
        <w:rPr>
          <w:rFonts w:ascii="Arial" w:cs="Arial" w:eastAsia="Arial" w:hAnsi="Arial"/>
          <w:sz w:val="16"/>
          <w:szCs w:val="16"/>
          <w:i w:val="1"/>
          <w:iCs w:val="1"/>
          <w:color w:val="auto"/>
        </w:rPr>
        <w:t>Codification Improvements to Topic</w:t>
      </w:r>
      <w:r>
        <w:rPr>
          <w:rFonts w:ascii="Arial" w:cs="Arial" w:eastAsia="Arial" w:hAnsi="Arial"/>
          <w:sz w:val="16"/>
          <w:szCs w:val="16"/>
          <w:color w:val="auto"/>
        </w:rPr>
        <w:t xml:space="preserve"> </w:t>
      </w:r>
      <w:r>
        <w:rPr>
          <w:rFonts w:ascii="Arial" w:cs="Arial" w:eastAsia="Arial" w:hAnsi="Arial"/>
          <w:sz w:val="16"/>
          <w:szCs w:val="16"/>
          <w:i w:val="1"/>
          <w:iCs w:val="1"/>
          <w:color w:val="auto"/>
        </w:rPr>
        <w:t>842, Leases,</w:t>
      </w:r>
      <w:r>
        <w:rPr>
          <w:rFonts w:ascii="Arial" w:cs="Arial" w:eastAsia="Arial" w:hAnsi="Arial"/>
          <w:sz w:val="16"/>
          <w:szCs w:val="16"/>
          <w:color w:val="auto"/>
        </w:rPr>
        <w:t>” which clarifies how to apply certain aspects of ASU 2016-02. We expect to adopt ASU 2016-02, ASU 2018-10 and ASU 2018-11 commencing</w:t>
      </w:r>
      <w:r>
        <w:rPr>
          <w:rFonts w:ascii="Arial" w:cs="Arial" w:eastAsia="Arial" w:hAnsi="Arial"/>
          <w:sz w:val="16"/>
          <w:szCs w:val="16"/>
          <w:i w:val="1"/>
          <w:iCs w:val="1"/>
          <w:color w:val="auto"/>
        </w:rPr>
        <w:t xml:space="preserve"> </w:t>
      </w:r>
      <w:r>
        <w:rPr>
          <w:rFonts w:ascii="Arial" w:cs="Arial" w:eastAsia="Arial" w:hAnsi="Arial"/>
          <w:sz w:val="16"/>
          <w:szCs w:val="16"/>
          <w:color w:val="auto"/>
        </w:rPr>
        <w:t>in fiscal year 2019 and are continuing our implementation efforts. We continue to evaluate the impact that adoption of these updates will have on our financial statements and disclosures, including for example, any potential changes to and investments in policies, processes, systems and internal controls over financial reporting that may be required to comply with the new guidance related to identifying and measuring right-of-use assets and lease liabilities. We expect that these updates will have a material effect on our balance sheets.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4"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2. REVENUE</w:t>
      </w:r>
    </w:p>
    <w:p>
      <w:pPr>
        <w:spacing w:after="0" w:line="12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account for revenue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we adopted on January 1, 2018, using the retrospective method. See Footnote 1 “Summary of Significant Accounting Policies” for additional information and Footnote 15 “Adoption of New Revenue Standard” for further discussion of the adoption and the impact on our previously reported historical results.</w:t>
      </w:r>
    </w:p>
    <w:p>
      <w:pPr>
        <w:spacing w:after="0" w:line="73"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We generate most of our revenues from four primary sources: selling vacation ownership products; managing our resorts; financing consumer purchases of vacation ownership products; and renting vacation ownership inventory. The following series of tables present our revenue disaggregated by several categories.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Revenue by Segment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 2018</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2"/>
                <w:szCs w:val="22"/>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North America</w:t>
            </w:r>
          </w:p>
        </w:tc>
        <w:tc>
          <w:tcPr>
            <w:tcW w:w="260" w:type="dxa"/>
            <w:vAlign w:val="bottom"/>
          </w:tcPr>
          <w:p>
            <w:pPr>
              <w:spacing w:after="0"/>
              <w:rPr>
                <w:sz w:val="22"/>
                <w:szCs w:val="22"/>
                <w:color w:val="auto"/>
              </w:rPr>
            </w:pPr>
          </w:p>
        </w:tc>
        <w:tc>
          <w:tcPr>
            <w:tcW w:w="1440" w:type="dxa"/>
            <w:vAlign w:val="bottom"/>
            <w:gridSpan w:val="2"/>
          </w:tcPr>
          <w:p>
            <w:pPr>
              <w:ind w:left="140"/>
              <w:spacing w:after="0"/>
              <w:rPr>
                <w:sz w:val="20"/>
                <w:szCs w:val="20"/>
                <w:color w:val="auto"/>
              </w:rPr>
            </w:pPr>
            <w:r>
              <w:rPr>
                <w:rFonts w:ascii="Arial" w:cs="Arial" w:eastAsia="Arial" w:hAnsi="Arial"/>
                <w:sz w:val="16"/>
                <w:szCs w:val="16"/>
                <w:b w:val="1"/>
                <w:bCs w:val="1"/>
                <w:color w:val="auto"/>
              </w:rPr>
              <w:t>Asia Pacific</w:t>
            </w:r>
          </w:p>
        </w:tc>
        <w:tc>
          <w:tcPr>
            <w:tcW w:w="340" w:type="dxa"/>
            <w:vAlign w:val="bottom"/>
          </w:tcPr>
          <w:p>
            <w:pPr>
              <w:spacing w:after="0"/>
              <w:rPr>
                <w:sz w:val="22"/>
                <w:szCs w:val="22"/>
                <w:color w:val="auto"/>
              </w:rPr>
            </w:pPr>
          </w:p>
        </w:tc>
        <w:tc>
          <w:tcPr>
            <w:tcW w:w="1360" w:type="dxa"/>
            <w:vAlign w:val="bottom"/>
            <w:gridSpan w:val="2"/>
          </w:tcPr>
          <w:p>
            <w:pPr>
              <w:ind w:left="200"/>
              <w:spacing w:after="0"/>
              <w:rPr>
                <w:sz w:val="20"/>
                <w:szCs w:val="20"/>
                <w:color w:val="auto"/>
              </w:rPr>
            </w:pPr>
            <w:r>
              <w:rPr>
                <w:rFonts w:ascii="Arial" w:cs="Arial" w:eastAsia="Arial" w:hAnsi="Arial"/>
                <w:sz w:val="16"/>
                <w:szCs w:val="16"/>
                <w:b w:val="1"/>
                <w:bCs w:val="1"/>
                <w:color w:val="auto"/>
              </w:rPr>
              <w:t>Europe</w:t>
            </w:r>
          </w:p>
        </w:tc>
        <w:tc>
          <w:tcPr>
            <w:tcW w:w="380" w:type="dxa"/>
            <w:vAlign w:val="bottom"/>
          </w:tcPr>
          <w:p>
            <w:pPr>
              <w:spacing w:after="0"/>
              <w:rPr>
                <w:sz w:val="22"/>
                <w:szCs w:val="22"/>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188,624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205,168</w:t>
            </w:r>
          </w:p>
        </w:tc>
      </w:tr>
      <w:tr>
        <w:trPr>
          <w:trHeight w:val="297"/>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Ancillary revenues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35,412</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Management fee revenues</w:t>
            </w:r>
          </w:p>
        </w:tc>
        <w:tc>
          <w:tcPr>
            <w:tcW w:w="2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22,760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25,316</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services revenues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15,953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16,914</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Resort management and other services</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68,429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7,876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77,642</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4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Rental</w:t>
            </w:r>
          </w:p>
        </w:tc>
        <w:tc>
          <w:tcPr>
            <w:tcW w:w="2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67,083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5,419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74,561</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4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2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186,734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12,805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201,470</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 from contracts with customers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510,870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16,981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30,990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558,841</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4"/>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35,851</w:t>
            </w: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544,782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18,219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31,691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594,692</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13"/>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 2017</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2"/>
                <w:szCs w:val="22"/>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North America</w:t>
            </w:r>
          </w:p>
        </w:tc>
        <w:tc>
          <w:tcPr>
            <w:tcW w:w="260" w:type="dxa"/>
            <w:vAlign w:val="bottom"/>
          </w:tcPr>
          <w:p>
            <w:pPr>
              <w:spacing w:after="0"/>
              <w:rPr>
                <w:sz w:val="22"/>
                <w:szCs w:val="22"/>
                <w:color w:val="auto"/>
              </w:rPr>
            </w:pPr>
          </w:p>
        </w:tc>
        <w:tc>
          <w:tcPr>
            <w:tcW w:w="1440" w:type="dxa"/>
            <w:vAlign w:val="bottom"/>
            <w:gridSpan w:val="2"/>
          </w:tcPr>
          <w:p>
            <w:pPr>
              <w:ind w:left="140"/>
              <w:spacing w:after="0"/>
              <w:rPr>
                <w:sz w:val="20"/>
                <w:szCs w:val="20"/>
                <w:color w:val="auto"/>
              </w:rPr>
            </w:pPr>
            <w:r>
              <w:rPr>
                <w:rFonts w:ascii="Arial" w:cs="Arial" w:eastAsia="Arial" w:hAnsi="Arial"/>
                <w:sz w:val="16"/>
                <w:szCs w:val="16"/>
                <w:b w:val="1"/>
                <w:bCs w:val="1"/>
                <w:color w:val="auto"/>
              </w:rPr>
              <w:t>Asia Pacific</w:t>
            </w:r>
          </w:p>
        </w:tc>
        <w:tc>
          <w:tcPr>
            <w:tcW w:w="340" w:type="dxa"/>
            <w:vAlign w:val="bottom"/>
          </w:tcPr>
          <w:p>
            <w:pPr>
              <w:spacing w:after="0"/>
              <w:rPr>
                <w:sz w:val="22"/>
                <w:szCs w:val="22"/>
                <w:color w:val="auto"/>
              </w:rPr>
            </w:pPr>
          </w:p>
        </w:tc>
        <w:tc>
          <w:tcPr>
            <w:tcW w:w="1360" w:type="dxa"/>
            <w:vAlign w:val="bottom"/>
            <w:gridSpan w:val="2"/>
          </w:tcPr>
          <w:p>
            <w:pPr>
              <w:ind w:left="200"/>
              <w:spacing w:after="0"/>
              <w:rPr>
                <w:sz w:val="20"/>
                <w:szCs w:val="20"/>
                <w:color w:val="auto"/>
              </w:rPr>
            </w:pPr>
            <w:r>
              <w:rPr>
                <w:rFonts w:ascii="Arial" w:cs="Arial" w:eastAsia="Arial" w:hAnsi="Arial"/>
                <w:sz w:val="16"/>
                <w:szCs w:val="16"/>
                <w:b w:val="1"/>
                <w:bCs w:val="1"/>
                <w:color w:val="auto"/>
              </w:rPr>
              <w:t>Europe</w:t>
            </w:r>
          </w:p>
        </w:tc>
        <w:tc>
          <w:tcPr>
            <w:tcW w:w="380" w:type="dxa"/>
            <w:vAlign w:val="bottom"/>
          </w:tcPr>
          <w:p>
            <w:pPr>
              <w:spacing w:after="0"/>
              <w:rPr>
                <w:sz w:val="22"/>
                <w:szCs w:val="22"/>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184,880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201,856</w:t>
            </w:r>
          </w:p>
        </w:tc>
      </w:tr>
      <w:tr>
        <w:trPr>
          <w:trHeight w:val="297"/>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Ancillary revenues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33,040</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Management fee revenues</w:t>
            </w:r>
          </w:p>
        </w:tc>
        <w:tc>
          <w:tcPr>
            <w:tcW w:w="2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19,711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22,028</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services revenues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16,295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16,872</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Resort management and other services</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63,916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7,043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71,940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4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Rental</w:t>
            </w:r>
          </w:p>
        </w:tc>
        <w:tc>
          <w:tcPr>
            <w:tcW w:w="2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62,021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5,223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69,290</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4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2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176,236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8,977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186,820</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 from contracts with customers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487,053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14,916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27,937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529,906</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4"/>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32,530</w:t>
            </w: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517,772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16,021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28,643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562,436</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47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634"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Six Months Ended June 30, 2018</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2"/>
                <w:szCs w:val="22"/>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North America</w:t>
            </w:r>
          </w:p>
        </w:tc>
        <w:tc>
          <w:tcPr>
            <w:tcW w:w="260" w:type="dxa"/>
            <w:vAlign w:val="bottom"/>
          </w:tcPr>
          <w:p>
            <w:pPr>
              <w:spacing w:after="0"/>
              <w:rPr>
                <w:sz w:val="22"/>
                <w:szCs w:val="22"/>
                <w:color w:val="auto"/>
              </w:rPr>
            </w:pPr>
          </w:p>
        </w:tc>
        <w:tc>
          <w:tcPr>
            <w:tcW w:w="1440" w:type="dxa"/>
            <w:vAlign w:val="bottom"/>
            <w:gridSpan w:val="2"/>
          </w:tcPr>
          <w:p>
            <w:pPr>
              <w:ind w:left="140"/>
              <w:spacing w:after="0"/>
              <w:rPr>
                <w:sz w:val="20"/>
                <w:szCs w:val="20"/>
                <w:color w:val="auto"/>
              </w:rPr>
            </w:pPr>
            <w:r>
              <w:rPr>
                <w:rFonts w:ascii="Arial" w:cs="Arial" w:eastAsia="Arial" w:hAnsi="Arial"/>
                <w:sz w:val="16"/>
                <w:szCs w:val="16"/>
                <w:b w:val="1"/>
                <w:bCs w:val="1"/>
                <w:color w:val="auto"/>
              </w:rPr>
              <w:t>Asia Pacific</w:t>
            </w:r>
          </w:p>
        </w:tc>
        <w:tc>
          <w:tcPr>
            <w:tcW w:w="340" w:type="dxa"/>
            <w:vAlign w:val="bottom"/>
          </w:tcPr>
          <w:p>
            <w:pPr>
              <w:spacing w:after="0"/>
              <w:rPr>
                <w:sz w:val="22"/>
                <w:szCs w:val="22"/>
                <w:color w:val="auto"/>
              </w:rPr>
            </w:pPr>
          </w:p>
        </w:tc>
        <w:tc>
          <w:tcPr>
            <w:tcW w:w="1360" w:type="dxa"/>
            <w:vAlign w:val="bottom"/>
            <w:gridSpan w:val="2"/>
          </w:tcPr>
          <w:p>
            <w:pPr>
              <w:ind w:left="200"/>
              <w:spacing w:after="0"/>
              <w:rPr>
                <w:sz w:val="20"/>
                <w:szCs w:val="20"/>
                <w:color w:val="auto"/>
              </w:rPr>
            </w:pPr>
            <w:r>
              <w:rPr>
                <w:rFonts w:ascii="Arial" w:cs="Arial" w:eastAsia="Arial" w:hAnsi="Arial"/>
                <w:sz w:val="16"/>
                <w:szCs w:val="16"/>
                <w:b w:val="1"/>
                <w:bCs w:val="1"/>
                <w:color w:val="auto"/>
              </w:rPr>
              <w:t>Europe</w:t>
            </w:r>
          </w:p>
        </w:tc>
        <w:tc>
          <w:tcPr>
            <w:tcW w:w="380" w:type="dxa"/>
            <w:vAlign w:val="bottom"/>
          </w:tcPr>
          <w:p>
            <w:pPr>
              <w:spacing w:after="0"/>
              <w:rPr>
                <w:sz w:val="22"/>
                <w:szCs w:val="22"/>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349,320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379,957</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Ancillary revenues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55,113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63,911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Management fee revenues</w:t>
            </w:r>
          </w:p>
        </w:tc>
        <w:tc>
          <w:tcPr>
            <w:tcW w:w="2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44,323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3,653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49,490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services revenues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34,421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Resort management and other services</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131,960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2,650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13,212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147,822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Rental</w:t>
            </w:r>
          </w:p>
        </w:tc>
        <w:tc>
          <w:tcPr>
            <w:tcW w:w="2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135,158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5,384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8,229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148,771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2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389,360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3,697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24,601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417,658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 from contracts with customers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1,005,798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34,631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53,779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1,094,208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67,441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71,333</w:t>
            </w:r>
          </w:p>
        </w:tc>
        <w:tc>
          <w:tcPr>
            <w:tcW w:w="0" w:type="dxa"/>
            <w:vAlign w:val="bottom"/>
          </w:tcPr>
          <w:p>
            <w:pPr>
              <w:spacing w:after="0"/>
              <w:rPr>
                <w:sz w:val="1"/>
                <w:szCs w:val="1"/>
                <w:color w:val="auto"/>
              </w:rPr>
            </w:pP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1,073,239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37,083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55,219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1,165,541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Six Months Ended June 30, 2017</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2"/>
                <w:szCs w:val="22"/>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North America</w:t>
            </w:r>
          </w:p>
        </w:tc>
        <w:tc>
          <w:tcPr>
            <w:tcW w:w="260" w:type="dxa"/>
            <w:vAlign w:val="bottom"/>
          </w:tcPr>
          <w:p>
            <w:pPr>
              <w:spacing w:after="0"/>
              <w:rPr>
                <w:sz w:val="22"/>
                <w:szCs w:val="22"/>
                <w:color w:val="auto"/>
              </w:rPr>
            </w:pPr>
          </w:p>
        </w:tc>
        <w:tc>
          <w:tcPr>
            <w:tcW w:w="1440" w:type="dxa"/>
            <w:vAlign w:val="bottom"/>
            <w:gridSpan w:val="2"/>
          </w:tcPr>
          <w:p>
            <w:pPr>
              <w:ind w:left="140"/>
              <w:spacing w:after="0"/>
              <w:rPr>
                <w:sz w:val="20"/>
                <w:szCs w:val="20"/>
                <w:color w:val="auto"/>
              </w:rPr>
            </w:pPr>
            <w:r>
              <w:rPr>
                <w:rFonts w:ascii="Arial" w:cs="Arial" w:eastAsia="Arial" w:hAnsi="Arial"/>
                <w:sz w:val="16"/>
                <w:szCs w:val="16"/>
                <w:b w:val="1"/>
                <w:bCs w:val="1"/>
                <w:color w:val="auto"/>
              </w:rPr>
              <w:t>Asia Pacific</w:t>
            </w:r>
          </w:p>
        </w:tc>
        <w:tc>
          <w:tcPr>
            <w:tcW w:w="340" w:type="dxa"/>
            <w:vAlign w:val="bottom"/>
          </w:tcPr>
          <w:p>
            <w:pPr>
              <w:spacing w:after="0"/>
              <w:rPr>
                <w:sz w:val="22"/>
                <w:szCs w:val="22"/>
                <w:color w:val="auto"/>
              </w:rPr>
            </w:pPr>
          </w:p>
        </w:tc>
        <w:tc>
          <w:tcPr>
            <w:tcW w:w="1360" w:type="dxa"/>
            <w:vAlign w:val="bottom"/>
            <w:gridSpan w:val="2"/>
          </w:tcPr>
          <w:p>
            <w:pPr>
              <w:ind w:left="200"/>
              <w:spacing w:after="0"/>
              <w:rPr>
                <w:sz w:val="20"/>
                <w:szCs w:val="20"/>
                <w:color w:val="auto"/>
              </w:rPr>
            </w:pPr>
            <w:r>
              <w:rPr>
                <w:rFonts w:ascii="Arial" w:cs="Arial" w:eastAsia="Arial" w:hAnsi="Arial"/>
                <w:sz w:val="16"/>
                <w:szCs w:val="16"/>
                <w:b w:val="1"/>
                <w:bCs w:val="1"/>
                <w:color w:val="auto"/>
              </w:rPr>
              <w:t>Europe</w:t>
            </w:r>
          </w:p>
        </w:tc>
        <w:tc>
          <w:tcPr>
            <w:tcW w:w="380" w:type="dxa"/>
            <w:vAlign w:val="bottom"/>
          </w:tcPr>
          <w:p>
            <w:pPr>
              <w:spacing w:after="0"/>
              <w:rPr>
                <w:sz w:val="22"/>
                <w:szCs w:val="22"/>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336,589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365,733</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Ancillary revenues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52,598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60,309</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Management fee revenues</w:t>
            </w:r>
          </w:p>
        </w:tc>
        <w:tc>
          <w:tcPr>
            <w:tcW w:w="2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39,627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3,130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44,143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services revenues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33,764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34,907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Resort management and other services</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125,989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1,923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11,447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139,359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Rental</w:t>
            </w:r>
          </w:p>
        </w:tc>
        <w:tc>
          <w:tcPr>
            <w:tcW w:w="2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124,506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4,950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7,513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136,969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2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357,802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2,717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23,515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384,034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 from contracts with customers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944,886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29,027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52,182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1,026,095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60,958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64,641</w:t>
            </w:r>
          </w:p>
        </w:tc>
        <w:tc>
          <w:tcPr>
            <w:tcW w:w="0" w:type="dxa"/>
            <w:vAlign w:val="bottom"/>
          </w:tcPr>
          <w:p>
            <w:pPr>
              <w:spacing w:after="0"/>
              <w:rPr>
                <w:sz w:val="1"/>
                <w:szCs w:val="1"/>
                <w:color w:val="auto"/>
              </w:rPr>
            </w:pP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1,005,844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31,255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53,637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1,090,736</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i w:val="1"/>
                <w:iCs w:val="1"/>
                <w:color w:val="auto"/>
                <w:w w:val="92"/>
              </w:rPr>
              <w:t>Timing of Revenue from Contracts with Customers by Segment</w:t>
            </w: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2"/>
              </w:rPr>
              <w:t>Three Months Ended June 30, 2018</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2"/>
                <w:szCs w:val="22"/>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North America</w:t>
            </w:r>
          </w:p>
        </w:tc>
        <w:tc>
          <w:tcPr>
            <w:tcW w:w="260" w:type="dxa"/>
            <w:vAlign w:val="bottom"/>
          </w:tcPr>
          <w:p>
            <w:pPr>
              <w:spacing w:after="0"/>
              <w:rPr>
                <w:sz w:val="22"/>
                <w:szCs w:val="22"/>
                <w:color w:val="auto"/>
              </w:rPr>
            </w:pPr>
          </w:p>
        </w:tc>
        <w:tc>
          <w:tcPr>
            <w:tcW w:w="1440" w:type="dxa"/>
            <w:vAlign w:val="bottom"/>
            <w:gridSpan w:val="2"/>
          </w:tcPr>
          <w:p>
            <w:pPr>
              <w:ind w:left="140"/>
              <w:spacing w:after="0"/>
              <w:rPr>
                <w:sz w:val="20"/>
                <w:szCs w:val="20"/>
                <w:color w:val="auto"/>
              </w:rPr>
            </w:pPr>
            <w:r>
              <w:rPr>
                <w:rFonts w:ascii="Arial" w:cs="Arial" w:eastAsia="Arial" w:hAnsi="Arial"/>
                <w:sz w:val="16"/>
                <w:szCs w:val="16"/>
                <w:b w:val="1"/>
                <w:bCs w:val="1"/>
                <w:color w:val="auto"/>
              </w:rPr>
              <w:t>Asia Pacific</w:t>
            </w:r>
          </w:p>
        </w:tc>
        <w:tc>
          <w:tcPr>
            <w:tcW w:w="340" w:type="dxa"/>
            <w:vAlign w:val="bottom"/>
          </w:tcPr>
          <w:p>
            <w:pPr>
              <w:spacing w:after="0"/>
              <w:rPr>
                <w:sz w:val="22"/>
                <w:szCs w:val="22"/>
                <w:color w:val="auto"/>
              </w:rPr>
            </w:pPr>
          </w:p>
        </w:tc>
        <w:tc>
          <w:tcPr>
            <w:tcW w:w="1360" w:type="dxa"/>
            <w:vAlign w:val="bottom"/>
            <w:gridSpan w:val="2"/>
          </w:tcPr>
          <w:p>
            <w:pPr>
              <w:ind w:left="200"/>
              <w:spacing w:after="0"/>
              <w:rPr>
                <w:sz w:val="20"/>
                <w:szCs w:val="20"/>
                <w:color w:val="auto"/>
              </w:rPr>
            </w:pPr>
            <w:r>
              <w:rPr>
                <w:rFonts w:ascii="Arial" w:cs="Arial" w:eastAsia="Arial" w:hAnsi="Arial"/>
                <w:sz w:val="16"/>
                <w:szCs w:val="16"/>
                <w:b w:val="1"/>
                <w:bCs w:val="1"/>
                <w:color w:val="auto"/>
              </w:rPr>
              <w:t>Europe</w:t>
            </w:r>
          </w:p>
        </w:tc>
        <w:tc>
          <w:tcPr>
            <w:tcW w:w="380" w:type="dxa"/>
            <w:vAlign w:val="bottom"/>
          </w:tcPr>
          <w:p>
            <w:pPr>
              <w:spacing w:after="0"/>
              <w:rPr>
                <w:sz w:val="22"/>
                <w:szCs w:val="22"/>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 transferred over time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289,368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314,803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Goods or services transferred at a point in time</w:t>
            </w:r>
          </w:p>
        </w:tc>
        <w:tc>
          <w:tcPr>
            <w:tcW w:w="2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221,502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11,966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10,570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244,038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 from contracts with customers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510,870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16,981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30,990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558,841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2"/>
              </w:rPr>
              <w:t>Three Months Ended June 30, 2017</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2"/>
                <w:szCs w:val="22"/>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North America</w:t>
            </w:r>
          </w:p>
        </w:tc>
        <w:tc>
          <w:tcPr>
            <w:tcW w:w="260" w:type="dxa"/>
            <w:vAlign w:val="bottom"/>
          </w:tcPr>
          <w:p>
            <w:pPr>
              <w:spacing w:after="0"/>
              <w:rPr>
                <w:sz w:val="22"/>
                <w:szCs w:val="22"/>
                <w:color w:val="auto"/>
              </w:rPr>
            </w:pPr>
          </w:p>
        </w:tc>
        <w:tc>
          <w:tcPr>
            <w:tcW w:w="1440" w:type="dxa"/>
            <w:vAlign w:val="bottom"/>
            <w:gridSpan w:val="2"/>
          </w:tcPr>
          <w:p>
            <w:pPr>
              <w:ind w:left="140"/>
              <w:spacing w:after="0"/>
              <w:rPr>
                <w:sz w:val="20"/>
                <w:szCs w:val="20"/>
                <w:color w:val="auto"/>
              </w:rPr>
            </w:pPr>
            <w:r>
              <w:rPr>
                <w:rFonts w:ascii="Arial" w:cs="Arial" w:eastAsia="Arial" w:hAnsi="Arial"/>
                <w:sz w:val="16"/>
                <w:szCs w:val="16"/>
                <w:b w:val="1"/>
                <w:bCs w:val="1"/>
                <w:color w:val="auto"/>
              </w:rPr>
              <w:t>Asia Pacific</w:t>
            </w:r>
          </w:p>
        </w:tc>
        <w:tc>
          <w:tcPr>
            <w:tcW w:w="340" w:type="dxa"/>
            <w:vAlign w:val="bottom"/>
          </w:tcPr>
          <w:p>
            <w:pPr>
              <w:spacing w:after="0"/>
              <w:rPr>
                <w:sz w:val="22"/>
                <w:szCs w:val="22"/>
                <w:color w:val="auto"/>
              </w:rPr>
            </w:pPr>
          </w:p>
        </w:tc>
        <w:tc>
          <w:tcPr>
            <w:tcW w:w="1360" w:type="dxa"/>
            <w:vAlign w:val="bottom"/>
            <w:gridSpan w:val="2"/>
          </w:tcPr>
          <w:p>
            <w:pPr>
              <w:ind w:left="200"/>
              <w:spacing w:after="0"/>
              <w:rPr>
                <w:sz w:val="20"/>
                <w:szCs w:val="20"/>
                <w:color w:val="auto"/>
              </w:rPr>
            </w:pPr>
            <w:r>
              <w:rPr>
                <w:rFonts w:ascii="Arial" w:cs="Arial" w:eastAsia="Arial" w:hAnsi="Arial"/>
                <w:sz w:val="16"/>
                <w:szCs w:val="16"/>
                <w:b w:val="1"/>
                <w:bCs w:val="1"/>
                <w:color w:val="auto"/>
              </w:rPr>
              <w:t>Europe</w:t>
            </w:r>
          </w:p>
        </w:tc>
        <w:tc>
          <w:tcPr>
            <w:tcW w:w="380" w:type="dxa"/>
            <w:vAlign w:val="bottom"/>
          </w:tcPr>
          <w:p>
            <w:pPr>
              <w:spacing w:after="0"/>
              <w:rPr>
                <w:sz w:val="22"/>
                <w:szCs w:val="22"/>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 transferred over time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269,806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290,296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Goods or services transferred at a point in time</w:t>
            </w:r>
          </w:p>
        </w:tc>
        <w:tc>
          <w:tcPr>
            <w:tcW w:w="2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217,247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10,506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11,857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239,610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 from contracts with customers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487,053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14,916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27,937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529,906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9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98" w:right="2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gridSpan w:val="5"/>
          </w:tcPr>
          <w:p>
            <w:pPr>
              <w:ind w:left="260"/>
              <w:spacing w:after="0"/>
              <w:rPr>
                <w:sz w:val="20"/>
                <w:szCs w:val="20"/>
                <w:color w:val="auto"/>
              </w:rPr>
            </w:pPr>
            <w:r>
              <w:rPr>
                <w:rFonts w:ascii="Arial" w:cs="Arial" w:eastAsia="Arial" w:hAnsi="Arial"/>
                <w:sz w:val="16"/>
                <w:szCs w:val="16"/>
                <w:b w:val="1"/>
                <w:bCs w:val="1"/>
                <w:color w:val="auto"/>
              </w:rPr>
              <w:t>Six Months Ended June 30, 2018</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2"/>
                <w:szCs w:val="22"/>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North America</w:t>
            </w:r>
          </w:p>
        </w:tc>
        <w:tc>
          <w:tcPr>
            <w:tcW w:w="260" w:type="dxa"/>
            <w:vAlign w:val="bottom"/>
          </w:tcPr>
          <w:p>
            <w:pPr>
              <w:spacing w:after="0"/>
              <w:rPr>
                <w:sz w:val="22"/>
                <w:szCs w:val="22"/>
                <w:color w:val="auto"/>
              </w:rPr>
            </w:pPr>
          </w:p>
        </w:tc>
        <w:tc>
          <w:tcPr>
            <w:tcW w:w="1440" w:type="dxa"/>
            <w:vAlign w:val="bottom"/>
            <w:gridSpan w:val="2"/>
          </w:tcPr>
          <w:p>
            <w:pPr>
              <w:ind w:left="140"/>
              <w:spacing w:after="0"/>
              <w:rPr>
                <w:sz w:val="20"/>
                <w:szCs w:val="20"/>
                <w:color w:val="auto"/>
              </w:rPr>
            </w:pPr>
            <w:r>
              <w:rPr>
                <w:rFonts w:ascii="Arial" w:cs="Arial" w:eastAsia="Arial" w:hAnsi="Arial"/>
                <w:sz w:val="16"/>
                <w:szCs w:val="16"/>
                <w:b w:val="1"/>
                <w:bCs w:val="1"/>
                <w:color w:val="auto"/>
              </w:rPr>
              <w:t>Asia Pacific</w:t>
            </w:r>
          </w:p>
        </w:tc>
        <w:tc>
          <w:tcPr>
            <w:tcW w:w="340" w:type="dxa"/>
            <w:vAlign w:val="bottom"/>
          </w:tcPr>
          <w:p>
            <w:pPr>
              <w:spacing w:after="0"/>
              <w:rPr>
                <w:sz w:val="22"/>
                <w:szCs w:val="22"/>
                <w:color w:val="auto"/>
              </w:rPr>
            </w:pPr>
          </w:p>
        </w:tc>
        <w:tc>
          <w:tcPr>
            <w:tcW w:w="1360" w:type="dxa"/>
            <w:vAlign w:val="bottom"/>
            <w:gridSpan w:val="2"/>
          </w:tcPr>
          <w:p>
            <w:pPr>
              <w:ind w:left="200"/>
              <w:spacing w:after="0"/>
              <w:rPr>
                <w:sz w:val="20"/>
                <w:szCs w:val="20"/>
                <w:color w:val="auto"/>
              </w:rPr>
            </w:pPr>
            <w:r>
              <w:rPr>
                <w:rFonts w:ascii="Arial" w:cs="Arial" w:eastAsia="Arial" w:hAnsi="Arial"/>
                <w:sz w:val="16"/>
                <w:szCs w:val="16"/>
                <w:b w:val="1"/>
                <w:bCs w:val="1"/>
                <w:color w:val="auto"/>
              </w:rPr>
              <w:t>Europe</w:t>
            </w:r>
          </w:p>
        </w:tc>
        <w:tc>
          <w:tcPr>
            <w:tcW w:w="380" w:type="dxa"/>
            <w:vAlign w:val="bottom"/>
          </w:tcPr>
          <w:p>
            <w:pPr>
              <w:spacing w:after="0"/>
              <w:rPr>
                <w:sz w:val="22"/>
                <w:szCs w:val="22"/>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Total</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 transferred over time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594,157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642,510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Goods or services transferred at a point in time</w:t>
            </w:r>
          </w:p>
        </w:tc>
        <w:tc>
          <w:tcPr>
            <w:tcW w:w="2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411,641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23,492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16,565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451,698</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 from contracts with customers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1,005,798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34,631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53,779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1,094,208</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67"/>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gridSpan w:val="5"/>
          </w:tcPr>
          <w:p>
            <w:pPr>
              <w:ind w:left="260"/>
              <w:spacing w:after="0"/>
              <w:rPr>
                <w:sz w:val="20"/>
                <w:szCs w:val="20"/>
                <w:color w:val="auto"/>
              </w:rPr>
            </w:pPr>
            <w:r>
              <w:rPr>
                <w:rFonts w:ascii="Arial" w:cs="Arial" w:eastAsia="Arial" w:hAnsi="Arial"/>
                <w:sz w:val="16"/>
                <w:szCs w:val="16"/>
                <w:b w:val="1"/>
                <w:bCs w:val="1"/>
                <w:color w:val="auto"/>
              </w:rPr>
              <w:t>Six Months Ended June 30, 2017</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2"/>
                <w:szCs w:val="22"/>
                <w:color w:val="auto"/>
              </w:rPr>
            </w:pPr>
          </w:p>
        </w:tc>
        <w:tc>
          <w:tcPr>
            <w:tcW w:w="1520" w:type="dxa"/>
            <w:vAlign w:val="bottom"/>
            <w:gridSpan w:val="2"/>
          </w:tcPr>
          <w:p>
            <w:pPr>
              <w:ind w:left="80"/>
              <w:spacing w:after="0"/>
              <w:rPr>
                <w:sz w:val="20"/>
                <w:szCs w:val="20"/>
                <w:color w:val="auto"/>
              </w:rPr>
            </w:pPr>
            <w:r>
              <w:rPr>
                <w:rFonts w:ascii="Arial" w:cs="Arial" w:eastAsia="Arial" w:hAnsi="Arial"/>
                <w:sz w:val="16"/>
                <w:szCs w:val="16"/>
                <w:b w:val="1"/>
                <w:bCs w:val="1"/>
                <w:color w:val="auto"/>
              </w:rPr>
              <w:t>North America</w:t>
            </w:r>
          </w:p>
        </w:tc>
        <w:tc>
          <w:tcPr>
            <w:tcW w:w="260" w:type="dxa"/>
            <w:vAlign w:val="bottom"/>
          </w:tcPr>
          <w:p>
            <w:pPr>
              <w:spacing w:after="0"/>
              <w:rPr>
                <w:sz w:val="22"/>
                <w:szCs w:val="22"/>
                <w:color w:val="auto"/>
              </w:rPr>
            </w:pPr>
          </w:p>
        </w:tc>
        <w:tc>
          <w:tcPr>
            <w:tcW w:w="1440" w:type="dxa"/>
            <w:vAlign w:val="bottom"/>
            <w:gridSpan w:val="2"/>
          </w:tcPr>
          <w:p>
            <w:pPr>
              <w:ind w:left="140"/>
              <w:spacing w:after="0"/>
              <w:rPr>
                <w:sz w:val="20"/>
                <w:szCs w:val="20"/>
                <w:color w:val="auto"/>
              </w:rPr>
            </w:pPr>
            <w:r>
              <w:rPr>
                <w:rFonts w:ascii="Arial" w:cs="Arial" w:eastAsia="Arial" w:hAnsi="Arial"/>
                <w:sz w:val="16"/>
                <w:szCs w:val="16"/>
                <w:b w:val="1"/>
                <w:bCs w:val="1"/>
                <w:color w:val="auto"/>
              </w:rPr>
              <w:t>Asia Pacific</w:t>
            </w:r>
          </w:p>
        </w:tc>
        <w:tc>
          <w:tcPr>
            <w:tcW w:w="340" w:type="dxa"/>
            <w:vAlign w:val="bottom"/>
          </w:tcPr>
          <w:p>
            <w:pPr>
              <w:spacing w:after="0"/>
              <w:rPr>
                <w:sz w:val="22"/>
                <w:szCs w:val="22"/>
                <w:color w:val="auto"/>
              </w:rPr>
            </w:pPr>
          </w:p>
        </w:tc>
        <w:tc>
          <w:tcPr>
            <w:tcW w:w="1360" w:type="dxa"/>
            <w:vAlign w:val="bottom"/>
            <w:gridSpan w:val="2"/>
          </w:tcPr>
          <w:p>
            <w:pPr>
              <w:ind w:left="200"/>
              <w:spacing w:after="0"/>
              <w:rPr>
                <w:sz w:val="20"/>
                <w:szCs w:val="20"/>
                <w:color w:val="auto"/>
              </w:rPr>
            </w:pPr>
            <w:r>
              <w:rPr>
                <w:rFonts w:ascii="Arial" w:cs="Arial" w:eastAsia="Arial" w:hAnsi="Arial"/>
                <w:sz w:val="16"/>
                <w:szCs w:val="16"/>
                <w:b w:val="1"/>
                <w:bCs w:val="1"/>
                <w:color w:val="auto"/>
              </w:rPr>
              <w:t>Europe</w:t>
            </w:r>
          </w:p>
        </w:tc>
        <w:tc>
          <w:tcPr>
            <w:tcW w:w="380" w:type="dxa"/>
            <w:vAlign w:val="bottom"/>
          </w:tcPr>
          <w:p>
            <w:pPr>
              <w:spacing w:after="0"/>
              <w:rPr>
                <w:sz w:val="22"/>
                <w:szCs w:val="22"/>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Total</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 transferred over time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545,371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589,175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Goods or services transferred at a point in time</w:t>
            </w:r>
          </w:p>
        </w:tc>
        <w:tc>
          <w:tcPr>
            <w:tcW w:w="2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399,515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19,863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17,542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436,920</w:t>
            </w: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 from contracts with customers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944,886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29,027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52,182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1,026,095</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ind w:right="140" w:firstLine="662"/>
        <w:spacing w:after="0" w:line="312" w:lineRule="auto"/>
        <w:rPr>
          <w:sz w:val="20"/>
          <w:szCs w:val="20"/>
          <w:color w:val="auto"/>
        </w:rPr>
      </w:pPr>
      <w:r>
        <w:rPr>
          <w:rFonts w:ascii="Arial" w:cs="Arial" w:eastAsia="Arial" w:hAnsi="Arial"/>
          <w:sz w:val="16"/>
          <w:szCs w:val="16"/>
          <w:color w:val="auto"/>
        </w:rPr>
        <w:t>We market and sell vacation ownership products in our three reportable segments. Vacation ownership products include deeded vacation ownership products, deeded beneficial interests, rights to use real estate, and other interests in trusts that solely hold real estate and deeded whole ownership units in residential buildings (collectively “vacation ownership products”). Vacation ownership products may be sold for cash or we may provide financing.</w:t>
      </w:r>
    </w:p>
    <w:p>
      <w:pPr>
        <w:spacing w:after="0" w:line="39" w:lineRule="exact"/>
        <w:rPr>
          <w:sz w:val="20"/>
          <w:szCs w:val="20"/>
          <w:color w:val="auto"/>
        </w:rPr>
      </w:pPr>
    </w:p>
    <w:p>
      <w:pPr>
        <w:ind w:right="100" w:firstLine="662"/>
        <w:spacing w:after="0" w:line="259" w:lineRule="auto"/>
        <w:rPr>
          <w:sz w:val="20"/>
          <w:szCs w:val="20"/>
          <w:color w:val="auto"/>
        </w:rPr>
      </w:pPr>
      <w:r>
        <w:rPr>
          <w:rFonts w:ascii="Arial" w:cs="Arial" w:eastAsia="Arial" w:hAnsi="Arial"/>
          <w:sz w:val="18"/>
          <w:szCs w:val="18"/>
          <w:color w:val="auto"/>
        </w:rPr>
        <w:t>In connection with the sale of vacation ownership products, we provide sales incentives to certain purchasers. Non-cash incentives typically include Marriott Rewards points or an alternative sales incentive that we refer to as “plus points.” Plus points are redeemable for stays at our resorts or for use in an exclusive selection of travel packages provided by affiliate tour operators (the “Explorer Collection”), generally up to two years from the date of issuance. Typically, sales incentives are only awarded if the sale is closed.</w:t>
      </w:r>
    </w:p>
    <w:p>
      <w:pPr>
        <w:spacing w:after="0" w:line="79" w:lineRule="exact"/>
        <w:rPr>
          <w:sz w:val="20"/>
          <w:szCs w:val="20"/>
          <w:color w:val="auto"/>
        </w:rPr>
      </w:pPr>
    </w:p>
    <w:p>
      <w:pPr>
        <w:ind w:right="120" w:firstLine="662"/>
        <w:spacing w:after="0" w:line="302" w:lineRule="auto"/>
        <w:rPr>
          <w:sz w:val="20"/>
          <w:szCs w:val="20"/>
          <w:color w:val="auto"/>
        </w:rPr>
      </w:pPr>
      <w:r>
        <w:rPr>
          <w:rFonts w:ascii="Arial" w:cs="Arial" w:eastAsia="Arial" w:hAnsi="Arial"/>
          <w:sz w:val="16"/>
          <w:szCs w:val="16"/>
          <w:color w:val="auto"/>
        </w:rPr>
        <w:t>Upon execution of a legal sales agreement, we typically receive an upfront deposit from our customer with the remainder of the purchase price for the vacation ownership product to either be collected at closing (“cash contract”) or financed by the customer through our financing programs (“financed contract”). Refer to “</w:t>
      </w:r>
      <w:r>
        <w:rPr>
          <w:rFonts w:ascii="Arial" w:cs="Arial" w:eastAsia="Arial" w:hAnsi="Arial"/>
          <w:sz w:val="16"/>
          <w:szCs w:val="16"/>
          <w:i w:val="1"/>
          <w:iCs w:val="1"/>
          <w:color w:val="auto"/>
        </w:rPr>
        <w:t>Financing Revenues</w:t>
      </w:r>
      <w:r>
        <w:rPr>
          <w:rFonts w:ascii="Arial" w:cs="Arial" w:eastAsia="Arial" w:hAnsi="Arial"/>
          <w:sz w:val="16"/>
          <w:szCs w:val="16"/>
          <w:color w:val="auto"/>
        </w:rPr>
        <w:t>” below for further information regarding financing terms. Customer deposits received for contracts are recorded as Advance deposits on our Balance Sheets until the point in time at which control of the vacation ownership product has transferred to the customer.</w:t>
      </w:r>
    </w:p>
    <w:p>
      <w:pPr>
        <w:spacing w:after="0" w:line="46" w:lineRule="exact"/>
        <w:rPr>
          <w:sz w:val="20"/>
          <w:szCs w:val="20"/>
          <w:color w:val="auto"/>
        </w:rPr>
      </w:pPr>
    </w:p>
    <w:p>
      <w:pPr>
        <w:ind w:right="120" w:firstLine="662"/>
        <w:spacing w:after="0" w:line="279" w:lineRule="auto"/>
        <w:rPr>
          <w:sz w:val="20"/>
          <w:szCs w:val="20"/>
          <w:color w:val="auto"/>
        </w:rPr>
      </w:pPr>
      <w:r>
        <w:rPr>
          <w:rFonts w:ascii="Arial" w:cs="Arial" w:eastAsia="Arial" w:hAnsi="Arial"/>
          <w:sz w:val="17"/>
          <w:szCs w:val="17"/>
          <w:color w:val="auto"/>
        </w:rPr>
        <w:t>Our assessment of collectibility of the transaction price for sales of vacation ownership products is aligned with our credit granting policies for financed contracts. We compared the lending terms against the terms of similar notes in the market and concluded that certain contracts within our Asia Pacific and Europe segments contain below market interest rates and as such have adjusted the transaction price for these contracts to reflect a market rate of interest. The lending terms of financed contracts within our North America segment reflect market terms.</w:t>
      </w:r>
    </w:p>
    <w:p>
      <w:pPr>
        <w:spacing w:after="0" w:line="63" w:lineRule="exact"/>
        <w:rPr>
          <w:sz w:val="20"/>
          <w:szCs w:val="20"/>
          <w:color w:val="auto"/>
        </w:rPr>
      </w:pPr>
    </w:p>
    <w:p>
      <w:pPr>
        <w:ind w:right="60" w:firstLine="662"/>
        <w:spacing w:after="0" w:line="270" w:lineRule="auto"/>
        <w:rPr>
          <w:sz w:val="20"/>
          <w:szCs w:val="20"/>
          <w:color w:val="auto"/>
        </w:rPr>
      </w:pPr>
      <w:r>
        <w:rPr>
          <w:rFonts w:ascii="Arial" w:cs="Arial" w:eastAsia="Arial" w:hAnsi="Arial"/>
          <w:sz w:val="17"/>
          <w:szCs w:val="17"/>
          <w:color w:val="auto"/>
        </w:rPr>
        <w:t>In determining the consideration to which we expect to be entitled for financed contracts, we include estimated variable consideration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the customer class and the results of our static pool analysis, which relies on historical payment data by customer class. Variable consideration which has not been included within the transaction price is presented as a reserve on vacation ownership notes receivable. Revisions to estimates of variable consideration from the sale of vacation ownership products impact the reserve on vacation ownership notes receivable and can increase or decrease revenue. Revenues were reduced during the second quarter and first half of 2018 by $3.7 million and $2.0 million, respectively, due to changes in our estimate of variable consideration for performance obligations that were satisfied in prior periods. In addition, we account for cash incentives provided to customers as a reduction of the transaction price. Refer to “</w:t>
      </w:r>
      <w:r>
        <w:rPr>
          <w:rFonts w:ascii="Arial" w:cs="Arial" w:eastAsia="Arial" w:hAnsi="Arial"/>
          <w:sz w:val="17"/>
          <w:szCs w:val="17"/>
          <w:i w:val="1"/>
          <w:iCs w:val="1"/>
          <w:color w:val="auto"/>
        </w:rPr>
        <w:t>Arrangements with Multiple Performance Obligations</w:t>
      </w:r>
      <w:r>
        <w:rPr>
          <w:rFonts w:ascii="Arial" w:cs="Arial" w:eastAsia="Arial" w:hAnsi="Arial"/>
          <w:sz w:val="17"/>
          <w:szCs w:val="17"/>
          <w:color w:val="auto"/>
        </w:rPr>
        <w:t>” below for a description of our methods of allocating transaction price to each performance obligation.</w:t>
      </w:r>
    </w:p>
    <w:p>
      <w:pPr>
        <w:spacing w:after="0" w:line="70" w:lineRule="exact"/>
        <w:rPr>
          <w:sz w:val="20"/>
          <w:szCs w:val="20"/>
          <w:color w:val="auto"/>
        </w:rPr>
      </w:pPr>
    </w:p>
    <w:p>
      <w:pPr>
        <w:ind w:right="120" w:firstLine="662"/>
        <w:spacing w:after="0" w:line="312" w:lineRule="auto"/>
        <w:rPr>
          <w:sz w:val="20"/>
          <w:szCs w:val="20"/>
          <w:color w:val="auto"/>
        </w:rPr>
      </w:pPr>
      <w:r>
        <w:rPr>
          <w:rFonts w:ascii="Arial" w:cs="Arial" w:eastAsia="Arial" w:hAnsi="Arial"/>
          <w:sz w:val="16"/>
          <w:szCs w:val="16"/>
          <w:color w:val="auto"/>
        </w:rPr>
        <w:t>We recognize revenue on the sale of vacation ownership products at closing, when control is transferred to the customer. We evaluated our business practices, and the underlying risks and rewards associated with vacation ownership products, and the respective timing that such risk and rewards are transferred to the customer in determining the point in time at which control of the vacation ownership product is transferred to the customer.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52" w:right="239" w:bottom="1440" w:gutter="0" w:footer="0" w:header="0"/>
        </w:sectPr>
      </w:pPr>
    </w:p>
    <w:bookmarkStart w:id="13" w:name="page14"/>
    <w:bookmarkEnd w:id="13"/>
    <w:p>
      <w:pPr>
        <w:ind w:right="20" w:firstLine="662"/>
        <w:spacing w:after="0" w:line="276" w:lineRule="auto"/>
        <w:rPr>
          <w:sz w:val="20"/>
          <w:szCs w:val="20"/>
          <w:color w:val="auto"/>
        </w:rPr>
      </w:pPr>
      <w:r>
        <w:rPr>
          <w:rFonts w:ascii="Arial" w:cs="Arial" w:eastAsia="Arial" w:hAnsi="Arial"/>
          <w:sz w:val="17"/>
          <w:szCs w:val="17"/>
          <w:color w:val="auto"/>
        </w:rPr>
        <w:t>Revenue for non-cash incentives, such as plus points, is recorded as Deferred revenue on our Balance Sheets at closing and is recognized as rental revenue upon transfer of control to the customer, which typically occurs upon delivery of the incentive, or at the point in time when the incentive is redeemed. For non-cash incentives provided by third parties (i.e. Marriott Rewards points or third-party Explorer Collection offerings), we evaluated whether we control the underlying good or service prior to delivery to the customer. We concluded that we are an agent for those non-cash incentives which we do not control prior to delivery and as such record the related revenue net of the related cost upon recognition.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Resort Management and Other Services Revenues and Cost Reimbursements Revenues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Ancillary Revenues</w:t>
      </w:r>
    </w:p>
    <w:p>
      <w:pPr>
        <w:spacing w:after="0" w:line="117" w:lineRule="exact"/>
        <w:rPr>
          <w:sz w:val="20"/>
          <w:szCs w:val="20"/>
          <w:color w:val="auto"/>
        </w:rPr>
      </w:pPr>
    </w:p>
    <w:p>
      <w:pPr>
        <w:ind w:right="320" w:firstLine="662"/>
        <w:spacing w:after="0" w:line="276" w:lineRule="auto"/>
        <w:rPr>
          <w:sz w:val="20"/>
          <w:szCs w:val="20"/>
          <w:color w:val="auto"/>
        </w:rPr>
      </w:pPr>
      <w:r>
        <w:rPr>
          <w:rFonts w:ascii="Arial" w:cs="Arial" w:eastAsia="Arial" w:hAnsi="Arial"/>
          <w:sz w:val="17"/>
          <w:szCs w:val="17"/>
          <w:color w:val="auto"/>
        </w:rPr>
        <w:t>Ancillary revenues consist of goods and services that are sold or provided by us at food and beverage outlets, golf courses and other retail and service outlets located at our resorts. Payments for such goods and services are generally received at the point of sale in the form of cash or credit card charges. For goods and services sold, we evaluated whether we control the underlying goods or services prior to delivery to the customer. For transactions where we do not control the goods or services prior to delivery, the related revenue is recorded net of the related cost upon recognition. We recognize ancillary revenue at the point in time when goods have been provided and/or services have been rendered.</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Management Fee Revenues and Cost Reimbursements Revenues</w:t>
      </w:r>
    </w:p>
    <w:p>
      <w:pPr>
        <w:spacing w:after="0" w:line="117" w:lineRule="exact"/>
        <w:rPr>
          <w:sz w:val="20"/>
          <w:szCs w:val="20"/>
          <w:color w:val="auto"/>
        </w:rPr>
      </w:pPr>
    </w:p>
    <w:p>
      <w:pPr>
        <w:ind w:right="320" w:firstLine="662"/>
        <w:spacing w:after="0" w:line="255" w:lineRule="auto"/>
        <w:rPr>
          <w:sz w:val="20"/>
          <w:szCs w:val="20"/>
          <w:color w:val="auto"/>
        </w:rPr>
      </w:pPr>
      <w:r>
        <w:rPr>
          <w:rFonts w:ascii="Arial" w:cs="Arial" w:eastAsia="Arial" w:hAnsi="Arial"/>
          <w:sz w:val="18"/>
          <w:szCs w:val="18"/>
          <w:color w:val="auto"/>
        </w:rPr>
        <w:t>We provide day-to-day-management services, including housekeeping services, operation of reservation systems, maintenance and certain accounting and administrative services for property owners’ associations. We generate revenue from fees we earn for managing each of our resorts. These fees are earned regardless of usage or occupancy and are typically based on either a percentage of the budgeted costs to operate the resorts or a fixed fee arrangement (“Management fee revenues”) and reimbursement of costs incurred on behalf of the property owners’ associations (“Cost reimbursements revenues”). Cost reimbursements revenues exclude amounts that we have paid to the property owners’ associations related to maintenance fees for unsold vacation ownership products, as we have concluded that such payments are consideration payable to a customer. Cost reimbursements consist of actual expenses with no added margin.</w:t>
      </w:r>
    </w:p>
    <w:p>
      <w:pPr>
        <w:spacing w:after="0" w:line="81" w:lineRule="exact"/>
        <w:rPr>
          <w:sz w:val="20"/>
          <w:szCs w:val="20"/>
          <w:color w:val="auto"/>
        </w:rPr>
      </w:pPr>
    </w:p>
    <w:p>
      <w:pPr>
        <w:ind w:right="140" w:firstLine="662"/>
        <w:spacing w:after="0" w:line="264" w:lineRule="auto"/>
        <w:rPr>
          <w:sz w:val="20"/>
          <w:szCs w:val="20"/>
          <w:color w:val="auto"/>
        </w:rPr>
      </w:pPr>
      <w:r>
        <w:rPr>
          <w:rFonts w:ascii="Arial" w:cs="Arial" w:eastAsia="Arial" w:hAnsi="Arial"/>
          <w:sz w:val="18"/>
          <w:szCs w:val="18"/>
          <w:color w:val="auto"/>
        </w:rPr>
        <w:t>Management fees are typically collected over time or upfront depending upon the specific management contract. Cost reimbursements are received over time and considered variable consideration. We have determined that a significant financing component does not exist as a substantial amount of the consideration promised by the customer is variable.</w:t>
      </w:r>
    </w:p>
    <w:p>
      <w:pPr>
        <w:spacing w:after="0" w:line="73" w:lineRule="exact"/>
        <w:rPr>
          <w:sz w:val="20"/>
          <w:szCs w:val="20"/>
          <w:color w:val="auto"/>
        </w:rPr>
      </w:pPr>
    </w:p>
    <w:p>
      <w:pPr>
        <w:ind w:firstLine="662"/>
        <w:spacing w:after="0" w:line="273" w:lineRule="auto"/>
        <w:rPr>
          <w:sz w:val="20"/>
          <w:szCs w:val="20"/>
          <w:color w:val="auto"/>
        </w:rPr>
      </w:pPr>
      <w:r>
        <w:rPr>
          <w:rFonts w:ascii="Arial" w:cs="Arial" w:eastAsia="Arial" w:hAnsi="Arial"/>
          <w:sz w:val="17"/>
          <w:szCs w:val="17"/>
          <w:color w:val="auto"/>
        </w:rPr>
        <w:t>We evaluated the nature of the services provided to property owners’ associations and concluded that the management services constitute a series of distinct services to be accounted for as a single performance obligation transferred over time. We use an input method, the number of days that management services are provided, to recognize management fee revenues, which is consistent with the pattern of transfer to the property owners’ associations who receive and consume the benefits as services are provided each day. Any consideration we receive in advance of services being rendered is recorded as Deferred revenue on our Balance Sheets and is recognized ratably across the service period to which it relates. We recognize variable consideration for Cost reimbursements revenues when the reimbursable costs are incurred.</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Services Revenues</w:t>
      </w:r>
    </w:p>
    <w:p>
      <w:pPr>
        <w:spacing w:after="0" w:line="117" w:lineRule="exact"/>
        <w:rPr>
          <w:sz w:val="20"/>
          <w:szCs w:val="20"/>
          <w:color w:val="auto"/>
        </w:rPr>
      </w:pPr>
    </w:p>
    <w:p>
      <w:pPr>
        <w:ind w:right="80" w:firstLine="662"/>
        <w:spacing w:after="0" w:line="276" w:lineRule="auto"/>
        <w:rPr>
          <w:sz w:val="20"/>
          <w:szCs w:val="20"/>
          <w:color w:val="auto"/>
        </w:rPr>
      </w:pPr>
      <w:r>
        <w:rPr>
          <w:rFonts w:ascii="Arial" w:cs="Arial" w:eastAsia="Arial" w:hAnsi="Arial"/>
          <w:sz w:val="17"/>
          <w:szCs w:val="17"/>
          <w:color w:val="auto"/>
        </w:rPr>
        <w:t>Other services revenues include additional fees for services we provide to owners and property owners’ associations. We receive club dues for exchange services as well as certain transaction-based fees from owners and other third parties, including external exchange service providers with which we are associated. Club dues are received in advance of providing access to the exchange services, are recorded as Deferred revenue on our Balance Sheets and are earned regardless of whether exchange services are provided. Transaction-based fees from owners are typically received at the time of the transaction and transaction-based fees from other third parties are typically received at a point in time.</w:t>
      </w:r>
    </w:p>
    <w:p>
      <w:pPr>
        <w:spacing w:after="0" w:line="64" w:lineRule="exact"/>
        <w:rPr>
          <w:sz w:val="20"/>
          <w:szCs w:val="20"/>
          <w:color w:val="auto"/>
        </w:rPr>
      </w:pPr>
    </w:p>
    <w:p>
      <w:pPr>
        <w:ind w:right="160" w:firstLine="662"/>
        <w:spacing w:after="0" w:line="259" w:lineRule="auto"/>
        <w:rPr>
          <w:sz w:val="20"/>
          <w:szCs w:val="20"/>
          <w:color w:val="auto"/>
        </w:rPr>
      </w:pPr>
      <w:r>
        <w:rPr>
          <w:rFonts w:ascii="Arial" w:cs="Arial" w:eastAsia="Arial" w:hAnsi="Arial"/>
          <w:sz w:val="18"/>
          <w:szCs w:val="18"/>
          <w:color w:val="auto"/>
        </w:rPr>
        <w:t>We have determined that exchange services constitute a stand-ready obligation for us to provide unlimited access to exchange services over a defined period of time, when and if a customer (or customer of a customer) requests. We have determined that customers benefit from the stand-ready obligation evenly throughout the period in which the customer has access to exchange services and as such, recognize club dues on a straight-line basis over the related period of time.</w:t>
      </w:r>
    </w:p>
    <w:p>
      <w:pPr>
        <w:spacing w:after="0" w:line="79" w:lineRule="exact"/>
        <w:rPr>
          <w:sz w:val="20"/>
          <w:szCs w:val="20"/>
          <w:color w:val="auto"/>
        </w:rPr>
      </w:pPr>
    </w:p>
    <w:p>
      <w:pPr>
        <w:ind w:right="120" w:firstLine="662"/>
        <w:spacing w:after="0" w:line="286" w:lineRule="auto"/>
        <w:rPr>
          <w:sz w:val="20"/>
          <w:szCs w:val="20"/>
          <w:color w:val="auto"/>
        </w:rPr>
      </w:pPr>
      <w:r>
        <w:rPr>
          <w:rFonts w:ascii="Arial" w:cs="Arial" w:eastAsia="Arial" w:hAnsi="Arial"/>
          <w:sz w:val="17"/>
          <w:szCs w:val="17"/>
          <w:color w:val="auto"/>
        </w:rPr>
        <w:t>Transaction-based fees are recognized as revenue at the point in time at which the relevant goods or services are transferred to the customer. For transaction-based fees, we evaluated whether we control the underlying goods or services prior to delivery to the customer. For transactions where we do not control the goods or services prior to delivery, the related revenue is recorded net of the related cost upon recognition.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7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Financing Revenues</w:t>
      </w:r>
    </w:p>
    <w:p>
      <w:pPr>
        <w:spacing w:after="0" w:line="117" w:lineRule="exact"/>
        <w:rPr>
          <w:sz w:val="20"/>
          <w:szCs w:val="20"/>
          <w:color w:val="auto"/>
        </w:rPr>
      </w:pPr>
    </w:p>
    <w:p>
      <w:pPr>
        <w:ind w:firstLine="662"/>
        <w:spacing w:after="0" w:line="272" w:lineRule="auto"/>
        <w:rPr>
          <w:sz w:val="20"/>
          <w:szCs w:val="20"/>
          <w:color w:val="auto"/>
        </w:rPr>
      </w:pPr>
      <w:r>
        <w:rPr>
          <w:rFonts w:ascii="Arial" w:cs="Arial" w:eastAsia="Arial" w:hAnsi="Arial"/>
          <w:sz w:val="17"/>
          <w:szCs w:val="17"/>
          <w:color w:val="auto"/>
        </w:rPr>
        <w:t>We offer consumer financing as an option to qualifying customers purchasing vacation ownership products, which is collateralized by the underlying vacation ownership products. We recognize interest income on an accrual basis. The contractual terms of the financing agreements require that the contractual level of annual principal payments be sufficient to amortize the loan over a customary period for the vacation ownership product being financed, which is generally ten years. Generally, payments commence under the financing contracts 30 to 60 days after closing. We record the difference between the vacation ownership note receivable and the variable consideration included in the transaction price for the sale of the related vacation ownership product as a reserve on our vacation ownership notes receivable. We earn interest income from the financing arrangements on the principal balance outstanding over the life of the arrangement and record that interest income in Financing revenues on our Income Statements.</w:t>
      </w:r>
    </w:p>
    <w:p>
      <w:pPr>
        <w:spacing w:after="0" w:line="70" w:lineRule="exact"/>
        <w:rPr>
          <w:sz w:val="20"/>
          <w:szCs w:val="20"/>
          <w:color w:val="auto"/>
        </w:rPr>
      </w:pPr>
    </w:p>
    <w:p>
      <w:pPr>
        <w:ind w:firstLine="662"/>
        <w:spacing w:after="0" w:line="277" w:lineRule="auto"/>
        <w:rPr>
          <w:sz w:val="20"/>
          <w:szCs w:val="20"/>
          <w:color w:val="auto"/>
        </w:rPr>
      </w:pPr>
      <w:r>
        <w:rPr>
          <w:rFonts w:ascii="Arial" w:cs="Arial" w:eastAsia="Arial" w:hAnsi="Arial"/>
          <w:sz w:val="18"/>
          <w:szCs w:val="18"/>
          <w:color w:val="auto"/>
        </w:rPr>
        <w:t>Financing revenues include transaction-based fees we charge to owners and other third parties for services. We recognize fee revenues when services have been rendered.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Revenues</w:t>
      </w:r>
    </w:p>
    <w:p>
      <w:pPr>
        <w:spacing w:after="0" w:line="117" w:lineRule="exact"/>
        <w:rPr>
          <w:sz w:val="20"/>
          <w:szCs w:val="20"/>
          <w:color w:val="auto"/>
        </w:rPr>
      </w:pPr>
    </w:p>
    <w:p>
      <w:pPr>
        <w:ind w:right="160" w:firstLine="662"/>
        <w:spacing w:after="0" w:line="257" w:lineRule="auto"/>
        <w:rPr>
          <w:sz w:val="20"/>
          <w:szCs w:val="20"/>
          <w:color w:val="auto"/>
        </w:rPr>
      </w:pPr>
      <w:r>
        <w:rPr>
          <w:rFonts w:ascii="Arial" w:cs="Arial" w:eastAsia="Arial" w:hAnsi="Arial"/>
          <w:sz w:val="18"/>
          <w:szCs w:val="18"/>
          <w:color w:val="auto"/>
        </w:rPr>
        <w:t>We generate revenue from rentals of inventory that we hold for sale as interests in our vacation ownership programs or inventory that we control because our owners have elected alternative usage options permitted under our vacation ownership programs. We receive payments for rentals primarily through credit card charges. We recognize rental revenues when occupancy has occurred, which is consistent with the period in which the customer benefits from such service. We recognize rental revenue from the utilization of plus points issued in connection with the sale of vacation ownership products as described in “</w:t>
      </w:r>
      <w:r>
        <w:rPr>
          <w:rFonts w:ascii="Arial" w:cs="Arial" w:eastAsia="Arial" w:hAnsi="Arial"/>
          <w:sz w:val="18"/>
          <w:szCs w:val="18"/>
          <w:i w:val="1"/>
          <w:iCs w:val="1"/>
          <w:color w:val="auto"/>
        </w:rPr>
        <w:t>Sale of Vacation Ownership Products</w:t>
      </w:r>
      <w:r>
        <w:rPr>
          <w:rFonts w:ascii="Arial" w:cs="Arial" w:eastAsia="Arial" w:hAnsi="Arial"/>
          <w:sz w:val="18"/>
          <w:szCs w:val="18"/>
          <w:color w:val="auto"/>
        </w:rPr>
        <w:t>” above.</w:t>
      </w:r>
    </w:p>
    <w:p>
      <w:pPr>
        <w:spacing w:after="0" w:line="80" w:lineRule="exact"/>
        <w:rPr>
          <w:sz w:val="20"/>
          <w:szCs w:val="20"/>
          <w:color w:val="auto"/>
        </w:rPr>
      </w:pPr>
    </w:p>
    <w:p>
      <w:pPr>
        <w:ind w:right="60" w:firstLine="662"/>
        <w:spacing w:after="0" w:line="257" w:lineRule="auto"/>
        <w:rPr>
          <w:sz w:val="20"/>
          <w:szCs w:val="20"/>
          <w:color w:val="auto"/>
        </w:rPr>
      </w:pPr>
      <w:r>
        <w:rPr>
          <w:rFonts w:ascii="Arial" w:cs="Arial" w:eastAsia="Arial" w:hAnsi="Arial"/>
          <w:sz w:val="18"/>
          <w:szCs w:val="18"/>
          <w:color w:val="auto"/>
        </w:rPr>
        <w:t>We also generate revenues from vacation packages sold to our customers. The packages have an expiration period of six to twenty-four months, and payments for such packages are non-refundable and generally paid by the customer in advance. Payments received in advance are recorded as Advance deposits on our Balance Sheets, until the revenue is recognized, when occupancy has occurred. For rental revenues associated with vacation ownership products which we own and which are registered and held for sale, to the extent that the proceeds are less than costs, revenues are reported net in accordance with ASC Topic 978, “</w:t>
      </w:r>
      <w:r>
        <w:rPr>
          <w:rFonts w:ascii="Arial" w:cs="Arial" w:eastAsia="Arial" w:hAnsi="Arial"/>
          <w:sz w:val="18"/>
          <w:szCs w:val="18"/>
          <w:i w:val="1"/>
          <w:iCs w:val="1"/>
          <w:color w:val="auto"/>
        </w:rPr>
        <w:t>Real Estate</w:t>
      </w:r>
      <w:r>
        <w:rPr>
          <w:rFonts w:ascii="Arial" w:cs="Arial" w:eastAsia="Arial" w:hAnsi="Arial"/>
          <w:sz w:val="18"/>
          <w:szCs w:val="18"/>
          <w:color w:val="auto"/>
        </w:rPr>
        <w:t xml:space="preserve"> – </w:t>
      </w:r>
      <w:r>
        <w:rPr>
          <w:rFonts w:ascii="Arial" w:cs="Arial" w:eastAsia="Arial" w:hAnsi="Arial"/>
          <w:sz w:val="18"/>
          <w:szCs w:val="18"/>
          <w:i w:val="1"/>
          <w:iCs w:val="1"/>
          <w:color w:val="auto"/>
        </w:rPr>
        <w:t>Time-Sharing Activities</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Multiple Performance Obligations</w:t>
      </w:r>
    </w:p>
    <w:p>
      <w:pPr>
        <w:spacing w:after="0" w:line="117" w:lineRule="exact"/>
        <w:rPr>
          <w:sz w:val="20"/>
          <w:szCs w:val="20"/>
          <w:color w:val="auto"/>
        </w:rPr>
      </w:pPr>
    </w:p>
    <w:p>
      <w:pPr>
        <w:ind w:right="220" w:firstLine="662"/>
        <w:spacing w:after="0" w:line="257" w:lineRule="auto"/>
        <w:rPr>
          <w:sz w:val="20"/>
          <w:szCs w:val="20"/>
          <w:color w:val="auto"/>
        </w:rPr>
      </w:pPr>
      <w:r>
        <w:rPr>
          <w:rFonts w:ascii="Arial" w:cs="Arial" w:eastAsia="Arial" w:hAnsi="Arial"/>
          <w:sz w:val="18"/>
          <w:szCs w:val="18"/>
          <w:color w:val="auto"/>
        </w:rPr>
        <w:t>Our contracts with customers may include multiple performance obligations. For such arrangements, we allocate revenue to each performance obligation based on its relative standalone selling price. In cases where the standalone selling price is not readily available, we generally determine the standalone selling prices utilizing the adjusted market approach, using prices from similar contracts, our historical pricing on similar contracts, our internal marketing and selling data and other internal and external inputs we deem to be appropriate. Significant judgment is required in determining the standalone selling price under the adjusted market approach.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Contract Assets &amp; Contract Liabilities</w:t>
      </w:r>
    </w:p>
    <w:p>
      <w:pPr>
        <w:spacing w:after="0" w:line="117" w:lineRule="exact"/>
        <w:rPr>
          <w:sz w:val="20"/>
          <w:szCs w:val="20"/>
          <w:color w:val="auto"/>
        </w:rPr>
      </w:pPr>
    </w:p>
    <w:p>
      <w:pPr>
        <w:ind w:right="40" w:firstLine="662"/>
        <w:spacing w:after="0" w:line="255" w:lineRule="auto"/>
        <w:rPr>
          <w:sz w:val="20"/>
          <w:szCs w:val="20"/>
          <w:color w:val="auto"/>
        </w:rPr>
      </w:pPr>
      <w:r>
        <w:rPr>
          <w:rFonts w:ascii="Arial" w:cs="Arial" w:eastAsia="Arial" w:hAnsi="Arial"/>
          <w:sz w:val="18"/>
          <w:szCs w:val="18"/>
          <w:color w:val="auto"/>
        </w:rPr>
        <w:t>As discussed above, the payment terms and conditions in our customer contracts vary. In some cases, customers prepay for their goods and services; in other cases, after appropriate credit evaluations, payment is due in arrears. When the timing of our delivery of goods and services is different from the timing of the payments made by customers, we recognize either a contract asset (performance precedes contractual due date) or a contract liability (customer payment precedes performance or when we have a right to consideration that is unconditional before the transfer of goods or services to a customer). Receivables are recorded when the right to consideration becomes unconditional. Contract liabilities are recognized as revenue as (or when) we perform under the contract.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84" w:right="259" w:bottom="1440" w:gutter="0" w:footer="0" w:header="0"/>
        </w:sectPr>
      </w:pPr>
    </w:p>
    <w:bookmarkStart w:id="15" w:name="page16"/>
    <w:bookmarkEnd w:id="15"/>
    <w:p>
      <w:pPr>
        <w:ind w:right="780" w:firstLine="662"/>
        <w:spacing w:after="0" w:line="277" w:lineRule="auto"/>
        <w:rPr>
          <w:sz w:val="20"/>
          <w:szCs w:val="20"/>
          <w:color w:val="auto"/>
        </w:rPr>
      </w:pPr>
      <w:r>
        <w:rPr>
          <w:rFonts w:ascii="Arial" w:cs="Arial" w:eastAsia="Arial" w:hAnsi="Arial"/>
          <w:sz w:val="18"/>
          <w:szCs w:val="18"/>
          <w:color w:val="auto"/>
        </w:rPr>
        <w:t>The following table shows the composition of our receivables and contract liabilities. We had no contract assets at either June 30, 2018 or December 31, 2017.</w:t>
      </w:r>
    </w:p>
    <w:p>
      <w:pPr>
        <w:spacing w:after="0" w:line="238" w:lineRule="exact"/>
        <w:rPr>
          <w:sz w:val="20"/>
          <w:szCs w:val="20"/>
          <w:color w:val="auto"/>
        </w:rPr>
      </w:pPr>
    </w:p>
    <w:tbl>
      <w:tblPr>
        <w:tblLayout w:type="fixed"/>
        <w:tblInd w:w="420" w:type="dxa"/>
        <w:tblCellMar>
          <w:top w:w="0" w:type="dxa"/>
          <w:left w:w="0" w:type="dxa"/>
          <w:bottom w:w="0" w:type="dxa"/>
          <w:right w:w="0" w:type="dxa"/>
        </w:tblCellMar>
      </w:tblPr>
      <w:tr>
        <w:trPr>
          <w:trHeight w:val="237"/>
        </w:trPr>
        <w:tc>
          <w:tcPr>
            <w:tcW w:w="60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20" w:type="dxa"/>
            <w:vAlign w:val="bottom"/>
          </w:tcPr>
          <w:p>
            <w:pPr>
              <w:spacing w:after="0"/>
              <w:rPr>
                <w:sz w:val="20"/>
                <w:szCs w:val="20"/>
                <w:color w:val="auto"/>
              </w:rPr>
            </w:pPr>
          </w:p>
        </w:tc>
        <w:tc>
          <w:tcPr>
            <w:tcW w:w="2000" w:type="dxa"/>
            <w:vAlign w:val="bottom"/>
            <w:gridSpan w:val="2"/>
          </w:tcPr>
          <w:p>
            <w:pPr>
              <w:ind w:left="220"/>
              <w:spacing w:after="0"/>
              <w:rPr>
                <w:sz w:val="20"/>
                <w:szCs w:val="20"/>
                <w:color w:val="auto"/>
              </w:rPr>
            </w:pPr>
            <w:r>
              <w:rPr>
                <w:rFonts w:ascii="Arial" w:cs="Arial" w:eastAsia="Arial" w:hAnsi="Arial"/>
                <w:sz w:val="16"/>
                <w:szCs w:val="16"/>
                <w:b w:val="1"/>
                <w:bCs w:val="1"/>
                <w:color w:val="auto"/>
              </w:rPr>
              <w:t>At June 30, 2018</w:t>
            </w:r>
          </w:p>
        </w:tc>
        <w:tc>
          <w:tcPr>
            <w:tcW w:w="240" w:type="dxa"/>
            <w:vAlign w:val="bottom"/>
          </w:tcPr>
          <w:p>
            <w:pPr>
              <w:spacing w:after="0"/>
              <w:rPr>
                <w:sz w:val="20"/>
                <w:szCs w:val="20"/>
                <w:color w:val="auto"/>
              </w:rPr>
            </w:pPr>
          </w:p>
        </w:tc>
        <w:tc>
          <w:tcPr>
            <w:tcW w:w="1980" w:type="dxa"/>
            <w:vAlign w:val="bottom"/>
          </w:tcPr>
          <w:p>
            <w:pPr>
              <w:jc w:val="right"/>
              <w:ind w:right="251"/>
              <w:spacing w:after="0"/>
              <w:rPr>
                <w:sz w:val="20"/>
                <w:szCs w:val="20"/>
                <w:color w:val="auto"/>
              </w:rPr>
            </w:pPr>
            <w:r>
              <w:rPr>
                <w:rFonts w:ascii="Arial" w:cs="Arial" w:eastAsia="Arial" w:hAnsi="Arial"/>
                <w:sz w:val="16"/>
                <w:szCs w:val="16"/>
                <w:b w:val="1"/>
                <w:bCs w:val="1"/>
                <w:color w:val="auto"/>
                <w:w w:val="97"/>
              </w:rPr>
              <w:t>At December 31, 2017</w:t>
            </w:r>
          </w:p>
        </w:tc>
      </w:tr>
      <w:tr>
        <w:trPr>
          <w:trHeight w:val="250"/>
        </w:trPr>
        <w:tc>
          <w:tcPr>
            <w:tcW w:w="6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Receivables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42,369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72,905</w:t>
            </w:r>
          </w:p>
        </w:tc>
      </w:tr>
      <w:tr>
        <w:trPr>
          <w:trHeight w:val="27"/>
        </w:trPr>
        <w:tc>
          <w:tcPr>
            <w:tcW w:w="6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Vacation ownership notes receivable, net</w:t>
            </w:r>
          </w:p>
        </w:tc>
        <w:tc>
          <w:tcPr>
            <w:tcW w:w="3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1,167,779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1,114,552</w:t>
            </w:r>
          </w:p>
        </w:tc>
      </w:tr>
      <w:tr>
        <w:trPr>
          <w:trHeight w:val="237"/>
        </w:trPr>
        <w:tc>
          <w:tcPr>
            <w:tcW w:w="60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1,210,148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1,187,457</w:t>
            </w:r>
          </w:p>
        </w:tc>
      </w:tr>
      <w:tr>
        <w:trPr>
          <w:trHeight w:val="67"/>
        </w:trPr>
        <w:tc>
          <w:tcPr>
            <w:tcW w:w="60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r>
      <w:tr>
        <w:trPr>
          <w:trHeight w:val="278"/>
        </w:trPr>
        <w:tc>
          <w:tcPr>
            <w:tcW w:w="60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Contract Liabilities</w:t>
            </w:r>
          </w:p>
        </w:tc>
        <w:tc>
          <w:tcPr>
            <w:tcW w:w="3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Advance deposits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95,816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84,087</w:t>
            </w:r>
          </w:p>
        </w:tc>
      </w:tr>
      <w:tr>
        <w:trPr>
          <w:trHeight w:val="243"/>
        </w:trPr>
        <w:tc>
          <w:tcPr>
            <w:tcW w:w="604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98,500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69,058</w:t>
            </w:r>
          </w:p>
        </w:tc>
      </w:tr>
      <w:tr>
        <w:trPr>
          <w:trHeight w:val="27"/>
        </w:trPr>
        <w:tc>
          <w:tcPr>
            <w:tcW w:w="6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194,316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153,145</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662"/>
        <w:spacing w:after="0" w:line="277" w:lineRule="auto"/>
        <w:rPr>
          <w:sz w:val="20"/>
          <w:szCs w:val="20"/>
          <w:color w:val="auto"/>
        </w:rPr>
      </w:pPr>
      <w:r>
        <w:rPr>
          <w:rFonts w:ascii="Arial" w:cs="Arial" w:eastAsia="Arial" w:hAnsi="Arial"/>
          <w:sz w:val="18"/>
          <w:szCs w:val="18"/>
          <w:color w:val="auto"/>
        </w:rPr>
        <w:t>Revenue recognized in the second quarter and first half of 2018 that was included in our contract liabilities balance at December 31, 2017 was $47.3 million and $94.4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58"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Our remaining performance obligations represent the expected transaction price allocated to our contracts that we expect to recognize as revenue in future periods when we perform under the contracts. At June 30, 2018, over 90 percent of this amount is expected to be recognized as revenue over the next two years.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TAXES</w:t>
      </w:r>
    </w:p>
    <w:p>
      <w:pPr>
        <w:spacing w:after="0" w:line="121"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We file income tax returns with U.S. federal and state and non-U.S. jurisdictions and are subject to audits in these jurisdictions. Although we do not anticipate that a significant impact to our unrecognized tax benefit balance will occur during the next fiscal year, the amount of our liability for unrecognized tax benefits could change as a result of audits in these jurisdictions. Our total unrecognized tax benefit balance that, if recognized, would impact our effective tax rate, was $2.2 million and $2.1 million at June 30, 2018 and December 31, 2017, respectively.</w:t>
      </w:r>
    </w:p>
    <w:p>
      <w:pPr>
        <w:spacing w:after="0" w:line="63" w:lineRule="exact"/>
        <w:rPr>
          <w:sz w:val="20"/>
          <w:szCs w:val="20"/>
          <w:color w:val="auto"/>
        </w:rPr>
      </w:pPr>
    </w:p>
    <w:p>
      <w:pPr>
        <w:ind w:right="100" w:firstLine="662"/>
        <w:spacing w:after="0" w:line="259" w:lineRule="auto"/>
        <w:rPr>
          <w:sz w:val="20"/>
          <w:szCs w:val="20"/>
          <w:color w:val="auto"/>
        </w:rPr>
      </w:pPr>
      <w:r>
        <w:rPr>
          <w:rFonts w:ascii="Arial" w:cs="Arial" w:eastAsia="Arial" w:hAnsi="Arial"/>
          <w:sz w:val="18"/>
          <w:szCs w:val="18"/>
          <w:color w:val="auto"/>
        </w:rPr>
        <w:t>Our interim effective tax rate was 27.05 percent and 33.83 percent for the six months ended June 30, 2018 and June 30, 2017, respectively, and our annual effective tax rate is expected to be approximately 25.69 percent for fiscal year 2018. During December 2017, the Tax Act was signed into law, effective January 1, 2018, resulting in a significant change in the framework for U.S. corporate taxes, including but not limited to, the reduction of the U.S. corporate tax rate from 35 percent to 21 percent.</w:t>
      </w:r>
    </w:p>
    <w:p>
      <w:pPr>
        <w:spacing w:after="0" w:line="79" w:lineRule="exact"/>
        <w:rPr>
          <w:sz w:val="20"/>
          <w:szCs w:val="20"/>
          <w:color w:val="auto"/>
        </w:rPr>
      </w:pPr>
    </w:p>
    <w:p>
      <w:pPr>
        <w:ind w:right="200" w:firstLine="662"/>
        <w:spacing w:after="0" w:line="259" w:lineRule="auto"/>
        <w:rPr>
          <w:sz w:val="20"/>
          <w:szCs w:val="20"/>
          <w:color w:val="auto"/>
        </w:rPr>
      </w:pPr>
      <w:r>
        <w:rPr>
          <w:rFonts w:ascii="Arial" w:cs="Arial" w:eastAsia="Arial" w:hAnsi="Arial"/>
          <w:sz w:val="18"/>
          <w:szCs w:val="18"/>
          <w:color w:val="auto"/>
        </w:rPr>
        <w:t>In accordance with SAB 118, we remeasured our deferred tax assets and liabilities using the new corporate tax rate of 21 percent, rather than the previous corporate tax rate of 35 percent, resulting in a $65.2 million decrease in our income tax expense for the year ended December 31, 2017 and a corresponding $65.2 million decrease in our net deferred tax liability as of December 31, 2017. As of June 30, 2018, these amounts remain provisional and additional work is necessary to perform a more detailed analysis.</w:t>
      </w:r>
    </w:p>
    <w:p>
      <w:pPr>
        <w:spacing w:after="0" w:line="79" w:lineRule="exact"/>
        <w:rPr>
          <w:sz w:val="20"/>
          <w:szCs w:val="20"/>
          <w:color w:val="auto"/>
        </w:rPr>
      </w:pPr>
    </w:p>
    <w:p>
      <w:pPr>
        <w:ind w:firstLine="662"/>
        <w:spacing w:after="0" w:line="254" w:lineRule="auto"/>
        <w:rPr>
          <w:sz w:val="20"/>
          <w:szCs w:val="20"/>
          <w:color w:val="auto"/>
        </w:rPr>
      </w:pPr>
      <w:r>
        <w:rPr>
          <w:rFonts w:ascii="Arial" w:cs="Arial" w:eastAsia="Arial" w:hAnsi="Arial"/>
          <w:sz w:val="18"/>
          <w:szCs w:val="18"/>
          <w:color w:val="auto"/>
        </w:rPr>
        <w:t>The one-time transition tax on certain un-repatriated earnings of foreign subsidiaries is based on total post-1986 earnings and profits that we previously deferred from U.S. income taxes. We performed a preliminary analysis of the transition tax and determined that, due to deficits in foreign earnings and profits, we did not have a one-time transition tax liability to record in 2017. As of June 30, 2018, we have not finalized our calculations of our transition tax liability, if any. As the one-time transition tax is based in part on the amount of those earnings held in cash and other specified assets, we may determine that we have a one-time transition tax liability when we finalize the calculation of post-1986 foreign earnings and profits previously deferred from U.S. federal taxation and finalize the amounts held in cash or other specified assets. No additional income taxes have been provided for any remaining undistributed foreign earnings not subject to the transition tax, or any additional outside basis difference inherent in these entities, as these amounts continue to be indefinitely reinvested in foreign operations.</w:t>
      </w:r>
    </w:p>
    <w:p>
      <w:pPr>
        <w:spacing w:after="0" w:line="84" w:lineRule="exact"/>
        <w:rPr>
          <w:sz w:val="20"/>
          <w:szCs w:val="20"/>
          <w:color w:val="auto"/>
        </w:rPr>
      </w:pPr>
    </w:p>
    <w:p>
      <w:pPr>
        <w:jc w:val="both"/>
        <w:ind w:right="80" w:firstLine="662"/>
        <w:spacing w:after="0" w:line="264" w:lineRule="auto"/>
        <w:rPr>
          <w:sz w:val="20"/>
          <w:szCs w:val="20"/>
          <w:color w:val="auto"/>
        </w:rPr>
      </w:pPr>
      <w:r>
        <w:rPr>
          <w:rFonts w:ascii="Arial" w:cs="Arial" w:eastAsia="Arial" w:hAnsi="Arial"/>
          <w:sz w:val="18"/>
          <w:szCs w:val="18"/>
          <w:color w:val="auto"/>
        </w:rPr>
        <w:t>The re-measurement of our deferred tax balances, any transition tax and interpretation of the new law are provisional subject to clarifications of the new legislation and final calculations. Any future changes to the provisional estimates, related to the Tax Act, will be reflected as a change in estimate in the period in which the change in estimate is made in accordance with SAB 118.</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76" w:right="2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4. VACATION OWNERSHIP NOTES RECEIVABLE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composition of our vacation ownership notes receivable balances, net of reserves: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20" w:type="dxa"/>
            <w:vAlign w:val="bottom"/>
          </w:tcPr>
          <w:p>
            <w:pPr>
              <w:spacing w:after="0"/>
              <w:rPr>
                <w:sz w:val="20"/>
                <w:szCs w:val="20"/>
                <w:color w:val="auto"/>
              </w:rPr>
            </w:pPr>
          </w:p>
        </w:tc>
        <w:tc>
          <w:tcPr>
            <w:tcW w:w="1960" w:type="dxa"/>
            <w:vAlign w:val="bottom"/>
            <w:gridSpan w:val="2"/>
          </w:tcPr>
          <w:p>
            <w:pPr>
              <w:ind w:left="200"/>
              <w:spacing w:after="0"/>
              <w:rPr>
                <w:sz w:val="20"/>
                <w:szCs w:val="20"/>
                <w:color w:val="auto"/>
              </w:rPr>
            </w:pPr>
            <w:r>
              <w:rPr>
                <w:rFonts w:ascii="Arial" w:cs="Arial" w:eastAsia="Arial" w:hAnsi="Arial"/>
                <w:sz w:val="16"/>
                <w:szCs w:val="16"/>
                <w:b w:val="1"/>
                <w:bCs w:val="1"/>
                <w:color w:val="auto"/>
              </w:rPr>
              <w:t>At June 30, 2018</w:t>
            </w:r>
          </w:p>
        </w:tc>
        <w:tc>
          <w:tcPr>
            <w:tcW w:w="200" w:type="dxa"/>
            <w:vAlign w:val="bottom"/>
          </w:tcPr>
          <w:p>
            <w:pPr>
              <w:spacing w:after="0"/>
              <w:rPr>
                <w:sz w:val="20"/>
                <w:szCs w:val="20"/>
                <w:color w:val="auto"/>
              </w:rPr>
            </w:pPr>
          </w:p>
        </w:tc>
        <w:tc>
          <w:tcPr>
            <w:tcW w:w="1860" w:type="dxa"/>
            <w:vAlign w:val="bottom"/>
          </w:tcPr>
          <w:p>
            <w:pPr>
              <w:jc w:val="right"/>
              <w:ind w:right="171"/>
              <w:spacing w:after="0"/>
              <w:rPr>
                <w:sz w:val="20"/>
                <w:szCs w:val="20"/>
                <w:color w:val="auto"/>
              </w:rPr>
            </w:pPr>
            <w:r>
              <w:rPr>
                <w:rFonts w:ascii="Arial" w:cs="Arial" w:eastAsia="Arial" w:hAnsi="Arial"/>
                <w:sz w:val="16"/>
                <w:szCs w:val="16"/>
                <w:b w:val="1"/>
                <w:bCs w:val="1"/>
                <w:color w:val="auto"/>
                <w:w w:val="95"/>
              </w:rPr>
              <w:t>At December 31, 2017</w:t>
            </w: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 securitized</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964,510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814,011</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Vacation ownership notes receivable — non-securitized</w:t>
            </w:r>
          </w:p>
        </w:tc>
        <w:tc>
          <w:tcPr>
            <w:tcW w:w="3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Eligible for securitization</w:t>
            </w:r>
            <w:r>
              <w:rPr>
                <w:rFonts w:ascii="Arial" w:cs="Arial" w:eastAsia="Arial" w:hAnsi="Arial"/>
                <w:sz w:val="18"/>
                <w:szCs w:val="18"/>
                <w:color w:val="auto"/>
                <w:vertAlign w:val="superscript"/>
              </w:rPr>
              <w:t>(1) (2)</w:t>
            </w:r>
          </w:p>
        </w:tc>
        <w:tc>
          <w:tcPr>
            <w:tcW w:w="32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37,073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141,324</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Not eligible for securitization</w:t>
            </w:r>
            <w:r>
              <w:rPr>
                <w:rFonts w:ascii="Arial" w:cs="Arial" w:eastAsia="Arial" w:hAnsi="Arial"/>
                <w:sz w:val="18"/>
                <w:szCs w:val="18"/>
                <w:color w:val="auto"/>
                <w:vertAlign w:val="superscript"/>
              </w:rPr>
              <w:t>(1)</w:t>
            </w:r>
          </w:p>
        </w:tc>
        <w:tc>
          <w:tcPr>
            <w:tcW w:w="3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166,196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159,217</w:t>
            </w:r>
          </w:p>
        </w:tc>
        <w:tc>
          <w:tcPr>
            <w:tcW w:w="0" w:type="dxa"/>
            <w:vAlign w:val="bottom"/>
          </w:tcPr>
          <w:p>
            <w:pPr>
              <w:spacing w:after="0"/>
              <w:rPr>
                <w:sz w:val="1"/>
                <w:szCs w:val="1"/>
                <w:color w:val="auto"/>
              </w:rPr>
            </w:pPr>
          </w:p>
        </w:tc>
      </w:tr>
      <w:tr>
        <w:trPr>
          <w:trHeight w:val="27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Subtotal</w:t>
            </w:r>
          </w:p>
        </w:tc>
        <w:tc>
          <w:tcPr>
            <w:tcW w:w="3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203,269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300,541</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 vacation ownership notes receivable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1,167,779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1,114,552</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Refer to Footnote 5 “Financial Instruments” for a discussion of eligibility of our vacation ownership notes receivable for securitization.</w:t>
      </w:r>
    </w:p>
    <w:p>
      <w:pPr>
        <w:spacing w:after="0" w:line="56" w:lineRule="exact"/>
        <w:rPr>
          <w:rFonts w:ascii="Arial" w:cs="Arial" w:eastAsia="Arial" w:hAnsi="Arial"/>
          <w:sz w:val="25"/>
          <w:szCs w:val="25"/>
          <w:color w:val="auto"/>
          <w:vertAlign w:val="superscript"/>
        </w:rPr>
      </w:pPr>
    </w:p>
    <w:p>
      <w:pPr>
        <w:ind w:left="660" w:right="60" w:hanging="652"/>
        <w:spacing w:after="0" w:line="254" w:lineRule="auto"/>
        <w:tabs>
          <w:tab w:leader="none" w:pos="660"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We expect that these vacation ownership notes receivable will be purchased by the MVW Owner Trust 2018-1 (the “2018-1 Trust”) in accordance with the terms of the securitization transaction completed in the second quarter of 2018. Refer to Footnote 10 “Debt” for a discussion of the terms of this securitization transaction and the purchase of additional vacation ownership notes receivable by the 2018-1 Trust.</w:t>
      </w:r>
    </w:p>
    <w:p>
      <w:pPr>
        <w:spacing w:after="0" w:line="19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following table shows future principal payments, net of reserves, as well as interest rates for our non-securitized and securitized vacation ownership notes receivable at June 30,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Non-Securitized</w:t>
            </w:r>
          </w:p>
        </w:tc>
        <w:tc>
          <w:tcPr>
            <w:tcW w:w="20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Securitized</w:t>
            </w: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Vacation Ownership</w:t>
            </w:r>
          </w:p>
        </w:tc>
        <w:tc>
          <w:tcPr>
            <w:tcW w:w="20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Vacation Ownership</w:t>
            </w: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Notes Receivable</w:t>
            </w:r>
          </w:p>
        </w:tc>
        <w:tc>
          <w:tcPr>
            <w:tcW w:w="20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Notes Receivable</w:t>
            </w:r>
          </w:p>
        </w:tc>
        <w:tc>
          <w:tcPr>
            <w:tcW w:w="280" w:type="dxa"/>
            <w:vAlign w:val="bottom"/>
          </w:tcPr>
          <w:p>
            <w:pPr>
              <w:spacing w:after="0"/>
              <w:rPr>
                <w:sz w:val="20"/>
                <w:szCs w:val="20"/>
                <w:color w:val="auto"/>
              </w:rPr>
            </w:pPr>
          </w:p>
        </w:tc>
        <w:tc>
          <w:tcPr>
            <w:tcW w:w="1660" w:type="dxa"/>
            <w:vAlign w:val="bottom"/>
          </w:tcPr>
          <w:p>
            <w:pPr>
              <w:jc w:val="center"/>
              <w:ind w:right="171"/>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remaining</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71,949</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34,696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98,564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133,260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102,267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128,725</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20,280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105,452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125,732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106,653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123,239</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81,621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503,253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584,874</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203,269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964,510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1,167,779</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40"/>
              <w:spacing w:after="0"/>
              <w:rPr>
                <w:sz w:val="20"/>
                <w:szCs w:val="20"/>
                <w:color w:val="auto"/>
              </w:rPr>
            </w:pPr>
            <w:r>
              <w:rPr>
                <w:rFonts w:ascii="Arial" w:cs="Arial" w:eastAsia="Arial" w:hAnsi="Arial"/>
                <w:sz w:val="18"/>
                <w:szCs w:val="18"/>
                <w:color w:val="auto"/>
              </w:rPr>
              <w:t>Weighted average stated interest rate at June 30, 2018</w:t>
            </w: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jc w:val="center"/>
              <w:ind w:right="92"/>
              <w:spacing w:after="0"/>
              <w:rPr>
                <w:sz w:val="20"/>
                <w:szCs w:val="20"/>
                <w:color w:val="auto"/>
              </w:rPr>
            </w:pPr>
            <w:r>
              <w:rPr>
                <w:rFonts w:ascii="Arial" w:cs="Arial" w:eastAsia="Arial" w:hAnsi="Arial"/>
                <w:sz w:val="18"/>
                <w:szCs w:val="18"/>
                <w:color w:val="auto"/>
                <w:w w:val="90"/>
              </w:rPr>
              <w:t>11.2%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center"/>
              <w:ind w:right="112"/>
              <w:spacing w:after="0"/>
              <w:rPr>
                <w:sz w:val="20"/>
                <w:szCs w:val="20"/>
                <w:color w:val="auto"/>
              </w:rPr>
            </w:pPr>
            <w:r>
              <w:rPr>
                <w:rFonts w:ascii="Arial" w:cs="Arial" w:eastAsia="Arial" w:hAnsi="Arial"/>
                <w:sz w:val="18"/>
                <w:szCs w:val="18"/>
                <w:color w:val="auto"/>
                <w:w w:val="90"/>
              </w:rPr>
              <w:t>12.5%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center"/>
              <w:ind w:right="191"/>
              <w:spacing w:after="0"/>
              <w:rPr>
                <w:sz w:val="20"/>
                <w:szCs w:val="20"/>
                <w:color w:val="auto"/>
              </w:rPr>
            </w:pPr>
            <w:r>
              <w:rPr>
                <w:rFonts w:ascii="Arial" w:cs="Arial" w:eastAsia="Arial" w:hAnsi="Arial"/>
                <w:sz w:val="18"/>
                <w:szCs w:val="18"/>
                <w:color w:val="auto"/>
                <w:w w:val="90"/>
              </w:rPr>
              <w:t>12.2%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Range of stated interest rates at June 30, 2018</w:t>
            </w:r>
          </w:p>
        </w:tc>
        <w:tc>
          <w:tcPr>
            <w:tcW w:w="20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2"/>
              </w:rPr>
              <w:t>0.0% to 18.0%</w:t>
            </w:r>
          </w:p>
        </w:tc>
        <w:tc>
          <w:tcPr>
            <w:tcW w:w="20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4.9% to 18.0%</w:t>
            </w:r>
          </w:p>
        </w:tc>
        <w:tc>
          <w:tcPr>
            <w:tcW w:w="280" w:type="dxa"/>
            <w:vAlign w:val="bottom"/>
            <w:shd w:val="clear" w:color="auto" w:fill="CCEEFF"/>
          </w:tcPr>
          <w:p>
            <w:pPr>
              <w:spacing w:after="0"/>
              <w:rPr>
                <w:sz w:val="21"/>
                <w:szCs w:val="21"/>
                <w:color w:val="auto"/>
              </w:rPr>
            </w:pPr>
          </w:p>
        </w:tc>
        <w:tc>
          <w:tcPr>
            <w:tcW w:w="1660" w:type="dxa"/>
            <w:vAlign w:val="bottom"/>
            <w:shd w:val="clear" w:color="auto" w:fill="CCEEFF"/>
          </w:tcPr>
          <w:p>
            <w:pPr>
              <w:jc w:val="center"/>
              <w:ind w:right="191"/>
              <w:spacing w:after="0"/>
              <w:rPr>
                <w:sz w:val="20"/>
                <w:szCs w:val="20"/>
                <w:color w:val="auto"/>
              </w:rPr>
            </w:pPr>
            <w:r>
              <w:rPr>
                <w:rFonts w:ascii="Arial" w:cs="Arial" w:eastAsia="Arial" w:hAnsi="Arial"/>
                <w:sz w:val="18"/>
                <w:szCs w:val="18"/>
                <w:color w:val="auto"/>
                <w:w w:val="90"/>
              </w:rPr>
              <w:t>0.0% to 18.0%</w:t>
            </w:r>
          </w:p>
        </w:tc>
        <w:tc>
          <w:tcPr>
            <w:tcW w:w="0" w:type="dxa"/>
            <w:vAlign w:val="bottom"/>
          </w:tcPr>
          <w:p>
            <w:pPr>
              <w:spacing w:after="0"/>
              <w:rPr>
                <w:sz w:val="1"/>
                <w:szCs w:val="1"/>
                <w:color w:val="auto"/>
              </w:rPr>
            </w:pPr>
          </w:p>
        </w:tc>
      </w:tr>
      <w:tr>
        <w:trPr>
          <w:trHeight w:val="27"/>
        </w:trPr>
        <w:tc>
          <w:tcPr>
            <w:tcW w:w="5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reflect interest income associated with vacation ownership notes receivable in our Income Statements in the Financing revenues caption. The following table summarizes interest income associated with vacation ownership notes receivable:</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2960" w:type="dxa"/>
            <w:vAlign w:val="bottom"/>
            <w:gridSpan w:val="3"/>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2840" w:type="dxa"/>
            <w:vAlign w:val="bottom"/>
            <w:gridSpan w:val="2"/>
          </w:tcPr>
          <w:p>
            <w:pPr>
              <w:ind w:left="800"/>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5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2"/>
        </w:trPr>
        <w:tc>
          <w:tcPr>
            <w:tcW w:w="558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440" w:type="dxa"/>
            <w:vAlign w:val="bottom"/>
          </w:tcPr>
          <w:p>
            <w:pPr>
              <w:ind w:left="220"/>
              <w:spacing w:after="0"/>
              <w:rPr>
                <w:sz w:val="20"/>
                <w:szCs w:val="20"/>
                <w:color w:val="auto"/>
              </w:rPr>
            </w:pPr>
            <w:r>
              <w:rPr>
                <w:rFonts w:ascii="Arial" w:cs="Arial" w:eastAsia="Arial" w:hAnsi="Arial"/>
                <w:sz w:val="16"/>
                <w:szCs w:val="16"/>
                <w:b w:val="1"/>
                <w:bCs w:val="1"/>
                <w:color w:val="auto"/>
              </w:rPr>
              <w:t>June 30, 2018</w:t>
            </w:r>
          </w:p>
        </w:tc>
        <w:tc>
          <w:tcPr>
            <w:tcW w:w="152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 2017</w:t>
            </w:r>
          </w:p>
        </w:tc>
        <w:tc>
          <w:tcPr>
            <w:tcW w:w="1420" w:type="dxa"/>
            <w:vAlign w:val="bottom"/>
          </w:tcPr>
          <w:p>
            <w:pPr>
              <w:ind w:left="220"/>
              <w:spacing w:after="0"/>
              <w:rPr>
                <w:sz w:val="20"/>
                <w:szCs w:val="20"/>
                <w:color w:val="auto"/>
              </w:rPr>
            </w:pPr>
            <w:r>
              <w:rPr>
                <w:rFonts w:ascii="Arial" w:cs="Arial" w:eastAsia="Arial" w:hAnsi="Arial"/>
                <w:sz w:val="16"/>
                <w:szCs w:val="16"/>
                <w:b w:val="1"/>
                <w:bCs w:val="1"/>
                <w:color w:val="auto"/>
              </w:rPr>
              <w:t>June 30, 2018</w:t>
            </w:r>
          </w:p>
        </w:tc>
        <w:tc>
          <w:tcPr>
            <w:tcW w:w="1420" w:type="dxa"/>
            <w:vAlign w:val="bottom"/>
          </w:tcPr>
          <w:p>
            <w:pPr>
              <w:ind w:left="260"/>
              <w:spacing w:after="0"/>
              <w:rPr>
                <w:sz w:val="20"/>
                <w:szCs w:val="20"/>
                <w:color w:val="auto"/>
              </w:rPr>
            </w:pPr>
            <w:r>
              <w:rPr>
                <w:rFonts w:ascii="Arial" w:cs="Arial" w:eastAsia="Arial" w:hAnsi="Arial"/>
                <w:sz w:val="16"/>
                <w:szCs w:val="16"/>
                <w:b w:val="1"/>
                <w:bCs w:val="1"/>
                <w:color w:val="auto"/>
              </w:rPr>
              <w:t>June 30,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p>
      <w:pPr>
        <w:spacing w:after="0" w:line="25"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Interest income associated with vacation ownership notes receivable —</w:t>
      </w:r>
    </w:p>
    <w:p>
      <w:pPr>
        <w:spacing w:after="0" w:line="35" w:lineRule="exact"/>
        <w:rPr>
          <w:sz w:val="20"/>
          <w:szCs w:val="20"/>
          <w:color w:val="auto"/>
        </w:rPr>
      </w:pPr>
    </w:p>
    <w:p>
      <w:pPr>
        <w:ind w:left="40"/>
        <w:spacing w:after="0"/>
        <w:tabs>
          <w:tab w:leader="none" w:pos="5620" w:val="left"/>
        </w:tabs>
        <w:rPr>
          <w:sz w:val="20"/>
          <w:szCs w:val="20"/>
          <w:color w:val="auto"/>
        </w:rPr>
      </w:pPr>
      <w:r>
        <w:rPr>
          <w:rFonts w:ascii="Arial" w:cs="Arial" w:eastAsia="Arial" w:hAnsi="Arial"/>
          <w:sz w:val="14"/>
          <w:szCs w:val="14"/>
          <w:color w:val="auto"/>
        </w:rPr>
        <w:t>securitized</w:t>
      </w:r>
      <w:r>
        <w:rPr>
          <w:sz w:val="20"/>
          <w:szCs w:val="20"/>
          <w:color w:val="auto"/>
        </w:rPr>
        <w:tab/>
      </w:r>
      <w:r>
        <w:rPr>
          <w:rFonts w:ascii="Arial" w:cs="Arial" w:eastAsia="Arial" w:hAnsi="Arial"/>
          <w:sz w:val="14"/>
          <w:szCs w:val="14"/>
          <w:color w:val="auto"/>
        </w:rPr>
        <w:t>$</w:t>
      </w:r>
    </w:p>
    <w:p>
      <w:pPr>
        <w:spacing w:after="0" w:line="95" w:lineRule="exact"/>
        <w:rPr>
          <w:sz w:val="20"/>
          <w:szCs w:val="20"/>
          <w:color w:val="auto"/>
        </w:rPr>
      </w:pPr>
    </w:p>
    <w:p>
      <w:pPr>
        <w:ind w:left="40" w:right="160"/>
        <w:spacing w:after="0" w:line="277" w:lineRule="auto"/>
        <w:rPr>
          <w:sz w:val="20"/>
          <w:szCs w:val="20"/>
          <w:color w:val="auto"/>
        </w:rPr>
      </w:pPr>
      <w:r>
        <w:rPr>
          <w:rFonts w:ascii="Arial" w:cs="Arial" w:eastAsia="Arial" w:hAnsi="Arial"/>
          <w:sz w:val="18"/>
          <w:szCs w:val="18"/>
          <w:color w:val="auto"/>
        </w:rPr>
        <w:t>Interest income associated with vacation ownership notes receivable — non-securitized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 w:lineRule="exact"/>
        <w:rPr>
          <w:sz w:val="20"/>
          <w:szCs w:val="20"/>
          <w:color w:val="auto"/>
        </w:rPr>
      </w:pPr>
    </w:p>
    <w:p>
      <w:pPr>
        <w:ind w:left="40"/>
        <w:spacing w:after="0"/>
        <w:tabs>
          <w:tab w:leader="none" w:pos="5620" w:val="left"/>
        </w:tabs>
        <w:rPr>
          <w:sz w:val="20"/>
          <w:szCs w:val="20"/>
          <w:color w:val="auto"/>
        </w:rPr>
      </w:pPr>
      <w:r>
        <w:rPr>
          <w:rFonts w:ascii="Arial" w:cs="Arial" w:eastAsia="Arial" w:hAnsi="Arial"/>
          <w:sz w:val="17"/>
          <w:szCs w:val="17"/>
          <w:color w:val="auto"/>
        </w:rPr>
        <w:t>Total interest income associated with vacation ownership notes receivable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jc w:val="right"/>
              <w:ind w:right="130"/>
              <w:spacing w:after="0"/>
              <w:rPr>
                <w:sz w:val="20"/>
                <w:szCs w:val="20"/>
                <w:color w:val="auto"/>
              </w:rPr>
            </w:pPr>
            <w:r>
              <w:rPr>
                <w:rFonts w:ascii="Arial" w:cs="Arial" w:eastAsia="Arial" w:hAnsi="Arial"/>
                <w:sz w:val="18"/>
                <w:szCs w:val="18"/>
                <w:color w:val="auto"/>
                <w:w w:val="87"/>
              </w:rPr>
              <w:t>27,209</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22,948</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52,580</w:t>
            </w:r>
          </w:p>
        </w:tc>
        <w:tc>
          <w:tcPr>
            <w:tcW w:w="1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46,294</w:t>
            </w:r>
          </w:p>
        </w:tc>
      </w:tr>
      <w:tr>
        <w:trPr>
          <w:trHeight w:val="486"/>
        </w:trPr>
        <w:tc>
          <w:tcPr>
            <w:tcW w:w="720" w:type="dxa"/>
            <w:vAlign w:val="bottom"/>
          </w:tcPr>
          <w:p>
            <w:pPr>
              <w:jc w:val="right"/>
              <w:ind w:right="130"/>
              <w:spacing w:after="0"/>
              <w:rPr>
                <w:sz w:val="20"/>
                <w:szCs w:val="20"/>
                <w:color w:val="auto"/>
              </w:rPr>
            </w:pPr>
            <w:r>
              <w:rPr>
                <w:rFonts w:ascii="Arial" w:cs="Arial" w:eastAsia="Arial" w:hAnsi="Arial"/>
                <w:sz w:val="18"/>
                <w:szCs w:val="18"/>
                <w:color w:val="auto"/>
              </w:rPr>
              <w:t>6,920</w:t>
            </w:r>
          </w:p>
        </w:tc>
        <w:tc>
          <w:tcPr>
            <w:tcW w:w="44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7,855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15,247</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14,865</w:t>
            </w:r>
          </w:p>
        </w:tc>
      </w:tr>
      <w:tr>
        <w:trPr>
          <w:trHeight w:val="27"/>
        </w:trPr>
        <w:tc>
          <w:tcPr>
            <w:tcW w:w="7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jc w:val="right"/>
              <w:ind w:right="130"/>
              <w:spacing w:after="0"/>
              <w:rPr>
                <w:sz w:val="20"/>
                <w:szCs w:val="20"/>
                <w:color w:val="auto"/>
              </w:rPr>
            </w:pPr>
            <w:r>
              <w:rPr>
                <w:rFonts w:ascii="Arial" w:cs="Arial" w:eastAsia="Arial" w:hAnsi="Arial"/>
                <w:sz w:val="18"/>
                <w:szCs w:val="18"/>
                <w:color w:val="auto"/>
                <w:w w:val="87"/>
              </w:rPr>
              <w:t>34,129</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30,803</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67,827</w:t>
            </w:r>
          </w:p>
        </w:tc>
        <w:tc>
          <w:tcPr>
            <w:tcW w:w="1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61,159</w:t>
            </w:r>
          </w:p>
        </w:tc>
      </w:tr>
      <w:tr>
        <w:trPr>
          <w:trHeight w:val="27"/>
        </w:trPr>
        <w:tc>
          <w:tcPr>
            <w:tcW w:w="7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-8255</wp:posOffset>
            </wp:positionV>
            <wp:extent cx="883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20" w:space="680"/>
            <w:col w:w="5020"/>
          </w:cols>
          <w:pgMar w:left="240" w:top="634" w:right="239" w:bottom="1440" w:gutter="0" w:footer="0" w:header="0"/>
          <w:type w:val="continuous"/>
        </w:sectPr>
      </w:pPr>
    </w:p>
    <w:p>
      <w:pPr>
        <w:spacing w:after="0" w:line="110"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We record the difference between the vacation ownership note receivable and the variable consideration included in the transaction price for the sale of the related vacation ownership product as a reserve on our vacation ownership notes receivable. See Footnote 2 “Revenue” for further information.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34" w:right="239" w:bottom="1440" w:gutter="0" w:footer="0" w:header="0"/>
          <w:type w:val="continuous"/>
        </w:sectPr>
      </w:pPr>
    </w:p>
    <w:bookmarkStart w:id="17" w:name="page18"/>
    <w:bookmarkEnd w:id="17"/>
    <w:p>
      <w:pPr>
        <w:ind w:left="660"/>
        <w:spacing w:after="0"/>
        <w:rPr>
          <w:sz w:val="20"/>
          <w:szCs w:val="20"/>
          <w:color w:val="auto"/>
        </w:rPr>
      </w:pPr>
      <w:r>
        <w:rPr>
          <w:rFonts w:ascii="Arial" w:cs="Arial" w:eastAsia="Arial" w:hAnsi="Arial"/>
          <w:sz w:val="18"/>
          <w:szCs w:val="18"/>
          <w:color w:val="auto"/>
        </w:rPr>
        <w:t>The following table summarizes the activity related to our vacation ownership notes receivable reserve: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Non-Securitized</w:t>
            </w:r>
          </w:p>
        </w:tc>
        <w:tc>
          <w:tcPr>
            <w:tcW w:w="20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Securitized</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Vacation Ownership</w:t>
            </w:r>
          </w:p>
        </w:tc>
        <w:tc>
          <w:tcPr>
            <w:tcW w:w="20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Vacation Ownership</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Notes Receivable</w:t>
            </w:r>
          </w:p>
        </w:tc>
        <w:tc>
          <w:tcPr>
            <w:tcW w:w="20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Notes Receivable</w:t>
            </w:r>
          </w:p>
        </w:tc>
        <w:tc>
          <w:tcPr>
            <w:tcW w:w="460" w:type="dxa"/>
            <w:vAlign w:val="bottom"/>
          </w:tcPr>
          <w:p>
            <w:pPr>
              <w:spacing w:after="0"/>
              <w:rPr>
                <w:sz w:val="20"/>
                <w:szCs w:val="20"/>
                <w:color w:val="auto"/>
              </w:rPr>
            </w:pPr>
          </w:p>
        </w:tc>
        <w:tc>
          <w:tcPr>
            <w:tcW w:w="1480" w:type="dxa"/>
            <w:vAlign w:val="bottom"/>
          </w:tcPr>
          <w:p>
            <w:pPr>
              <w:jc w:val="right"/>
              <w:ind w:right="6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58,292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60,828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119,120</w:t>
            </w:r>
          </w:p>
        </w:tc>
        <w:tc>
          <w:tcPr>
            <w:tcW w:w="0" w:type="dxa"/>
            <w:vAlign w:val="bottom"/>
          </w:tcPr>
          <w:p>
            <w:pPr>
              <w:spacing w:after="0"/>
              <w:rPr>
                <w:sz w:val="1"/>
                <w:szCs w:val="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Increase in vacation ownership notes receivable reserve</w:t>
            </w:r>
          </w:p>
        </w:tc>
        <w:tc>
          <w:tcPr>
            <w:tcW w:w="20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19,440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4,471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23,911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Securitizations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2"/>
        </w:trPr>
        <w:tc>
          <w:tcPr>
            <w:tcW w:w="5380" w:type="dxa"/>
            <w:vAlign w:val="bottom"/>
          </w:tcPr>
          <w:p>
            <w:pPr>
              <w:ind w:left="280"/>
              <w:spacing w:after="0"/>
              <w:rPr>
                <w:sz w:val="20"/>
                <w:szCs w:val="20"/>
                <w:color w:val="auto"/>
              </w:rPr>
            </w:pPr>
            <w:r>
              <w:rPr>
                <w:rFonts w:ascii="Arial" w:cs="Arial" w:eastAsia="Arial" w:hAnsi="Arial"/>
                <w:sz w:val="18"/>
                <w:szCs w:val="18"/>
                <w:color w:val="auto"/>
              </w:rPr>
              <w:t>Clean-up call</w:t>
            </w:r>
            <w:r>
              <w:rPr>
                <w:rFonts w:ascii="Arial" w:cs="Arial" w:eastAsia="Arial" w:hAnsi="Arial"/>
                <w:sz w:val="18"/>
                <w:szCs w:val="18"/>
                <w:color w:val="auto"/>
                <w:vertAlign w:val="superscript"/>
              </w:rPr>
              <w:t>(1)</w:t>
            </w:r>
          </w:p>
        </w:tc>
        <w:tc>
          <w:tcPr>
            <w:tcW w:w="200" w:type="dxa"/>
            <w:vAlign w:val="bottom"/>
          </w:tcPr>
          <w:p>
            <w:pPr>
              <w:spacing w:after="0"/>
              <w:rPr>
                <w:sz w:val="22"/>
                <w:szCs w:val="22"/>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Write-offs</w:t>
            </w:r>
          </w:p>
        </w:tc>
        <w:tc>
          <w:tcPr>
            <w:tcW w:w="2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(21,064)</w:t>
            </w: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w w:val="93"/>
              </w:rPr>
              <w:t>Defaulted vacation ownership notes receivable repurchase activity</w:t>
            </w:r>
            <w:r>
              <w:rPr>
                <w:rFonts w:ascii="Arial" w:cs="Arial" w:eastAsia="Arial" w:hAnsi="Arial"/>
                <w:sz w:val="18"/>
                <w:szCs w:val="18"/>
                <w:color w:val="auto"/>
                <w:w w:val="93"/>
                <w:vertAlign w:val="superscript"/>
              </w:rPr>
              <w:t>(2)</w:t>
            </w:r>
          </w:p>
        </w:tc>
        <w:tc>
          <w:tcPr>
            <w:tcW w:w="2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15,137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50,806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71,161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121,967</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580" w:hanging="652"/>
        <w:spacing w:after="0" w:line="216"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Refers to our voluntary repurchase of previously securitized non-defaulted vacation ownership notes receivable to retire outstanding vacation ownership notes receivable securitizations.</w:t>
      </w:r>
    </w:p>
    <w:p>
      <w:pPr>
        <w:spacing w:after="0" w:line="41" w:lineRule="exact"/>
        <w:rPr>
          <w:rFonts w:ascii="Arial" w:cs="Arial" w:eastAsia="Arial" w:hAnsi="Arial"/>
          <w:sz w:val="25"/>
          <w:szCs w:val="25"/>
          <w:color w:val="auto"/>
          <w:vertAlign w:val="superscript"/>
        </w:rPr>
      </w:pPr>
    </w:p>
    <w:p>
      <w:pPr>
        <w:ind w:left="660" w:right="40" w:hanging="652"/>
        <w:spacing w:after="0" w:line="252" w:lineRule="auto"/>
        <w:tabs>
          <w:tab w:leader="none" w:pos="66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Decrease in securitized vacation ownership notes receivable reserve and increase in non-securitized vacation ownership notes receivable reserve was attributable to the transfer of the reserve when we voluntarily repurchased defaulted securitized vacation ownership notes receivable.</w:t>
      </w:r>
    </w:p>
    <w:p>
      <w:pPr>
        <w:spacing w:after="0" w:line="18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Although we consider loans to owners to be past due if we do not receive payment within 30 days of the due date, we suspend accrual of interest only on those loans that are over 90 days past due. We consider loans over 150 days past due to be in default and fully reserve such amounts.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past due principal, interest, fees and penalties owed and fully reinstate the note. We write off vacation ownership notes receivable against the reserve once we receive title to the vacation ownership products through the foreclosure or deed-in-lieu process or, in Asia Pacific or Europe, when revocation is complete. For both non-securitized and securitized vacation ownership notes receivable, we estimated average remaining default rates of 7.05 percent and 7.16 percent as of June 30, 2018 and December 31, 2017, respectively. A 0.5 percentage point increase in the estimated default rate would have resulted in an increase in our vacation ownership notes receivable reserve of $6.2 million and $6.0 million as of June 30, 2018 and December 31, 2017, respectively.</w:t>
      </w:r>
    </w:p>
    <w:p>
      <w:pPr>
        <w:spacing w:after="0" w:line="178"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table shows our recorded investment in non-accrual vacation ownership notes receivable, which are vacation ownership notes receivable that are 90 days or more past due:</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4060" w:type="dxa"/>
            <w:vAlign w:val="bottom"/>
          </w:tcPr>
          <w:p>
            <w:pPr>
              <w:jc w:val="center"/>
              <w:ind w:left="1939"/>
              <w:spacing w:after="0"/>
              <w:rPr>
                <w:sz w:val="20"/>
                <w:szCs w:val="20"/>
                <w:color w:val="auto"/>
              </w:rPr>
            </w:pPr>
            <w:r>
              <w:rPr>
                <w:rFonts w:ascii="Arial" w:cs="Arial" w:eastAsia="Arial" w:hAnsi="Arial"/>
                <w:sz w:val="16"/>
                <w:szCs w:val="16"/>
                <w:b w:val="1"/>
                <w:bCs w:val="1"/>
                <w:color w:val="auto"/>
                <w:w w:val="91"/>
              </w:rPr>
              <w:t>Non-Securitized</w:t>
            </w:r>
          </w:p>
        </w:tc>
        <w:tc>
          <w:tcPr>
            <w:tcW w:w="2320" w:type="dxa"/>
            <w:vAlign w:val="bottom"/>
          </w:tcPr>
          <w:p>
            <w:pPr>
              <w:jc w:val="center"/>
              <w:ind w:right="179"/>
              <w:spacing w:after="0"/>
              <w:rPr>
                <w:sz w:val="20"/>
                <w:szCs w:val="20"/>
                <w:color w:val="auto"/>
              </w:rPr>
            </w:pPr>
            <w:r>
              <w:rPr>
                <w:rFonts w:ascii="Arial" w:cs="Arial" w:eastAsia="Arial" w:hAnsi="Arial"/>
                <w:sz w:val="16"/>
                <w:szCs w:val="16"/>
                <w:b w:val="1"/>
                <w:bCs w:val="1"/>
                <w:color w:val="auto"/>
                <w:w w:val="91"/>
              </w:rPr>
              <w:t>Securitized</w:t>
            </w:r>
          </w:p>
        </w:tc>
        <w:tc>
          <w:tcPr>
            <w:tcW w:w="94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4060" w:type="dxa"/>
            <w:vAlign w:val="bottom"/>
          </w:tcPr>
          <w:p>
            <w:pPr>
              <w:jc w:val="center"/>
              <w:ind w:left="1939"/>
              <w:spacing w:after="0"/>
              <w:rPr>
                <w:sz w:val="20"/>
                <w:szCs w:val="20"/>
                <w:color w:val="auto"/>
              </w:rPr>
            </w:pPr>
            <w:r>
              <w:rPr>
                <w:rFonts w:ascii="Arial" w:cs="Arial" w:eastAsia="Arial" w:hAnsi="Arial"/>
                <w:sz w:val="16"/>
                <w:szCs w:val="16"/>
                <w:b w:val="1"/>
                <w:bCs w:val="1"/>
                <w:color w:val="auto"/>
                <w:w w:val="90"/>
              </w:rPr>
              <w:t>Vacation Ownership</w:t>
            </w:r>
          </w:p>
        </w:tc>
        <w:tc>
          <w:tcPr>
            <w:tcW w:w="2320" w:type="dxa"/>
            <w:vAlign w:val="bottom"/>
          </w:tcPr>
          <w:p>
            <w:pPr>
              <w:jc w:val="center"/>
              <w:ind w:right="179"/>
              <w:spacing w:after="0"/>
              <w:rPr>
                <w:sz w:val="20"/>
                <w:szCs w:val="20"/>
                <w:color w:val="auto"/>
              </w:rPr>
            </w:pPr>
            <w:r>
              <w:rPr>
                <w:rFonts w:ascii="Arial" w:cs="Arial" w:eastAsia="Arial" w:hAnsi="Arial"/>
                <w:sz w:val="16"/>
                <w:szCs w:val="16"/>
                <w:b w:val="1"/>
                <w:bCs w:val="1"/>
                <w:color w:val="auto"/>
                <w:w w:val="92"/>
              </w:rPr>
              <w:t>Vacation Ownership</w:t>
            </w:r>
          </w:p>
        </w:tc>
        <w:tc>
          <w:tcPr>
            <w:tcW w:w="940" w:type="dxa"/>
            <w:vAlign w:val="bottom"/>
          </w:tcPr>
          <w:p>
            <w:pPr>
              <w:spacing w:after="0"/>
              <w:rPr>
                <w:sz w:val="17"/>
                <w:szCs w:val="17"/>
                <w:color w:val="auto"/>
              </w:rPr>
            </w:pPr>
          </w:p>
        </w:tc>
      </w:tr>
      <w:tr>
        <w:trPr>
          <w:trHeight w:val="231"/>
        </w:trPr>
        <w:tc>
          <w:tcPr>
            <w:tcW w:w="328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4060" w:type="dxa"/>
            <w:vAlign w:val="bottom"/>
          </w:tcPr>
          <w:p>
            <w:pPr>
              <w:jc w:val="center"/>
              <w:ind w:left="1939"/>
              <w:spacing w:after="0"/>
              <w:rPr>
                <w:sz w:val="20"/>
                <w:szCs w:val="20"/>
                <w:color w:val="auto"/>
              </w:rPr>
            </w:pPr>
            <w:r>
              <w:rPr>
                <w:rFonts w:ascii="Arial" w:cs="Arial" w:eastAsia="Arial" w:hAnsi="Arial"/>
                <w:sz w:val="16"/>
                <w:szCs w:val="16"/>
                <w:b w:val="1"/>
                <w:bCs w:val="1"/>
                <w:color w:val="auto"/>
                <w:w w:val="87"/>
              </w:rPr>
              <w:t>Notes Receivable</w:t>
            </w:r>
          </w:p>
        </w:tc>
        <w:tc>
          <w:tcPr>
            <w:tcW w:w="2320" w:type="dxa"/>
            <w:vAlign w:val="bottom"/>
          </w:tcPr>
          <w:p>
            <w:pPr>
              <w:jc w:val="center"/>
              <w:ind w:right="179"/>
              <w:spacing w:after="0"/>
              <w:rPr>
                <w:sz w:val="20"/>
                <w:szCs w:val="20"/>
                <w:color w:val="auto"/>
              </w:rPr>
            </w:pPr>
            <w:r>
              <w:rPr>
                <w:rFonts w:ascii="Arial" w:cs="Arial" w:eastAsia="Arial" w:hAnsi="Arial"/>
                <w:sz w:val="16"/>
                <w:szCs w:val="16"/>
                <w:b w:val="1"/>
                <w:bCs w:val="1"/>
                <w:color w:val="auto"/>
                <w:w w:val="89"/>
              </w:rPr>
              <w:t>Notes Receivable</w:t>
            </w:r>
          </w:p>
        </w:tc>
        <w:tc>
          <w:tcPr>
            <w:tcW w:w="940" w:type="dxa"/>
            <w:vAlign w:val="bottom"/>
          </w:tcPr>
          <w:p>
            <w:pPr>
              <w:ind w:left="580"/>
              <w:spacing w:after="0"/>
              <w:rPr>
                <w:sz w:val="20"/>
                <w:szCs w:val="20"/>
                <w:color w:val="auto"/>
              </w:rPr>
            </w:pPr>
            <w:r>
              <w:rPr>
                <w:rFonts w:ascii="Arial" w:cs="Arial" w:eastAsia="Arial" w:hAnsi="Arial"/>
                <w:sz w:val="16"/>
                <w:szCs w:val="16"/>
                <w:b w:val="1"/>
                <w:bCs w:val="1"/>
                <w:color w:val="auto"/>
                <w:w w:val="88"/>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Investment in vacation ownership notes receivable on non-accrual status</w:t>
      </w:r>
    </w:p>
    <w:p>
      <w:pPr>
        <w:spacing w:after="0" w:line="46"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color w:val="auto"/>
        </w:rPr>
        <w:t>at June 30, 2018</w:t>
      </w:r>
      <w:r>
        <w:rPr>
          <w:sz w:val="20"/>
          <w:szCs w:val="20"/>
          <w:color w:val="auto"/>
        </w:rPr>
        <w:tab/>
      </w:r>
      <w:r>
        <w:rPr>
          <w:rFonts w:ascii="Arial" w:cs="Arial" w:eastAsia="Arial" w:hAnsi="Arial"/>
          <w:sz w:val="14"/>
          <w:szCs w:val="14"/>
          <w:color w:val="auto"/>
        </w:rPr>
        <w:t>$</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Investment in vacation ownership notes receivable on non-accrual status</w:t>
      </w:r>
    </w:p>
    <w:p>
      <w:pPr>
        <w:spacing w:after="0" w:line="46"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color w:val="auto"/>
        </w:rPr>
        <w:t>at December 31, 2017</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Average investment in vacation ownership notes receivable on non-</w:t>
      </w:r>
    </w:p>
    <w:p>
      <w:pPr>
        <w:spacing w:after="0" w:line="23"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color w:val="auto"/>
        </w:rPr>
        <w:t>accrual status during the second quarter of 2018</w:t>
      </w:r>
      <w:r>
        <w:rPr>
          <w:sz w:val="20"/>
          <w:szCs w:val="20"/>
          <w:color w:val="auto"/>
        </w:rPr>
        <w:tab/>
      </w:r>
      <w:r>
        <w:rPr>
          <w:rFonts w:ascii="Arial" w:cs="Arial" w:eastAsia="Arial" w:hAnsi="Arial"/>
          <w:sz w:val="14"/>
          <w:szCs w:val="14"/>
          <w:color w:val="auto"/>
        </w:rPr>
        <w:t>$</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Average investment in vacation ownership notes receivable on non-</w:t>
      </w:r>
    </w:p>
    <w:p>
      <w:pPr>
        <w:spacing w:after="0" w:line="23"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color w:val="auto"/>
        </w:rPr>
        <w:t>accrual status during the second quarter of 2017</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Average investment in vacation ownership notes receivable on non-</w:t>
      </w:r>
    </w:p>
    <w:p>
      <w:pPr>
        <w:spacing w:after="0" w:line="23"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color w:val="auto"/>
        </w:rPr>
        <w:t>accrual status during the first half of 2018</w:t>
      </w:r>
      <w:r>
        <w:rPr>
          <w:sz w:val="20"/>
          <w:szCs w:val="20"/>
          <w:color w:val="auto"/>
        </w:rPr>
        <w:tab/>
      </w:r>
      <w:r>
        <w:rPr>
          <w:rFonts w:ascii="Arial" w:cs="Arial" w:eastAsia="Arial" w:hAnsi="Arial"/>
          <w:sz w:val="14"/>
          <w:szCs w:val="14"/>
          <w:color w:val="auto"/>
        </w:rPr>
        <w:t>$</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Average investment in vacation ownership notes receivable on non-</w:t>
      </w:r>
    </w:p>
    <w:p>
      <w:pPr>
        <w:spacing w:after="0" w:line="23"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color w:val="auto"/>
        </w:rPr>
        <w:t>accrual status during the first half of 2017</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39,526</w:t>
            </w:r>
          </w:p>
        </w:tc>
        <w:tc>
          <w:tcPr>
            <w:tcW w:w="86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6,611</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46,137</w:t>
            </w:r>
          </w:p>
        </w:tc>
      </w:tr>
      <w:tr>
        <w:trPr>
          <w:trHeight w:val="486"/>
        </w:trPr>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38,786</w:t>
            </w:r>
          </w:p>
        </w:tc>
        <w:tc>
          <w:tcPr>
            <w:tcW w:w="86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7,428</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46,214</w:t>
            </w:r>
          </w:p>
        </w:tc>
      </w:tr>
      <w:tr>
        <w:trPr>
          <w:trHeight w:val="486"/>
        </w:trPr>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39,090</w:t>
            </w:r>
          </w:p>
        </w:tc>
        <w:tc>
          <w:tcPr>
            <w:tcW w:w="86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7,642</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46,732</w:t>
            </w:r>
          </w:p>
        </w:tc>
      </w:tr>
      <w:tr>
        <w:trPr>
          <w:trHeight w:val="486"/>
        </w:trPr>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38,179</w:t>
            </w:r>
          </w:p>
        </w:tc>
        <w:tc>
          <w:tcPr>
            <w:tcW w:w="86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7,484</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45,663</w:t>
            </w:r>
          </w:p>
        </w:tc>
      </w:tr>
      <w:tr>
        <w:trPr>
          <w:trHeight w:val="486"/>
        </w:trPr>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39,156</w:t>
            </w:r>
          </w:p>
        </w:tc>
        <w:tc>
          <w:tcPr>
            <w:tcW w:w="86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7,020</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46,176</w:t>
            </w:r>
          </w:p>
        </w:tc>
      </w:tr>
      <w:tr>
        <w:trPr>
          <w:trHeight w:val="486"/>
        </w:trPr>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41,135</w:t>
            </w:r>
          </w:p>
        </w:tc>
        <w:tc>
          <w:tcPr>
            <w:tcW w:w="86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6,839</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47,974</w:t>
            </w:r>
          </w:p>
        </w:tc>
      </w:tr>
    </w:tbl>
    <w:p>
      <w:pPr>
        <w:spacing w:after="0" w:line="200" w:lineRule="exact"/>
        <w:rPr>
          <w:sz w:val="20"/>
          <w:szCs w:val="20"/>
          <w:color w:val="auto"/>
        </w:rPr>
      </w:pPr>
    </w:p>
    <w:p>
      <w:pPr>
        <w:sectPr>
          <w:pgSz w:w="11900" w:h="16838" w:orient="portrait"/>
          <w:cols w:equalWidth="0" w:num="2">
            <w:col w:w="6020" w:space="720"/>
            <w:col w:w="4680"/>
          </w:cols>
          <w:pgMar w:left="240" w:top="476" w:right="239" w:bottom="1440" w:gutter="0" w:footer="0" w:header="0"/>
          <w:type w:val="continuous"/>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76" w:right="239" w:bottom="1440" w:gutter="0" w:footer="0" w:header="0"/>
          <w:type w:val="continuous"/>
        </w:sectPr>
      </w:pPr>
    </w:p>
    <w:bookmarkStart w:id="18" w:name="page19"/>
    <w:bookmarkEnd w:id="18"/>
    <w:p>
      <w:pPr>
        <w:ind w:left="660"/>
        <w:spacing w:after="0"/>
        <w:rPr>
          <w:sz w:val="20"/>
          <w:szCs w:val="20"/>
          <w:color w:val="auto"/>
        </w:rPr>
      </w:pPr>
      <w:r>
        <w:rPr>
          <w:rFonts w:ascii="Arial" w:cs="Arial" w:eastAsia="Arial" w:hAnsi="Arial"/>
          <w:sz w:val="16"/>
          <w:szCs w:val="16"/>
          <w:color w:val="auto"/>
        </w:rPr>
        <w:t>The following table shows the aging of the recorded investment in principal, before reserves, in vacation ownership notes receivable as of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Non-Securitized</w:t>
            </w:r>
          </w:p>
        </w:tc>
        <w:tc>
          <w:tcPr>
            <w:tcW w:w="20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Securitized</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Vacation Ownership</w:t>
            </w:r>
          </w:p>
        </w:tc>
        <w:tc>
          <w:tcPr>
            <w:tcW w:w="20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Vacation Ownership</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Notes Receivable</w:t>
            </w:r>
          </w:p>
        </w:tc>
        <w:tc>
          <w:tcPr>
            <w:tcW w:w="20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Notes Receivable</w:t>
            </w:r>
          </w:p>
        </w:tc>
        <w:tc>
          <w:tcPr>
            <w:tcW w:w="460" w:type="dxa"/>
            <w:vAlign w:val="bottom"/>
          </w:tcPr>
          <w:p>
            <w:pPr>
              <w:spacing w:after="0"/>
              <w:rPr>
                <w:sz w:val="20"/>
                <w:szCs w:val="20"/>
                <w:color w:val="auto"/>
              </w:rPr>
            </w:pPr>
          </w:p>
        </w:tc>
        <w:tc>
          <w:tcPr>
            <w:tcW w:w="1480" w:type="dxa"/>
            <w:vAlign w:val="bottom"/>
          </w:tcPr>
          <w:p>
            <w:pPr>
              <w:jc w:val="right"/>
              <w:ind w:right="691"/>
              <w:spacing w:after="0"/>
              <w:rPr>
                <w:sz w:val="20"/>
                <w:szCs w:val="20"/>
                <w:color w:val="auto"/>
              </w:rPr>
            </w:pPr>
            <w:r>
              <w:rPr>
                <w:rFonts w:ascii="Arial" w:cs="Arial" w:eastAsia="Arial" w:hAnsi="Arial"/>
                <w:sz w:val="16"/>
                <w:szCs w:val="16"/>
                <w:b w:val="1"/>
                <w:bCs w:val="1"/>
                <w:color w:val="auto"/>
              </w:rPr>
              <w:t>Total</w:t>
            </w:r>
          </w:p>
        </w:tc>
      </w:tr>
      <w:tr>
        <w:trPr>
          <w:trHeight w:val="250"/>
        </w:trPr>
        <w:tc>
          <w:tcPr>
            <w:tcW w:w="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31</w:t>
            </w: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90 days past due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22,549</w:t>
            </w:r>
          </w:p>
        </w:tc>
      </w:tr>
      <w:tr>
        <w:trPr>
          <w:trHeight w:val="243"/>
        </w:trPr>
        <w:tc>
          <w:tcPr>
            <w:tcW w:w="240" w:type="dxa"/>
            <w:vAlign w:val="bottom"/>
          </w:tcPr>
          <w:p>
            <w:pPr>
              <w:ind w:left="40"/>
              <w:spacing w:after="0"/>
              <w:rPr>
                <w:sz w:val="20"/>
                <w:szCs w:val="20"/>
                <w:color w:val="auto"/>
              </w:rPr>
            </w:pPr>
            <w:r>
              <w:rPr>
                <w:rFonts w:ascii="Arial" w:cs="Arial" w:eastAsia="Arial" w:hAnsi="Arial"/>
                <w:sz w:val="18"/>
                <w:szCs w:val="18"/>
                <w:color w:val="auto"/>
                <w:w w:val="89"/>
              </w:rPr>
              <w:t>91</w:t>
            </w:r>
          </w:p>
        </w:tc>
        <w:tc>
          <w:tcPr>
            <w:tcW w:w="5140" w:type="dxa"/>
            <w:vAlign w:val="bottom"/>
          </w:tcPr>
          <w:p>
            <w:pPr>
              <w:ind w:left="20"/>
              <w:spacing w:after="0"/>
              <w:rPr>
                <w:sz w:val="20"/>
                <w:szCs w:val="20"/>
                <w:color w:val="auto"/>
              </w:rPr>
            </w:pPr>
            <w:r>
              <w:rPr>
                <w:rFonts w:ascii="Arial" w:cs="Arial" w:eastAsia="Arial" w:hAnsi="Arial"/>
                <w:sz w:val="18"/>
                <w:szCs w:val="18"/>
                <w:color w:val="auto"/>
              </w:rPr>
              <w:t>– 150 days past due</w:t>
            </w:r>
          </w:p>
        </w:tc>
        <w:tc>
          <w:tcPr>
            <w:tcW w:w="20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5,015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6,611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11,626</w:t>
            </w:r>
          </w:p>
        </w:tc>
      </w:tr>
      <w:tr>
        <w:trPr>
          <w:trHeight w:val="27"/>
        </w:trPr>
        <w:tc>
          <w:tcPr>
            <w:tcW w:w="53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Greater than 150 days past due</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34,511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34,511</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 past due</w:t>
            </w:r>
          </w:p>
        </w:tc>
        <w:tc>
          <w:tcPr>
            <w:tcW w:w="2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46,876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21,810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68,686</w:t>
            </w:r>
          </w:p>
        </w:tc>
      </w:tr>
      <w:tr>
        <w:trPr>
          <w:trHeight w:val="27"/>
        </w:trPr>
        <w:tc>
          <w:tcPr>
            <w:tcW w:w="53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207,199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1,013,861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1,221,060</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 vacation ownership notes receivable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254,075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1,035,671</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1,289,746</w:t>
            </w:r>
          </w:p>
        </w:tc>
      </w:tr>
      <w:tr>
        <w:trPr>
          <w:trHeight w:val="27"/>
        </w:trPr>
        <w:tc>
          <w:tcPr>
            <w:tcW w:w="2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2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table shows the aging of the recorded investment in principal, before reserves, in vacation ownership notes receivable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Non-Securitized</w:t>
            </w:r>
          </w:p>
        </w:tc>
        <w:tc>
          <w:tcPr>
            <w:tcW w:w="20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Securitized</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Vacation Ownership</w:t>
            </w:r>
          </w:p>
        </w:tc>
        <w:tc>
          <w:tcPr>
            <w:tcW w:w="200" w:type="dxa"/>
            <w:vAlign w:val="bottom"/>
          </w:tcPr>
          <w:p>
            <w:pPr>
              <w:spacing w:after="0"/>
              <w:rPr>
                <w:sz w:val="17"/>
                <w:szCs w:val="17"/>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Vacation Ownership</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Notes Receivable</w:t>
            </w:r>
          </w:p>
        </w:tc>
        <w:tc>
          <w:tcPr>
            <w:tcW w:w="20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Notes Receivable</w:t>
            </w:r>
          </w:p>
        </w:tc>
        <w:tc>
          <w:tcPr>
            <w:tcW w:w="460" w:type="dxa"/>
            <w:vAlign w:val="bottom"/>
          </w:tcPr>
          <w:p>
            <w:pPr>
              <w:spacing w:after="0"/>
              <w:rPr>
                <w:sz w:val="20"/>
                <w:szCs w:val="20"/>
                <w:color w:val="auto"/>
              </w:rPr>
            </w:pPr>
          </w:p>
        </w:tc>
        <w:tc>
          <w:tcPr>
            <w:tcW w:w="1480" w:type="dxa"/>
            <w:vAlign w:val="bottom"/>
          </w:tcPr>
          <w:p>
            <w:pPr>
              <w:jc w:val="right"/>
              <w:ind w:right="691"/>
              <w:spacing w:after="0"/>
              <w:rPr>
                <w:sz w:val="20"/>
                <w:szCs w:val="20"/>
                <w:color w:val="auto"/>
              </w:rPr>
            </w:pPr>
            <w:r>
              <w:rPr>
                <w:rFonts w:ascii="Arial" w:cs="Arial" w:eastAsia="Arial" w:hAnsi="Arial"/>
                <w:sz w:val="16"/>
                <w:szCs w:val="16"/>
                <w:b w:val="1"/>
                <w:bCs w:val="1"/>
                <w:color w:val="auto"/>
              </w:rPr>
              <w:t>Total</w:t>
            </w:r>
          </w:p>
        </w:tc>
      </w:tr>
      <w:tr>
        <w:trPr>
          <w:trHeight w:val="250"/>
        </w:trPr>
        <w:tc>
          <w:tcPr>
            <w:tcW w:w="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31</w:t>
            </w: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90 days past due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25,662</w:t>
            </w:r>
          </w:p>
        </w:tc>
      </w:tr>
      <w:tr>
        <w:trPr>
          <w:trHeight w:val="243"/>
        </w:trPr>
        <w:tc>
          <w:tcPr>
            <w:tcW w:w="240" w:type="dxa"/>
            <w:vAlign w:val="bottom"/>
          </w:tcPr>
          <w:p>
            <w:pPr>
              <w:ind w:left="40"/>
              <w:spacing w:after="0"/>
              <w:rPr>
                <w:sz w:val="20"/>
                <w:szCs w:val="20"/>
                <w:color w:val="auto"/>
              </w:rPr>
            </w:pPr>
            <w:r>
              <w:rPr>
                <w:rFonts w:ascii="Arial" w:cs="Arial" w:eastAsia="Arial" w:hAnsi="Arial"/>
                <w:sz w:val="18"/>
                <w:szCs w:val="18"/>
                <w:color w:val="auto"/>
                <w:w w:val="89"/>
              </w:rPr>
              <w:t>91</w:t>
            </w:r>
          </w:p>
        </w:tc>
        <w:tc>
          <w:tcPr>
            <w:tcW w:w="5140" w:type="dxa"/>
            <w:vAlign w:val="bottom"/>
          </w:tcPr>
          <w:p>
            <w:pPr>
              <w:ind w:left="20"/>
              <w:spacing w:after="0"/>
              <w:rPr>
                <w:sz w:val="20"/>
                <w:szCs w:val="20"/>
                <w:color w:val="auto"/>
              </w:rPr>
            </w:pPr>
            <w:r>
              <w:rPr>
                <w:rFonts w:ascii="Arial" w:cs="Arial" w:eastAsia="Arial" w:hAnsi="Arial"/>
                <w:sz w:val="18"/>
                <w:szCs w:val="18"/>
                <w:color w:val="auto"/>
              </w:rPr>
              <w:t>– 150 days past due</w:t>
            </w:r>
          </w:p>
        </w:tc>
        <w:tc>
          <w:tcPr>
            <w:tcW w:w="20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4,341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7,428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11,769</w:t>
            </w:r>
          </w:p>
        </w:tc>
      </w:tr>
      <w:tr>
        <w:trPr>
          <w:trHeight w:val="27"/>
        </w:trPr>
        <w:tc>
          <w:tcPr>
            <w:tcW w:w="53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Greater than 150 days past due</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34,445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34,445</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 past due</w:t>
            </w:r>
          </w:p>
        </w:tc>
        <w:tc>
          <w:tcPr>
            <w:tcW w:w="2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45,895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25,981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71,876</w:t>
            </w:r>
          </w:p>
        </w:tc>
      </w:tr>
      <w:tr>
        <w:trPr>
          <w:trHeight w:val="27"/>
        </w:trPr>
        <w:tc>
          <w:tcPr>
            <w:tcW w:w="53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312,938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848,858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1,161,796</w:t>
            </w: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Total vacation ownership notes receivable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358,833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874,839</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1,233,672</w:t>
            </w:r>
          </w:p>
        </w:tc>
      </w:tr>
      <w:tr>
        <w:trPr>
          <w:trHeight w:val="27"/>
        </w:trPr>
        <w:tc>
          <w:tcPr>
            <w:tcW w:w="2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2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FINANCIAL INSTRUMENTS</w:t>
      </w:r>
    </w:p>
    <w:p>
      <w:pPr>
        <w:spacing w:after="0" w:line="12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receivable, Accounts payable, Advance deposits and Accrued liabilities, all of which had fair values approximating their carrying amounts due to the short maturities and liquidity of these instruments.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700"/>
              <w:spacing w:after="0"/>
              <w:rPr>
                <w:sz w:val="20"/>
                <w:szCs w:val="20"/>
                <w:color w:val="auto"/>
              </w:rPr>
            </w:pPr>
            <w:r>
              <w:rPr>
                <w:rFonts w:ascii="Arial" w:cs="Arial" w:eastAsia="Arial" w:hAnsi="Arial"/>
                <w:sz w:val="16"/>
                <w:szCs w:val="16"/>
                <w:b w:val="1"/>
                <w:bCs w:val="1"/>
                <w:color w:val="auto"/>
              </w:rPr>
              <w:t>At June 30, 2018</w:t>
            </w:r>
          </w:p>
        </w:tc>
        <w:tc>
          <w:tcPr>
            <w:tcW w:w="280" w:type="dxa"/>
            <w:vAlign w:val="bottom"/>
          </w:tcPr>
          <w:p>
            <w:pPr>
              <w:spacing w:after="0"/>
              <w:rPr>
                <w:sz w:val="18"/>
                <w:szCs w:val="18"/>
                <w:color w:val="auto"/>
              </w:rPr>
            </w:pPr>
          </w:p>
        </w:tc>
        <w:tc>
          <w:tcPr>
            <w:tcW w:w="278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At December 31, 2017</w:t>
            </w: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Carrying</w:t>
            </w:r>
          </w:p>
        </w:tc>
        <w:tc>
          <w:tcPr>
            <w:tcW w:w="3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Carrying</w:t>
            </w:r>
          </w:p>
        </w:tc>
        <w:tc>
          <w:tcPr>
            <w:tcW w:w="300" w:type="dxa"/>
            <w:vAlign w:val="bottom"/>
          </w:tcPr>
          <w:p>
            <w:pPr>
              <w:spacing w:after="0"/>
              <w:rPr>
                <w:sz w:val="18"/>
                <w:szCs w:val="18"/>
                <w:color w:val="auto"/>
              </w:rPr>
            </w:pPr>
          </w:p>
        </w:tc>
        <w:tc>
          <w:tcPr>
            <w:tcW w:w="1180" w:type="dxa"/>
            <w:vAlign w:val="bottom"/>
          </w:tcPr>
          <w:p>
            <w:pPr>
              <w:jc w:val="right"/>
              <w:ind w:right="492"/>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Pr>
          <w:p>
            <w:pPr>
              <w:spacing w:after="0"/>
              <w:rPr>
                <w:sz w:val="21"/>
                <w:szCs w:val="21"/>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Amount</w:t>
            </w:r>
          </w:p>
        </w:tc>
        <w:tc>
          <w:tcPr>
            <w:tcW w:w="300" w:type="dxa"/>
            <w:vAlign w:val="bottom"/>
          </w:tcPr>
          <w:p>
            <w:pPr>
              <w:spacing w:after="0"/>
              <w:rPr>
                <w:sz w:val="21"/>
                <w:szCs w:val="21"/>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Value</w:t>
            </w:r>
            <w:r>
              <w:rPr>
                <w:rFonts w:ascii="Arial" w:cs="Arial" w:eastAsia="Arial" w:hAnsi="Arial"/>
                <w:sz w:val="21"/>
                <w:szCs w:val="21"/>
                <w:b w:val="1"/>
                <w:bCs w:val="1"/>
                <w:color w:val="auto"/>
                <w:w w:val="86"/>
                <w:vertAlign w:val="superscript"/>
              </w:rPr>
              <w:t>(1)</w:t>
            </w:r>
          </w:p>
        </w:tc>
        <w:tc>
          <w:tcPr>
            <w:tcW w:w="280" w:type="dxa"/>
            <w:vAlign w:val="bottom"/>
          </w:tcPr>
          <w:p>
            <w:pPr>
              <w:spacing w:after="0"/>
              <w:rPr>
                <w:sz w:val="21"/>
                <w:szCs w:val="21"/>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Amount</w:t>
            </w:r>
          </w:p>
        </w:tc>
        <w:tc>
          <w:tcPr>
            <w:tcW w:w="300" w:type="dxa"/>
            <w:vAlign w:val="bottom"/>
          </w:tcPr>
          <w:p>
            <w:pPr>
              <w:spacing w:after="0"/>
              <w:rPr>
                <w:sz w:val="21"/>
                <w:szCs w:val="21"/>
                <w:color w:val="auto"/>
              </w:rPr>
            </w:pPr>
          </w:p>
        </w:tc>
        <w:tc>
          <w:tcPr>
            <w:tcW w:w="1180" w:type="dxa"/>
            <w:vAlign w:val="bottom"/>
          </w:tcPr>
          <w:p>
            <w:pPr>
              <w:jc w:val="right"/>
              <w:ind w:right="392"/>
              <w:spacing w:after="0"/>
              <w:rPr>
                <w:sz w:val="20"/>
                <w:szCs w:val="20"/>
                <w:color w:val="auto"/>
              </w:rPr>
            </w:pPr>
            <w:r>
              <w:rPr>
                <w:rFonts w:ascii="Arial" w:cs="Arial" w:eastAsia="Arial" w:hAnsi="Arial"/>
                <w:sz w:val="16"/>
                <w:szCs w:val="16"/>
                <w:b w:val="1"/>
                <w:bCs w:val="1"/>
                <w:color w:val="auto"/>
              </w:rPr>
              <w:t>Value</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44"/>
        </w:trPr>
        <w:tc>
          <w:tcPr>
            <w:tcW w:w="51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 securitized</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964,510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1,101,984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814,011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954,743</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Vacation ownership notes receivable — non-securitized</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203,269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207,950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300,541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320,767</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25,688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25,688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13,708</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 financial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1,193,467</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1,335,622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1,128,260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1,289,218</w:t>
            </w:r>
          </w:p>
        </w:tc>
        <w:tc>
          <w:tcPr>
            <w:tcW w:w="0" w:type="dxa"/>
            <w:vAlign w:val="bottom"/>
          </w:tcPr>
          <w:p>
            <w:pPr>
              <w:spacing w:after="0"/>
              <w:rPr>
                <w:sz w:val="1"/>
                <w:szCs w:val="1"/>
                <w:color w:val="auto"/>
              </w:rPr>
            </w:pPr>
          </w:p>
        </w:tc>
      </w:tr>
      <w:tr>
        <w:trPr>
          <w:trHeight w:val="189"/>
        </w:trPr>
        <w:tc>
          <w:tcPr>
            <w:tcW w:w="516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rPr>
              <w:t>Non-recourse debt associated with vacation ownership notes</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receivable securitizations,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(1,099,877)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(1,095,811)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(834,889)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(836,028)</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Convertible notes, 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(195,805)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(232,760)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(192,518)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(259,884)</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shd w:val="clear" w:color="auto" w:fill="CCEEFF"/>
              </w:rPr>
              <w:t>Non-interest bearing note payable, net</w:t>
            </w:r>
          </w:p>
        </w:tc>
        <w:tc>
          <w:tcPr>
            <w:tcW w:w="23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(29,373)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(29,373)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(60,560)</w:t>
            </w:r>
          </w:p>
        </w:tc>
        <w:tc>
          <w:tcPr>
            <w:tcW w:w="0" w:type="dxa"/>
            <w:vAlign w:val="bottom"/>
          </w:tcPr>
          <w:p>
            <w:pPr>
              <w:spacing w:after="0"/>
              <w:rPr>
                <w:sz w:val="1"/>
                <w:szCs w:val="1"/>
                <w:color w:val="auto"/>
              </w:rPr>
            </w:pPr>
          </w:p>
        </w:tc>
      </w:tr>
      <w:tr>
        <w:trPr>
          <w:trHeight w:val="257"/>
        </w:trPr>
        <w:tc>
          <w:tcPr>
            <w:tcW w:w="5160" w:type="dxa"/>
            <w:vAlign w:val="bottom"/>
            <w:gridSpan w:val="2"/>
          </w:tcPr>
          <w:p>
            <w:pPr>
              <w:ind w:left="280"/>
              <w:spacing w:after="0"/>
              <w:rPr>
                <w:sz w:val="20"/>
                <w:szCs w:val="20"/>
                <w:color w:val="auto"/>
              </w:rPr>
            </w:pPr>
            <w:r>
              <w:rPr>
                <w:rFonts w:ascii="Arial" w:cs="Arial" w:eastAsia="Arial" w:hAnsi="Arial"/>
                <w:sz w:val="18"/>
                <w:szCs w:val="18"/>
                <w:color w:val="auto"/>
              </w:rPr>
              <w:t>Total financial liabilities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(1,325,055)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(1,357,944)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(1,087,967)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(1,156,472)</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3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0" w:type="dxa"/>
            <w:vAlign w:val="bottom"/>
            <w:vMerge w:val="continue"/>
          </w:tcPr>
          <w:p>
            <w:pPr>
              <w:spacing w:after="0"/>
              <w:rPr>
                <w:sz w:val="17"/>
                <w:szCs w:val="17"/>
                <w:color w:val="auto"/>
              </w:rPr>
            </w:pPr>
          </w:p>
        </w:tc>
        <w:tc>
          <w:tcPr>
            <w:tcW w:w="23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120" w:hanging="652"/>
        <w:spacing w:after="0" w:line="216"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Fair value of financial instruments, with the exception of other assets and convertible notes, has been determined using Level 3 inputs. Fair value of other assets and convertible notes that are financial instruments has been determined using Level 2 inputs.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Vacation Ownership Notes Receivable</w:t>
      </w:r>
    </w:p>
    <w:p>
      <w:pPr>
        <w:spacing w:after="0" w:line="1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estimate the fair value of our securitized vacation ownership notes receivable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that, when applied in combination with pricing parameters, determine the fair value of the underlying vacation ownership notes receivable.</w:t>
      </w:r>
    </w:p>
    <w:p>
      <w:pPr>
        <w:spacing w:after="0" w:line="7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Due to factors that impact the general marketability of our non-securitized vacation ownership notes receivable, as well as current market conditions, we bifurcate our vacation ownership notes receivable at each balance sheet date into those eligible and not eligible for securitization using criteria applicable to current securitization transactions in the asset-backed securities (“ABS”) market. Generally, vacation ownership notes receivable are considered not eligible for securitization if any of the following attributes are present: (1) payments are greater than 30 days past due; (2) the first payment has not been received; or (3) the collateral is located in Asia or Europe.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pacing w:after="0" w:line="81"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following table shows the bifurcation of our non-securitized vacation ownership notes receivable into those eligible and not eligible for securitization based upon the aforementioned eligibility criteria: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b w:val="1"/>
                <w:bCs w:val="1"/>
                <w:color w:val="auto"/>
              </w:rPr>
              <w:t>At June 30, 2018</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ind w:left="500"/>
              <w:spacing w:after="0"/>
              <w:rPr>
                <w:sz w:val="20"/>
                <w:szCs w:val="20"/>
                <w:color w:val="auto"/>
              </w:rPr>
            </w:pPr>
            <w:r>
              <w:rPr>
                <w:rFonts w:ascii="Arial" w:cs="Arial" w:eastAsia="Arial" w:hAnsi="Arial"/>
                <w:sz w:val="16"/>
                <w:szCs w:val="16"/>
                <w:b w:val="1"/>
                <w:bCs w:val="1"/>
                <w:color w:val="auto"/>
              </w:rPr>
              <w:t>At December 31, 2017</w:t>
            </w:r>
          </w:p>
        </w:tc>
      </w:tr>
      <w:tr>
        <w:trPr>
          <w:trHeight w:val="3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Carrying</w:t>
            </w:r>
          </w:p>
        </w:tc>
        <w:tc>
          <w:tcPr>
            <w:tcW w:w="540" w:type="dxa"/>
            <w:vAlign w:val="bottom"/>
          </w:tcPr>
          <w:p>
            <w:pPr>
              <w:spacing w:after="0"/>
              <w:rPr>
                <w:sz w:val="18"/>
                <w:szCs w:val="18"/>
                <w:color w:val="auto"/>
              </w:rPr>
            </w:pPr>
          </w:p>
        </w:tc>
        <w:tc>
          <w:tcPr>
            <w:tcW w:w="104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rPr>
              <w:t>Fair</w:t>
            </w:r>
          </w:p>
        </w:tc>
        <w:tc>
          <w:tcPr>
            <w:tcW w:w="28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Carrying</w:t>
            </w:r>
          </w:p>
        </w:tc>
        <w:tc>
          <w:tcPr>
            <w:tcW w:w="340" w:type="dxa"/>
            <w:vAlign w:val="bottom"/>
          </w:tcPr>
          <w:p>
            <w:pPr>
              <w:spacing w:after="0"/>
              <w:rPr>
                <w:sz w:val="18"/>
                <w:szCs w:val="18"/>
                <w:color w:val="auto"/>
              </w:rPr>
            </w:pPr>
          </w:p>
        </w:tc>
        <w:tc>
          <w:tcPr>
            <w:tcW w:w="1140" w:type="dxa"/>
            <w:vAlign w:val="bottom"/>
          </w:tcPr>
          <w:p>
            <w:pPr>
              <w:jc w:val="right"/>
              <w:ind w:right="494"/>
              <w:spacing w:after="0"/>
              <w:rPr>
                <w:sz w:val="20"/>
                <w:szCs w:val="20"/>
                <w:color w:val="auto"/>
              </w:rPr>
            </w:pPr>
            <w:r>
              <w:rPr>
                <w:rFonts w:ascii="Arial" w:cs="Arial" w:eastAsia="Arial" w:hAnsi="Arial"/>
                <w:sz w:val="16"/>
                <w:szCs w:val="16"/>
                <w:b w:val="1"/>
                <w:bCs w:val="1"/>
                <w:color w:val="auto"/>
              </w:rPr>
              <w:t>Fair</w:t>
            </w:r>
          </w:p>
        </w:tc>
      </w:tr>
      <w:tr>
        <w:trPr>
          <w:trHeight w:val="237"/>
        </w:trPr>
        <w:tc>
          <w:tcPr>
            <w:tcW w:w="51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Amount</w:t>
            </w:r>
          </w:p>
        </w:tc>
        <w:tc>
          <w:tcPr>
            <w:tcW w:w="540" w:type="dxa"/>
            <w:vAlign w:val="bottom"/>
          </w:tcPr>
          <w:p>
            <w:pPr>
              <w:spacing w:after="0"/>
              <w:rPr>
                <w:sz w:val="20"/>
                <w:szCs w:val="20"/>
                <w:color w:val="auto"/>
              </w:rPr>
            </w:pPr>
          </w:p>
        </w:tc>
        <w:tc>
          <w:tcPr>
            <w:tcW w:w="104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93"/>
              </w:rPr>
              <w:t>Value</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Amount</w:t>
            </w:r>
          </w:p>
        </w:tc>
        <w:tc>
          <w:tcPr>
            <w:tcW w:w="340" w:type="dxa"/>
            <w:vAlign w:val="bottom"/>
          </w:tcPr>
          <w:p>
            <w:pPr>
              <w:spacing w:after="0"/>
              <w:rPr>
                <w:sz w:val="20"/>
                <w:szCs w:val="20"/>
                <w:color w:val="auto"/>
              </w:rPr>
            </w:pPr>
          </w:p>
        </w:tc>
        <w:tc>
          <w:tcPr>
            <w:tcW w:w="1140" w:type="dxa"/>
            <w:vAlign w:val="bottom"/>
          </w:tcPr>
          <w:p>
            <w:pPr>
              <w:jc w:val="right"/>
              <w:ind w:right="454"/>
              <w:spacing w:after="0"/>
              <w:rPr>
                <w:sz w:val="20"/>
                <w:szCs w:val="20"/>
                <w:color w:val="auto"/>
              </w:rPr>
            </w:pPr>
            <w:r>
              <w:rPr>
                <w:rFonts w:ascii="Arial" w:cs="Arial" w:eastAsia="Arial" w:hAnsi="Arial"/>
                <w:sz w:val="16"/>
                <w:szCs w:val="16"/>
                <w:b w:val="1"/>
                <w:bCs w:val="1"/>
                <w:color w:val="auto"/>
              </w:rPr>
              <w:t>Value</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2"/>
        </w:trPr>
        <w:tc>
          <w:tcPr>
            <w:tcW w:w="5160" w:type="dxa"/>
            <w:vAlign w:val="bottom"/>
          </w:tcPr>
          <w:p>
            <w:pPr>
              <w:ind w:left="280"/>
              <w:spacing w:after="0"/>
              <w:rPr>
                <w:sz w:val="20"/>
                <w:szCs w:val="20"/>
                <w:color w:val="auto"/>
              </w:rPr>
            </w:pPr>
            <w:r>
              <w:rPr>
                <w:rFonts w:ascii="Arial" w:cs="Arial" w:eastAsia="Arial" w:hAnsi="Arial"/>
                <w:sz w:val="18"/>
                <w:szCs w:val="18"/>
                <w:color w:val="auto"/>
              </w:rPr>
              <w:t>Eligible for securitization</w:t>
            </w:r>
            <w:r>
              <w:rPr>
                <w:rFonts w:ascii="Arial" w:cs="Arial" w:eastAsia="Arial" w:hAnsi="Arial"/>
                <w:sz w:val="18"/>
                <w:szCs w:val="18"/>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37,073</w:t>
            </w:r>
          </w:p>
        </w:tc>
        <w:tc>
          <w:tcPr>
            <w:tcW w:w="12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41,754</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500"/>
              <w:spacing w:after="0"/>
              <w:rPr>
                <w:sz w:val="20"/>
                <w:szCs w:val="20"/>
                <w:color w:val="auto"/>
              </w:rPr>
            </w:pPr>
            <w:r>
              <w:rPr>
                <w:rFonts w:ascii="Arial" w:cs="Arial" w:eastAsia="Arial" w:hAnsi="Arial"/>
                <w:sz w:val="18"/>
                <w:szCs w:val="18"/>
                <w:color w:val="auto"/>
              </w:rPr>
              <w:t>141,324</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161,550</w:t>
            </w:r>
          </w:p>
        </w:tc>
      </w:tr>
      <w:tr>
        <w:trPr>
          <w:trHeight w:val="278"/>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Not eligible for securitization</w:t>
            </w: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166,196</w:t>
            </w: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166,196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159,217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159,217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non-securitized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203,269</w:t>
            </w: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207,950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300,541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320,767</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63" w:lineRule="exact"/>
        <w:rPr>
          <w:sz w:val="20"/>
          <w:szCs w:val="20"/>
          <w:color w:val="auto"/>
        </w:rPr>
      </w:pPr>
    </w:p>
    <w:p>
      <w:pPr>
        <w:ind w:left="660" w:right="20" w:hanging="652"/>
        <w:spacing w:after="0" w:line="226"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We expect that these vacation ownership notes receivable will be purchased by the 2018-1 Trust in accordance with the terms of the securitization transaction completed in the second quarter of 2018. Refer to Footnote 10 “Debt” for discussion of the terms of this securitization transaction and the purchase of additional vacation ownership notes receivable by the 2018-1 Trust.</w:t>
      </w:r>
    </w:p>
    <w:p>
      <w:pPr>
        <w:spacing w:after="0" w:line="204"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We estimate the fair value of the portion of our non-securitized vacation ownership notes receivable that we believe will ultimately be securitized in the same manner as securitized vacation ownership notes receivable. We value the remaining non-securitized vacation ownership notes receivable at their carrying value, rather than using our pricing model. We believe that the carrying value of these particular vacation ownership notes receivable approximates fair value because the stated, or otherwise imputed, interest rates of these loans are consistent with current market rates and the reserve for these vacation ownership notes receivable appropriately accounts for risks in default rates, prepayment rates, discount rates and loan terms.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11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estimate the fair value of our other assets that are financial instruments using Level 2 inputs. These assets consist of company owned insurance policies (the “COLI policies”), acquired on the lives of certain participants in the Marriott Vacations Worldwide Deferred Compensation Plan, that are held in a rabbi trust. The carrying value of the COLI policies is equal to their cash surrender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Non-Recourse Debt Associated with Securitized Vacation Ownership Notes Receivable</w:t>
      </w:r>
    </w:p>
    <w:p>
      <w:pPr>
        <w:spacing w:after="0" w:line="11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We estimate the fair value of our Convertible Notes (as defined in Footnote 10 “Debt”) using quoted market prices as of the last trading day for the quarter; however these notes have only a limited trading history and volume and as such this fair value estimate is not necessarily indicative of the value at which the Convertible Notes could be retired or transferred. We concluded that this fair value measurement should be categorized within Level 2. The difference between the carrying value and the fair value is primarily attributed to the underlying conversion feature, and the spread between the conversion price and the market value of the shares underlying the Convertible Notes.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Bearing Note Payable</w:t>
      </w:r>
    </w:p>
    <w:p>
      <w:pPr>
        <w:spacing w:after="0" w:line="117"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carrying value of our non-interest bearing note payable issued in connection with the acquisition of vacation ownership units located on the Big Island of Hawaii approximates fair value, because the imputed interest rate used to discount this note payable is consistent with current market rates.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ACQUISITIONS AND DISPOSITIONS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Planned Acquisition</w:t>
      </w:r>
    </w:p>
    <w:p>
      <w:pPr>
        <w:spacing w:after="0" w:line="11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On April 30, 2018, we entered into an Agreement and Plan of Merger (the “Merger Agreement”) under which we agreed to acquire, in a series of transactions, all of the outstanding shares of ILG, Inc. (“ILG”) in a cash and stock transaction with an implied equity value of approximately $4.7 billion as of that date. Under the Merger Agreement, shareholders of ILG will receive 0.165 shares of our common stock, par value $0.01 per share, and $14.75 in cash, without interest, for each share of ILG common stock, par value $0.01 per share, that they own immediately before these transactions close. Consummation of these transactions is subject to customary conditions, including approval from shareholders of both MVW and ILG and other customary closing conditions.</w:t>
      </w:r>
    </w:p>
    <w:p>
      <w:pPr>
        <w:spacing w:after="0" w:line="50"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We intend to finance the transaction through a combination of cash on hand and debt financing, and concurrently with the signing of the Merger Agreement, entered into a bridge facility commitment letter to provide for such financing. We expect to close the transaction by August 31,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Marco Island, Florida</w:t>
      </w:r>
    </w:p>
    <w:p>
      <w:pPr>
        <w:spacing w:after="0" w:line="11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During the first quarter of 2018, we acquired 20 completed vacation ownership units located at our resort in Marco Island, Florida for $23.9 million. The transaction was accounted for as an asset acquisition with all of the purchase price allocated to Inventory. See Footnote 9 “Contingencies and Commitments” for information on our remaining commitment related to this property.</w:t>
      </w:r>
    </w:p>
    <w:p>
      <w:pPr>
        <w:spacing w:after="0" w:line="73"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During the second quarter of 2017, we acquired 36 completed vacation ownership units located at our resort in Marco Island, Florida for $33.6 million. The transaction was accounted for as an asset acquisition with all of the purchase price allocated to Property and equipment as we did not intend to make the vacation ownership units available for sale for more than one year. To ensure consistency with the expected related future cash flow presentation, the cash purchase price was included as an operating activity in the Purchase of vacation ownership units for future transfer to inventory line on our Cash Flows.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Big Island of Hawaii</w:t>
      </w:r>
    </w:p>
    <w:p>
      <w:pPr>
        <w:spacing w:after="0" w:line="11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During the second quarter of 2017, we acquired 112 completed vacation ownership units located on the Big Island of Hawaii. The transaction was accounted for as an asset acquisition with all of the purchase price allocated to Inventory. As consideration for the acquisition, we paid $27.3 million in cash, settled a $0.5 million note receivable from the seller on a noncash basis, and issued a non-interest bearing note payable for $63.6 million. See Footnote 10 “Debt” for information on the non-interest bearing note payable.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7. EARNINGS PER SHARE</w:t>
      </w:r>
    </w:p>
    <w:p>
      <w:pPr>
        <w:spacing w:after="0" w:line="12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Basic earnings per common share is calculated by dividing net income attributable to common shareholders by the weighted average number of shares of common stock outstanding during the reporting period. Treasury stock is excluded from the weighted average number of shares of common stock outstanding. Diluted earnings per common share is calculated to give effect to all potentially dilutive common shares that were outstanding during the reporting period. The dilutive effect of outstanding equity-based compensation awards is reflected in diluted earnings per common share by application of the treasury stock method using average market prices during the period.</w:t>
      </w:r>
    </w:p>
    <w:p>
      <w:pPr>
        <w:spacing w:after="0" w:line="80"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Our calculation of diluted earnings per share reflects our intent to settle conversions of the Convertible Notes through a combination settlement, which contemplates repayment in cash of the principal amount and repayment in shares of our common stock of any excess of the conversion value over the principal amount (the “conversion premium”). Therefore, we include only the shares that may be issued with respect to any conversion premium in total dilutive weighted average shares outstanding, which we calculate using the treasury stock method. As no conversion premium existed as of June 30, 2018, there was no dilutive impact from the Convertible Notes for either the second quarter or the first half of 2018.</w:t>
      </w:r>
    </w:p>
    <w:p>
      <w:pPr>
        <w:spacing w:after="0" w:line="6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shares issuable on exercise of the Warrants (as defined in Footnote 10 “Debt”) sold in connection with the issuance of the Convertible Notes will not impact the total dilutive weighted average shares outstanding unless and until the price of our common stock exceeds the strike price, which was adjusted during the second quarter of 2018 to $176.48, as described in Footnote 10 “Debt.” If and when the price of our common stock exceeds the strike price of the Warrants, we will include the dilutive effect of the additional shares that may be issued upon exercise of the Warrants in total dilutive weighted average shares outstanding, which we calculate using the treasury stock method. The Convertible Note Hedges (as defined in Footnote 10 “Debt”) purchased in connection with the issuance of the Convertible Notes are considered to be anti-dilutive and will not impact our calculation of diluted earnings per share.</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illustrates the reconciliation of the earnings and number of shares used in our calculation of basic and diluted earnings per share.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900" w:type="dxa"/>
            <w:vAlign w:val="bottom"/>
            <w:gridSpan w:val="4"/>
          </w:tcPr>
          <w:p>
            <w:pPr>
              <w:jc w:val="right"/>
              <w:ind w:right="79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51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16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2018</w:t>
            </w:r>
            <w:r>
              <w:rPr>
                <w:rFonts w:ascii="Arial" w:cs="Arial" w:eastAsia="Arial" w:hAnsi="Arial"/>
                <w:sz w:val="17"/>
                <w:szCs w:val="17"/>
                <w:b w:val="1"/>
                <w:bCs w:val="1"/>
                <w:color w:val="auto"/>
                <w:vertAlign w:val="superscript"/>
              </w:rPr>
              <w:t>(1)</w:t>
            </w:r>
          </w:p>
        </w:tc>
        <w:tc>
          <w:tcPr>
            <w:tcW w:w="16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2017</w:t>
            </w:r>
            <w:r>
              <w:rPr>
                <w:rFonts w:ascii="Arial" w:cs="Arial" w:eastAsia="Arial" w:hAnsi="Arial"/>
                <w:sz w:val="17"/>
                <w:szCs w:val="17"/>
                <w:b w:val="1"/>
                <w:bCs w:val="1"/>
                <w:color w:val="auto"/>
                <w:vertAlign w:val="superscript"/>
              </w:rPr>
              <w:t>(1)</w:t>
            </w:r>
          </w:p>
        </w:tc>
        <w:tc>
          <w:tcPr>
            <w:tcW w:w="16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2018</w:t>
            </w:r>
            <w:r>
              <w:rPr>
                <w:rFonts w:ascii="Arial" w:cs="Arial" w:eastAsia="Arial" w:hAnsi="Arial"/>
                <w:sz w:val="17"/>
                <w:szCs w:val="17"/>
                <w:b w:val="1"/>
                <w:bCs w:val="1"/>
                <w:color w:val="auto"/>
                <w:vertAlign w:val="superscript"/>
              </w:rPr>
              <w:t>(1)</w:t>
            </w:r>
          </w:p>
        </w:tc>
        <w:tc>
          <w:tcPr>
            <w:tcW w:w="160" w:type="dxa"/>
            <w:vAlign w:val="bottom"/>
          </w:tcPr>
          <w:p>
            <w:pPr>
              <w:spacing w:after="0"/>
              <w:rPr>
                <w:sz w:val="22"/>
                <w:szCs w:val="22"/>
                <w:color w:val="auto"/>
              </w:rPr>
            </w:pPr>
          </w:p>
        </w:tc>
        <w:tc>
          <w:tcPr>
            <w:tcW w:w="1320" w:type="dxa"/>
            <w:vAlign w:val="bottom"/>
          </w:tcPr>
          <w:p>
            <w:pPr>
              <w:jc w:val="right"/>
              <w:ind w:right="131"/>
              <w:spacing w:after="0"/>
              <w:rPr>
                <w:sz w:val="20"/>
                <w:szCs w:val="20"/>
                <w:color w:val="auto"/>
              </w:rPr>
            </w:pPr>
            <w:r>
              <w:rPr>
                <w:rFonts w:ascii="Arial" w:cs="Arial" w:eastAsia="Arial" w:hAnsi="Arial"/>
                <w:sz w:val="16"/>
                <w:szCs w:val="16"/>
                <w:b w:val="1"/>
                <w:bCs w:val="1"/>
                <w:color w:val="auto"/>
                <w:w w:val="91"/>
              </w:rPr>
              <w:t>June 30, 2017</w:t>
            </w:r>
            <w:r>
              <w:rPr>
                <w:rFonts w:ascii="Arial" w:cs="Arial" w:eastAsia="Arial" w:hAnsi="Arial"/>
                <w:sz w:val="17"/>
                <w:szCs w:val="17"/>
                <w:b w:val="1"/>
                <w:bCs w:val="1"/>
                <w:color w:val="auto"/>
                <w:w w:val="91"/>
                <w:vertAlign w:val="superscript"/>
              </w:rPr>
              <w:t>(1)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Computation of Basic Earnings Per Share</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10,761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48,186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46,742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76,076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Shares for basic earnings per share</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27,285</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1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Basic earnings per share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0.40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Computation of Diluted Earnings Per Share</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1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10,761</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48,186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46,742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76,076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Shares for basic earnings per share</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26,728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26,707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260"/>
              <w:spacing w:after="0"/>
              <w:rPr>
                <w:sz w:val="20"/>
                <w:szCs w:val="20"/>
                <w:color w:val="auto"/>
              </w:rPr>
            </w:pPr>
            <w:r>
              <w:rPr>
                <w:rFonts w:ascii="Arial" w:cs="Arial" w:eastAsia="Arial" w:hAnsi="Arial"/>
                <w:sz w:val="18"/>
                <w:szCs w:val="18"/>
                <w:color w:val="auto"/>
              </w:rPr>
              <w:t>Effect of dilutive shares outstanding</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Employee stock options and SARs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480"/>
              <w:spacing w:after="0"/>
              <w:rPr>
                <w:sz w:val="20"/>
                <w:szCs w:val="20"/>
                <w:color w:val="auto"/>
              </w:rPr>
            </w:pPr>
            <w:r>
              <w:rPr>
                <w:rFonts w:ascii="Arial" w:cs="Arial" w:eastAsia="Arial" w:hAnsi="Arial"/>
                <w:sz w:val="18"/>
                <w:szCs w:val="18"/>
                <w:color w:val="auto"/>
              </w:rPr>
              <w:t>Restricted stock units</w:t>
            </w:r>
          </w:p>
        </w:tc>
        <w:tc>
          <w:tcPr>
            <w:tcW w:w="1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Shares for diluted earnings per share</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27,929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tcPr>
          <w:p>
            <w:pPr>
              <w:ind w:left="26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jc w:val="right"/>
              <w:ind w:right="2811"/>
              <w:spacing w:after="0"/>
              <w:rPr>
                <w:sz w:val="20"/>
                <w:szCs w:val="20"/>
                <w:color w:val="auto"/>
              </w:rPr>
            </w:pPr>
            <w:r>
              <w:rPr>
                <w:rFonts w:ascii="Arial" w:cs="Arial" w:eastAsia="Arial" w:hAnsi="Arial"/>
                <w:sz w:val="18"/>
                <w:szCs w:val="18"/>
                <w:color w:val="auto"/>
                <w:w w:val="89"/>
              </w:rPr>
              <w:t>_________________________</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80" w:hanging="652"/>
        <w:spacing w:after="0" w:line="238" w:lineRule="auto"/>
        <w:tabs>
          <w:tab w:leader="none" w:pos="66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The computations of diluted earnings per share exclude approximately 307,000 and 306,000 shares of common stock, the maximum number of shares issuable as of June 30, 2018 and June 30, 2017, respectively, upon the vesting of certain performance-based awards, because the performance conditions required to be met for the shares subject to such awards to vest were not achieved by the end of the reporting period.</w:t>
      </w:r>
    </w:p>
    <w:p>
      <w:pPr>
        <w:spacing w:after="0" w:line="95"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 accordance with the applicable accounting guidance for calculating earnings per share, for the second quarter and first half of 2018, we excluded from our calculation of diluted earnings per share 56,649 shares underlying stock appreciation rights (“SARs”) that may be settled in shares of common stock because the exercise price of $143.38 of such SARs was greater than the average market price for the applicable period.</w:t>
      </w:r>
    </w:p>
    <w:p>
      <w:pPr>
        <w:spacing w:after="0" w:line="57"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For the second quarter and first half of 2017, our calculation of diluted earnings per share included shares underlying SARs that may be settled in shares of common stock, because the exercise prices of such SARs were less than or equal to the average market prices for the applicable period.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3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8. INVENTORY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composition of our inventory balances: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40" w:type="dxa"/>
            <w:vAlign w:val="bottom"/>
          </w:tcPr>
          <w:p>
            <w:pPr>
              <w:spacing w:after="0"/>
              <w:rPr>
                <w:sz w:val="20"/>
                <w:szCs w:val="20"/>
                <w:color w:val="auto"/>
              </w:rPr>
            </w:pPr>
          </w:p>
        </w:tc>
        <w:tc>
          <w:tcPr>
            <w:tcW w:w="2060" w:type="dxa"/>
            <w:vAlign w:val="bottom"/>
            <w:gridSpan w:val="2"/>
          </w:tcPr>
          <w:p>
            <w:pPr>
              <w:ind w:left="240"/>
              <w:spacing w:after="0"/>
              <w:rPr>
                <w:sz w:val="20"/>
                <w:szCs w:val="20"/>
                <w:color w:val="auto"/>
              </w:rPr>
            </w:pPr>
            <w:r>
              <w:rPr>
                <w:rFonts w:ascii="Arial" w:cs="Arial" w:eastAsia="Arial" w:hAnsi="Arial"/>
                <w:sz w:val="16"/>
                <w:szCs w:val="16"/>
                <w:b w:val="1"/>
                <w:bCs w:val="1"/>
                <w:color w:val="auto"/>
              </w:rPr>
              <w:t>At June 30, 2018</w:t>
            </w:r>
          </w:p>
        </w:tc>
        <w:tc>
          <w:tcPr>
            <w:tcW w:w="240" w:type="dxa"/>
            <w:vAlign w:val="bottom"/>
          </w:tcPr>
          <w:p>
            <w:pPr>
              <w:spacing w:after="0"/>
              <w:rPr>
                <w:sz w:val="20"/>
                <w:szCs w:val="20"/>
                <w:color w:val="auto"/>
              </w:rPr>
            </w:pPr>
          </w:p>
        </w:tc>
        <w:tc>
          <w:tcPr>
            <w:tcW w:w="2040" w:type="dxa"/>
            <w:vAlign w:val="bottom"/>
          </w:tcPr>
          <w:p>
            <w:pPr>
              <w:jc w:val="right"/>
              <w:ind w:right="291"/>
              <w:spacing w:after="0"/>
              <w:rPr>
                <w:sz w:val="20"/>
                <w:szCs w:val="20"/>
                <w:color w:val="auto"/>
              </w:rPr>
            </w:pPr>
            <w:r>
              <w:rPr>
                <w:rFonts w:ascii="Arial" w:cs="Arial" w:eastAsia="Arial" w:hAnsi="Arial"/>
                <w:sz w:val="16"/>
                <w:szCs w:val="16"/>
                <w:b w:val="1"/>
                <w:bCs w:val="1"/>
                <w:color w:val="auto"/>
                <w:w w:val="99"/>
              </w:rPr>
              <w:t>At December 31, 2017</w:t>
            </w:r>
          </w:p>
        </w:tc>
        <w:tc>
          <w:tcPr>
            <w:tcW w:w="0" w:type="dxa"/>
            <w:vAlign w:val="bottom"/>
          </w:tcPr>
          <w:p>
            <w:pPr>
              <w:spacing w:after="0"/>
              <w:rPr>
                <w:sz w:val="1"/>
                <w:szCs w:val="1"/>
                <w:color w:val="auto"/>
              </w:rPr>
            </w:pPr>
          </w:p>
        </w:tc>
      </w:tr>
      <w:tr>
        <w:trPr>
          <w:trHeight w:val="270"/>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r>
              <w:rPr>
                <w:rFonts w:ascii="Arial" w:cs="Arial" w:eastAsia="Arial" w:hAnsi="Arial"/>
                <w:sz w:val="18"/>
                <w:szCs w:val="18"/>
                <w:color w:val="auto"/>
                <w:vertAlign w:val="superscript"/>
              </w:rPr>
              <w:t>(1)</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325,374</w:t>
            </w: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391,040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Work-in-progress</w:t>
            </w:r>
          </w:p>
        </w:tc>
        <w:tc>
          <w:tcPr>
            <w:tcW w:w="34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and infrastructure</w:t>
            </w:r>
            <w:r>
              <w:rPr>
                <w:rFonts w:ascii="Arial" w:cs="Arial" w:eastAsia="Arial" w:hAnsi="Arial"/>
                <w:sz w:val="18"/>
                <w:szCs w:val="18"/>
                <w:color w:val="auto"/>
                <w:vertAlign w:val="superscript"/>
              </w:rPr>
              <w:t>(2)</w:t>
            </w:r>
          </w:p>
        </w:tc>
        <w:tc>
          <w:tcPr>
            <w:tcW w:w="34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359,992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2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330,002</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Real estate inventory</w:t>
            </w:r>
          </w:p>
        </w:tc>
        <w:tc>
          <w:tcPr>
            <w:tcW w:w="340" w:type="dxa"/>
            <w:vAlign w:val="bottom"/>
          </w:tcPr>
          <w:p>
            <w:pPr>
              <w:spacing w:after="0"/>
              <w:rPr>
                <w:sz w:val="20"/>
                <w:szCs w:val="20"/>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685,479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723,357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supplies and retail inventory</w:t>
            </w:r>
          </w:p>
        </w:tc>
        <w:tc>
          <w:tcPr>
            <w:tcW w:w="3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690,154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728,379</w:t>
            </w:r>
          </w:p>
        </w:tc>
        <w:tc>
          <w:tcPr>
            <w:tcW w:w="0" w:type="dxa"/>
            <w:vAlign w:val="bottom"/>
          </w:tcPr>
          <w:p>
            <w:pPr>
              <w:spacing w:after="0"/>
              <w:rPr>
                <w:sz w:val="1"/>
                <w:szCs w:val="1"/>
                <w:color w:val="auto"/>
              </w:rPr>
            </w:pPr>
          </w:p>
        </w:tc>
      </w:tr>
      <w:tr>
        <w:trPr>
          <w:trHeight w:val="27"/>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180" w:hanging="652"/>
        <w:spacing w:after="0" w:line="21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Represents completed inventory that is either registered for sale as vacation ownership interests, or unregistered and available for sale in its current form.</w:t>
      </w:r>
    </w:p>
    <w:p>
      <w:pPr>
        <w:spacing w:after="0" w:line="1" w:lineRule="exact"/>
        <w:rPr>
          <w:rFonts w:ascii="Arial" w:cs="Arial" w:eastAsia="Arial" w:hAnsi="Arial"/>
          <w:sz w:val="25"/>
          <w:szCs w:val="25"/>
          <w:color w:val="auto"/>
          <w:vertAlign w:val="superscript"/>
        </w:rPr>
      </w:pPr>
    </w:p>
    <w:p>
      <w:pPr>
        <w:ind w:left="660" w:hanging="652"/>
        <w:spacing w:after="0" w:line="225"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Includes $69.5 million of inventory related to estimated future foreclosures at June 30, 2018.</w:t>
      </w:r>
    </w:p>
    <w:p>
      <w:pPr>
        <w:spacing w:after="0" w:line="9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value vacation ownership and residential products at the lower of cost or fair market value less costs to sell, in accordance with applicable accounting guidance, and we record operating supplies at the lower of cost (using the first-in, first-out method) or net realizable value. Product cost true-up activity relating to vacation ownership products increased carrying values of inventory by less than $1.0 million and decreased carrying values of inventory by less than $1.0 million during the first half of 2018 and the first half of 2017, respectively.</w:t>
      </w:r>
    </w:p>
    <w:p>
      <w:pPr>
        <w:spacing w:after="0" w:line="81"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In addition to the above, at June 30, 2018, we had $47.6 million of completed vacation ownership units which have been classified as a component of Property and equipment until the time at which they are legally registered for sale as vacation ownership products. Furthermore, at June 30, 2018, we also had $454.9 million of commitments to acquire completed vacation ownership units as discussed below in Footnote 9 “Contingencies and Commitments.”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CONTINGENCIES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Letters of Credit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2018, we had the following commitments outstanding:</w:t>
      </w:r>
    </w:p>
    <w:p>
      <w:pPr>
        <w:spacing w:after="0" w:line="117" w:lineRule="exact"/>
        <w:rPr>
          <w:sz w:val="20"/>
          <w:szCs w:val="20"/>
          <w:color w:val="auto"/>
        </w:rPr>
      </w:pPr>
    </w:p>
    <w:p>
      <w:pPr>
        <w:ind w:left="980" w:right="280" w:hanging="324"/>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various contracts for the use of information technology hardware and software that we use in the normal course of business. Our aggregate commitments under these contracts were $35.4 million, of which we expect $7.9 million, $12.4 million, $8.0 million, $3.1 million, $2.5 million and $1.5 million will be paid in 2018, 2019, 2020, 2021, 2022 and thereafter, respectively.</w:t>
      </w:r>
    </w:p>
    <w:p>
      <w:pPr>
        <w:spacing w:after="0" w:line="73" w:lineRule="exact"/>
        <w:rPr>
          <w:rFonts w:ascii="Arial" w:cs="Arial" w:eastAsia="Arial" w:hAnsi="Arial"/>
          <w:sz w:val="18"/>
          <w:szCs w:val="18"/>
          <w:color w:val="auto"/>
        </w:rPr>
      </w:pPr>
    </w:p>
    <w:p>
      <w:pPr>
        <w:ind w:left="980" w:hanging="324"/>
        <w:spacing w:after="0" w:line="297"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have a commitment to purchase an operating property located in New York, New York for $170.2 million, of which $7.2 million is attributed to a related capital lease arrangement and recorded in Debt. We expect to acquire the units in the property in their current form, over time, and we are committed to make payments for these units of $108.5 million and $61.7 million in 2019 and 2020, respectively. We currently manage this property, which we have rebranded as Marriott Vacation Club Pulse, New York City. See Footnote 13 “Variable Interest Entities” for additional information on this transaction and our activities relating to the variable interest entity involved in this transaction.</w:t>
      </w:r>
    </w:p>
    <w:p>
      <w:pPr>
        <w:spacing w:after="0" w:line="50" w:lineRule="exact"/>
        <w:rPr>
          <w:rFonts w:ascii="Arial" w:cs="Arial" w:eastAsia="Arial" w:hAnsi="Arial"/>
          <w:sz w:val="16"/>
          <w:szCs w:val="16"/>
          <w:color w:val="auto"/>
        </w:rPr>
      </w:pPr>
    </w:p>
    <w:p>
      <w:pPr>
        <w:ind w:left="980" w:right="80" w:hanging="324"/>
        <w:spacing w:after="0" w:line="259"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commitment to purchase 88 vacation ownership units located in Bali, Indonesia for use in our Asia Pacific segment, contingent upon completion of construction to agreed-upon standards within specified timeframes. We expect to complete the acquisition in 2019 and to make payments with respect to these units when specific construction milestones are completed, as follows: $3.9 million in 2018, $30.9 million in 2019 and $1.9 million in 2020.</w:t>
      </w:r>
    </w:p>
    <w:p>
      <w:pPr>
        <w:spacing w:after="0" w:line="78" w:lineRule="exact"/>
        <w:rPr>
          <w:rFonts w:ascii="Arial" w:cs="Arial" w:eastAsia="Arial" w:hAnsi="Arial"/>
          <w:sz w:val="18"/>
          <w:szCs w:val="18"/>
          <w:color w:val="auto"/>
        </w:rPr>
      </w:pPr>
    </w:p>
    <w:p>
      <w:pPr>
        <w:ind w:left="980" w:right="180" w:hanging="324"/>
        <w:spacing w:after="0" w:line="286"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have a remaining commitment to purchase vacation ownership units located at our resort in Marco Island, Florida for $84.5 million, which we expect will be paid in 2019. See Footnote 6 “Acquisitions and Dispositions” and Footnote 13 “Variable Interest Entities” for additional information on this transaction and our activities relating to the variable interest entity involved in this transaction.</w:t>
      </w:r>
    </w:p>
    <w:p>
      <w:pPr>
        <w:spacing w:after="0" w:line="57" w:lineRule="exact"/>
        <w:rPr>
          <w:rFonts w:ascii="Arial" w:cs="Arial" w:eastAsia="Arial" w:hAnsi="Arial"/>
          <w:sz w:val="17"/>
          <w:szCs w:val="17"/>
          <w:color w:val="auto"/>
        </w:rPr>
      </w:pPr>
    </w:p>
    <w:p>
      <w:pPr>
        <w:ind w:left="980" w:right="180" w:hanging="324"/>
        <w:spacing w:after="0" w:line="279"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During the first quarter of 2018, we assigned a commitment to purchase an operating property located in San Francisco, California to a third-party developer in a capital efficient inventory arrangement. We expect to acquire the operating property in 2020 and to pay the purchase price of $163.5 million as follows: $100.0 million in 2020 and $63.5 million in 2021. See Footnote 13 “Variable Interest Entities” for additional information on this transaction and our activities relating to the variable interest entity involved in this transaction.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3" w:name="page24"/>
    <w:bookmarkEnd w:id="23"/>
    <w:p>
      <w:pPr>
        <w:ind w:right="600" w:firstLine="648"/>
        <w:spacing w:after="0" w:line="277" w:lineRule="auto"/>
        <w:rPr>
          <w:sz w:val="20"/>
          <w:szCs w:val="20"/>
          <w:color w:val="auto"/>
        </w:rPr>
      </w:pPr>
      <w:r>
        <w:rPr>
          <w:rFonts w:ascii="Arial" w:cs="Arial" w:eastAsia="Arial" w:hAnsi="Arial"/>
          <w:sz w:val="18"/>
          <w:szCs w:val="18"/>
          <w:color w:val="auto"/>
        </w:rPr>
        <w:t>Surety bonds issued as of June 30, 2018 totaled $34.5 million, the majority of which were requested by federal, state or local governments in connection with our operations.</w:t>
      </w:r>
    </w:p>
    <w:p>
      <w:pPr>
        <w:spacing w:after="0" w:line="62"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Additionally, as of June 30, 2018, we had $2.2 million of letters of credit outstanding under our $250.0 million revolving credit facility (the “Revolving Corporate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11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April 2013, Krishna and Sherrie Narayan and other owners of 12 residential units (owners of two of which subsequently agreed to release their claims) at the resort formerly known as The Ritz-Carlton Club &amp; Residences, Kapalua Bay (“Kapalua Bay”) filed an amended complaint in Circuit Court for Maui County, Hawaii against us, certain of our subsidiaries, Marriott International, certain of its subsidiaries, and the joint venture in which we have an equity investment that developed and marketed vacation ownership and residential products at Kapalua Bay (the “Joint Venture”). In the original complaint, the plaintiffs alleged that defendants mismanaged funds of the residential owners association (the “Kapalua Bay Association”), created a conflict of interest by permitting their employees to serve on the Kapalua Bay Association’s board, and failed to disclose documents to which the plaintiffs were allegedly entitled. The amended complaint alleges breach of fiduciary duty, violations of the Hawaii Unfair and Deceptive Trade Practices Act and the Hawaii condominium statute, intentional misrepresentation and concealment, unjust enrichment and civil conspiracy. The relief sought in the amended complaint includes injunctive relief, repayment of all sums paid to us and our subsidiaries and Marriott International and its subsidiaries, compensatory and punitive damages, and treble damages under the Hawaii Unfair and Deceptive Trade Practices Act. Trial is scheduled for September 2018. We dispute the material allegations in the amended complaint and continue to defend against the action vigorously. Given the inherent uncertainties of litigation, we cannot estimate a range of the potential liability, if any, at this time.</w:t>
      </w:r>
    </w:p>
    <w:p>
      <w:pPr>
        <w:spacing w:after="0" w:line="72"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In June 2013, Earl C. and Patricia A. Charles, owners of a fractional interest at Kapalua Bay, together with owners of 38 other fractional interests (owners of two of which subsequently agreed to release their claims) at Kapalua Bay, filed an amended complaint in the Circuit Court of the Second Circuit for the State of Hawaii against us, certain of our subsidiaries, Marriott International, certain of its subsidiaries, the Joint Venture, and other entities that have equity investments in the Joint Venture. The plaintiffs allege that the defendants failed to disclose the financial condition of the Joint Venture and the commitment of the defendants to the Joint Venture, and that defendants’ actions constituted fraud and violated the Hawaii Unfair and Deceptive Trade Practices Act, the Hawaii Condominium Property Act and the Hawaii Time Sharing Plans statute. The relief sought includes compensatory and punitive damages, attorneys’ fees, pre-judgment interest, declaratory relief, rescission and treble damages under the Hawaii Unfair and Deceptive Trade Practices Act. The complaint was subsequently further amended to add owners of two additional fractional interests as plaintiffs. The Circuit Court set the case for trial beginning in January 2019. We dispute the material allegations in the amended complaint and continue to defend against the action vigorously. Given the inherent uncertainties of litigation, we cannot estimate a range of the potential liability, if any, at this time.</w:t>
      </w:r>
    </w:p>
    <w:p>
      <w:pPr>
        <w:spacing w:after="0" w:line="6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May 2015, we and certain of our subsidiaries were named as defendants in an action filed in the Superior Court of San Francisco County, California, by William and Sharon Petrick and certain other present and former owners of fractional interests at the RCC San Francisco. The plaintiffs alleged that the affiliation of the RCC San Francisco with our points-based Marriott Vacation Club Destinations (“MVCD”) program, certain alleged sales practices, and other acts we and the other defendants allegedly took caused an actionable decrease in the value of their fractional interests. The relief sought included, among other things, compensatory and punitive damages, rescission, and pre- and post-judgment interest. In July 2018, following a mediation meeting, the parties reached an agreement in principle to settle the case. The terms of the definitive settlement agreement are currently being finalized. We have recorded an accrual of $10.6 million in conjunction with the settlement. In addition to various terms and conditions, the settlement in principle contemplates our repurchase of fractional interests owned by the plaintiffs.</w:t>
      </w:r>
    </w:p>
    <w:p>
      <w:pPr>
        <w:spacing w:after="0" w:line="7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March 2017, RCHFU, L.L.C. and other owners of 232 fractional interests at The Ritz-Carlton Club, Aspen Highlands (“RCC Aspen Highlands”) served an amended complaint in an action pending in the court against us, certain of our subsidiaries, and other third party defendants. The amended complaint alleges that the plaintiffs’ fractional interests were devalued by the affiliation of RCC Aspen Highlands and other Ritz-Carlton Clubs with our points-based MVCD program. The relief sought includes, among other things, unspecified damages, pre- and post-judgment interest, and attorneys’ fees. We filed a motion to dismiss the amended complaint, which the Court granted in part and denied in part in March 2018. In February 2018, plaintiffs filed a motion seeking to add a claim for punitive damages to their complaint, which the Court granted in May 2018. We dispute the plaintiffs’ material allegations and continue to defend against the action vigorously. Given the inherent uncertainties of litigation, we cannot estimate a range of the potential liability, if any, at this time.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76" w:right="259" w:bottom="1440" w:gutter="0" w:footer="0" w:header="0"/>
        </w:sectPr>
      </w:pPr>
    </w:p>
    <w:bookmarkStart w:id="24" w:name="page25"/>
    <w:bookmarkEnd w:id="24"/>
    <w:p>
      <w:pPr>
        <w:ind w:right="100" w:firstLine="648"/>
        <w:spacing w:after="0" w:line="269" w:lineRule="auto"/>
        <w:rPr>
          <w:sz w:val="20"/>
          <w:szCs w:val="20"/>
          <w:color w:val="auto"/>
        </w:rPr>
      </w:pPr>
      <w:r>
        <w:rPr>
          <w:rFonts w:ascii="Arial" w:cs="Arial" w:eastAsia="Arial" w:hAnsi="Arial"/>
          <w:sz w:val="17"/>
          <w:szCs w:val="17"/>
          <w:color w:val="auto"/>
        </w:rPr>
        <w:t>In May 2016, we, certain of our subsidiaries, and certain third parties were named as defendants in an action filed in the U.S. District Court for the Middle District of Florida by Anthony and Beth Lennen. The case is filed as a putative class action; the plaintiffs seek to represent a class consisting of themselves and all other purchasers of MVCD points, from inception of the MVCD program in June 2010 to the present, as well as all individuals who own or have owned weeks in any resorts for which weeks have been added to the MVCD program. Plaintiffs challenge the characterization of the beneficial interests in the MVCD trust that are sold to customers as real estate interests under Florida law. They also challenge the structure of the trust and associated operational aspects of the trust product. The relief sought includes, among other things, declaratory relief, an unwinding of the MVCD product, and punitive damages. In September 2016, we filed a motion to dismiss the complaint and a motion to stay the case pending referral of certain questions to Florida state regulators, and the Court granted the motion to dismiss and denied the motion to stay. The Court granted leave to plaintiffs to file an amended complaint, which plaintiffs filed in October 2017. In November 2017, we filed a motion to dismiss the amended complaint, which remains pending. We dispute the plaintiffs’ material allegations and continue to defend against the action vigorously. Given the early stages of the action and the inherent uncertainties of litigation, we cannot estimate a range of the potential liability, if any, at this time.</w:t>
      </w:r>
    </w:p>
    <w:p>
      <w:pPr>
        <w:spacing w:after="0" w:line="7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In July 2018, a complaint challenging our acquisition of ILG was filed on behalf of alleged stockholders of ILG in the District Court for the District of Delaware, captioned Scarantino v. ILG, Inc., et al. The complaint names as defendants ILG, ILG’s directors, Ignite Holdco, Inc., Ignite Holdco Subsidiary, Inc., our company, Volt Merger Sub, Inc. and Volt Merger Sub, LLC. The complaint alleges that (i) ILG and ILG’s directors issued a false and misleading registration statement in violation of Section 14(a) of the Exchange Act and Rule 14a-9 promulgated thereunder; and (ii) we and ILG’s directors, Volt Merger Sub, Inc. and Volt Merger Sub, LLC violated Section 20(a) of the Exchange Act by allegedly exercising control over ILG and ILG’s directors while they issued a false and misleading registration statement. The complaint seeks an injunction preventing the defendants from consummating the transaction and attorneys’ fees and costs, as well as other remedies. Also in July 2018, two other complaints challenging the ILG transaction were filed, one on behalf of an alleged stockholder of ILG in the District Court for the Southern District of Florida, captioned Patricia Stephens v. ILG, Inc., et al., and another on behalf of alleged stockholders of ILG in the District Court for the District of Delaware, captioned Hohman v. ILG, Inc., et al. The complaints name ILG and ILG’s directors as defendants and allege that (i) ILG and ILG’s directors issued a false and misleading registration statement in violation of Section 14(a) of the Exchange Act and Rule 14a-9 promulgated thereunder and (ii) ILG’s directors violated Section 20(a) of the Exchange Act by allegedly exercising control over ILG while issuing a false and misleading registration statement. The complaints seek an injunction preventing the defendants from consummating the transaction and attorneys’ fees and costs, as well as other remedies. We believe that these lawsuits are without merit and intend to defend ourselves vigorously.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During the second quarter and first half of 2018 we recorded litigation settlement charges of $16.3 million in our Income Statement relating to agreements in principle to settle two actions in our North America segment, consisting of an accrual of $10.6 million in connection with the Petrick action as described above, and an accrual of $4.6 million in connection with an action brought by owners of fractional interests at The Ritz-Carlton, Lake Tahoe, and $1.1 million related to projects in our Europe segment.</w:t>
      </w:r>
    </w:p>
    <w:p>
      <w:pPr>
        <w:spacing w:after="0" w:line="7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During June 2018, we identified fraudulently induced electronic payment disbursements we made to third parties in an aggregate amount of $9.9 million resulting from unauthorized third-party access to our email system. Upon detection, we immediately notified law enforcement authorities and relevant financial institutions and commenced a forensic investigation. As a result, we have since recovered $3.2 million and expect to recover a significant portion of the remaining $6.7 million through recovery of the disbursed funds and applicable insurance coverage. However, this recovery process may take up to several months. We recorded a loss of $6.7 million in the Losses and other expense, net line of our Income Statements for the second quarter and first half of 2018. Any recoveries will be recorded in our results in the future.</w:t>
      </w:r>
    </w:p>
    <w:p>
      <w:pPr>
        <w:spacing w:after="0" w:line="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Our investigation is ongoing. There is no indication at this time that this event involved access to any of our other systems or data and no other misappropriation of assets has been identified.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76"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10. DEBT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 on our debt balances, net of unamortized debt discount and issuance costs: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20" w:type="dxa"/>
            <w:vAlign w:val="bottom"/>
          </w:tcPr>
          <w:p>
            <w:pPr>
              <w:spacing w:after="0"/>
              <w:rPr>
                <w:sz w:val="20"/>
                <w:szCs w:val="20"/>
                <w:color w:val="auto"/>
              </w:rPr>
            </w:pPr>
          </w:p>
        </w:tc>
        <w:tc>
          <w:tcPr>
            <w:tcW w:w="1960" w:type="dxa"/>
            <w:vAlign w:val="bottom"/>
            <w:gridSpan w:val="2"/>
          </w:tcPr>
          <w:p>
            <w:pPr>
              <w:ind w:left="180"/>
              <w:spacing w:after="0"/>
              <w:rPr>
                <w:sz w:val="20"/>
                <w:szCs w:val="20"/>
                <w:color w:val="auto"/>
              </w:rPr>
            </w:pPr>
            <w:r>
              <w:rPr>
                <w:rFonts w:ascii="Arial" w:cs="Arial" w:eastAsia="Arial" w:hAnsi="Arial"/>
                <w:sz w:val="16"/>
                <w:szCs w:val="16"/>
                <w:b w:val="1"/>
                <w:bCs w:val="1"/>
                <w:color w:val="auto"/>
              </w:rPr>
              <w:t>At June 30, 2018</w:t>
            </w:r>
          </w:p>
        </w:tc>
        <w:tc>
          <w:tcPr>
            <w:tcW w:w="220" w:type="dxa"/>
            <w:vAlign w:val="bottom"/>
          </w:tcPr>
          <w:p>
            <w:pPr>
              <w:spacing w:after="0"/>
              <w:rPr>
                <w:sz w:val="20"/>
                <w:szCs w:val="20"/>
                <w:color w:val="auto"/>
              </w:rPr>
            </w:pPr>
          </w:p>
        </w:tc>
        <w:tc>
          <w:tcPr>
            <w:tcW w:w="1940" w:type="dxa"/>
            <w:vAlign w:val="bottom"/>
          </w:tcPr>
          <w:p>
            <w:pPr>
              <w:jc w:val="right"/>
              <w:ind w:right="231"/>
              <w:spacing w:after="0"/>
              <w:rPr>
                <w:sz w:val="20"/>
                <w:szCs w:val="20"/>
                <w:color w:val="auto"/>
              </w:rPr>
            </w:pPr>
            <w:r>
              <w:rPr>
                <w:rFonts w:ascii="Arial" w:cs="Arial" w:eastAsia="Arial" w:hAnsi="Arial"/>
                <w:sz w:val="16"/>
                <w:szCs w:val="16"/>
                <w:b w:val="1"/>
                <w:bCs w:val="1"/>
                <w:color w:val="auto"/>
                <w:w w:val="96"/>
              </w:rPr>
              <w:t>At December 31, 2017</w:t>
            </w:r>
          </w:p>
        </w:tc>
        <w:tc>
          <w:tcPr>
            <w:tcW w:w="0" w:type="dxa"/>
            <w:vAlign w:val="bottom"/>
          </w:tcPr>
          <w:p>
            <w:pPr>
              <w:spacing w:after="0"/>
              <w:rPr>
                <w:sz w:val="1"/>
                <w:szCs w:val="1"/>
                <w:color w:val="auto"/>
              </w:rPr>
            </w:pPr>
          </w:p>
        </w:tc>
      </w:tr>
      <w:tr>
        <w:trPr>
          <w:trHeight w:val="270"/>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securitizations, gross</w:t>
            </w:r>
            <w:r>
              <w:rPr>
                <w:rFonts w:ascii="Arial" w:cs="Arial" w:eastAsia="Arial" w:hAnsi="Arial"/>
                <w:sz w:val="18"/>
                <w:szCs w:val="18"/>
                <w:color w:val="auto"/>
                <w:vertAlign w:val="superscript"/>
              </w:rPr>
              <w:t>(1)</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1,113,860</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845,131</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Unamortized debt issuance costs</w:t>
            </w:r>
          </w:p>
        </w:tc>
        <w:tc>
          <w:tcPr>
            <w:tcW w:w="3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(13,983)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(10,242)</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1,099,877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834,889</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Convertible notes, gross</w:t>
            </w:r>
            <w:r>
              <w:rPr>
                <w:rFonts w:ascii="Arial" w:cs="Arial" w:eastAsia="Arial" w:hAnsi="Arial"/>
                <w:sz w:val="18"/>
                <w:szCs w:val="18"/>
                <w:color w:val="auto"/>
                <w:vertAlign w:val="superscript"/>
              </w:rPr>
              <w:t>(2)</w:t>
            </w:r>
          </w:p>
        </w:tc>
        <w:tc>
          <w:tcPr>
            <w:tcW w:w="32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230,000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230,000</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Unamortized debt discount and issuance costs</w:t>
            </w:r>
          </w:p>
        </w:tc>
        <w:tc>
          <w:tcPr>
            <w:tcW w:w="3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(34,195)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(37,482)</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195,805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192,518</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Non-interest bearing note payable</w:t>
            </w: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63,558</w:t>
            </w: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Unamortized debt discount</w:t>
            </w:r>
            <w:r>
              <w:rPr>
                <w:rFonts w:ascii="Arial" w:cs="Arial" w:eastAsia="Arial" w:hAnsi="Arial"/>
                <w:sz w:val="18"/>
                <w:szCs w:val="18"/>
                <w:color w:val="auto"/>
                <w:vertAlign w:val="superscript"/>
              </w:rPr>
              <w:t>(3)</w:t>
            </w:r>
          </w:p>
        </w:tc>
        <w:tc>
          <w:tcPr>
            <w:tcW w:w="3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60,560</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debt, gross</w:t>
            </w: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Unamortized debt issuance costs</w:t>
            </w:r>
          </w:p>
        </w:tc>
        <w:tc>
          <w:tcPr>
            <w:tcW w:w="320" w:type="dxa"/>
            <w:vAlign w:val="bottom"/>
          </w:tcPr>
          <w:p>
            <w:pPr>
              <w:spacing w:after="0"/>
              <w:rPr>
                <w:sz w:val="21"/>
                <w:szCs w:val="21"/>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3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7,221</w:t>
            </w: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1,332,276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1,095,213</w:t>
            </w:r>
          </w:p>
        </w:tc>
        <w:tc>
          <w:tcPr>
            <w:tcW w:w="0" w:type="dxa"/>
            <w:vAlign w:val="bottom"/>
          </w:tcPr>
          <w:p>
            <w:pPr>
              <w:spacing w:after="0"/>
              <w:rPr>
                <w:sz w:val="1"/>
                <w:szCs w:val="1"/>
                <w:color w:val="auto"/>
              </w:rPr>
            </w:pPr>
          </w:p>
        </w:tc>
      </w:tr>
      <w:tr>
        <w:trPr>
          <w:trHeight w:val="27"/>
        </w:trPr>
        <w:tc>
          <w:tcPr>
            <w:tcW w:w="698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8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Interest rates as of June 30, 2018 range from 2.2% to 6.3% with a weighted average interest rate of 2.9%.</w:t>
      </w:r>
    </w:p>
    <w:p>
      <w:pPr>
        <w:spacing w:after="0" w:line="56" w:lineRule="exact"/>
        <w:rPr>
          <w:rFonts w:ascii="Arial" w:cs="Arial" w:eastAsia="Arial" w:hAnsi="Arial"/>
          <w:sz w:val="25"/>
          <w:szCs w:val="25"/>
          <w:color w:val="auto"/>
          <w:vertAlign w:val="superscript"/>
        </w:rPr>
      </w:pPr>
    </w:p>
    <w:p>
      <w:pPr>
        <w:ind w:left="660" w:hanging="652"/>
        <w:spacing w:after="0" w:line="186" w:lineRule="auto"/>
        <w:tabs>
          <w:tab w:leader="none" w:pos="660" w:val="left"/>
        </w:tabs>
        <w:numPr>
          <w:ilvl w:val="0"/>
          <w:numId w:val="12"/>
        </w:numPr>
        <w:rPr>
          <w:rFonts w:ascii="Arial" w:cs="Arial" w:eastAsia="Arial" w:hAnsi="Arial"/>
          <w:sz w:val="24"/>
          <w:szCs w:val="24"/>
          <w:color w:val="auto"/>
          <w:vertAlign w:val="superscript"/>
        </w:rPr>
      </w:pPr>
      <w:r>
        <w:rPr>
          <w:rFonts w:ascii="Arial" w:cs="Arial" w:eastAsia="Arial" w:hAnsi="Arial"/>
          <w:sz w:val="17"/>
          <w:szCs w:val="17"/>
          <w:color w:val="auto"/>
        </w:rPr>
        <w:t>The effective interest rate as of June 30, 2018 was 4.7%.</w:t>
      </w:r>
    </w:p>
    <w:p>
      <w:pPr>
        <w:spacing w:after="0" w:line="56" w:lineRule="exact"/>
        <w:rPr>
          <w:rFonts w:ascii="Arial" w:cs="Arial" w:eastAsia="Arial" w:hAnsi="Arial"/>
          <w:sz w:val="24"/>
          <w:szCs w:val="24"/>
          <w:color w:val="auto"/>
          <w:vertAlign w:val="superscript"/>
        </w:rPr>
      </w:pPr>
    </w:p>
    <w:p>
      <w:pPr>
        <w:ind w:left="660" w:hanging="652"/>
        <w:spacing w:after="0" w:line="186" w:lineRule="auto"/>
        <w:tabs>
          <w:tab w:leader="none" w:pos="660" w:val="left"/>
        </w:tabs>
        <w:numPr>
          <w:ilvl w:val="0"/>
          <w:numId w:val="12"/>
        </w:numPr>
        <w:rPr>
          <w:rFonts w:ascii="Arial" w:cs="Arial" w:eastAsia="Arial" w:hAnsi="Arial"/>
          <w:sz w:val="24"/>
          <w:szCs w:val="24"/>
          <w:color w:val="auto"/>
          <w:vertAlign w:val="superscript"/>
        </w:rPr>
      </w:pPr>
      <w:r>
        <w:rPr>
          <w:rFonts w:ascii="Arial" w:cs="Arial" w:eastAsia="Arial" w:hAnsi="Arial"/>
          <w:sz w:val="17"/>
          <w:szCs w:val="17"/>
          <w:color w:val="auto"/>
        </w:rPr>
        <w:t>Debt discount based on imputed interest rate of 6.0%.</w:t>
      </w:r>
    </w:p>
    <w:p>
      <w:pPr>
        <w:spacing w:after="0" w:line="20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See Footnote 13 “Variable Interest Entities” for a discussion of the collateral for the non-recourse debt associated with the securitized vacation ownership notes receivable and our non-recourse warehouse credit facility (the “Warehouse Credit Facility”).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scheduled future principal payments for our debt as of June 30, 2018:</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Vacation Ownership</w:t>
            </w: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Notes Receivable</w:t>
            </w: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Non-Interest Bearing</w:t>
            </w:r>
          </w:p>
        </w:tc>
        <w:tc>
          <w:tcPr>
            <w:tcW w:w="360" w:type="dxa"/>
            <w:vAlign w:val="bottom"/>
          </w:tcPr>
          <w:p>
            <w:pPr>
              <w:spacing w:after="0"/>
              <w:rPr>
                <w:sz w:val="17"/>
                <w:szCs w:val="17"/>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7"/>
              </w:rPr>
              <w:t>Capital</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1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1"/>
                <w:szCs w:val="21"/>
                <w:color w:val="auto"/>
              </w:rPr>
            </w:pPr>
          </w:p>
        </w:tc>
        <w:tc>
          <w:tcPr>
            <w:tcW w:w="19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Securitizations</w:t>
            </w:r>
            <w:r>
              <w:rPr>
                <w:rFonts w:ascii="Arial" w:cs="Arial" w:eastAsia="Arial" w:hAnsi="Arial"/>
                <w:sz w:val="17"/>
                <w:szCs w:val="17"/>
                <w:b w:val="1"/>
                <w:bCs w:val="1"/>
                <w:color w:val="auto"/>
                <w:w w:val="89"/>
                <w:vertAlign w:val="superscript"/>
              </w:rPr>
              <w:t>(1)</w:t>
            </w:r>
          </w:p>
        </w:tc>
        <w:tc>
          <w:tcPr>
            <w:tcW w:w="180" w:type="dxa"/>
            <w:vAlign w:val="bottom"/>
          </w:tcPr>
          <w:p>
            <w:pPr>
              <w:spacing w:after="0"/>
              <w:rPr>
                <w:sz w:val="21"/>
                <w:szCs w:val="21"/>
                <w:color w:val="auto"/>
              </w:rPr>
            </w:pPr>
          </w:p>
        </w:tc>
        <w:tc>
          <w:tcPr>
            <w:tcW w:w="1640" w:type="dxa"/>
            <w:vAlign w:val="bottom"/>
            <w:gridSpan w:val="2"/>
          </w:tcPr>
          <w:p>
            <w:pPr>
              <w:ind w:left="60"/>
              <w:spacing w:after="0"/>
              <w:rPr>
                <w:sz w:val="20"/>
                <w:szCs w:val="20"/>
                <w:color w:val="auto"/>
              </w:rPr>
            </w:pPr>
            <w:r>
              <w:rPr>
                <w:rFonts w:ascii="Arial" w:cs="Arial" w:eastAsia="Arial" w:hAnsi="Arial"/>
                <w:sz w:val="16"/>
                <w:szCs w:val="16"/>
                <w:b w:val="1"/>
                <w:bCs w:val="1"/>
                <w:color w:val="auto"/>
              </w:rPr>
              <w:t>Convertible Notes</w:t>
            </w:r>
          </w:p>
        </w:tc>
        <w:tc>
          <w:tcPr>
            <w:tcW w:w="120" w:type="dxa"/>
            <w:vAlign w:val="bottom"/>
          </w:tcPr>
          <w:p>
            <w:pPr>
              <w:spacing w:after="0"/>
              <w:rPr>
                <w:sz w:val="21"/>
                <w:szCs w:val="21"/>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Note Payable</w:t>
            </w:r>
          </w:p>
        </w:tc>
        <w:tc>
          <w:tcPr>
            <w:tcW w:w="360" w:type="dxa"/>
            <w:vAlign w:val="bottom"/>
          </w:tcPr>
          <w:p>
            <w:pPr>
              <w:spacing w:after="0"/>
              <w:rPr>
                <w:sz w:val="21"/>
                <w:szCs w:val="21"/>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4"/>
              </w:rPr>
              <w:t>Leases</w:t>
            </w:r>
          </w:p>
        </w:tc>
        <w:tc>
          <w:tcPr>
            <w:tcW w:w="400" w:type="dxa"/>
            <w:vAlign w:val="bottom"/>
          </w:tcPr>
          <w:p>
            <w:pPr>
              <w:spacing w:after="0"/>
              <w:rPr>
                <w:sz w:val="21"/>
                <w:szCs w:val="21"/>
                <w:color w:val="auto"/>
              </w:rPr>
            </w:pPr>
          </w:p>
        </w:tc>
        <w:tc>
          <w:tcPr>
            <w:tcW w:w="1300" w:type="dxa"/>
            <w:vAlign w:val="bottom"/>
          </w:tcPr>
          <w:p>
            <w:pPr>
              <w:jc w:val="right"/>
              <w:ind w:right="5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5"/>
        </w:trPr>
        <w:tc>
          <w:tcPr>
            <w:tcW w:w="2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Principal Payments Year</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2018, remaining</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3"/>
              <w:spacing w:after="0"/>
              <w:rPr>
                <w:sz w:val="20"/>
                <w:szCs w:val="20"/>
                <w:color w:val="auto"/>
              </w:rPr>
            </w:pPr>
            <w:r>
              <w:rPr>
                <w:rFonts w:ascii="Arial" w:cs="Arial" w:eastAsia="Arial" w:hAnsi="Arial"/>
                <w:sz w:val="18"/>
                <w:szCs w:val="18"/>
                <w:color w:val="auto"/>
              </w:rPr>
              <w:t>54,037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54,037</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108,856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146,955</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1"/>
                <w:szCs w:val="21"/>
                <w:color w:val="auto"/>
              </w:rPr>
            </w:pPr>
          </w:p>
        </w:tc>
        <w:tc>
          <w:tcPr>
            <w:tcW w:w="1780" w:type="dxa"/>
            <w:vAlign w:val="bottom"/>
          </w:tcPr>
          <w:p>
            <w:pPr>
              <w:jc w:val="right"/>
              <w:ind w:right="33"/>
              <w:spacing w:after="0"/>
              <w:rPr>
                <w:sz w:val="20"/>
                <w:szCs w:val="20"/>
                <w:color w:val="auto"/>
              </w:rPr>
            </w:pPr>
            <w:r>
              <w:rPr>
                <w:rFonts w:ascii="Arial" w:cs="Arial" w:eastAsia="Arial" w:hAnsi="Arial"/>
                <w:sz w:val="18"/>
                <w:szCs w:val="18"/>
                <w:color w:val="auto"/>
              </w:rPr>
              <w:t>112,311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112,311</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116,127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116,127</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1"/>
                <w:szCs w:val="21"/>
                <w:color w:val="auto"/>
              </w:rPr>
            </w:pPr>
          </w:p>
        </w:tc>
        <w:tc>
          <w:tcPr>
            <w:tcW w:w="1780" w:type="dxa"/>
            <w:vAlign w:val="bottom"/>
          </w:tcPr>
          <w:p>
            <w:pPr>
              <w:jc w:val="right"/>
              <w:ind w:right="33"/>
              <w:spacing w:after="0"/>
              <w:rPr>
                <w:sz w:val="20"/>
                <w:szCs w:val="20"/>
                <w:color w:val="auto"/>
              </w:rPr>
            </w:pPr>
            <w:r>
              <w:rPr>
                <w:rFonts w:ascii="Arial" w:cs="Arial" w:eastAsia="Arial" w:hAnsi="Arial"/>
                <w:sz w:val="18"/>
                <w:szCs w:val="18"/>
                <w:color w:val="auto"/>
              </w:rPr>
              <w:t>118,798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230,000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348,798</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603,731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603,731</w:t>
            </w: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1,113,860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230,000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30,878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7,221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1,381,959</w:t>
            </w:r>
          </w:p>
        </w:tc>
        <w:tc>
          <w:tcPr>
            <w:tcW w:w="0" w:type="dxa"/>
            <w:vAlign w:val="bottom"/>
          </w:tcPr>
          <w:p>
            <w:pPr>
              <w:spacing w:after="0"/>
              <w:rPr>
                <w:sz w:val="1"/>
                <w:szCs w:val="1"/>
                <w:color w:val="auto"/>
              </w:rPr>
            </w:pPr>
          </w:p>
        </w:tc>
      </w:tr>
      <w:tr>
        <w:trPr>
          <w:trHeight w:val="27"/>
        </w:trPr>
        <w:tc>
          <w:tcPr>
            <w:tcW w:w="2380" w:type="dxa"/>
            <w:vAlign w:val="bottom"/>
            <w:gridSpan w:val="2"/>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rPr>
                <w:sz w:val="20"/>
                <w:szCs w:val="20"/>
                <w:color w:val="auto"/>
              </w:rPr>
            </w:pPr>
            <w:r>
              <w:rPr>
                <w:rFonts w:ascii="Arial" w:cs="Arial" w:eastAsia="Arial" w:hAnsi="Arial"/>
                <w:sz w:val="18"/>
                <w:szCs w:val="18"/>
                <w:color w:val="auto"/>
                <w:w w:val="86"/>
              </w:rPr>
              <w:t>_________________________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140" w:hanging="652"/>
        <w:spacing w:after="0" w:line="252" w:lineRule="auto"/>
        <w:tabs>
          <w:tab w:leader="none" w:pos="66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The debt associated with our vacation ownership notes receivable securitizations is non-recourse to us and represents estimated payments assuming purchase of the remaining vacation ownership notes receivable by the 2018-1 Trust in the fourth quarter of 2018 as discussed below.</w:t>
      </w:r>
    </w:p>
    <w:p>
      <w:pPr>
        <w:spacing w:after="0" w:line="81" w:lineRule="exact"/>
        <w:rPr>
          <w:sz w:val="20"/>
          <w:szCs w:val="20"/>
          <w:color w:val="auto"/>
        </w:rPr>
      </w:pPr>
    </w:p>
    <w:p>
      <w:pPr>
        <w:jc w:val="both"/>
        <w:ind w:right="640" w:firstLine="648"/>
        <w:spacing w:after="0" w:line="342" w:lineRule="auto"/>
        <w:rPr>
          <w:sz w:val="20"/>
          <w:szCs w:val="20"/>
          <w:color w:val="auto"/>
        </w:rPr>
      </w:pPr>
      <w:r>
        <w:rPr>
          <w:rFonts w:ascii="Arial" w:cs="Arial" w:eastAsia="Arial" w:hAnsi="Arial"/>
          <w:sz w:val="16"/>
          <w:szCs w:val="16"/>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16"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We paid cash for interest, net of amounts capitalized, of $12.4 million and $9.9 million in the first half of 2018 and the first half of 2017, respectively.</w:t>
      </w:r>
    </w:p>
    <w:p>
      <w:pPr>
        <w:sectPr>
          <w:pgSz w:w="11900" w:h="16838" w:orient="portrait"/>
          <w:cols w:equalWidth="0" w:num="1">
            <w:col w:w="11420"/>
          </w:cols>
          <w:pgMar w:left="240" w:top="580"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580"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Debt Associated with Vacation Ownership Notes Receivable Securitizations</w:t>
      </w:r>
    </w:p>
    <w:p>
      <w:pPr>
        <w:spacing w:after="0" w:line="11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On June 28, 2018, we completed the securitization of a pool of $436.1 million of vacation ownership notes receivable. Approximately $327.1 million of the vacation ownership notes receivable were purchased on June 28, 2018 by the 2018-1 Trust, and we expect the remaining vacation ownership notes receivable to be purchased by the 2018-1 Trust prior to September 30, 2018. As of June 28, 2018, the 2018-1 Trust held $105.8 million of the proceeds, which will be released as the remaining vacation ownership notes receivable are purchased. On July 26, 2018, subsequent to the second quarter of 2018, the 2018-1 Trust purchased $56.5 million of the remaining vacation ownership notes receivable and $54.8 million was released from restricted cash. Any funds not used to purchase vacation ownership notes receivable will be returned to the investors. In connection with the securitization, investors purchased in a private placement $423.0 million in vacation ownership loan backed notes from the 2018-1 Trust. Three classes of vacation ownership loan backed notes were issued by the 2018-1 Trust: $315.9 million of Class A Notes, $65.0 million of Class B Notes and $42.1 million of Class C Notes. The Class A Notes have an interest rate of 3.45 percent, the Class B Notes have an interest rate of 3.60 percent and Class C Notes have an interest rate of 3.90 percent, for an overall weighted average interest rate of 3.52 percent.</w:t>
      </w:r>
    </w:p>
    <w:p>
      <w:pPr>
        <w:spacing w:after="0" w:line="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Each of the transactions in which we have securitized vacation ownership notes receivable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2018 second quarter, and as of June 30, 2018, no securitized vacation ownership notes receivable pools were out of compliance with their respective established parameters. As of June 30, 2018, we had 8 securitized vacation ownership notes receivable pools outstanding.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third quarter of 2017, we issued $230.0 million aggregate principal amount of 1.50% Convertible Senior Notes due 2022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“Convertible Notes”). The Convertible Notes were convertible at an initial rate of 6.7482 shares of common stock per $1,000 principal amount of Convertible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(equivalent to an initial conversion price of approximately $148.19 per share of our common stock). The conversion rate is subject to adjustment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events as described in the indenture governing the notes and was adjusted during the second quarter of 2018 to 6.7560 shares of common stock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principal amount of Convertible Notes (equivalent to a conversion price of approximately $148.02 per share of our common stock) when we declared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quarterly dividend of $0.40 per share, which was greater than the quarterly dividend at the time of the issuance of the Convertible Notes. Upon conversion,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will pay or deliver, as the case may be, cash, shares of our common stock or a combination of cash and shares of our common stock, at our election. It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intent to settle conversions of the Convertible Notes through combination settlement, which contemplates repayment in cash of the principal amount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repayment in shares of our common stock of any excess of the conversion value over the principal amount.</w:t>
      </w:r>
    </w:p>
    <w:p>
      <w:pPr>
        <w:spacing w:after="0" w:line="10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Holders may convert their Convertible Notes prior to June 15, 2022 only under certain circumstances. We may not redeem the Convertible Notes prior to their maturity date. If we undergo a fundamental change, as described in the indenture, subject to certain conditions, holders may require us to repurchase for cash all or any portion of their Convertible Notes, at a repurchase price equal to 100 percent of the principal amount of the Convertible Notes to be repurchased, plus accrued and unpaid interest to, but excluding, the repurchase date. If certain fundamental changes referred to in the indenture as make-whole fundamental changes occur, the conversion rate applicable to the Convertible Notes may increase.</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accounting for the issuance of the Convertible Notes, we separated the Convertible Notes into liability and equity components and allocated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$196.8 million to the liability component and $33.2 million to the equity component. The resulting debt discount is amortized as interest expense. We also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incurred issuance costs of $7.3 million related to the Convertible Notes. As of June 30, 2018, the remaining discount amortization period was 4.2 years.</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84" w:right="25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color w:val="auto"/>
        </w:rPr>
        <w:t>The following table shows the net carrying value of the Convertible Notes: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Pr>
          <w:p>
            <w:pPr>
              <w:spacing w:after="0"/>
              <w:rPr>
                <w:sz w:val="20"/>
                <w:szCs w:val="20"/>
                <w:color w:val="auto"/>
              </w:rPr>
            </w:pPr>
          </w:p>
        </w:tc>
        <w:tc>
          <w:tcPr>
            <w:tcW w:w="1880" w:type="dxa"/>
            <w:vAlign w:val="bottom"/>
            <w:gridSpan w:val="2"/>
          </w:tcPr>
          <w:p>
            <w:pPr>
              <w:ind w:left="180"/>
              <w:spacing w:after="0"/>
              <w:rPr>
                <w:sz w:val="20"/>
                <w:szCs w:val="20"/>
                <w:color w:val="auto"/>
              </w:rPr>
            </w:pPr>
            <w:r>
              <w:rPr>
                <w:rFonts w:ascii="Arial" w:cs="Arial" w:eastAsia="Arial" w:hAnsi="Arial"/>
                <w:sz w:val="16"/>
                <w:szCs w:val="16"/>
                <w:b w:val="1"/>
                <w:bCs w:val="1"/>
                <w:color w:val="auto"/>
              </w:rPr>
              <w:t>At June 30, 2018</w:t>
            </w:r>
          </w:p>
        </w:tc>
        <w:tc>
          <w:tcPr>
            <w:tcW w:w="200" w:type="dxa"/>
            <w:vAlign w:val="bottom"/>
          </w:tcPr>
          <w:p>
            <w:pPr>
              <w:spacing w:after="0"/>
              <w:rPr>
                <w:sz w:val="20"/>
                <w:szCs w:val="20"/>
                <w:color w:val="auto"/>
              </w:rPr>
            </w:pPr>
          </w:p>
        </w:tc>
        <w:tc>
          <w:tcPr>
            <w:tcW w:w="1860" w:type="dxa"/>
            <w:vAlign w:val="bottom"/>
          </w:tcPr>
          <w:p>
            <w:pPr>
              <w:jc w:val="right"/>
              <w:ind w:right="171"/>
              <w:spacing w:after="0"/>
              <w:rPr>
                <w:sz w:val="20"/>
                <w:szCs w:val="20"/>
                <w:color w:val="auto"/>
              </w:rPr>
            </w:pPr>
            <w:r>
              <w:rPr>
                <w:rFonts w:ascii="Arial" w:cs="Arial" w:eastAsia="Arial" w:hAnsi="Arial"/>
                <w:sz w:val="16"/>
                <w:szCs w:val="16"/>
                <w:b w:val="1"/>
                <w:bCs w:val="1"/>
                <w:color w:val="auto"/>
                <w:w w:val="95"/>
              </w:rPr>
              <w:t>At December 31, 2017</w:t>
            </w:r>
          </w:p>
        </w:tc>
      </w:tr>
      <w:tr>
        <w:trPr>
          <w:trHeight w:val="250"/>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component</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Principal amount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230,000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230,000</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Unamortized debt discount</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(31,596)</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Unamortized debt issuance costs</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(5,323)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(5,886)</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carrying amount of the liability component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195,805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192,518</w:t>
            </w: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84"/>
        </w:trPr>
        <w:tc>
          <w:tcPr>
            <w:tcW w:w="7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43"/>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Carrying amount of equity component, net of issuance costs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32,573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32,573</w:t>
            </w:r>
          </w:p>
        </w:tc>
      </w:tr>
      <w:tr>
        <w:trPr>
          <w:trHeight w:val="27"/>
        </w:trPr>
        <w:tc>
          <w:tcPr>
            <w:tcW w:w="7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interest expense information related to the Convertible Notes: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40" w:type="dxa"/>
            <w:vAlign w:val="bottom"/>
            <w:gridSpan w:val="3"/>
          </w:tcPr>
          <w:p>
            <w:pPr>
              <w:jc w:val="right"/>
              <w:ind w:right="693"/>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4"/>
          </w:tcPr>
          <w:p>
            <w:pPr>
              <w:ind w:left="980"/>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3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June 30, 2018</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2017</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June 30, 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June 30, 2017</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5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Amortization of debt discount</w:t>
            </w:r>
          </w:p>
        </w:tc>
        <w:tc>
          <w:tcPr>
            <w:tcW w:w="2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2,723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ind w:left="1260"/>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w:t>
            </w:r>
          </w:p>
        </w:tc>
      </w:tr>
      <w:tr>
        <w:trPr>
          <w:trHeight w:val="237"/>
        </w:trPr>
        <w:tc>
          <w:tcPr>
            <w:tcW w:w="37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2,521</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253"/>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5,012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ind w:left="1260"/>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 Hedges and Warrants</w:t>
      </w:r>
    </w:p>
    <w:p>
      <w:pPr>
        <w:spacing w:after="0" w:line="11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In connection with the offering of the Convertible Notes, we entered into privately-negotiated convertible note hedge transactions with respect to our common stock (“Convertible Note Hedges”), covering a total of approximately 1.55 million shares of our common stock. The Convertible Note Hedges have a strike price that initially corresponds to the initial conversion price of the Convertible Notes, are subject to anti-dilution provisions substantially similar to those of the Convertible Notes, are exercisable by us upon any conversion under the Convertible Notes, and expire when the Convertible Notes mature.</w:t>
      </w:r>
    </w:p>
    <w:p>
      <w:pPr>
        <w:spacing w:after="0" w:line="46"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Concurrently with the entry into the Convertible Note Hedges, we separately entered into privately-negotiated warrant transactions (the “Warrants”), whereby we sold to the counterparties to the Convertible Note Hedges warrants to acquire, collectively, subject to anti-dilution adjustments, approximately</w:t>
      </w:r>
    </w:p>
    <w:p>
      <w:pPr>
        <w:jc w:val="both"/>
        <w:ind w:right="160"/>
        <w:spacing w:after="0" w:line="255" w:lineRule="auto"/>
        <w:rPr>
          <w:sz w:val="20"/>
          <w:szCs w:val="20"/>
          <w:color w:val="auto"/>
        </w:rPr>
      </w:pPr>
      <w:r>
        <w:rPr>
          <w:rFonts w:ascii="Arial" w:cs="Arial" w:eastAsia="Arial" w:hAnsi="Arial"/>
          <w:sz w:val="18"/>
          <w:szCs w:val="18"/>
          <w:color w:val="auto"/>
        </w:rPr>
        <w:t>1.55 million shares of our common stock at an initial strike price of $176.68 per share, which was adjusted during the second quarter of 2018 to $176.48 per share when we declared a quarterly dividend of $0.40 per share, which was greater than the quarterly dividend at the time of the issuance of the Convertible Notes.</w:t>
      </w:r>
    </w:p>
    <w:p>
      <w:pPr>
        <w:spacing w:after="0" w:line="8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Taken together, the Convertible Note Hedges and the Warrants are generally expected to reduce the potential dilution to our common stock (or, in the event the conversion of the Convertible Notes is settled in cash, to reduce our cash payment obligation) in the event that at the time of conversion our stock price exceeds the conversion price under the Convertible Notes and to effectively increase the overall initial conversion price from $148.19 (or a conversion premium of 30 percent) to $176.68 per share (or a conversion premium of 55 percent). The Warrants will expire in ratable portions on a series of expiration dates commencing on December 15, 2022.</w:t>
      </w:r>
    </w:p>
    <w:p>
      <w:pPr>
        <w:spacing w:after="0" w:line="80"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The Convertible Notes, the Convertible Note Hedges and the Warrants are transactions that are separate from each other. Holders of any such instrument have no rights with respect to the other instruments. As of June 30, 2018, no Convertible Note Hedges or Warrants have been exercised.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Corporate Credit Facility</w:t>
      </w:r>
    </w:p>
    <w:p>
      <w:pPr>
        <w:spacing w:after="0" w:line="117"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The Revolving Corporate Credit Facility, which terminates on August 16, 2022, has a borrowing capacity of $250.0 million, including a letter of credit sub-facility of $30.0 million, and provides support for our business, including ongoing liquidity and letters of credit. Borrowings under this facility generally bear interest at a floating rate plus an applicable margin that varies from 0.50 percent to 2.75 percent depending on the type of loan and our credit rating. In addition, we pay a commitment fee on the unused availability under the Revolving Corporate Credit Facility at a rate that varies from 20 basis points per annum to 40 basis points per annum, also depending on our credit rating.</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76" w:right="239" w:bottom="1440" w:gutter="0" w:footer="0" w:header="0"/>
        </w:sectPr>
      </w:pPr>
    </w:p>
    <w:bookmarkStart w:id="28" w:name="page29"/>
    <w:bookmarkEnd w:id="28"/>
    <w:p>
      <w:pPr>
        <w:ind w:right="60" w:firstLine="648"/>
        <w:spacing w:after="0" w:line="255" w:lineRule="auto"/>
        <w:rPr>
          <w:sz w:val="20"/>
          <w:szCs w:val="20"/>
          <w:color w:val="auto"/>
        </w:rPr>
      </w:pPr>
      <w:r>
        <w:rPr>
          <w:rFonts w:ascii="Arial" w:cs="Arial" w:eastAsia="Arial" w:hAnsi="Arial"/>
          <w:sz w:val="18"/>
          <w:szCs w:val="18"/>
          <w:color w:val="auto"/>
        </w:rPr>
        <w:t>No cash borrowings were outstanding as of June 30, 2018 under our Revolving Corporate Credit Facility. Any amounts borrowed under that facility, as well as obligations with respect to letters of credit issued pursuant to that facility, are secured by a perfected first priority security interest in substantially all of the assets of the borrower under, and guarantors of, that facility (which include Marriott Vacations Worldwide and each of our direct and indirect, existing and future, domestic subsidiaries, excluding certain bankruptcy remote special purpose subsidiaries), in each case including inventory, subject to certain exceptions. As of June 30, 2018, we were in compliance with the applicable financial and operating covenants under the Revolving Corporate Credit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Credit Facility</w:t>
      </w:r>
    </w:p>
    <w:p>
      <w:pPr>
        <w:spacing w:after="0" w:line="11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Warehouse Credit Facility, which has a borrowing capacity of $250.0 million, allows for the securitization of vacation ownership notes receivable on a non-recourse basis. During the first quarter of 2018, we amended certain agreements associated with this facility, and as a result, the revolving period was extended to March 13, 2020, certain unused facility fees were reduced and a reserve option was added to provide flexibility in complying with hedging requirements of the facility. The other terms of the Warehouse Credit Facility are substantially similar to those in effect prior to the execution of the amendment. If the Warehouse Credit Facility is not renewed prior to termination, any amounts outstanding thereunder would become due and payable 13 months after termination, at which time all principal and interest collected with respect to the vacation ownership notes receivable held in the Warehouse Credit Facility would be redirected to the lenders to pay down the outstanding debt under the facility. The advance rate for vacation ownership notes receivable securitized using the Warehouse Credit Facility varies based on the characteristics of the securitized vacation ownership notes receivable. We also pay unused facility and other fees under the Warehouse Credit Facility.</w:t>
      </w:r>
    </w:p>
    <w:p>
      <w:pPr>
        <w:spacing w:after="0" w:line="74"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As of June 30, 2018, there were no cash borrowings outstanding under our Warehouse Credit Facility. We generally expect to securitize our vacation ownership notes receivable, including any vacation ownership notes receivable held in the Warehouse Credit Facility, in the ABS market once per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Bearing Note Payable</w:t>
      </w:r>
    </w:p>
    <w:p>
      <w:pPr>
        <w:spacing w:after="0" w:line="11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During the second quarter of 2017, we issued a non-interest bearing note payable in connection with the acquisition of vacation ownership units located on the Big Island of Hawaii. Per the terms of the note payable, the first payment of $32.7 million was paid during the second quarter of 2018 and the remaining balance of $30.9 million is due in the second quarter of 2019. See Footnote 6 “Acquisitions and Dispositions” for additional information regarding this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SHAREHOLDERS’ EQUITY</w:t>
      </w:r>
    </w:p>
    <w:p>
      <w:pPr>
        <w:spacing w:after="0" w:line="121"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Marriott Vacations Worldwide has 100,000,000 authorized shares of common stock, par value of $0.01 per share. At June 30, 2018, there were 36,981,204 shares of Marriott Vacations Worldwide common stock issued, of which 26,572,208 shares were outstanding and 10,408,996 shares were held as treasury stock. At December 31, 2017, there were 36,861,843 shares of Marriott Vacations Worldwide common stock issued, of which 26,461,296 shares were outstanding and 10,400,547 shares were held as treasury stock. Marriott Vacations Worldwide has 2,000,000 authorized shares of preferred stock, par value of $0.01 per share, none of which were issued or outstanding as of June 30, 2018 or December 31, 2017.</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changes in shareholders’ equity during the quarter ended June 30,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Treasury</w:t>
            </w:r>
          </w:p>
        </w:tc>
        <w:tc>
          <w:tcPr>
            <w:tcW w:w="20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6"/>
                <w:szCs w:val="16"/>
                <w:b w:val="1"/>
                <w:bCs w:val="1"/>
                <w:color w:val="auto"/>
              </w:rPr>
              <w:t>Retained</w:t>
            </w:r>
          </w:p>
        </w:tc>
        <w:tc>
          <w:tcPr>
            <w:tcW w:w="260" w:type="dxa"/>
            <w:vAlign w:val="bottom"/>
          </w:tcPr>
          <w:p>
            <w:pPr>
              <w:spacing w:after="0"/>
              <w:rPr>
                <w:sz w:val="17"/>
                <w:szCs w:val="17"/>
                <w:color w:val="auto"/>
              </w:rPr>
            </w:pPr>
          </w:p>
        </w:tc>
        <w:tc>
          <w:tcPr>
            <w:tcW w:w="100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r>
      <w:tr>
        <w:trPr>
          <w:trHeight w:val="237"/>
        </w:trPr>
        <w:tc>
          <w:tcPr>
            <w:tcW w:w="36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Stock</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Stock</w:t>
            </w:r>
          </w:p>
        </w:tc>
        <w:tc>
          <w:tcPr>
            <w:tcW w:w="20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Income</w:t>
            </w:r>
          </w:p>
        </w:tc>
        <w:tc>
          <w:tcPr>
            <w:tcW w:w="16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260" w:type="dxa"/>
            <w:vAlign w:val="bottom"/>
          </w:tcPr>
          <w:p>
            <w:pPr>
              <w:spacing w:after="0"/>
              <w:rPr>
                <w:sz w:val="20"/>
                <w:szCs w:val="20"/>
                <w:color w:val="auto"/>
              </w:rPr>
            </w:pPr>
          </w:p>
        </w:tc>
        <w:tc>
          <w:tcPr>
            <w:tcW w:w="1000" w:type="dxa"/>
            <w:vAlign w:val="bottom"/>
          </w:tcPr>
          <w:p>
            <w:pPr>
              <w:jc w:val="right"/>
              <w:ind w:right="312"/>
              <w:spacing w:after="0"/>
              <w:rPr>
                <w:sz w:val="20"/>
                <w:szCs w:val="20"/>
                <w:color w:val="auto"/>
              </w:rPr>
            </w:pPr>
            <w:r>
              <w:rPr>
                <w:rFonts w:ascii="Arial" w:cs="Arial" w:eastAsia="Arial" w:hAnsi="Arial"/>
                <w:sz w:val="16"/>
                <w:szCs w:val="16"/>
                <w:b w:val="1"/>
                <w:bCs w:val="1"/>
                <w:color w:val="auto"/>
              </w:rPr>
              <w:t>Equity</w:t>
            </w: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(694,233)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1,188,538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529,396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1,040,815</w:t>
            </w: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46,742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46,742</w:t>
            </w: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Derivative instrument adjustment</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37</w:t>
            </w: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0"/>
              </w:rPr>
              <w:t>Amounts related to share-based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1,641</w:t>
            </w: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Repurchase of common stock</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(1,882)</w:t>
            </w: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(21,343)</w:t>
            </w: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Employee stock plan issuance</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639</w:t>
            </w:r>
          </w:p>
        </w:tc>
      </w:tr>
      <w:tr>
        <w:trPr>
          <w:trHeight w:val="27"/>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(695,746)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1,190,448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15,774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554,795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1,065,641</w:t>
            </w:r>
          </w:p>
        </w:tc>
      </w:tr>
      <w:tr>
        <w:trPr>
          <w:trHeight w:val="20"/>
        </w:trPr>
        <w:tc>
          <w:tcPr>
            <w:tcW w:w="3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62"/>
        </w:trPr>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share repurchase activity under our current share repurchase program: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Number of Shares</w:t>
            </w:r>
          </w:p>
        </w:tc>
        <w:tc>
          <w:tcPr>
            <w:tcW w:w="22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Cost of Shares</w:t>
            </w:r>
          </w:p>
        </w:tc>
        <w:tc>
          <w:tcPr>
            <w:tcW w:w="140" w:type="dxa"/>
            <w:vAlign w:val="bottom"/>
          </w:tcPr>
          <w:p>
            <w:pPr>
              <w:spacing w:after="0"/>
              <w:rPr>
                <w:sz w:val="17"/>
                <w:szCs w:val="17"/>
                <w:color w:val="auto"/>
              </w:rPr>
            </w:pPr>
          </w:p>
        </w:tc>
        <w:tc>
          <w:tcPr>
            <w:tcW w:w="1460" w:type="dxa"/>
            <w:vAlign w:val="bottom"/>
          </w:tcPr>
          <w:p>
            <w:pPr>
              <w:jc w:val="right"/>
              <w:ind w:right="54"/>
              <w:spacing w:after="0"/>
              <w:rPr>
                <w:sz w:val="20"/>
                <w:szCs w:val="20"/>
                <w:color w:val="auto"/>
              </w:rPr>
            </w:pPr>
            <w:r>
              <w:rPr>
                <w:rFonts w:ascii="Arial" w:cs="Arial" w:eastAsia="Arial" w:hAnsi="Arial"/>
                <w:sz w:val="16"/>
                <w:szCs w:val="16"/>
                <w:b w:val="1"/>
                <w:bCs w:val="1"/>
                <w:color w:val="auto"/>
                <w:w w:val="89"/>
              </w:rPr>
              <w:t>Average Price Paid</w:t>
            </w:r>
          </w:p>
        </w:tc>
      </w:tr>
      <w:tr>
        <w:trPr>
          <w:trHeight w:val="237"/>
        </w:trPr>
        <w:tc>
          <w:tcPr>
            <w:tcW w:w="64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 except per share amounts)</w:t>
            </w: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Repurchased</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Repurchased</w:t>
            </w:r>
          </w:p>
        </w:tc>
        <w:tc>
          <w:tcPr>
            <w:tcW w:w="140" w:type="dxa"/>
            <w:vAlign w:val="bottom"/>
          </w:tcPr>
          <w:p>
            <w:pPr>
              <w:spacing w:after="0"/>
              <w:rPr>
                <w:sz w:val="20"/>
                <w:szCs w:val="20"/>
                <w:color w:val="auto"/>
              </w:rPr>
            </w:pPr>
          </w:p>
        </w:tc>
        <w:tc>
          <w:tcPr>
            <w:tcW w:w="1460" w:type="dxa"/>
            <w:vAlign w:val="bottom"/>
          </w:tcPr>
          <w:p>
            <w:pPr>
              <w:jc w:val="right"/>
              <w:ind w:right="374"/>
              <w:spacing w:after="0"/>
              <w:rPr>
                <w:sz w:val="20"/>
                <w:szCs w:val="20"/>
                <w:color w:val="auto"/>
              </w:rPr>
            </w:pPr>
            <w:r>
              <w:rPr>
                <w:rFonts w:ascii="Arial" w:cs="Arial" w:eastAsia="Arial" w:hAnsi="Arial"/>
                <w:sz w:val="16"/>
                <w:szCs w:val="16"/>
                <w:b w:val="1"/>
                <w:bCs w:val="1"/>
                <w:color w:val="auto"/>
              </w:rPr>
              <w:t>per Share</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2017</w:t>
            </w:r>
          </w:p>
        </w:tc>
        <w:tc>
          <w:tcPr>
            <w:tcW w:w="16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10,440,505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696,744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66.73</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For the first half of 2018</w:t>
            </w: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13,969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134.70</w:t>
            </w: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June 30, 2018</w:t>
            </w:r>
          </w:p>
        </w:tc>
        <w:tc>
          <w:tcPr>
            <w:tcW w:w="1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10,454,474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698,626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66.83</w:t>
            </w: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On August 1, 2017, our Board of Directors authorized the repurchase of up to 1.0 million additional shares of our common stock under our existing share repurchase program and extended the program through May 31, 2018. On May 14, 2018, our Board of Directors authorized the extension of our existing share repurchase program through December 31, 2018. As of June 30, 2018, our Board of Directors had authorized the repurchase of an aggregate of up to 11.9 million shares of our common stock under the share repurchase program since the initiation of the program in October 2013. Share repurchases may be made through open market purchases, privately negotiated transactions, block transactions, tender offers, accelerated share repurchase agreements or otherwise. The specific timing, amount and other terms of the repurchases will depend on market conditions, corporate and regulatory requirements and other factors. Acquired shares of our common stock are held as treasury shares carried at cost in our Financial Statements. In connection with the repurchase program, we are authorized to adopt one or more trading plans pursuant to the provisions of Rule 10b5-1 under the Securities Exchange Act of 1934, as amended.</w:t>
      </w:r>
    </w:p>
    <w:p>
      <w:pPr>
        <w:spacing w:after="0" w:line="89"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As of June 30, 2018, 1.4 million shares remained available for repurchase under the authorization approved by our Board of Directors. The authorization for the share repurchase program may be suspended, terminated, increased or decreased by our Board of Directors at any time without prior notice. The Merger Agreement prohibits us from repurchasing shares of our common stock without ILG’s consent.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declared cash dividends to holders of common stock during the first half of 2018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Declaration Date</w:t>
            </w:r>
          </w:p>
        </w:tc>
        <w:tc>
          <w:tcPr>
            <w:tcW w:w="28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Shareholder Record Date</w:t>
            </w:r>
          </w:p>
        </w:tc>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Distribution Date</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w w:val="91"/>
              </w:rPr>
              <w:t>Dividend per Share</w:t>
            </w:r>
          </w:p>
        </w:tc>
      </w:tr>
      <w:tr>
        <w:trPr>
          <w:trHeight w:val="33"/>
        </w:trPr>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February 16, 2018</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1, 2018</w:t>
            </w: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15, 2018</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$0.40</w:t>
            </w:r>
          </w:p>
        </w:tc>
      </w:tr>
      <w:tr>
        <w:trPr>
          <w:trHeight w:val="243"/>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May 14, 2018</w:t>
            </w:r>
          </w:p>
        </w:tc>
        <w:tc>
          <w:tcPr>
            <w:tcW w:w="28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May 28, 2018</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11, 2018</w:t>
            </w:r>
          </w:p>
        </w:tc>
        <w:tc>
          <w:tcPr>
            <w:tcW w:w="2720" w:type="dxa"/>
            <w:vAlign w:val="bottom"/>
          </w:tcPr>
          <w:p>
            <w:pPr>
              <w:jc w:val="center"/>
              <w:spacing w:after="0"/>
              <w:rPr>
                <w:sz w:val="20"/>
                <w:szCs w:val="20"/>
                <w:color w:val="auto"/>
              </w:rPr>
            </w:pPr>
            <w:r>
              <w:rPr>
                <w:rFonts w:ascii="Arial" w:cs="Arial" w:eastAsia="Arial" w:hAnsi="Arial"/>
                <w:sz w:val="18"/>
                <w:szCs w:val="18"/>
                <w:color w:val="auto"/>
                <w:w w:val="88"/>
              </w:rPr>
              <w:t>$0.40</w:t>
            </w:r>
          </w:p>
        </w:tc>
      </w:tr>
    </w:tbl>
    <w:p>
      <w:pPr>
        <w:spacing w:after="0" w:line="33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Any future dividend payments will be subject to Board approval, and there can be no assurance that we will pay dividends in the future. The Merger Agreement restricts our ability to pay dividends other than our regular quarterly dividends without ILG’s consent.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12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maintain the Marriott Vacations Worldwide Corporation Stock and Cash Incentive Plan (the “Stock Plan”) for the benefit of our officers, directors and employees. Under the Stock Plan, we award: (1) restricted stock units (“RSUs”) of our common stock, (2) SARs relating to our common stock and (3) stock options to purchase our common stock. A total of 6 million shares are authorized for issuance pursuant to grants under the Stock Plan. As of June 30, 2018, 1.3 million shares were available for grants under the Stock Plan.</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our share-based compensation expense related to award grants to our officers, directors and employees: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80" w:type="dxa"/>
            <w:vAlign w:val="bottom"/>
            <w:gridSpan w:val="6"/>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3480" w:type="dxa"/>
            <w:vAlign w:val="bottom"/>
            <w:gridSpan w:val="4"/>
          </w:tcPr>
          <w:p>
            <w:pPr>
              <w:jc w:val="right"/>
              <w:ind w:right="1131"/>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3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June 30, 2018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June 30, 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June 30, 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June 30, 2017</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Service based RSUs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5,447</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Performance based RSUs</w:t>
            </w: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1,264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2,360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1,871</w:t>
            </w:r>
          </w:p>
        </w:tc>
      </w:tr>
      <w:tr>
        <w:trPr>
          <w:trHeight w:val="27"/>
        </w:trPr>
        <w:tc>
          <w:tcPr>
            <w:tcW w:w="3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7,318</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SARs</w:t>
            </w: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661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1,133</w:t>
            </w:r>
          </w:p>
        </w:tc>
      </w:tr>
      <w:tr>
        <w:trPr>
          <w:trHeight w:val="27"/>
        </w:trPr>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Stock options</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37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6,117</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5,175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9,718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8,451</w:t>
            </w:r>
          </w:p>
        </w:tc>
      </w:tr>
      <w:tr>
        <w:trPr>
          <w:trHeight w:val="27"/>
        </w:trPr>
        <w:tc>
          <w:tcPr>
            <w:tcW w:w="3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656"/>
        </w:trPr>
        <w:tc>
          <w:tcPr>
            <w:tcW w:w="3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gridSpan w:val="3"/>
          </w:tcPr>
          <w:p>
            <w:pPr>
              <w:jc w:val="right"/>
              <w:ind w:right="130"/>
              <w:spacing w:after="0"/>
              <w:rPr>
                <w:sz w:val="20"/>
                <w:szCs w:val="20"/>
                <w:color w:val="auto"/>
              </w:rPr>
            </w:pPr>
            <w:r>
              <w:rPr>
                <w:rFonts w:ascii="Arial" w:cs="Arial" w:eastAsia="Arial" w:hAnsi="Arial"/>
                <w:sz w:val="18"/>
                <w:szCs w:val="18"/>
                <w:color w:val="auto"/>
                <w:w w:val="99"/>
              </w:rPr>
              <w:t>28</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color w:val="auto"/>
        </w:rPr>
        <w:t>The following table details our deferred compensation costs related to unvested awards: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40" w:type="dxa"/>
            <w:vAlign w:val="bottom"/>
          </w:tcPr>
          <w:p>
            <w:pPr>
              <w:spacing w:after="0"/>
              <w:rPr>
                <w:sz w:val="20"/>
                <w:szCs w:val="20"/>
                <w:color w:val="auto"/>
              </w:rPr>
            </w:pPr>
          </w:p>
        </w:tc>
        <w:tc>
          <w:tcPr>
            <w:tcW w:w="2060" w:type="dxa"/>
            <w:vAlign w:val="bottom"/>
            <w:gridSpan w:val="2"/>
          </w:tcPr>
          <w:p>
            <w:pPr>
              <w:ind w:left="240"/>
              <w:spacing w:after="0"/>
              <w:rPr>
                <w:sz w:val="20"/>
                <w:szCs w:val="20"/>
                <w:color w:val="auto"/>
              </w:rPr>
            </w:pPr>
            <w:r>
              <w:rPr>
                <w:rFonts w:ascii="Arial" w:cs="Arial" w:eastAsia="Arial" w:hAnsi="Arial"/>
                <w:sz w:val="16"/>
                <w:szCs w:val="16"/>
                <w:b w:val="1"/>
                <w:bCs w:val="1"/>
                <w:color w:val="auto"/>
              </w:rPr>
              <w:t>At June 30, 2018</w:t>
            </w:r>
          </w:p>
        </w:tc>
        <w:tc>
          <w:tcPr>
            <w:tcW w:w="240" w:type="dxa"/>
            <w:vAlign w:val="bottom"/>
          </w:tcPr>
          <w:p>
            <w:pPr>
              <w:spacing w:after="0"/>
              <w:rPr>
                <w:sz w:val="20"/>
                <w:szCs w:val="20"/>
                <w:color w:val="auto"/>
              </w:rPr>
            </w:pPr>
          </w:p>
        </w:tc>
        <w:tc>
          <w:tcPr>
            <w:tcW w:w="2040" w:type="dxa"/>
            <w:vAlign w:val="bottom"/>
          </w:tcPr>
          <w:p>
            <w:pPr>
              <w:jc w:val="right"/>
              <w:ind w:right="291"/>
              <w:spacing w:after="0"/>
              <w:rPr>
                <w:sz w:val="20"/>
                <w:szCs w:val="20"/>
                <w:color w:val="auto"/>
              </w:rPr>
            </w:pPr>
            <w:r>
              <w:rPr>
                <w:rFonts w:ascii="Arial" w:cs="Arial" w:eastAsia="Arial" w:hAnsi="Arial"/>
                <w:sz w:val="16"/>
                <w:szCs w:val="16"/>
                <w:b w:val="1"/>
                <w:bCs w:val="1"/>
                <w:color w:val="auto"/>
                <w:w w:val="99"/>
              </w:rPr>
              <w:t>At December 31, 2017</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based RSUs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8,918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Performance based RSUs</w:t>
            </w:r>
          </w:p>
        </w:tc>
        <w:tc>
          <w:tcPr>
            <w:tcW w:w="34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8,210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4,752</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13,670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SARs</w:t>
            </w:r>
          </w:p>
        </w:tc>
        <w:tc>
          <w:tcPr>
            <w:tcW w:w="34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2,375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999</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34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25,084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14,669</w:t>
            </w: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granted 90,979 service based RSUs, which are subject to time-based vesting conditions, with a weighted average grant-date fair value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$137.20, to our employees and non-employee directors during the first half of 2018. During the first half of 2018, we also granted performance-based RSUs,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are subject to performance-based vesting conditions, to members of management. A maximum of 71,902 RSUs may be earned under the performance-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based RSU awards granted during the first half of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117"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We granted 56,649 SARs, with a weighted average grant-date fair value of $44.75 and a weighted average exercise price of $143.38, to members of management during the first half of 2018. We use the Black-Scholes model to estimate the fair value of the SARs granted. The average expected life was calculated using the simplified method.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outlines the assumptions used to estimate the fair value of grants during the first half of 2018:</w:t>
      </w:r>
    </w:p>
    <w:p>
      <w:pPr>
        <w:spacing w:after="0" w:line="158" w:lineRule="exact"/>
        <w:rPr>
          <w:sz w:val="20"/>
          <w:szCs w:val="20"/>
          <w:color w:val="auto"/>
        </w:rPr>
      </w:pPr>
    </w:p>
    <w:tbl>
      <w:tblPr>
        <w:tblLayout w:type="fixed"/>
        <w:tblInd w:w="2700" w:type="dxa"/>
        <w:tblCellMar>
          <w:top w:w="0" w:type="dxa"/>
          <w:left w:w="0" w:type="dxa"/>
          <w:bottom w:w="0" w:type="dxa"/>
          <w:right w:w="0" w:type="dxa"/>
        </w:tblCellMar>
      </w:tblPr>
      <w:tr>
        <w:trPr>
          <w:trHeight w:val="27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76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1"/>
              </w:rPr>
              <w:t>30.78%</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760" w:type="dxa"/>
            <w:vAlign w:val="bottom"/>
          </w:tcPr>
          <w:p>
            <w:pPr>
              <w:jc w:val="center"/>
              <w:ind w:left="690"/>
              <w:spacing w:after="0"/>
              <w:rPr>
                <w:sz w:val="20"/>
                <w:szCs w:val="20"/>
                <w:color w:val="auto"/>
              </w:rPr>
            </w:pPr>
            <w:r>
              <w:rPr>
                <w:rFonts w:ascii="Arial" w:cs="Arial" w:eastAsia="Arial" w:hAnsi="Arial"/>
                <w:sz w:val="18"/>
                <w:szCs w:val="18"/>
                <w:color w:val="auto"/>
                <w:w w:val="90"/>
              </w:rPr>
              <w:t>1.11%</w:t>
            </w:r>
          </w:p>
        </w:tc>
      </w:tr>
      <w:tr>
        <w:trPr>
          <w:trHeight w:val="27"/>
        </w:trPr>
        <w:tc>
          <w:tcPr>
            <w:tcW w:w="328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2760" w:type="dxa"/>
            <w:vAlign w:val="bottom"/>
            <w:tcBorders>
              <w:bottom w:val="single" w:sz="8" w:color="CCEEFF"/>
            </w:tcBorders>
            <w:shd w:val="clear" w:color="auto" w:fill="CCEEFF"/>
          </w:tcPr>
          <w:p>
            <w:pPr>
              <w:jc w:val="center"/>
              <w:ind w:left="690"/>
              <w:spacing w:after="0"/>
              <w:rPr>
                <w:sz w:val="20"/>
                <w:szCs w:val="20"/>
                <w:color w:val="auto"/>
              </w:rPr>
            </w:pPr>
            <w:r>
              <w:rPr>
                <w:rFonts w:ascii="Arial" w:cs="Arial" w:eastAsia="Arial" w:hAnsi="Arial"/>
                <w:sz w:val="18"/>
                <w:szCs w:val="18"/>
                <w:color w:val="auto"/>
                <w:w w:val="90"/>
              </w:rPr>
              <w:t>2.68%</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760" w:type="dxa"/>
            <w:vAlign w:val="bottom"/>
          </w:tcPr>
          <w:p>
            <w:pPr>
              <w:jc w:val="center"/>
              <w:ind w:left="670"/>
              <w:spacing w:after="0"/>
              <w:rPr>
                <w:sz w:val="20"/>
                <w:szCs w:val="20"/>
                <w:color w:val="auto"/>
              </w:rPr>
            </w:pPr>
            <w:r>
              <w:rPr>
                <w:rFonts w:ascii="Arial" w:cs="Arial" w:eastAsia="Arial" w:hAnsi="Arial"/>
                <w:sz w:val="18"/>
                <w:szCs w:val="18"/>
                <w:color w:val="auto"/>
                <w:w w:val="91"/>
              </w:rPr>
              <w:t>6.25</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VARIABLE INTEREST ENTITIES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 Related to Our Vacation Ownership Notes Receivable Securitizations</w:t>
      </w:r>
    </w:p>
    <w:p>
      <w:pPr>
        <w:spacing w:after="0" w:line="11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consumer loans we originate to third parties. In a vacation ownership notes receivable securitization, various classes of debt securities issued by a special purpose entity are generally collateralized by a single tranche of transferred assets, which consist of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8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created these bankruptcy remote special purpose entities to serve as a mechanism for holding assets and related liabilities, and the entities have no equity investment at risk, making them variable interest entities.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31" w:name="page32"/>
    <w:bookmarkEnd w:id="31"/>
    <w:p>
      <w:pPr>
        <w:ind w:right="160" w:firstLine="648"/>
        <w:spacing w:after="0" w:line="277" w:lineRule="auto"/>
        <w:rPr>
          <w:sz w:val="20"/>
          <w:szCs w:val="20"/>
          <w:color w:val="auto"/>
        </w:rPr>
      </w:pPr>
      <w:r>
        <w:rPr>
          <w:rFonts w:ascii="Arial" w:cs="Arial" w:eastAsia="Arial" w:hAnsi="Arial"/>
          <w:sz w:val="18"/>
          <w:szCs w:val="18"/>
          <w:color w:val="auto"/>
        </w:rPr>
        <w:t>The following table shows consolidated assets, which are collateral for the obligations of these variable interest entities, and consolidated liabilities included on our Balance Sheet at June 30,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Vacation Ownership</w:t>
            </w: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Notes Receivable</w:t>
            </w:r>
          </w:p>
        </w:tc>
        <w:tc>
          <w:tcPr>
            <w:tcW w:w="300" w:type="dxa"/>
            <w:vAlign w:val="bottom"/>
          </w:tcPr>
          <w:p>
            <w:pPr>
              <w:spacing w:after="0"/>
              <w:rPr>
                <w:sz w:val="17"/>
                <w:szCs w:val="17"/>
                <w:color w:val="auto"/>
              </w:rPr>
            </w:pPr>
          </w:p>
        </w:tc>
        <w:tc>
          <w:tcPr>
            <w:tcW w:w="1740" w:type="dxa"/>
            <w:vAlign w:val="bottom"/>
            <w:gridSpan w:val="2"/>
          </w:tcPr>
          <w:p>
            <w:pPr>
              <w:ind w:left="280"/>
              <w:spacing w:after="0"/>
              <w:rPr>
                <w:sz w:val="20"/>
                <w:szCs w:val="20"/>
                <w:color w:val="auto"/>
              </w:rPr>
            </w:pPr>
            <w:r>
              <w:rPr>
                <w:rFonts w:ascii="Arial" w:cs="Arial" w:eastAsia="Arial" w:hAnsi="Arial"/>
                <w:sz w:val="16"/>
                <w:szCs w:val="16"/>
                <w:b w:val="1"/>
                <w:bCs w:val="1"/>
                <w:color w:val="auto"/>
              </w:rPr>
              <w:t>Warehouse</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Securitizations</w:t>
            </w:r>
          </w:p>
        </w:tc>
        <w:tc>
          <w:tcPr>
            <w:tcW w:w="300" w:type="dxa"/>
            <w:vAlign w:val="bottom"/>
          </w:tcPr>
          <w:p>
            <w:pPr>
              <w:spacing w:after="0"/>
              <w:rPr>
                <w:sz w:val="20"/>
                <w:szCs w:val="20"/>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Credit Facility</w:t>
            </w:r>
          </w:p>
        </w:tc>
        <w:tc>
          <w:tcPr>
            <w:tcW w:w="460" w:type="dxa"/>
            <w:vAlign w:val="bottom"/>
          </w:tcPr>
          <w:p>
            <w:pPr>
              <w:spacing w:after="0"/>
              <w:rPr>
                <w:sz w:val="20"/>
                <w:szCs w:val="20"/>
                <w:color w:val="auto"/>
              </w:rPr>
            </w:pPr>
          </w:p>
        </w:tc>
        <w:tc>
          <w:tcPr>
            <w:tcW w:w="1480" w:type="dxa"/>
            <w:vAlign w:val="bottom"/>
          </w:tcPr>
          <w:p>
            <w:pPr>
              <w:jc w:val="right"/>
              <w:ind w:right="6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Vacation ownership notes receivable, net of reserves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964,510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964,510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6,039</w:t>
            </w: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Restricted cash</w:t>
            </w:r>
            <w:r>
              <w:rPr>
                <w:rFonts w:ascii="Arial" w:cs="Arial" w:eastAsia="Arial" w:hAnsi="Arial"/>
                <w:sz w:val="18"/>
                <w:szCs w:val="18"/>
                <w:color w:val="auto"/>
                <w:vertAlign w:val="superscript"/>
              </w:rPr>
              <w:t>(1)</w:t>
            </w:r>
          </w:p>
        </w:tc>
        <w:tc>
          <w:tcPr>
            <w:tcW w:w="2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144,816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144,816</w:t>
            </w:r>
          </w:p>
        </w:tc>
        <w:tc>
          <w:tcPr>
            <w:tcW w:w="0" w:type="dxa"/>
            <w:vAlign w:val="bottom"/>
          </w:tcPr>
          <w:p>
            <w:pPr>
              <w:spacing w:after="0"/>
              <w:rPr>
                <w:sz w:val="1"/>
                <w:szCs w:val="1"/>
                <w:color w:val="auto"/>
              </w:rPr>
            </w:pPr>
          </w:p>
        </w:tc>
      </w:tr>
      <w:tr>
        <w:trPr>
          <w:trHeight w:val="264"/>
        </w:trPr>
        <w:tc>
          <w:tcPr>
            <w:tcW w:w="5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1,115,365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1,115,365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Consolidated 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Debt</w:t>
            </w:r>
          </w:p>
        </w:tc>
        <w:tc>
          <w:tcPr>
            <w:tcW w:w="20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1,113,860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1,113,860</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1,114,503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1,114,545</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660" w:right="200" w:hanging="652"/>
        <w:spacing w:after="0" w:line="262" w:lineRule="auto"/>
        <w:tabs>
          <w:tab w:leader="none" w:pos="66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Includes $105.8 million of the proceeds from the securitization transaction completed during the second quarter of 2018, which will be released as the remaining vacation ownership notes receivable are purchased by the 2018-1 Trust. Refer to Footnote 10 “Debt” for a discussion of the terms of this securitization transaction and the purchase of additional vacation ownership notes receivable by the 2018-1 Trust.</w:t>
      </w:r>
    </w:p>
    <w:p>
      <w:pPr>
        <w:spacing w:after="0" w:line="186" w:lineRule="exact"/>
        <w:rPr>
          <w:rFonts w:ascii="Arial" w:cs="Arial" w:eastAsia="Arial" w:hAnsi="Arial"/>
          <w:sz w:val="22"/>
          <w:szCs w:val="22"/>
          <w:color w:val="auto"/>
          <w:vertAlign w:val="superscript"/>
        </w:rPr>
      </w:pPr>
    </w:p>
    <w:p>
      <w:pPr>
        <w:ind w:left="660"/>
        <w:spacing w:after="0"/>
        <w:rPr>
          <w:rFonts w:ascii="Arial" w:cs="Arial" w:eastAsia="Arial" w:hAnsi="Arial"/>
          <w:sz w:val="22"/>
          <w:szCs w:val="22"/>
          <w:color w:val="auto"/>
          <w:vertAlign w:val="superscript"/>
        </w:rPr>
      </w:pPr>
      <w:r>
        <w:rPr>
          <w:rFonts w:ascii="Arial" w:cs="Arial" w:eastAsia="Arial" w:hAnsi="Arial"/>
          <w:sz w:val="18"/>
          <w:szCs w:val="18"/>
          <w:color w:val="auto"/>
        </w:rPr>
        <w:t>The noncontrolling interest balance was zero. The creditors of these entities do not have general recourse to us.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shows the interest income and expense recognized as a result of our involvement with these variable interest entities during the second quarter of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Vacation Ownership</w:t>
            </w: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Notes Receivable</w:t>
            </w:r>
          </w:p>
        </w:tc>
        <w:tc>
          <w:tcPr>
            <w:tcW w:w="300" w:type="dxa"/>
            <w:vAlign w:val="bottom"/>
          </w:tcPr>
          <w:p>
            <w:pPr>
              <w:spacing w:after="0"/>
              <w:rPr>
                <w:sz w:val="17"/>
                <w:szCs w:val="17"/>
                <w:color w:val="auto"/>
              </w:rPr>
            </w:pPr>
          </w:p>
        </w:tc>
        <w:tc>
          <w:tcPr>
            <w:tcW w:w="1740" w:type="dxa"/>
            <w:vAlign w:val="bottom"/>
            <w:gridSpan w:val="2"/>
          </w:tcPr>
          <w:p>
            <w:pPr>
              <w:ind w:left="280"/>
              <w:spacing w:after="0"/>
              <w:rPr>
                <w:sz w:val="20"/>
                <w:szCs w:val="20"/>
                <w:color w:val="auto"/>
              </w:rPr>
            </w:pPr>
            <w:r>
              <w:rPr>
                <w:rFonts w:ascii="Arial" w:cs="Arial" w:eastAsia="Arial" w:hAnsi="Arial"/>
                <w:sz w:val="16"/>
                <w:szCs w:val="16"/>
                <w:b w:val="1"/>
                <w:bCs w:val="1"/>
                <w:color w:val="auto"/>
              </w:rPr>
              <w:t>Warehouse</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7"/>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114"/>
              <w:spacing w:after="0"/>
              <w:rPr>
                <w:sz w:val="20"/>
                <w:szCs w:val="20"/>
                <w:color w:val="auto"/>
              </w:rPr>
            </w:pPr>
            <w:r>
              <w:rPr>
                <w:rFonts w:ascii="Arial" w:cs="Arial" w:eastAsia="Arial" w:hAnsi="Arial"/>
                <w:sz w:val="16"/>
                <w:szCs w:val="16"/>
                <w:b w:val="1"/>
                <w:bCs w:val="1"/>
                <w:color w:val="auto"/>
                <w:w w:val="91"/>
              </w:rPr>
              <w:t>Securitizations</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Credit Facility</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2"/>
              <w:spacing w:after="0"/>
              <w:rPr>
                <w:sz w:val="20"/>
                <w:szCs w:val="20"/>
                <w:color w:val="auto"/>
              </w:rPr>
            </w:pPr>
            <w:r>
              <w:rPr>
                <w:rFonts w:ascii="Arial" w:cs="Arial" w:eastAsia="Arial" w:hAnsi="Arial"/>
                <w:sz w:val="16"/>
                <w:szCs w:val="16"/>
                <w:b w:val="1"/>
                <w:bCs w:val="1"/>
                <w:color w:val="auto"/>
              </w:rPr>
              <w:t>Total</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27,209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expense to investors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4"/>
              <w:spacing w:after="0"/>
              <w:rPr>
                <w:sz w:val="20"/>
                <w:szCs w:val="20"/>
                <w:color w:val="auto"/>
              </w:rPr>
            </w:pPr>
            <w:r>
              <w:rPr>
                <w:rFonts w:ascii="Arial" w:cs="Arial" w:eastAsia="Arial" w:hAnsi="Arial"/>
                <w:sz w:val="18"/>
                <w:szCs w:val="18"/>
                <w:color w:val="auto"/>
              </w:rPr>
              <w:t>4,692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5,039</w:t>
            </w: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 amortization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137</w:t>
            </w:r>
          </w:p>
        </w:tc>
      </w:tr>
    </w:tbl>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shows the interest income and expense recognized as a result of our involvement with these variable interest entities during the first half of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Vacation Ownership</w:t>
            </w: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Notes Receivable</w:t>
            </w:r>
          </w:p>
        </w:tc>
        <w:tc>
          <w:tcPr>
            <w:tcW w:w="300" w:type="dxa"/>
            <w:vAlign w:val="bottom"/>
          </w:tcPr>
          <w:p>
            <w:pPr>
              <w:spacing w:after="0"/>
              <w:rPr>
                <w:sz w:val="17"/>
                <w:szCs w:val="17"/>
                <w:color w:val="auto"/>
              </w:rPr>
            </w:pPr>
          </w:p>
        </w:tc>
        <w:tc>
          <w:tcPr>
            <w:tcW w:w="1740" w:type="dxa"/>
            <w:vAlign w:val="bottom"/>
            <w:gridSpan w:val="2"/>
          </w:tcPr>
          <w:p>
            <w:pPr>
              <w:ind w:left="280"/>
              <w:spacing w:after="0"/>
              <w:rPr>
                <w:sz w:val="20"/>
                <w:szCs w:val="20"/>
                <w:color w:val="auto"/>
              </w:rPr>
            </w:pPr>
            <w:r>
              <w:rPr>
                <w:rFonts w:ascii="Arial" w:cs="Arial" w:eastAsia="Arial" w:hAnsi="Arial"/>
                <w:sz w:val="16"/>
                <w:szCs w:val="16"/>
                <w:b w:val="1"/>
                <w:bCs w:val="1"/>
                <w:color w:val="auto"/>
              </w:rPr>
              <w:t>Warehouse</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7"/>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91"/>
              </w:rPr>
              <w:t>Securitizations</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Credit Facility</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2"/>
              <w:spacing w:after="0"/>
              <w:rPr>
                <w:sz w:val="20"/>
                <w:szCs w:val="20"/>
                <w:color w:val="auto"/>
              </w:rPr>
            </w:pPr>
            <w:r>
              <w:rPr>
                <w:rFonts w:ascii="Arial" w:cs="Arial" w:eastAsia="Arial" w:hAnsi="Arial"/>
                <w:sz w:val="16"/>
                <w:szCs w:val="16"/>
                <w:b w:val="1"/>
                <w:bCs w:val="1"/>
                <w:color w:val="auto"/>
              </w:rPr>
              <w:t>Total</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52,580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52,580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expense to investors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9,740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10,431</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 amortization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322</w:t>
            </w:r>
          </w:p>
        </w:tc>
      </w:tr>
      <w:tr>
        <w:trPr>
          <w:trHeight w:val="486"/>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ind w:right="145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color w:val="auto"/>
        </w:rPr>
        <w:t>The following table shows cash flows between us and the vacation ownership notes receivable securitization variable interest entities: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4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00" w:type="dxa"/>
            <w:vAlign w:val="bottom"/>
          </w:tcPr>
          <w:p>
            <w:pPr>
              <w:spacing w:after="0"/>
              <w:rPr>
                <w:sz w:val="22"/>
                <w:szCs w:val="22"/>
                <w:color w:val="auto"/>
              </w:rPr>
            </w:pPr>
          </w:p>
        </w:tc>
        <w:tc>
          <w:tcPr>
            <w:tcW w:w="2000" w:type="dxa"/>
            <w:vAlign w:val="bottom"/>
            <w:gridSpan w:val="2"/>
          </w:tcPr>
          <w:p>
            <w:pPr>
              <w:ind w:left="280"/>
              <w:spacing w:after="0"/>
              <w:rPr>
                <w:sz w:val="20"/>
                <w:szCs w:val="20"/>
                <w:color w:val="auto"/>
              </w:rPr>
            </w:pPr>
            <w:r>
              <w:rPr>
                <w:rFonts w:ascii="Arial" w:cs="Arial" w:eastAsia="Arial" w:hAnsi="Arial"/>
                <w:sz w:val="16"/>
                <w:szCs w:val="16"/>
                <w:b w:val="1"/>
                <w:bCs w:val="1"/>
                <w:color w:val="auto"/>
              </w:rPr>
              <w:t>June 30, 2018</w:t>
            </w:r>
          </w:p>
        </w:tc>
        <w:tc>
          <w:tcPr>
            <w:tcW w:w="640" w:type="dxa"/>
            <w:vAlign w:val="bottom"/>
          </w:tcPr>
          <w:p>
            <w:pPr>
              <w:spacing w:after="0"/>
              <w:rPr>
                <w:sz w:val="22"/>
                <w:szCs w:val="22"/>
                <w:color w:val="auto"/>
              </w:rPr>
            </w:pPr>
          </w:p>
        </w:tc>
        <w:tc>
          <w:tcPr>
            <w:tcW w:w="1640" w:type="dxa"/>
            <w:vAlign w:val="bottom"/>
          </w:tcPr>
          <w:p>
            <w:pPr>
              <w:jc w:val="right"/>
              <w:ind w:right="591"/>
              <w:spacing w:after="0"/>
              <w:rPr>
                <w:sz w:val="20"/>
                <w:szCs w:val="20"/>
                <w:color w:val="auto"/>
              </w:rPr>
            </w:pPr>
            <w:r>
              <w:rPr>
                <w:rFonts w:ascii="Arial" w:cs="Arial" w:eastAsia="Arial" w:hAnsi="Arial"/>
                <w:sz w:val="16"/>
                <w:szCs w:val="16"/>
                <w:b w:val="1"/>
                <w:bCs w:val="1"/>
                <w:color w:val="auto"/>
                <w:w w:val="90"/>
              </w:rPr>
              <w:t>June 30, 2017</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Inflows</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Net proceeds from vacation ownership notes receivable securitizations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418,714</w:t>
            </w:r>
          </w:p>
        </w:tc>
        <w:tc>
          <w:tcPr>
            <w:tcW w:w="12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receipts</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127,069</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110,754</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Interest receipts</w:t>
            </w:r>
          </w:p>
        </w:tc>
        <w:tc>
          <w:tcPr>
            <w:tcW w:w="400" w:type="dxa"/>
            <w:vAlign w:val="bottom"/>
          </w:tcPr>
          <w:p>
            <w:pPr>
              <w:spacing w:after="0"/>
              <w:rPr>
                <w:sz w:val="21"/>
                <w:szCs w:val="21"/>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51,950</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45,427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Reserve release</w:t>
            </w:r>
          </w:p>
        </w:tc>
        <w:tc>
          <w:tcPr>
            <w:tcW w:w="4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912</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598,645</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156,593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Outflows</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Principal to investors</w:t>
            </w:r>
          </w:p>
        </w:tc>
        <w:tc>
          <w:tcPr>
            <w:tcW w:w="4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(117,141)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(102,442)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Voluntary repurchases of defaulted vacation ownership notes receivable</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(15,137)</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(14,318)</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Voluntary clean-up call</w:t>
            </w:r>
          </w:p>
        </w:tc>
        <w:tc>
          <w:tcPr>
            <w:tcW w:w="4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(21,993)</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to investors</w:t>
            </w:r>
          </w:p>
        </w:tc>
        <w:tc>
          <w:tcPr>
            <w:tcW w:w="4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(9,621)</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(8,575)</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Funding of restricted cash</w:t>
            </w:r>
            <w:r>
              <w:rPr>
                <w:rFonts w:ascii="Arial" w:cs="Arial" w:eastAsia="Arial" w:hAnsi="Arial"/>
                <w:sz w:val="18"/>
                <w:szCs w:val="18"/>
                <w:color w:val="auto"/>
                <w:vertAlign w:val="superscript"/>
              </w:rPr>
              <w:t>(1)</w:t>
            </w:r>
          </w:p>
        </w:tc>
        <w:tc>
          <w:tcPr>
            <w:tcW w:w="4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(109,790)</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(273,682)</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(125,335)</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Net Cash Flows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324,963</w:t>
            </w:r>
          </w:p>
        </w:tc>
        <w:tc>
          <w:tcPr>
            <w:tcW w:w="12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31,258</w:t>
            </w:r>
          </w:p>
        </w:tc>
        <w:tc>
          <w:tcPr>
            <w:tcW w:w="0" w:type="dxa"/>
            <w:vAlign w:val="bottom"/>
          </w:tcPr>
          <w:p>
            <w:pPr>
              <w:spacing w:after="0"/>
              <w:rPr>
                <w:sz w:val="1"/>
                <w:szCs w:val="1"/>
                <w:color w:val="auto"/>
              </w:rPr>
            </w:pPr>
          </w:p>
        </w:tc>
      </w:tr>
      <w:tr>
        <w:trPr>
          <w:trHeight w:val="27"/>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660" w:right="200" w:hanging="652"/>
        <w:spacing w:after="0" w:line="262" w:lineRule="auto"/>
        <w:tabs>
          <w:tab w:leader="none" w:pos="66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Includes $105.8 million of the proceeds from the securitization transaction completed during the second quarter of 2018, which will be released as the remaining vacation ownership notes receivable are purchased by the 2018-1 Trust. Refer to Footnote 10 “Debt” for a discussion of the terms of this securitization transaction and the purchase of additional vacation ownership notes receivable by the 2018-1 Trust.</w:t>
      </w:r>
    </w:p>
    <w:p>
      <w:pPr>
        <w:spacing w:after="0" w:line="132" w:lineRule="exact"/>
        <w:rPr>
          <w:rFonts w:ascii="Arial" w:cs="Arial" w:eastAsia="Arial" w:hAnsi="Arial"/>
          <w:sz w:val="22"/>
          <w:szCs w:val="22"/>
          <w:color w:val="auto"/>
          <w:vertAlign w:val="superscript"/>
        </w:rPr>
      </w:pPr>
    </w:p>
    <w:p>
      <w:pPr>
        <w:ind w:left="660"/>
        <w:spacing w:after="0"/>
        <w:rPr>
          <w:rFonts w:ascii="Arial" w:cs="Arial" w:eastAsia="Arial" w:hAnsi="Arial"/>
          <w:sz w:val="22"/>
          <w:szCs w:val="22"/>
          <w:color w:val="auto"/>
          <w:vertAlign w:val="superscript"/>
        </w:rPr>
      </w:pPr>
      <w:r>
        <w:rPr>
          <w:rFonts w:ascii="Arial" w:cs="Arial" w:eastAsia="Arial" w:hAnsi="Arial"/>
          <w:sz w:val="18"/>
          <w:szCs w:val="18"/>
          <w:color w:val="auto"/>
        </w:rPr>
        <w:t>The following table shows cash flows between us and the Warehouse Credit Facility variable interest entity: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4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16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80" w:type="dxa"/>
            <w:vAlign w:val="bottom"/>
          </w:tcPr>
          <w:p>
            <w:pPr>
              <w:spacing w:after="0"/>
              <w:rPr>
                <w:sz w:val="22"/>
                <w:szCs w:val="22"/>
                <w:color w:val="auto"/>
              </w:rPr>
            </w:pPr>
          </w:p>
        </w:tc>
        <w:tc>
          <w:tcPr>
            <w:tcW w:w="2000" w:type="dxa"/>
            <w:vAlign w:val="bottom"/>
            <w:gridSpan w:val="2"/>
          </w:tcPr>
          <w:p>
            <w:pPr>
              <w:ind w:left="280"/>
              <w:spacing w:after="0"/>
              <w:rPr>
                <w:sz w:val="20"/>
                <w:szCs w:val="20"/>
                <w:color w:val="auto"/>
              </w:rPr>
            </w:pPr>
            <w:r>
              <w:rPr>
                <w:rFonts w:ascii="Arial" w:cs="Arial" w:eastAsia="Arial" w:hAnsi="Arial"/>
                <w:sz w:val="16"/>
                <w:szCs w:val="16"/>
                <w:b w:val="1"/>
                <w:bCs w:val="1"/>
                <w:color w:val="auto"/>
              </w:rPr>
              <w:t>June 30, 2018</w:t>
            </w:r>
          </w:p>
        </w:tc>
        <w:tc>
          <w:tcPr>
            <w:tcW w:w="640" w:type="dxa"/>
            <w:vAlign w:val="bottom"/>
          </w:tcPr>
          <w:p>
            <w:pPr>
              <w:spacing w:after="0"/>
              <w:rPr>
                <w:sz w:val="22"/>
                <w:szCs w:val="22"/>
                <w:color w:val="auto"/>
              </w:rPr>
            </w:pPr>
          </w:p>
        </w:tc>
        <w:tc>
          <w:tcPr>
            <w:tcW w:w="1640" w:type="dxa"/>
            <w:vAlign w:val="bottom"/>
          </w:tcPr>
          <w:p>
            <w:pPr>
              <w:jc w:val="right"/>
              <w:ind w:right="591"/>
              <w:spacing w:after="0"/>
              <w:rPr>
                <w:sz w:val="20"/>
                <w:szCs w:val="20"/>
                <w:color w:val="auto"/>
              </w:rPr>
            </w:pPr>
            <w:r>
              <w:rPr>
                <w:rFonts w:ascii="Arial" w:cs="Arial" w:eastAsia="Arial" w:hAnsi="Arial"/>
                <w:sz w:val="16"/>
                <w:szCs w:val="16"/>
                <w:b w:val="1"/>
                <w:bCs w:val="1"/>
                <w:color w:val="auto"/>
                <w:w w:val="90"/>
              </w:rPr>
              <w:t>June 30, 2017</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Inflows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Proceeds from vacation ownership notes receivable securitizations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50,260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receipts</w:t>
            </w:r>
          </w:p>
        </w:tc>
        <w:tc>
          <w:tcPr>
            <w:tcW w:w="3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948</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Interest receipts</w:t>
            </w:r>
          </w:p>
        </w:tc>
        <w:tc>
          <w:tcPr>
            <w:tcW w:w="380" w:type="dxa"/>
            <w:vAlign w:val="bottom"/>
          </w:tcPr>
          <w:p>
            <w:pPr>
              <w:spacing w:after="0"/>
              <w:rPr>
                <w:sz w:val="21"/>
                <w:szCs w:val="21"/>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1,486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Reserve release</w:t>
            </w:r>
          </w:p>
        </w:tc>
        <w:tc>
          <w:tcPr>
            <w:tcW w:w="3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52,698</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Outflows</w:t>
            </w: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Principal to investors</w:t>
            </w:r>
          </w:p>
        </w:tc>
        <w:tc>
          <w:tcPr>
            <w:tcW w:w="380" w:type="dxa"/>
            <w:vAlign w:val="bottom"/>
          </w:tcPr>
          <w:p>
            <w:pPr>
              <w:spacing w:after="0"/>
              <w:rPr>
                <w:sz w:val="21"/>
                <w:szCs w:val="21"/>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(640)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to investors</w:t>
            </w: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Funding of restricted cash</w:t>
            </w:r>
          </w:p>
        </w:tc>
        <w:tc>
          <w:tcPr>
            <w:tcW w:w="380" w:type="dxa"/>
            <w:vAlign w:val="bottom"/>
          </w:tcPr>
          <w:p>
            <w:pPr>
              <w:spacing w:after="0"/>
              <w:rPr>
                <w:sz w:val="21"/>
                <w:szCs w:val="21"/>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Net Cash Flows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50,936</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Under the terms of our vacation ownership notes receivable securitizations, we have the right at our option to repurchase defaulted vacation ownership notes receivable at the outstanding principal balance. The transaction documents typically limit such repurchases to 20 percent of the transaction’s initial vacation ownership notes receivable principal balance. Our maximum exposure to loss relating to the special purpose entities that purchase, sell and own these vacation ownership notes receivable is the overcollateralization amount (the difference between the loan collateral balance and the balance on the outstanding vacation ownership notes receivable), plus cash reserves and any residual interest in future cash flows from collateral.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Other Variable Interest Entities</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a commitment to purchase an operating property located in San Francisco, California. Refer to Footnote 9 “Contingencies and Commitments” for additional information on the commitment. We are required to purchase the operating property from the third party developer unless the developer has sold the property to another party. The operating property is held by a variable interest entity for which we are not the primary beneficiary as we cannot prevent the variable interest entity from selling the operating property at a higher price. Accordingly, we have not consolidated the variable interest entity. As of June 30, 2018, our Balance Sheet reflected a note receivable of $0.5 million from this variable interest entity, included in the Accounts receivable line. We believe that our maximum exposure to loss as a result of our involvement with this variable interest entity is less than $1.0 million as of June 30, 2018.</w:t>
      </w:r>
    </w:p>
    <w:p>
      <w:pPr>
        <w:spacing w:after="0" w:line="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have a commitment to purchase an operating property located in New York, New York, that we currently manage as Marriott Vacation Club Pulse, New York City. Refer to Footnote 9 “Contingencies and Commitments” for additional information on the commitment. We are required to purchase the completed property from the third party developer unless the developer has sold the property to another party. The property is held by a variable interest entity for which we are not the primary beneficiary as we cannot prevent the variable interest entity from selling the property at a higher price. Accordingly, we have not consolidated the variable interest entity. As of June 30, 2018, our Balance Sheet reflected $8.3 million in Property and equipment related to a capital lease and leasehold improvements and $7.2 million in Debt related to the capital lease liability for ancillary and operations space we lease from the variable interest entity. In addition, a note receivable of $0.5 million is included in the Accounts receivable line on the Balance Sheet as of June 30, 2018. We believe that our maximum exposure to loss as a result of our involvement with this variable interest entity is $1.6 million as of June 30, 2018.</w:t>
      </w:r>
    </w:p>
    <w:p>
      <w:pPr>
        <w:spacing w:after="0" w:line="58"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Pursuant to a commitment to repurchase an operating property located in Marco Island, Florida that was previously sold to a third-party developer, we acquired 36 completed vacation ownership units during the second quarter of 2017 and 20 completed vacation ownership units during the first quarter of 2018. See Footnote 6 “Acquisitions and Dispositions” for additional information on the transaction that occurred during the first quarter of 2018. We remain obligated to repurchase the remaining portion of the operating property. See Footnote 9 “Contingencies and Commitments” for additional information on our remaining commitment. The developer is a variable interest entity for which we are not the primary beneficiary as we do not control the variable interest entity’s development activities and cannot prevent the variable interest entity from selling the property at a higher price. Accordingly, we have not consolidated the variable interest entity. As of June 30, 2018, our Balance Sheet reflected $2.6 million of Inventory, $2.6 million of Other assets that relate to prepaid and other deposits, and $6.6 million of Other liabilities that relate to the deferral of gain recognition on the previous sale transaction and the deferral of revenue for development management services for the remaining purchase commitment, both of which will reduce our basis in the asset if we repurchase the property. In addition, a note receivable of $0.5 million and other receivables of $0.1 million are included in the Accounts receivable line on the Balance Sheet as of June 30, 2018. We believe that our maximum exposure to loss as a result of our involvement with this variable interest entity is less than $1.0 million as of June 30,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11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consolidate the liabilities of the Marriott Vacations Worldwide Deferred Compensation Plan (the “Deferred Compensation Plan”) and the related assets, which consist of the COLI policies held in the rabbi trust. The rabbi trust is considered a variable interest entity. We are considered the primary beneficiary of the rabbi trust because we direct the activities of the trust and are the beneficiary of the trust. At June 30, 2018, the value of the assets held in the rabbi trust was $25.7 million, which is included in the Other line within assets on our Balance Sheets.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BUSINESS SEGMENTS</w:t>
      </w:r>
    </w:p>
    <w:p>
      <w:pPr>
        <w:spacing w:after="0" w:line="121"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We define our reportable segments based on the way in which the chief operating decision maker, currently our chief executive officer, manages the operations of the company for purposes of allocating resources and assessing performance. We operate in three reportable business segments:</w:t>
      </w:r>
    </w:p>
    <w:p>
      <w:pPr>
        <w:spacing w:after="0" w:line="16" w:lineRule="exact"/>
        <w:rPr>
          <w:sz w:val="20"/>
          <w:szCs w:val="20"/>
          <w:color w:val="auto"/>
        </w:rPr>
      </w:pPr>
    </w:p>
    <w:p>
      <w:pPr>
        <w:ind w:left="980" w:right="80" w:hanging="324"/>
        <w:spacing w:after="0" w:line="259"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our North America segment, we develop, market, sell and manage vacation ownership and related products under the Marriott Vacation Club and Grand Residences by Marriott brands, as well as under Marriott Vacation Club Pulse, an extension of the Marriott Vacation Club brand. We also develop, market and sell vacation ownership and related products under The Ritz-Carlton Destination Club brand, as well as whole ownership residential products under The Ritz-Carlton Residences brand.</w:t>
      </w:r>
    </w:p>
    <w:p>
      <w:pPr>
        <w:spacing w:after="0" w:line="78"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our Asia Pacific segment, we develop, market, sell and manage two points-based programs that we specifically designed to appeal to the vacation preferences of the market, Marriott Vacation Club, Asia Pacific and Marriott Vacation Club Destinations, Australia, as well as a weeks-based right-to-use product.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30" w:right="239" w:bottom="1440" w:gutter="0" w:footer="0" w:header="0"/>
        </w:sectPr>
      </w:pPr>
    </w:p>
    <w:bookmarkStart w:id="34" w:name="page35"/>
    <w:bookmarkEnd w:id="34"/>
    <w:p>
      <w:pPr>
        <w:ind w:left="980" w:right="6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our Europe segment, we are focused on selling our existing projects and managing existing resorts. We do not have any current plans for new development in this segment.</w:t>
      </w:r>
    </w:p>
    <w:p>
      <w:pPr>
        <w:spacing w:after="0" w:line="6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evaluate the performance of our segments based primarily on the results of the segment without allocating corporate expenses or income taxes. We do not allocate corporate interest expense, consumer financing interest expense, other financing expenses or general and administrative expenses to our segments. We include interest income specific to segment activities within the appropriate segment. We allocate other gains and losses and equity in earnings or losses from our joint ventures to each of our segments as appropriate. Corporate and other represents that portion of our revenues and other gains or losses that are not allocable to our segments.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6"/>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3480" w:type="dxa"/>
            <w:vAlign w:val="bottom"/>
            <w:gridSpan w:val="6"/>
          </w:tcPr>
          <w:p>
            <w:pPr>
              <w:jc w:val="right"/>
              <w:ind w:right="113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June 30, 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right"/>
              <w:ind w:right="353"/>
              <w:spacing w:after="0"/>
              <w:rPr>
                <w:sz w:val="20"/>
                <w:szCs w:val="20"/>
                <w:color w:val="auto"/>
              </w:rPr>
            </w:pPr>
            <w:r>
              <w:rPr>
                <w:rFonts w:ascii="Arial" w:cs="Arial" w:eastAsia="Arial" w:hAnsi="Arial"/>
                <w:sz w:val="16"/>
                <w:szCs w:val="16"/>
                <w:b w:val="1"/>
                <w:bCs w:val="1"/>
                <w:color w:val="auto"/>
              </w:rPr>
              <w:t>June 30, 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w w:val="97"/>
              </w:rPr>
              <w:t>June 30, 2018</w:t>
            </w: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June 30, 2017</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544,782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517,772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1,073,239</w:t>
            </w:r>
          </w:p>
        </w:tc>
        <w:tc>
          <w:tcPr>
            <w:tcW w:w="4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1,005,844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Asia Pacific</w:t>
            </w:r>
          </w:p>
        </w:tc>
        <w:tc>
          <w:tcPr>
            <w:tcW w:w="2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18,219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33"/>
              <w:spacing w:after="0"/>
              <w:rPr>
                <w:sz w:val="20"/>
                <w:szCs w:val="20"/>
                <w:color w:val="auto"/>
              </w:rPr>
            </w:pPr>
            <w:r>
              <w:rPr>
                <w:rFonts w:ascii="Arial" w:cs="Arial" w:eastAsia="Arial" w:hAnsi="Arial"/>
                <w:sz w:val="18"/>
                <w:szCs w:val="18"/>
                <w:color w:val="auto"/>
              </w:rPr>
              <w:t>16,021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color w:val="auto"/>
              </w:rPr>
              <w:t>37,083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31,255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31,691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28,643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55,219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53,637</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8"/>
                <w:szCs w:val="18"/>
                <w:color w:val="auto"/>
              </w:rPr>
              <w:t>Total segment revenues</w:t>
            </w: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594,692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2"/>
          </w:tcPr>
          <w:p>
            <w:pPr>
              <w:jc w:val="right"/>
              <w:ind w:right="33"/>
              <w:spacing w:after="0"/>
              <w:rPr>
                <w:sz w:val="20"/>
                <w:szCs w:val="20"/>
                <w:color w:val="auto"/>
              </w:rPr>
            </w:pPr>
            <w:r>
              <w:rPr>
                <w:rFonts w:ascii="Arial" w:cs="Arial" w:eastAsia="Arial" w:hAnsi="Arial"/>
                <w:sz w:val="18"/>
                <w:szCs w:val="18"/>
                <w:color w:val="auto"/>
              </w:rPr>
              <w:t>562,436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1,165,541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1,090,736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594,692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gridSpan w:val="2"/>
          </w:tcPr>
          <w:p>
            <w:pPr>
              <w:jc w:val="right"/>
              <w:ind w:right="33"/>
              <w:spacing w:after="0"/>
              <w:rPr>
                <w:sz w:val="20"/>
                <w:szCs w:val="20"/>
                <w:color w:val="auto"/>
              </w:rPr>
            </w:pPr>
            <w:r>
              <w:rPr>
                <w:rFonts w:ascii="Arial" w:cs="Arial" w:eastAsia="Arial" w:hAnsi="Arial"/>
                <w:sz w:val="18"/>
                <w:szCs w:val="18"/>
                <w:color w:val="auto"/>
              </w:rPr>
              <w:t>562,436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1,165,541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1,090,736</w:t>
            </w:r>
          </w:p>
        </w:tc>
        <w:tc>
          <w:tcPr>
            <w:tcW w:w="0" w:type="dxa"/>
            <w:vAlign w:val="bottom"/>
          </w:tcPr>
          <w:p>
            <w:pPr>
              <w:spacing w:after="0"/>
              <w:rPr>
                <w:sz w:val="1"/>
                <w:szCs w:val="1"/>
                <w:color w:val="auto"/>
              </w:rPr>
            </w:pPr>
          </w:p>
        </w:tc>
      </w:tr>
      <w:tr>
        <w:trPr>
          <w:trHeight w:val="27"/>
        </w:trPr>
        <w:tc>
          <w:tcPr>
            <w:tcW w:w="3780" w:type="dxa"/>
            <w:vAlign w:val="bottom"/>
            <w:vMerge w:val="restart"/>
          </w:tcPr>
          <w:p>
            <w:pPr>
              <w:spacing w:after="0"/>
              <w:rPr>
                <w:sz w:val="20"/>
                <w:szCs w:val="20"/>
                <w:color w:val="auto"/>
              </w:rPr>
            </w:pPr>
            <w:r>
              <w:rPr>
                <w:rFonts w:ascii="Arial" w:cs="Arial" w:eastAsia="Arial" w:hAnsi="Arial"/>
                <w:sz w:val="18"/>
                <w:szCs w:val="18"/>
                <w:i w:val="1"/>
                <w:iCs w:val="1"/>
                <w:color w:val="auto"/>
              </w:rPr>
              <w:t>Net Income</w:t>
            </w: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7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0" w:type="dxa"/>
            <w:vAlign w:val="bottom"/>
            <w:gridSpan w:val="6"/>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24"/>
                <w:szCs w:val="24"/>
                <w:color w:val="auto"/>
              </w:rPr>
            </w:pPr>
          </w:p>
        </w:tc>
        <w:tc>
          <w:tcPr>
            <w:tcW w:w="3480" w:type="dxa"/>
            <w:vAlign w:val="bottom"/>
            <w:gridSpan w:val="6"/>
          </w:tcPr>
          <w:p>
            <w:pPr>
              <w:jc w:val="right"/>
              <w:ind w:right="113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June 30, 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right"/>
              <w:ind w:right="353"/>
              <w:spacing w:after="0"/>
              <w:rPr>
                <w:sz w:val="20"/>
                <w:szCs w:val="20"/>
                <w:color w:val="auto"/>
              </w:rPr>
            </w:pPr>
            <w:r>
              <w:rPr>
                <w:rFonts w:ascii="Arial" w:cs="Arial" w:eastAsia="Arial" w:hAnsi="Arial"/>
                <w:sz w:val="16"/>
                <w:szCs w:val="16"/>
                <w:b w:val="1"/>
                <w:bCs w:val="1"/>
                <w:color w:val="auto"/>
              </w:rPr>
              <w:t>June 30, 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w w:val="97"/>
              </w:rPr>
              <w:t>June 30, 2018</w:t>
            </w: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June 30, 2017</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106,445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122,654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214,351</w:t>
            </w:r>
          </w:p>
        </w:tc>
        <w:tc>
          <w:tcPr>
            <w:tcW w:w="4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221,119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Asia Pacific</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(4,181)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4,825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1,297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4,409</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8"/>
                <w:szCs w:val="18"/>
                <w:color w:val="auto"/>
              </w:rPr>
              <w:t>Total segment financial results</w:t>
            </w: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105,455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2"/>
          </w:tcPr>
          <w:p>
            <w:pPr>
              <w:jc w:val="right"/>
              <w:ind w:right="33"/>
              <w:spacing w:after="0"/>
              <w:rPr>
                <w:sz w:val="20"/>
                <w:szCs w:val="20"/>
                <w:color w:val="auto"/>
              </w:rPr>
            </w:pPr>
            <w:r>
              <w:rPr>
                <w:rFonts w:ascii="Arial" w:cs="Arial" w:eastAsia="Arial" w:hAnsi="Arial"/>
                <w:sz w:val="18"/>
                <w:szCs w:val="18"/>
                <w:color w:val="auto"/>
              </w:rPr>
              <w:t>126,722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211,467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224,620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(55,618)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(147,397)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(109,651)</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(22,918)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(17,328)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(38,893)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10,761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48,186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46,742</w:t>
            </w:r>
          </w:p>
        </w:tc>
        <w:tc>
          <w:tcPr>
            <w:tcW w:w="4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76,076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Assets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7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228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6"/>
                <w:szCs w:val="16"/>
                <w:b w:val="1"/>
                <w:bCs w:val="1"/>
                <w:color w:val="auto"/>
              </w:rPr>
              <w:t>At June 30, 2018</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291"/>
              <w:spacing w:after="0"/>
              <w:rPr>
                <w:sz w:val="20"/>
                <w:szCs w:val="20"/>
                <w:color w:val="auto"/>
              </w:rPr>
            </w:pPr>
            <w:r>
              <w:rPr>
                <w:rFonts w:ascii="Arial" w:cs="Arial" w:eastAsia="Arial" w:hAnsi="Arial"/>
                <w:sz w:val="16"/>
                <w:szCs w:val="16"/>
                <w:b w:val="1"/>
                <w:bCs w:val="1"/>
                <w:color w:val="auto"/>
                <w:w w:val="93"/>
              </w:rPr>
              <w:t>At December 31, 2017</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6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2,091,665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2,087,904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Asia Pacific</w:t>
            </w: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130,328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128,490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63,289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62,430</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8"/>
                <w:szCs w:val="18"/>
                <w:color w:val="auto"/>
              </w:rPr>
              <w:t>Total segment assets</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2,285,282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2,278,824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772,288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565,758</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Borders>
              <w:top w:val="single" w:sz="8" w:color="auto"/>
            </w:tcBorders>
          </w:tcPr>
          <w:p>
            <w:pPr>
              <w:jc w:val="right"/>
              <w:ind w:right="613"/>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3,057,570</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2,844,582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ADOPTION IMPACT OF NEW REVENUE STANDARD</w:t>
      </w:r>
    </w:p>
    <w:p>
      <w:pPr>
        <w:spacing w:after="0" w:line="12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discussed in Footnote 1 “Summary of Significant Accounting Policies,” the FASB issued ASU 2014-09 in 2014, which, as amended, created ASC 606. The core principle of ASC 606 is that an entity shall recognize revenue to depict the transfer of promised goods or services to customers in an amount that reflects the consideration to which the entity expects to be entitled in exchange for those goods or services. The standard also contains significant new disclosure requirements regarding the nature, amount, timing and uncertainty of revenue and cash flows arising from contracts with customers. We adopted ASC 606 effective January 1, 2018, on a retrospective basis and restated our previously reported historical results as shown in the tables below. The cumulative impact of the adoption of the new Revenue Standard on our opening retained earnings as of January 2, 2016, the first day of our 2016 fiscal year, was $2.7 million.</w:t>
      </w:r>
    </w:p>
    <w:p>
      <w:pPr>
        <w:sectPr>
          <w:pgSz w:w="11900" w:h="16838" w:orient="portrait"/>
          <w:cols w:equalWidth="0" w:num="1">
            <w:col w:w="11420"/>
          </w:cols>
          <w:pgMar w:left="240" w:top="476"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476" w:right="239" w:bottom="1440" w:gutter="0" w:footer="0" w:header="0"/>
          <w:type w:val="continuous"/>
        </w:sectPr>
      </w:pPr>
    </w:p>
    <w:bookmarkStart w:id="35" w:name="page36"/>
    <w:bookmarkEnd w:id="35"/>
    <w:p>
      <w:pPr>
        <w:ind w:right="40" w:firstLine="662"/>
        <w:spacing w:after="0" w:line="293" w:lineRule="auto"/>
        <w:rPr>
          <w:sz w:val="20"/>
          <w:szCs w:val="20"/>
          <w:color w:val="auto"/>
        </w:rPr>
      </w:pPr>
      <w:r>
        <w:rPr>
          <w:rFonts w:ascii="Arial" w:cs="Arial" w:eastAsia="Arial" w:hAnsi="Arial"/>
          <w:sz w:val="16"/>
          <w:szCs w:val="16"/>
          <w:color w:val="auto"/>
        </w:rPr>
        <w:t>Upon adoption of the new Revenue Standard, recognition of revenue from the sale of vacation ownership products that is deemed collectible is now deferred from the point in time at which the statutory rescission period expires to closing, when control of the vacation ownership product is transferred to the customer. In addition, we aligned our assessment of collectibility of the transaction price for sales of vacation ownership products with our credit granting policies. We elected the practical expedient to expense all marketing and sales costs as they are incurred. Our consolidated cost reimbursements revenues and cost reimbursements expenses increased significantly, as all costs reimbursed to us by property owners’ associations are now reported on a gross basis upon adoption of the new Revenue Standard. In conjunction with the adoption of the new Revenue Standard we reclassified certain revenues and expenses.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part of the adoption of the new Revenue Standard, we elected the following practical expedients and accounting policies:</w:t>
      </w:r>
    </w:p>
    <w:p>
      <w:pPr>
        <w:spacing w:after="0" w:line="117"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expense all marketing and sales costs that we incur to sell vacation ownership products when incurred.</w:t>
      </w:r>
    </w:p>
    <w:p>
      <w:pPr>
        <w:spacing w:after="0" w:line="117" w:lineRule="exact"/>
        <w:rPr>
          <w:rFonts w:ascii="Arial" w:cs="Arial" w:eastAsia="Arial" w:hAnsi="Arial"/>
          <w:sz w:val="18"/>
          <w:szCs w:val="18"/>
          <w:color w:val="auto"/>
        </w:rPr>
      </w:pPr>
    </w:p>
    <w:p>
      <w:pPr>
        <w:ind w:left="980" w:right="520" w:hanging="324"/>
        <w:spacing w:after="0" w:line="342"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determining the transaction price for contracts from customers, we exclude all taxes assessed by a governmental authority that are both imposed on and concurrent with a specific revenue-product transaction and collected by the entity from a customer (e.g., sales tax).</w:t>
      </w:r>
    </w:p>
    <w:p>
      <w:pPr>
        <w:spacing w:after="0" w:line="15" w:lineRule="exact"/>
        <w:rPr>
          <w:rFonts w:ascii="Arial" w:cs="Arial" w:eastAsia="Arial" w:hAnsi="Arial"/>
          <w:sz w:val="16"/>
          <w:szCs w:val="16"/>
          <w:color w:val="auto"/>
        </w:rPr>
      </w:pPr>
    </w:p>
    <w:p>
      <w:pPr>
        <w:ind w:left="980" w:right="1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do not disclose the amount of the transaction price allocated to the remaining performance obligations as of December 31, 2017 or provide an explanation of when we expect to recognize that amount as revenue.</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tables present the impact of the adoption of the new Revenue Standard on our previously reported historical results for the periods presented: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Statement Impact - Second Quarter of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20" w:type="dxa"/>
            <w:vAlign w:val="bottom"/>
            <w:gridSpan w:val="6"/>
          </w:tcPr>
          <w:p>
            <w:pPr>
              <w:jc w:val="center"/>
              <w:ind w:left="1131"/>
              <w:spacing w:after="0"/>
              <w:rPr>
                <w:sz w:val="20"/>
                <w:szCs w:val="20"/>
                <w:color w:val="auto"/>
              </w:rPr>
            </w:pPr>
            <w:r>
              <w:rPr>
                <w:rFonts w:ascii="Arial" w:cs="Arial" w:eastAsia="Arial" w:hAnsi="Arial"/>
                <w:sz w:val="16"/>
                <w:szCs w:val="16"/>
                <w:b w:val="1"/>
                <w:bCs w:val="1"/>
                <w:color w:val="auto"/>
                <w:w w:val="92"/>
              </w:rPr>
              <w:t>Three Months Ended June 30, 2017</w:t>
            </w:r>
          </w:p>
        </w:tc>
        <w:tc>
          <w:tcPr>
            <w:tcW w:w="1480" w:type="dxa"/>
            <w:vAlign w:val="bottom"/>
          </w:tcPr>
          <w:p>
            <w:pPr>
              <w:spacing w:after="0"/>
              <w:rPr>
                <w:sz w:val="18"/>
                <w:szCs w:val="18"/>
                <w:color w:val="auto"/>
              </w:rPr>
            </w:pPr>
          </w:p>
        </w:tc>
      </w:tr>
      <w:tr>
        <w:trPr>
          <w:trHeight w:val="33"/>
        </w:trPr>
        <w:tc>
          <w:tcPr>
            <w:tcW w:w="4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8"/>
        </w:trPr>
        <w:tc>
          <w:tcPr>
            <w:tcW w:w="43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 except per share amounts)</w:t>
            </w:r>
          </w:p>
        </w:tc>
        <w:tc>
          <w:tcPr>
            <w:tcW w:w="1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40" w:type="dxa"/>
            <w:vAlign w:val="bottom"/>
            <w:gridSpan w:val="2"/>
          </w:tcPr>
          <w:p>
            <w:pPr>
              <w:ind w:left="180"/>
              <w:spacing w:after="0"/>
              <w:rPr>
                <w:sz w:val="20"/>
                <w:szCs w:val="20"/>
                <w:color w:val="auto"/>
              </w:rPr>
            </w:pPr>
            <w:r>
              <w:rPr>
                <w:rFonts w:ascii="Arial" w:cs="Arial" w:eastAsia="Arial" w:hAnsi="Arial"/>
                <w:sz w:val="16"/>
                <w:szCs w:val="16"/>
                <w:b w:val="1"/>
                <w:bCs w:val="1"/>
                <w:color w:val="auto"/>
              </w:rPr>
              <w:t>As Reported</w:t>
            </w:r>
          </w:p>
        </w:tc>
        <w:tc>
          <w:tcPr>
            <w:tcW w:w="300" w:type="dxa"/>
            <w:vAlign w:val="bottom"/>
          </w:tcPr>
          <w:p>
            <w:pPr>
              <w:spacing w:after="0"/>
              <w:rPr>
                <w:sz w:val="22"/>
                <w:szCs w:val="22"/>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Adjustments</w:t>
            </w:r>
          </w:p>
        </w:tc>
        <w:tc>
          <w:tcPr>
            <w:tcW w:w="340" w:type="dxa"/>
            <w:vAlign w:val="bottom"/>
          </w:tcPr>
          <w:p>
            <w:pPr>
              <w:spacing w:after="0"/>
              <w:rPr>
                <w:sz w:val="22"/>
                <w:szCs w:val="22"/>
                <w:color w:val="auto"/>
              </w:rPr>
            </w:pPr>
          </w:p>
        </w:tc>
        <w:tc>
          <w:tcPr>
            <w:tcW w:w="1480" w:type="dxa"/>
            <w:vAlign w:val="bottom"/>
          </w:tcPr>
          <w:p>
            <w:pPr>
              <w:jc w:val="right"/>
              <w:ind w:right="390"/>
              <w:spacing w:after="0"/>
              <w:rPr>
                <w:sz w:val="20"/>
                <w:szCs w:val="20"/>
                <w:color w:val="auto"/>
              </w:rPr>
            </w:pPr>
            <w:r>
              <w:rPr>
                <w:rFonts w:ascii="Arial" w:cs="Arial" w:eastAsia="Arial" w:hAnsi="Arial"/>
                <w:sz w:val="16"/>
                <w:szCs w:val="16"/>
                <w:b w:val="1"/>
                <w:bCs w:val="1"/>
                <w:color w:val="auto"/>
              </w:rPr>
              <w:t>As Adjusted</w:t>
            </w:r>
          </w:p>
        </w:tc>
      </w:tr>
      <w:tr>
        <w:trPr>
          <w:trHeight w:val="250"/>
        </w:trPr>
        <w:tc>
          <w:tcPr>
            <w:tcW w:w="4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3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Sale of vacation ownership products</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191,010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10,846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201,856</w:t>
            </w:r>
          </w:p>
        </w:tc>
      </w:tr>
      <w:tr>
        <w:trPr>
          <w:trHeight w:val="27"/>
        </w:trPr>
        <w:tc>
          <w:tcPr>
            <w:tcW w:w="4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79,158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71,940</w:t>
            </w: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Financing</w:t>
            </w: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32,530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32,530</w:t>
            </w:r>
          </w:p>
        </w:tc>
      </w:tr>
      <w:tr>
        <w:trPr>
          <w:trHeight w:val="27"/>
        </w:trPr>
        <w:tc>
          <w:tcPr>
            <w:tcW w:w="4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84,188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69,290</w:t>
            </w: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110,734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76,086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186,820</w:t>
            </w:r>
          </w:p>
        </w:tc>
      </w:tr>
      <w:tr>
        <w:trPr>
          <w:trHeight w:val="27"/>
        </w:trPr>
        <w:tc>
          <w:tcPr>
            <w:tcW w:w="43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4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REVENUES</w:t>
            </w:r>
          </w:p>
        </w:tc>
        <w:tc>
          <w:tcPr>
            <w:tcW w:w="13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497,620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64,816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562,436</w:t>
            </w:r>
          </w:p>
        </w:tc>
      </w:tr>
      <w:tr>
        <w:trPr>
          <w:trHeight w:val="237"/>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13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r>
      <w:tr>
        <w:trPr>
          <w:trHeight w:val="27"/>
        </w:trPr>
        <w:tc>
          <w:tcPr>
            <w:tcW w:w="4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vacation ownership products</w:t>
            </w: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46,143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51,025</w:t>
            </w: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Marketing and sales</w:t>
            </w: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104,029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99,168</w:t>
            </w:r>
          </w:p>
        </w:tc>
      </w:tr>
      <w:tr>
        <w:trPr>
          <w:trHeight w:val="27"/>
        </w:trPr>
        <w:tc>
          <w:tcPr>
            <w:tcW w:w="4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39,413</w:t>
            </w: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Financing</w:t>
            </w: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3,449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3,449</w:t>
            </w:r>
          </w:p>
        </w:tc>
      </w:tr>
      <w:tr>
        <w:trPr>
          <w:trHeight w:val="27"/>
        </w:trPr>
        <w:tc>
          <w:tcPr>
            <w:tcW w:w="4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70,163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57,756</w:t>
            </w: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29,534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29,534</w:t>
            </w:r>
          </w:p>
        </w:tc>
      </w:tr>
      <w:tr>
        <w:trPr>
          <w:trHeight w:val="27"/>
        </w:trPr>
        <w:tc>
          <w:tcPr>
            <w:tcW w:w="4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settlement</w:t>
            </w: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Consumer financing interest</w:t>
            </w: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5,654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5,654</w:t>
            </w:r>
          </w:p>
        </w:tc>
      </w:tr>
      <w:tr>
        <w:trPr>
          <w:trHeight w:val="27"/>
        </w:trPr>
        <w:tc>
          <w:tcPr>
            <w:tcW w:w="4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Royalty fee</w:t>
            </w: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16,307</w:t>
            </w: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110,734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76,086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186,820</w:t>
            </w:r>
          </w:p>
        </w:tc>
      </w:tr>
      <w:tr>
        <w:trPr>
          <w:trHeight w:val="27"/>
        </w:trPr>
        <w:tc>
          <w:tcPr>
            <w:tcW w:w="43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4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EXPENSES</w:t>
            </w:r>
          </w:p>
        </w:tc>
        <w:tc>
          <w:tcPr>
            <w:tcW w:w="13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430,204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59,105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489,309</w:t>
            </w:r>
          </w:p>
        </w:tc>
      </w:tr>
      <w:tr>
        <w:trPr>
          <w:trHeight w:val="237"/>
        </w:trPr>
        <w:tc>
          <w:tcPr>
            <w:tcW w:w="4340" w:type="dxa"/>
            <w:vAlign w:val="bottom"/>
          </w:tcPr>
          <w:p>
            <w:pPr>
              <w:ind w:left="280"/>
              <w:spacing w:after="0"/>
              <w:rPr>
                <w:sz w:val="20"/>
                <w:szCs w:val="20"/>
                <w:color w:val="auto"/>
              </w:rPr>
            </w:pPr>
            <w:r>
              <w:rPr>
                <w:rFonts w:ascii="Arial" w:cs="Arial" w:eastAsia="Arial" w:hAnsi="Arial"/>
                <w:sz w:val="18"/>
                <w:szCs w:val="18"/>
                <w:color w:val="auto"/>
              </w:rPr>
              <w:t>Losses and other expense, net</w:t>
            </w:r>
          </w:p>
        </w:tc>
        <w:tc>
          <w:tcPr>
            <w:tcW w:w="13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27"/>
        </w:trPr>
        <w:tc>
          <w:tcPr>
            <w:tcW w:w="4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w:t>
            </w: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3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65,393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71,104</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(21,117)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(22,918)</w:t>
            </w:r>
          </w:p>
        </w:tc>
      </w:tr>
      <w:tr>
        <w:trPr>
          <w:trHeight w:val="27"/>
        </w:trPr>
        <w:tc>
          <w:tcPr>
            <w:tcW w:w="43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4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44,276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48,186</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 Basic</w:t>
            </w:r>
          </w:p>
        </w:tc>
        <w:tc>
          <w:tcPr>
            <w:tcW w:w="1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Earnings per share - Diluted</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1.72</w:t>
            </w:r>
          </w:p>
        </w:tc>
      </w:tr>
      <w:tr>
        <w:trPr>
          <w:trHeight w:val="486"/>
        </w:trPr>
        <w:tc>
          <w:tcPr>
            <w:tcW w:w="4340" w:type="dxa"/>
            <w:vAlign w:val="bottom"/>
          </w:tcPr>
          <w:p>
            <w:pPr>
              <w:spacing w:after="0"/>
              <w:rPr>
                <w:sz w:val="24"/>
                <w:szCs w:val="24"/>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Income Statement Impact - First Half of 2017</w:t>
      </w: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REVENUES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Sale of vacation ownership products</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300" w:type="dxa"/>
            <w:vAlign w:val="bottom"/>
          </w:tcPr>
          <w:p>
            <w:pPr>
              <w:ind w:left="240"/>
              <w:spacing w:after="0"/>
              <w:rPr>
                <w:sz w:val="20"/>
                <w:szCs w:val="20"/>
                <w:color w:val="auto"/>
              </w:rPr>
            </w:pPr>
            <w:r>
              <w:rPr>
                <w:rFonts w:ascii="Arial" w:cs="Arial" w:eastAsia="Arial" w:hAnsi="Arial"/>
                <w:sz w:val="18"/>
                <w:szCs w:val="18"/>
                <w:color w:val="auto"/>
              </w:rPr>
              <w:t>Resort management and other services</w:t>
            </w:r>
          </w:p>
        </w:tc>
        <w:tc>
          <w:tcPr>
            <w:tcW w:w="1500" w:type="dxa"/>
            <w:vAlign w:val="bottom"/>
          </w:tcPr>
          <w:p>
            <w:pPr>
              <w:spacing w:after="0"/>
              <w:rPr>
                <w:sz w:val="23"/>
                <w:szCs w:val="23"/>
                <w:color w:val="auto"/>
              </w:rPr>
            </w:pPr>
          </w:p>
        </w:tc>
      </w:tr>
      <w:tr>
        <w:trPr>
          <w:trHeight w:val="270"/>
        </w:trPr>
        <w:tc>
          <w:tcPr>
            <w:tcW w:w="4300" w:type="dxa"/>
            <w:vAlign w:val="bottom"/>
          </w:tcPr>
          <w:p>
            <w:pPr>
              <w:ind w:left="240"/>
              <w:spacing w:after="0"/>
              <w:rPr>
                <w:sz w:val="20"/>
                <w:szCs w:val="20"/>
                <w:color w:val="auto"/>
              </w:rPr>
            </w:pPr>
            <w:r>
              <w:rPr>
                <w:rFonts w:ascii="Arial" w:cs="Arial" w:eastAsia="Arial" w:hAnsi="Arial"/>
                <w:sz w:val="18"/>
                <w:szCs w:val="18"/>
                <w:color w:val="auto"/>
              </w:rPr>
              <w:t>Financing</w:t>
            </w:r>
          </w:p>
        </w:tc>
        <w:tc>
          <w:tcPr>
            <w:tcW w:w="1500" w:type="dxa"/>
            <w:vAlign w:val="bottom"/>
          </w:tcPr>
          <w:p>
            <w:pPr>
              <w:spacing w:after="0"/>
              <w:rPr>
                <w:sz w:val="23"/>
                <w:szCs w:val="23"/>
                <w:color w:val="auto"/>
              </w:rPr>
            </w:pPr>
          </w:p>
        </w:tc>
      </w:tr>
      <w:tr>
        <w:trPr>
          <w:trHeight w:val="270"/>
        </w:trPr>
        <w:tc>
          <w:tcPr>
            <w:tcW w:w="4300" w:type="dxa"/>
            <w:vAlign w:val="bottom"/>
          </w:tcPr>
          <w:p>
            <w:pPr>
              <w:ind w:left="240"/>
              <w:spacing w:after="0"/>
              <w:rPr>
                <w:sz w:val="20"/>
                <w:szCs w:val="20"/>
                <w:color w:val="auto"/>
              </w:rPr>
            </w:pPr>
            <w:r>
              <w:rPr>
                <w:rFonts w:ascii="Arial" w:cs="Arial" w:eastAsia="Arial" w:hAnsi="Arial"/>
                <w:sz w:val="18"/>
                <w:szCs w:val="18"/>
                <w:color w:val="auto"/>
              </w:rPr>
              <w:t>Rental</w:t>
            </w:r>
          </w:p>
        </w:tc>
        <w:tc>
          <w:tcPr>
            <w:tcW w:w="1500" w:type="dxa"/>
            <w:vAlign w:val="bottom"/>
          </w:tcPr>
          <w:p>
            <w:pPr>
              <w:spacing w:after="0"/>
              <w:rPr>
                <w:sz w:val="23"/>
                <w:szCs w:val="23"/>
                <w:color w:val="auto"/>
              </w:rPr>
            </w:pPr>
          </w:p>
        </w:tc>
      </w:tr>
      <w:tr>
        <w:trPr>
          <w:trHeight w:val="270"/>
        </w:trPr>
        <w:tc>
          <w:tcPr>
            <w:tcW w:w="4300" w:type="dxa"/>
            <w:vAlign w:val="bottom"/>
          </w:tcPr>
          <w:p>
            <w:pPr>
              <w:ind w:left="240"/>
              <w:spacing w:after="0"/>
              <w:rPr>
                <w:sz w:val="20"/>
                <w:szCs w:val="20"/>
                <w:color w:val="auto"/>
              </w:rPr>
            </w:pPr>
            <w:r>
              <w:rPr>
                <w:rFonts w:ascii="Arial" w:cs="Arial" w:eastAsia="Arial" w:hAnsi="Arial"/>
                <w:sz w:val="18"/>
                <w:szCs w:val="18"/>
                <w:color w:val="auto"/>
              </w:rPr>
              <w:t>Cost reimbursements</w:t>
            </w:r>
          </w:p>
        </w:tc>
        <w:tc>
          <w:tcPr>
            <w:tcW w:w="1500" w:type="dxa"/>
            <w:vAlign w:val="bottom"/>
          </w:tcPr>
          <w:p>
            <w:pPr>
              <w:spacing w:after="0"/>
              <w:rPr>
                <w:sz w:val="23"/>
                <w:szCs w:val="23"/>
                <w:color w:val="auto"/>
              </w:rPr>
            </w:pPr>
          </w:p>
        </w:tc>
      </w:tr>
      <w:tr>
        <w:trPr>
          <w:trHeight w:val="284"/>
        </w:trPr>
        <w:tc>
          <w:tcPr>
            <w:tcW w:w="4300" w:type="dxa"/>
            <w:vAlign w:val="bottom"/>
          </w:tcPr>
          <w:p>
            <w:pPr>
              <w:ind w:left="460"/>
              <w:spacing w:after="0"/>
              <w:rPr>
                <w:sz w:val="20"/>
                <w:szCs w:val="20"/>
                <w:color w:val="auto"/>
              </w:rPr>
            </w:pPr>
            <w:r>
              <w:rPr>
                <w:rFonts w:ascii="Arial" w:cs="Arial" w:eastAsia="Arial" w:hAnsi="Arial"/>
                <w:sz w:val="18"/>
                <w:szCs w:val="18"/>
                <w:b w:val="1"/>
                <w:bCs w:val="1"/>
                <w:color w:val="auto"/>
              </w:rPr>
              <w:t>TOTAL REVENUES</w:t>
            </w:r>
          </w:p>
        </w:tc>
        <w:tc>
          <w:tcPr>
            <w:tcW w:w="1500" w:type="dxa"/>
            <w:vAlign w:val="bottom"/>
          </w:tcPr>
          <w:p>
            <w:pPr>
              <w:spacing w:after="0"/>
              <w:rPr>
                <w:sz w:val="24"/>
                <w:szCs w:val="24"/>
                <w:color w:val="auto"/>
              </w:rPr>
            </w:pPr>
          </w:p>
        </w:tc>
      </w:tr>
      <w:tr>
        <w:trPr>
          <w:trHeight w:val="284"/>
        </w:trPr>
        <w:tc>
          <w:tcPr>
            <w:tcW w:w="43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500" w:type="dxa"/>
            <w:vAlign w:val="bottom"/>
          </w:tcPr>
          <w:p>
            <w:pPr>
              <w:spacing w:after="0"/>
              <w:rPr>
                <w:sz w:val="24"/>
                <w:szCs w:val="24"/>
                <w:color w:val="auto"/>
              </w:rPr>
            </w:pPr>
          </w:p>
        </w:tc>
      </w:tr>
      <w:tr>
        <w:trPr>
          <w:trHeight w:val="270"/>
        </w:trPr>
        <w:tc>
          <w:tcPr>
            <w:tcW w:w="4300" w:type="dxa"/>
            <w:vAlign w:val="bottom"/>
          </w:tcPr>
          <w:p>
            <w:pPr>
              <w:ind w:left="240"/>
              <w:spacing w:after="0"/>
              <w:rPr>
                <w:sz w:val="20"/>
                <w:szCs w:val="20"/>
                <w:color w:val="auto"/>
              </w:rPr>
            </w:pPr>
            <w:r>
              <w:rPr>
                <w:rFonts w:ascii="Arial" w:cs="Arial" w:eastAsia="Arial" w:hAnsi="Arial"/>
                <w:sz w:val="18"/>
                <w:szCs w:val="18"/>
                <w:color w:val="auto"/>
              </w:rPr>
              <w:t>Cost of vacation ownership products</w:t>
            </w:r>
          </w:p>
        </w:tc>
        <w:tc>
          <w:tcPr>
            <w:tcW w:w="1500" w:type="dxa"/>
            <w:vAlign w:val="bottom"/>
          </w:tcPr>
          <w:p>
            <w:pPr>
              <w:spacing w:after="0"/>
              <w:rPr>
                <w:sz w:val="23"/>
                <w:szCs w:val="23"/>
                <w:color w:val="auto"/>
              </w:rPr>
            </w:pPr>
          </w:p>
        </w:tc>
      </w:tr>
      <w:tr>
        <w:trPr>
          <w:trHeight w:val="270"/>
        </w:trPr>
        <w:tc>
          <w:tcPr>
            <w:tcW w:w="4300" w:type="dxa"/>
            <w:vAlign w:val="bottom"/>
          </w:tcPr>
          <w:p>
            <w:pPr>
              <w:ind w:left="240"/>
              <w:spacing w:after="0"/>
              <w:rPr>
                <w:sz w:val="20"/>
                <w:szCs w:val="20"/>
                <w:color w:val="auto"/>
              </w:rPr>
            </w:pPr>
            <w:r>
              <w:rPr>
                <w:rFonts w:ascii="Arial" w:cs="Arial" w:eastAsia="Arial" w:hAnsi="Arial"/>
                <w:sz w:val="18"/>
                <w:szCs w:val="18"/>
                <w:color w:val="auto"/>
              </w:rPr>
              <w:t>Marketing and sales</w:t>
            </w:r>
          </w:p>
        </w:tc>
        <w:tc>
          <w:tcPr>
            <w:tcW w:w="1500" w:type="dxa"/>
            <w:vAlign w:val="bottom"/>
          </w:tcPr>
          <w:p>
            <w:pPr>
              <w:spacing w:after="0"/>
              <w:rPr>
                <w:sz w:val="23"/>
                <w:szCs w:val="23"/>
                <w:color w:val="auto"/>
              </w:rPr>
            </w:pPr>
          </w:p>
        </w:tc>
      </w:tr>
      <w:tr>
        <w:trPr>
          <w:trHeight w:val="270"/>
        </w:trPr>
        <w:tc>
          <w:tcPr>
            <w:tcW w:w="4300" w:type="dxa"/>
            <w:vAlign w:val="bottom"/>
          </w:tcPr>
          <w:p>
            <w:pPr>
              <w:ind w:left="240"/>
              <w:spacing w:after="0"/>
              <w:rPr>
                <w:sz w:val="20"/>
                <w:szCs w:val="20"/>
                <w:color w:val="auto"/>
              </w:rPr>
            </w:pPr>
            <w:r>
              <w:rPr>
                <w:rFonts w:ascii="Arial" w:cs="Arial" w:eastAsia="Arial" w:hAnsi="Arial"/>
                <w:sz w:val="18"/>
                <w:szCs w:val="18"/>
                <w:color w:val="auto"/>
              </w:rPr>
              <w:t>Resort management and other services</w:t>
            </w:r>
          </w:p>
        </w:tc>
        <w:tc>
          <w:tcPr>
            <w:tcW w:w="1500" w:type="dxa"/>
            <w:vAlign w:val="bottom"/>
          </w:tcPr>
          <w:p>
            <w:pPr>
              <w:spacing w:after="0"/>
              <w:rPr>
                <w:sz w:val="23"/>
                <w:szCs w:val="23"/>
                <w:color w:val="auto"/>
              </w:rPr>
            </w:pPr>
          </w:p>
        </w:tc>
      </w:tr>
      <w:tr>
        <w:trPr>
          <w:trHeight w:val="270"/>
        </w:trPr>
        <w:tc>
          <w:tcPr>
            <w:tcW w:w="4300" w:type="dxa"/>
            <w:vAlign w:val="bottom"/>
          </w:tcPr>
          <w:p>
            <w:pPr>
              <w:ind w:left="240"/>
              <w:spacing w:after="0"/>
              <w:rPr>
                <w:sz w:val="20"/>
                <w:szCs w:val="20"/>
                <w:color w:val="auto"/>
              </w:rPr>
            </w:pPr>
            <w:r>
              <w:rPr>
                <w:rFonts w:ascii="Arial" w:cs="Arial" w:eastAsia="Arial" w:hAnsi="Arial"/>
                <w:sz w:val="18"/>
                <w:szCs w:val="18"/>
                <w:color w:val="auto"/>
              </w:rPr>
              <w:t>Financing</w:t>
            </w:r>
          </w:p>
        </w:tc>
        <w:tc>
          <w:tcPr>
            <w:tcW w:w="1500" w:type="dxa"/>
            <w:vAlign w:val="bottom"/>
          </w:tcPr>
          <w:p>
            <w:pPr>
              <w:spacing w:after="0"/>
              <w:rPr>
                <w:sz w:val="23"/>
                <w:szCs w:val="23"/>
                <w:color w:val="auto"/>
              </w:rPr>
            </w:pPr>
          </w:p>
        </w:tc>
      </w:tr>
      <w:tr>
        <w:trPr>
          <w:trHeight w:val="270"/>
        </w:trPr>
        <w:tc>
          <w:tcPr>
            <w:tcW w:w="4300" w:type="dxa"/>
            <w:vAlign w:val="bottom"/>
          </w:tcPr>
          <w:p>
            <w:pPr>
              <w:ind w:left="240"/>
              <w:spacing w:after="0"/>
              <w:rPr>
                <w:sz w:val="20"/>
                <w:szCs w:val="20"/>
                <w:color w:val="auto"/>
              </w:rPr>
            </w:pPr>
            <w:r>
              <w:rPr>
                <w:rFonts w:ascii="Arial" w:cs="Arial" w:eastAsia="Arial" w:hAnsi="Arial"/>
                <w:sz w:val="18"/>
                <w:szCs w:val="18"/>
                <w:color w:val="auto"/>
              </w:rPr>
              <w:t>Rental</w:t>
            </w:r>
          </w:p>
        </w:tc>
        <w:tc>
          <w:tcPr>
            <w:tcW w:w="1500" w:type="dxa"/>
            <w:vAlign w:val="bottom"/>
          </w:tcPr>
          <w:p>
            <w:pPr>
              <w:spacing w:after="0"/>
              <w:rPr>
                <w:sz w:val="23"/>
                <w:szCs w:val="23"/>
                <w:color w:val="auto"/>
              </w:rPr>
            </w:pPr>
          </w:p>
        </w:tc>
      </w:tr>
      <w:tr>
        <w:trPr>
          <w:trHeight w:val="270"/>
        </w:trPr>
        <w:tc>
          <w:tcPr>
            <w:tcW w:w="430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500" w:type="dxa"/>
            <w:vAlign w:val="bottom"/>
          </w:tcPr>
          <w:p>
            <w:pPr>
              <w:spacing w:after="0"/>
              <w:rPr>
                <w:sz w:val="23"/>
                <w:szCs w:val="23"/>
                <w:color w:val="auto"/>
              </w:rPr>
            </w:pPr>
          </w:p>
        </w:tc>
      </w:tr>
      <w:tr>
        <w:trPr>
          <w:trHeight w:val="270"/>
        </w:trPr>
        <w:tc>
          <w:tcPr>
            <w:tcW w:w="4300" w:type="dxa"/>
            <w:vAlign w:val="bottom"/>
          </w:tcPr>
          <w:p>
            <w:pPr>
              <w:ind w:left="240"/>
              <w:spacing w:after="0"/>
              <w:rPr>
                <w:sz w:val="20"/>
                <w:szCs w:val="20"/>
                <w:color w:val="auto"/>
              </w:rPr>
            </w:pPr>
            <w:r>
              <w:rPr>
                <w:rFonts w:ascii="Arial" w:cs="Arial" w:eastAsia="Arial" w:hAnsi="Arial"/>
                <w:sz w:val="18"/>
                <w:szCs w:val="18"/>
                <w:color w:val="auto"/>
              </w:rPr>
              <w:t>Litigation settlement</w:t>
            </w:r>
          </w:p>
        </w:tc>
        <w:tc>
          <w:tcPr>
            <w:tcW w:w="1500" w:type="dxa"/>
            <w:vAlign w:val="bottom"/>
          </w:tcPr>
          <w:p>
            <w:pPr>
              <w:spacing w:after="0"/>
              <w:rPr>
                <w:sz w:val="23"/>
                <w:szCs w:val="23"/>
                <w:color w:val="auto"/>
              </w:rPr>
            </w:pPr>
          </w:p>
        </w:tc>
      </w:tr>
      <w:tr>
        <w:trPr>
          <w:trHeight w:val="270"/>
        </w:trPr>
        <w:tc>
          <w:tcPr>
            <w:tcW w:w="4300" w:type="dxa"/>
            <w:vAlign w:val="bottom"/>
          </w:tcPr>
          <w:p>
            <w:pPr>
              <w:ind w:left="240"/>
              <w:spacing w:after="0"/>
              <w:rPr>
                <w:sz w:val="20"/>
                <w:szCs w:val="20"/>
                <w:color w:val="auto"/>
              </w:rPr>
            </w:pPr>
            <w:r>
              <w:rPr>
                <w:rFonts w:ascii="Arial" w:cs="Arial" w:eastAsia="Arial" w:hAnsi="Arial"/>
                <w:sz w:val="18"/>
                <w:szCs w:val="18"/>
                <w:color w:val="auto"/>
              </w:rPr>
              <w:t>Consumer financing interest</w:t>
            </w:r>
          </w:p>
        </w:tc>
        <w:tc>
          <w:tcPr>
            <w:tcW w:w="1500" w:type="dxa"/>
            <w:vAlign w:val="bottom"/>
          </w:tcPr>
          <w:p>
            <w:pPr>
              <w:spacing w:after="0"/>
              <w:rPr>
                <w:sz w:val="23"/>
                <w:szCs w:val="23"/>
                <w:color w:val="auto"/>
              </w:rPr>
            </w:pPr>
          </w:p>
        </w:tc>
      </w:tr>
      <w:tr>
        <w:trPr>
          <w:trHeight w:val="270"/>
        </w:trPr>
        <w:tc>
          <w:tcPr>
            <w:tcW w:w="4300" w:type="dxa"/>
            <w:vAlign w:val="bottom"/>
          </w:tcPr>
          <w:p>
            <w:pPr>
              <w:ind w:left="240"/>
              <w:spacing w:after="0"/>
              <w:rPr>
                <w:sz w:val="20"/>
                <w:szCs w:val="20"/>
                <w:color w:val="auto"/>
              </w:rPr>
            </w:pPr>
            <w:r>
              <w:rPr>
                <w:rFonts w:ascii="Arial" w:cs="Arial" w:eastAsia="Arial" w:hAnsi="Arial"/>
                <w:sz w:val="18"/>
                <w:szCs w:val="18"/>
                <w:color w:val="auto"/>
              </w:rPr>
              <w:t>Royalty fee</w:t>
            </w:r>
          </w:p>
        </w:tc>
        <w:tc>
          <w:tcPr>
            <w:tcW w:w="1500" w:type="dxa"/>
            <w:vAlign w:val="bottom"/>
          </w:tcPr>
          <w:p>
            <w:pPr>
              <w:spacing w:after="0"/>
              <w:rPr>
                <w:sz w:val="23"/>
                <w:szCs w:val="23"/>
                <w:color w:val="auto"/>
              </w:rPr>
            </w:pPr>
          </w:p>
        </w:tc>
      </w:tr>
      <w:tr>
        <w:trPr>
          <w:trHeight w:val="270"/>
        </w:trPr>
        <w:tc>
          <w:tcPr>
            <w:tcW w:w="4300" w:type="dxa"/>
            <w:vAlign w:val="bottom"/>
          </w:tcPr>
          <w:p>
            <w:pPr>
              <w:ind w:left="240"/>
              <w:spacing w:after="0"/>
              <w:rPr>
                <w:sz w:val="20"/>
                <w:szCs w:val="20"/>
                <w:color w:val="auto"/>
              </w:rPr>
            </w:pPr>
            <w:r>
              <w:rPr>
                <w:rFonts w:ascii="Arial" w:cs="Arial" w:eastAsia="Arial" w:hAnsi="Arial"/>
                <w:sz w:val="18"/>
                <w:szCs w:val="18"/>
                <w:color w:val="auto"/>
              </w:rPr>
              <w:t>Cost reimbursements</w:t>
            </w:r>
          </w:p>
        </w:tc>
        <w:tc>
          <w:tcPr>
            <w:tcW w:w="1500" w:type="dxa"/>
            <w:vAlign w:val="bottom"/>
          </w:tcPr>
          <w:p>
            <w:pPr>
              <w:spacing w:after="0"/>
              <w:rPr>
                <w:sz w:val="23"/>
                <w:szCs w:val="23"/>
                <w:color w:val="auto"/>
              </w:rPr>
            </w:pPr>
          </w:p>
        </w:tc>
      </w:tr>
      <w:tr>
        <w:trPr>
          <w:trHeight w:val="284"/>
        </w:trPr>
        <w:tc>
          <w:tcPr>
            <w:tcW w:w="4300" w:type="dxa"/>
            <w:vAlign w:val="bottom"/>
          </w:tcPr>
          <w:p>
            <w:pPr>
              <w:ind w:left="460"/>
              <w:spacing w:after="0"/>
              <w:rPr>
                <w:sz w:val="20"/>
                <w:szCs w:val="20"/>
                <w:color w:val="auto"/>
              </w:rPr>
            </w:pPr>
            <w:r>
              <w:rPr>
                <w:rFonts w:ascii="Arial" w:cs="Arial" w:eastAsia="Arial" w:hAnsi="Arial"/>
                <w:sz w:val="18"/>
                <w:szCs w:val="18"/>
                <w:b w:val="1"/>
                <w:bCs w:val="1"/>
                <w:color w:val="auto"/>
              </w:rPr>
              <w:t>TOTAL EXPENSES</w:t>
            </w:r>
          </w:p>
        </w:tc>
        <w:tc>
          <w:tcPr>
            <w:tcW w:w="1500" w:type="dxa"/>
            <w:vAlign w:val="bottom"/>
          </w:tcPr>
          <w:p>
            <w:pPr>
              <w:spacing w:after="0"/>
              <w:rPr>
                <w:sz w:val="24"/>
                <w:szCs w:val="24"/>
                <w:color w:val="auto"/>
              </w:rPr>
            </w:pPr>
          </w:p>
        </w:tc>
      </w:tr>
      <w:tr>
        <w:trPr>
          <w:trHeight w:val="284"/>
        </w:trPr>
        <w:tc>
          <w:tcPr>
            <w:tcW w:w="4300" w:type="dxa"/>
            <w:vAlign w:val="bottom"/>
          </w:tcPr>
          <w:p>
            <w:pPr>
              <w:ind w:left="240"/>
              <w:spacing w:after="0"/>
              <w:rPr>
                <w:sz w:val="20"/>
                <w:szCs w:val="20"/>
                <w:color w:val="auto"/>
              </w:rPr>
            </w:pPr>
            <w:r>
              <w:rPr>
                <w:rFonts w:ascii="Arial" w:cs="Arial" w:eastAsia="Arial" w:hAnsi="Arial"/>
                <w:sz w:val="18"/>
                <w:szCs w:val="18"/>
                <w:color w:val="auto"/>
              </w:rPr>
              <w:t>Losses and other expense, net</w:t>
            </w:r>
          </w:p>
        </w:tc>
        <w:tc>
          <w:tcPr>
            <w:tcW w:w="1500" w:type="dxa"/>
            <w:vAlign w:val="bottom"/>
          </w:tcPr>
          <w:p>
            <w:pPr>
              <w:spacing w:after="0"/>
              <w:rPr>
                <w:sz w:val="24"/>
                <w:szCs w:val="24"/>
                <w:color w:val="auto"/>
              </w:rPr>
            </w:pPr>
          </w:p>
        </w:tc>
      </w:tr>
      <w:tr>
        <w:trPr>
          <w:trHeight w:val="270"/>
        </w:trPr>
        <w:tc>
          <w:tcPr>
            <w:tcW w:w="43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500" w:type="dxa"/>
            <w:vAlign w:val="bottom"/>
          </w:tcPr>
          <w:p>
            <w:pPr>
              <w:spacing w:after="0"/>
              <w:rPr>
                <w:sz w:val="23"/>
                <w:szCs w:val="23"/>
                <w:color w:val="auto"/>
              </w:rPr>
            </w:pPr>
          </w:p>
        </w:tc>
      </w:tr>
      <w:tr>
        <w:trPr>
          <w:trHeight w:val="270"/>
        </w:trPr>
        <w:tc>
          <w:tcPr>
            <w:tcW w:w="4300" w:type="dxa"/>
            <w:vAlign w:val="bottom"/>
          </w:tcPr>
          <w:p>
            <w:pPr>
              <w:ind w:left="240"/>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23"/>
                <w:szCs w:val="23"/>
                <w:color w:val="auto"/>
              </w:rPr>
            </w:pPr>
          </w:p>
        </w:tc>
      </w:tr>
      <w:tr>
        <w:trPr>
          <w:trHeight w:val="284"/>
        </w:trPr>
        <w:tc>
          <w:tcPr>
            <w:tcW w:w="430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1500" w:type="dxa"/>
            <w:vAlign w:val="bottom"/>
          </w:tcPr>
          <w:p>
            <w:pPr>
              <w:spacing w:after="0"/>
              <w:rPr>
                <w:sz w:val="24"/>
                <w:szCs w:val="24"/>
                <w:color w:val="auto"/>
              </w:rPr>
            </w:pPr>
          </w:p>
        </w:tc>
      </w:tr>
      <w:tr>
        <w:trPr>
          <w:trHeight w:val="270"/>
        </w:trPr>
        <w:tc>
          <w:tcPr>
            <w:tcW w:w="43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500" w:type="dxa"/>
            <w:vAlign w:val="bottom"/>
          </w:tcPr>
          <w:p>
            <w:pPr>
              <w:spacing w:after="0"/>
              <w:rPr>
                <w:sz w:val="23"/>
                <w:szCs w:val="23"/>
                <w:color w:val="auto"/>
              </w:rPr>
            </w:pPr>
          </w:p>
        </w:tc>
      </w:tr>
      <w:tr>
        <w:trPr>
          <w:trHeight w:val="297"/>
        </w:trPr>
        <w:tc>
          <w:tcPr>
            <w:tcW w:w="43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94"/>
        </w:trPr>
        <w:tc>
          <w:tcPr>
            <w:tcW w:w="4300" w:type="dxa"/>
            <w:vAlign w:val="bottom"/>
          </w:tcPr>
          <w:p>
            <w:pPr>
              <w:spacing w:after="0"/>
              <w:rPr>
                <w:sz w:val="20"/>
                <w:szCs w:val="20"/>
                <w:color w:val="auto"/>
              </w:rPr>
            </w:pPr>
            <w:r>
              <w:rPr>
                <w:rFonts w:ascii="Arial" w:cs="Arial" w:eastAsia="Arial" w:hAnsi="Arial"/>
                <w:sz w:val="18"/>
                <w:szCs w:val="18"/>
                <w:color w:val="auto"/>
              </w:rPr>
              <w:t>Earnings per share - Basic</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300" w:type="dxa"/>
            <w:vAlign w:val="bottom"/>
          </w:tcPr>
          <w:p>
            <w:pPr>
              <w:spacing w:after="0"/>
              <w:rPr>
                <w:sz w:val="20"/>
                <w:szCs w:val="20"/>
                <w:color w:val="auto"/>
              </w:rPr>
            </w:pPr>
            <w:r>
              <w:rPr>
                <w:rFonts w:ascii="Arial" w:cs="Arial" w:eastAsia="Arial" w:hAnsi="Arial"/>
                <w:sz w:val="18"/>
                <w:szCs w:val="18"/>
                <w:color w:val="auto"/>
              </w:rPr>
              <w:t>Earnings per share - Diluted</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86"/>
        </w:trPr>
        <w:tc>
          <w:tcPr>
            <w:tcW w:w="43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-4844415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-4501515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-3798570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-3455670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-3112135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-2769235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-2426335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-1723390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-1028700</wp:posOffset>
            </wp:positionV>
            <wp:extent cx="72466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-1379855</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-2083435</wp:posOffset>
            </wp:positionV>
            <wp:extent cx="724662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-4158615</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460"/>
        <w:spacing w:after="0"/>
        <w:rPr>
          <w:sz w:val="20"/>
          <w:szCs w:val="20"/>
          <w:color w:val="auto"/>
        </w:rPr>
      </w:pPr>
      <w:r>
        <w:rPr>
          <w:rFonts w:ascii="Arial" w:cs="Arial" w:eastAsia="Arial" w:hAnsi="Arial"/>
          <w:sz w:val="16"/>
          <w:szCs w:val="16"/>
          <w:b w:val="1"/>
          <w:bCs w:val="1"/>
          <w:color w:val="auto"/>
        </w:rPr>
        <w:t>Six Months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37465</wp:posOffset>
            </wp:positionV>
            <wp:extent cx="3618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60" w:type="dxa"/>
            <w:vAlign w:val="bottom"/>
          </w:tcPr>
          <w:p>
            <w:pPr>
              <w:jc w:val="right"/>
              <w:ind w:right="490"/>
              <w:spacing w:after="0"/>
              <w:rPr>
                <w:sz w:val="20"/>
                <w:szCs w:val="20"/>
                <w:color w:val="auto"/>
              </w:rPr>
            </w:pPr>
            <w:r>
              <w:rPr>
                <w:rFonts w:ascii="Arial" w:cs="Arial" w:eastAsia="Arial" w:hAnsi="Arial"/>
                <w:sz w:val="16"/>
                <w:szCs w:val="16"/>
                <w:b w:val="1"/>
                <w:bCs w:val="1"/>
                <w:color w:val="auto"/>
                <w:w w:val="90"/>
              </w:rPr>
              <w:t>As Reported</w:t>
            </w:r>
          </w:p>
        </w:tc>
        <w:tc>
          <w:tcPr>
            <w:tcW w:w="300" w:type="dxa"/>
            <w:vAlign w:val="bottom"/>
          </w:tcPr>
          <w:p>
            <w:pPr>
              <w:spacing w:after="0"/>
              <w:rPr>
                <w:sz w:val="18"/>
                <w:szCs w:val="18"/>
                <w:color w:val="auto"/>
              </w:rPr>
            </w:pPr>
          </w:p>
        </w:tc>
        <w:tc>
          <w:tcPr>
            <w:tcW w:w="1640" w:type="dxa"/>
            <w:vAlign w:val="bottom"/>
            <w:gridSpan w:val="2"/>
          </w:tcPr>
          <w:p>
            <w:pPr>
              <w:ind w:left="180"/>
              <w:spacing w:after="0"/>
              <w:rPr>
                <w:sz w:val="20"/>
                <w:szCs w:val="20"/>
                <w:color w:val="auto"/>
              </w:rPr>
            </w:pPr>
            <w:r>
              <w:rPr>
                <w:rFonts w:ascii="Arial" w:cs="Arial" w:eastAsia="Arial" w:hAnsi="Arial"/>
                <w:sz w:val="16"/>
                <w:szCs w:val="16"/>
                <w:b w:val="1"/>
                <w:bCs w:val="1"/>
                <w:color w:val="auto"/>
              </w:rPr>
              <w:t>Adjustments</w:t>
            </w:r>
          </w:p>
        </w:tc>
        <w:tc>
          <w:tcPr>
            <w:tcW w:w="300" w:type="dxa"/>
            <w:vAlign w:val="bottom"/>
          </w:tcPr>
          <w:p>
            <w:pPr>
              <w:spacing w:after="0"/>
              <w:rPr>
                <w:sz w:val="18"/>
                <w:szCs w:val="18"/>
                <w:color w:val="auto"/>
              </w:rPr>
            </w:pPr>
          </w:p>
        </w:tc>
        <w:tc>
          <w:tcPr>
            <w:tcW w:w="1520" w:type="dxa"/>
            <w:vAlign w:val="bottom"/>
          </w:tcPr>
          <w:p>
            <w:pPr>
              <w:jc w:val="right"/>
              <w:ind w:right="390"/>
              <w:spacing w:after="0"/>
              <w:rPr>
                <w:sz w:val="20"/>
                <w:szCs w:val="20"/>
                <w:color w:val="auto"/>
              </w:rPr>
            </w:pPr>
            <w:r>
              <w:rPr>
                <w:rFonts w:ascii="Arial" w:cs="Arial" w:eastAsia="Arial" w:hAnsi="Arial"/>
                <w:sz w:val="16"/>
                <w:szCs w:val="16"/>
                <w:b w:val="1"/>
                <w:bCs w:val="1"/>
                <w:color w:val="auto"/>
              </w:rPr>
              <w:t>As Adjusted</w:t>
            </w:r>
          </w:p>
        </w:tc>
      </w:tr>
      <w:tr>
        <w:trPr>
          <w:trHeight w:val="33"/>
        </w:trPr>
        <w:tc>
          <w:tcPr>
            <w:tcW w:w="1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507"/>
        </w:trPr>
        <w:tc>
          <w:tcPr>
            <w:tcW w:w="1460" w:type="dxa"/>
            <w:vAlign w:val="bottom"/>
          </w:tcPr>
          <w:p>
            <w:pPr>
              <w:jc w:val="right"/>
              <w:ind w:right="130"/>
              <w:spacing w:after="0"/>
              <w:rPr>
                <w:sz w:val="20"/>
                <w:szCs w:val="20"/>
                <w:color w:val="auto"/>
              </w:rPr>
            </w:pPr>
            <w:r>
              <w:rPr>
                <w:rFonts w:ascii="Arial" w:cs="Arial" w:eastAsia="Arial" w:hAnsi="Arial"/>
                <w:sz w:val="18"/>
                <w:szCs w:val="18"/>
                <w:color w:val="auto"/>
              </w:rPr>
              <w:t>363,165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2,568</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365,733</w:t>
            </w:r>
          </w:p>
        </w:tc>
      </w:tr>
      <w:tr>
        <w:trPr>
          <w:trHeight w:val="270"/>
        </w:trPr>
        <w:tc>
          <w:tcPr>
            <w:tcW w:w="1460" w:type="dxa"/>
            <w:vAlign w:val="bottom"/>
          </w:tcPr>
          <w:p>
            <w:pPr>
              <w:jc w:val="right"/>
              <w:ind w:right="130"/>
              <w:spacing w:after="0"/>
              <w:rPr>
                <w:sz w:val="20"/>
                <w:szCs w:val="20"/>
                <w:color w:val="auto"/>
              </w:rPr>
            </w:pPr>
            <w:r>
              <w:rPr>
                <w:rFonts w:ascii="Arial" w:cs="Arial" w:eastAsia="Arial" w:hAnsi="Arial"/>
                <w:sz w:val="18"/>
                <w:szCs w:val="18"/>
                <w:color w:val="auto"/>
              </w:rPr>
              <w:t>152,122</w:t>
            </w:r>
          </w:p>
        </w:tc>
        <w:tc>
          <w:tcPr>
            <w:tcW w:w="3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(12,763)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139,359</w:t>
            </w:r>
          </w:p>
        </w:tc>
      </w:tr>
      <w:tr>
        <w:trPr>
          <w:trHeight w:val="270"/>
        </w:trPr>
        <w:tc>
          <w:tcPr>
            <w:tcW w:w="1460" w:type="dxa"/>
            <w:vAlign w:val="bottom"/>
          </w:tcPr>
          <w:p>
            <w:pPr>
              <w:jc w:val="right"/>
              <w:ind w:right="130"/>
              <w:spacing w:after="0"/>
              <w:rPr>
                <w:sz w:val="20"/>
                <w:szCs w:val="20"/>
                <w:color w:val="auto"/>
              </w:rPr>
            </w:pPr>
            <w:r>
              <w:rPr>
                <w:rFonts w:ascii="Arial" w:cs="Arial" w:eastAsia="Arial" w:hAnsi="Arial"/>
                <w:sz w:val="18"/>
                <w:szCs w:val="18"/>
                <w:color w:val="auto"/>
              </w:rPr>
              <w:t>64,641</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64,641</w:t>
            </w:r>
          </w:p>
        </w:tc>
      </w:tr>
      <w:tr>
        <w:trPr>
          <w:trHeight w:val="270"/>
        </w:trPr>
        <w:tc>
          <w:tcPr>
            <w:tcW w:w="1460" w:type="dxa"/>
            <w:vAlign w:val="bottom"/>
          </w:tcPr>
          <w:p>
            <w:pPr>
              <w:jc w:val="right"/>
              <w:ind w:right="130"/>
              <w:spacing w:after="0"/>
              <w:rPr>
                <w:sz w:val="20"/>
                <w:szCs w:val="20"/>
                <w:color w:val="auto"/>
              </w:rPr>
            </w:pPr>
            <w:r>
              <w:rPr>
                <w:rFonts w:ascii="Arial" w:cs="Arial" w:eastAsia="Arial" w:hAnsi="Arial"/>
                <w:sz w:val="18"/>
                <w:szCs w:val="18"/>
                <w:color w:val="auto"/>
              </w:rPr>
              <w:t>169,444</w:t>
            </w:r>
          </w:p>
        </w:tc>
        <w:tc>
          <w:tcPr>
            <w:tcW w:w="3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(32,475)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136,969</w:t>
            </w:r>
          </w:p>
        </w:tc>
      </w:tr>
      <w:tr>
        <w:trPr>
          <w:trHeight w:val="270"/>
        </w:trPr>
        <w:tc>
          <w:tcPr>
            <w:tcW w:w="1460" w:type="dxa"/>
            <w:vAlign w:val="bottom"/>
          </w:tcPr>
          <w:p>
            <w:pPr>
              <w:jc w:val="right"/>
              <w:ind w:right="130"/>
              <w:spacing w:after="0"/>
              <w:rPr>
                <w:sz w:val="20"/>
                <w:szCs w:val="20"/>
                <w:color w:val="auto"/>
              </w:rPr>
            </w:pPr>
            <w:r>
              <w:rPr>
                <w:rFonts w:ascii="Arial" w:cs="Arial" w:eastAsia="Arial" w:hAnsi="Arial"/>
                <w:sz w:val="18"/>
                <w:szCs w:val="18"/>
                <w:color w:val="auto"/>
              </w:rPr>
              <w:t>234,367</w:t>
            </w: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149,667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384,034</w:t>
            </w:r>
          </w:p>
        </w:tc>
      </w:tr>
      <w:tr>
        <w:trPr>
          <w:trHeight w:val="27"/>
        </w:trPr>
        <w:tc>
          <w:tcPr>
            <w:tcW w:w="1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1460" w:type="dxa"/>
            <w:vAlign w:val="bottom"/>
          </w:tcPr>
          <w:p>
            <w:pPr>
              <w:jc w:val="right"/>
              <w:ind w:right="130"/>
              <w:spacing w:after="0"/>
              <w:rPr>
                <w:sz w:val="20"/>
                <w:szCs w:val="20"/>
                <w:color w:val="auto"/>
              </w:rPr>
            </w:pPr>
            <w:r>
              <w:rPr>
                <w:rFonts w:ascii="Arial" w:cs="Arial" w:eastAsia="Arial" w:hAnsi="Arial"/>
                <w:sz w:val="18"/>
                <w:szCs w:val="18"/>
                <w:color w:val="auto"/>
              </w:rPr>
              <w:t>983,739</w:t>
            </w:r>
          </w:p>
        </w:tc>
        <w:tc>
          <w:tcPr>
            <w:tcW w:w="300" w:type="dxa"/>
            <w:vAlign w:val="bottom"/>
          </w:tcPr>
          <w:p>
            <w:pPr>
              <w:spacing w:after="0"/>
              <w:rPr>
                <w:sz w:val="20"/>
                <w:szCs w:val="20"/>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106,997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1,090,736</w:t>
            </w:r>
          </w:p>
        </w:tc>
      </w:tr>
      <w:tr>
        <w:trPr>
          <w:trHeight w:val="27"/>
        </w:trPr>
        <w:tc>
          <w:tcPr>
            <w:tcW w:w="1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507"/>
        </w:trPr>
        <w:tc>
          <w:tcPr>
            <w:tcW w:w="1460" w:type="dxa"/>
            <w:vAlign w:val="bottom"/>
          </w:tcPr>
          <w:p>
            <w:pPr>
              <w:jc w:val="right"/>
              <w:ind w:right="130"/>
              <w:spacing w:after="0"/>
              <w:rPr>
                <w:sz w:val="20"/>
                <w:szCs w:val="20"/>
                <w:color w:val="auto"/>
              </w:rPr>
            </w:pPr>
            <w:r>
              <w:rPr>
                <w:rFonts w:ascii="Arial" w:cs="Arial" w:eastAsia="Arial" w:hAnsi="Arial"/>
                <w:sz w:val="18"/>
                <w:szCs w:val="18"/>
                <w:color w:val="auto"/>
              </w:rPr>
              <w:t>88,763</w:t>
            </w:r>
          </w:p>
        </w:tc>
        <w:tc>
          <w:tcPr>
            <w:tcW w:w="300" w:type="dxa"/>
            <w:vAlign w:val="bottom"/>
          </w:tcPr>
          <w:p>
            <w:pPr>
              <w:spacing w:after="0"/>
              <w:rPr>
                <w:sz w:val="24"/>
                <w:szCs w:val="24"/>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6,033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94,796</w:t>
            </w:r>
          </w:p>
        </w:tc>
      </w:tr>
      <w:tr>
        <w:trPr>
          <w:trHeight w:val="270"/>
        </w:trPr>
        <w:tc>
          <w:tcPr>
            <w:tcW w:w="1460" w:type="dxa"/>
            <w:vAlign w:val="bottom"/>
          </w:tcPr>
          <w:p>
            <w:pPr>
              <w:jc w:val="right"/>
              <w:ind w:right="130"/>
              <w:spacing w:after="0"/>
              <w:rPr>
                <w:sz w:val="20"/>
                <w:szCs w:val="20"/>
                <w:color w:val="auto"/>
              </w:rPr>
            </w:pPr>
            <w:r>
              <w:rPr>
                <w:rFonts w:ascii="Arial" w:cs="Arial" w:eastAsia="Arial" w:hAnsi="Arial"/>
                <w:sz w:val="18"/>
                <w:szCs w:val="18"/>
                <w:color w:val="auto"/>
              </w:rPr>
              <w:t>204,690</w:t>
            </w:r>
          </w:p>
        </w:tc>
        <w:tc>
          <w:tcPr>
            <w:tcW w:w="3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(8,024)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196,666</w:t>
            </w:r>
          </w:p>
        </w:tc>
      </w:tr>
      <w:tr>
        <w:trPr>
          <w:trHeight w:val="270"/>
        </w:trPr>
        <w:tc>
          <w:tcPr>
            <w:tcW w:w="1460" w:type="dxa"/>
            <w:vAlign w:val="bottom"/>
          </w:tcPr>
          <w:p>
            <w:pPr>
              <w:jc w:val="right"/>
              <w:ind w:right="130"/>
              <w:spacing w:after="0"/>
              <w:rPr>
                <w:sz w:val="20"/>
                <w:szCs w:val="20"/>
                <w:color w:val="auto"/>
              </w:rPr>
            </w:pPr>
            <w:r>
              <w:rPr>
                <w:rFonts w:ascii="Arial" w:cs="Arial" w:eastAsia="Arial" w:hAnsi="Arial"/>
                <w:sz w:val="18"/>
                <w:szCs w:val="18"/>
                <w:color w:val="auto"/>
              </w:rPr>
              <w:t>85,653</w:t>
            </w:r>
          </w:p>
        </w:tc>
        <w:tc>
          <w:tcPr>
            <w:tcW w:w="3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(8,769)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76,884</w:t>
            </w:r>
          </w:p>
        </w:tc>
      </w:tr>
      <w:tr>
        <w:trPr>
          <w:trHeight w:val="270"/>
        </w:trPr>
        <w:tc>
          <w:tcPr>
            <w:tcW w:w="1460" w:type="dxa"/>
            <w:vAlign w:val="bottom"/>
          </w:tcPr>
          <w:p>
            <w:pPr>
              <w:jc w:val="right"/>
              <w:ind w:right="130"/>
              <w:spacing w:after="0"/>
              <w:rPr>
                <w:sz w:val="20"/>
                <w:szCs w:val="20"/>
                <w:color w:val="auto"/>
              </w:rPr>
            </w:pPr>
            <w:r>
              <w:rPr>
                <w:rFonts w:ascii="Arial" w:cs="Arial" w:eastAsia="Arial" w:hAnsi="Arial"/>
                <w:sz w:val="18"/>
                <w:szCs w:val="18"/>
                <w:color w:val="auto"/>
              </w:rPr>
              <w:t>7,466</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7,466</w:t>
            </w:r>
          </w:p>
        </w:tc>
      </w:tr>
      <w:tr>
        <w:trPr>
          <w:trHeight w:val="270"/>
        </w:trPr>
        <w:tc>
          <w:tcPr>
            <w:tcW w:w="1460" w:type="dxa"/>
            <w:vAlign w:val="bottom"/>
          </w:tcPr>
          <w:p>
            <w:pPr>
              <w:jc w:val="right"/>
              <w:ind w:right="130"/>
              <w:spacing w:after="0"/>
              <w:rPr>
                <w:sz w:val="20"/>
                <w:szCs w:val="20"/>
                <w:color w:val="auto"/>
              </w:rPr>
            </w:pPr>
            <w:r>
              <w:rPr>
                <w:rFonts w:ascii="Arial" w:cs="Arial" w:eastAsia="Arial" w:hAnsi="Arial"/>
                <w:sz w:val="18"/>
                <w:szCs w:val="18"/>
                <w:color w:val="auto"/>
              </w:rPr>
              <w:t>140,595</w:t>
            </w:r>
          </w:p>
        </w:tc>
        <w:tc>
          <w:tcPr>
            <w:tcW w:w="3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(29,131)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111,464</w:t>
            </w:r>
          </w:p>
        </w:tc>
      </w:tr>
      <w:tr>
        <w:trPr>
          <w:trHeight w:val="270"/>
        </w:trPr>
        <w:tc>
          <w:tcPr>
            <w:tcW w:w="1460" w:type="dxa"/>
            <w:vAlign w:val="bottom"/>
          </w:tcPr>
          <w:p>
            <w:pPr>
              <w:jc w:val="right"/>
              <w:ind w:right="130"/>
              <w:spacing w:after="0"/>
              <w:rPr>
                <w:sz w:val="20"/>
                <w:szCs w:val="20"/>
                <w:color w:val="auto"/>
              </w:rPr>
            </w:pPr>
            <w:r>
              <w:rPr>
                <w:rFonts w:ascii="Arial" w:cs="Arial" w:eastAsia="Arial" w:hAnsi="Arial"/>
                <w:sz w:val="18"/>
                <w:szCs w:val="18"/>
                <w:color w:val="auto"/>
              </w:rPr>
              <w:t>57,073</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57,073</w:t>
            </w:r>
          </w:p>
        </w:tc>
      </w:tr>
      <w:tr>
        <w:trPr>
          <w:trHeight w:val="270"/>
        </w:trPr>
        <w:tc>
          <w:tcPr>
            <w:tcW w:w="1460" w:type="dxa"/>
            <w:vAlign w:val="bottom"/>
          </w:tcPr>
          <w:p>
            <w:pPr>
              <w:jc w:val="right"/>
              <w:ind w:right="130"/>
              <w:spacing w:after="0"/>
              <w:rPr>
                <w:sz w:val="20"/>
                <w:szCs w:val="20"/>
                <w:color w:val="auto"/>
              </w:rPr>
            </w:pPr>
            <w:r>
              <w:rPr>
                <w:rFonts w:ascii="Arial" w:cs="Arial" w:eastAsia="Arial" w:hAnsi="Arial"/>
                <w:sz w:val="18"/>
                <w:szCs w:val="18"/>
                <w:color w:val="auto"/>
              </w:rPr>
              <w:t>183</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183</w:t>
            </w:r>
          </w:p>
        </w:tc>
      </w:tr>
      <w:tr>
        <w:trPr>
          <w:trHeight w:val="270"/>
        </w:trPr>
        <w:tc>
          <w:tcPr>
            <w:tcW w:w="1460" w:type="dxa"/>
            <w:vAlign w:val="bottom"/>
          </w:tcPr>
          <w:p>
            <w:pPr>
              <w:jc w:val="right"/>
              <w:ind w:right="130"/>
              <w:spacing w:after="0"/>
              <w:rPr>
                <w:sz w:val="20"/>
                <w:szCs w:val="20"/>
                <w:color w:val="auto"/>
              </w:rPr>
            </w:pPr>
            <w:r>
              <w:rPr>
                <w:rFonts w:ascii="Arial" w:cs="Arial" w:eastAsia="Arial" w:hAnsi="Arial"/>
                <w:sz w:val="18"/>
                <w:szCs w:val="18"/>
                <w:color w:val="auto"/>
              </w:rPr>
              <w:t>11,592</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11,592</w:t>
            </w:r>
          </w:p>
        </w:tc>
      </w:tr>
      <w:tr>
        <w:trPr>
          <w:trHeight w:val="270"/>
        </w:trPr>
        <w:tc>
          <w:tcPr>
            <w:tcW w:w="1460" w:type="dxa"/>
            <w:vAlign w:val="bottom"/>
          </w:tcPr>
          <w:p>
            <w:pPr>
              <w:jc w:val="right"/>
              <w:ind w:right="130"/>
              <w:spacing w:after="0"/>
              <w:rPr>
                <w:sz w:val="20"/>
                <w:szCs w:val="20"/>
                <w:color w:val="auto"/>
              </w:rPr>
            </w:pPr>
            <w:r>
              <w:rPr>
                <w:rFonts w:ascii="Arial" w:cs="Arial" w:eastAsia="Arial" w:hAnsi="Arial"/>
                <w:sz w:val="18"/>
                <w:szCs w:val="18"/>
                <w:color w:val="auto"/>
              </w:rPr>
              <w:t>32,377</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32,377</w:t>
            </w:r>
          </w:p>
        </w:tc>
      </w:tr>
      <w:tr>
        <w:trPr>
          <w:trHeight w:val="270"/>
        </w:trPr>
        <w:tc>
          <w:tcPr>
            <w:tcW w:w="1460" w:type="dxa"/>
            <w:vAlign w:val="bottom"/>
          </w:tcPr>
          <w:p>
            <w:pPr>
              <w:jc w:val="right"/>
              <w:ind w:right="130"/>
              <w:spacing w:after="0"/>
              <w:rPr>
                <w:sz w:val="20"/>
                <w:szCs w:val="20"/>
                <w:color w:val="auto"/>
              </w:rPr>
            </w:pPr>
            <w:r>
              <w:rPr>
                <w:rFonts w:ascii="Arial" w:cs="Arial" w:eastAsia="Arial" w:hAnsi="Arial"/>
                <w:sz w:val="18"/>
                <w:szCs w:val="18"/>
                <w:color w:val="auto"/>
              </w:rPr>
              <w:t>234,367</w:t>
            </w: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149,667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384,034</w:t>
            </w:r>
          </w:p>
        </w:tc>
      </w:tr>
      <w:tr>
        <w:trPr>
          <w:trHeight w:val="27"/>
        </w:trPr>
        <w:tc>
          <w:tcPr>
            <w:tcW w:w="1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1460" w:type="dxa"/>
            <w:vAlign w:val="bottom"/>
          </w:tcPr>
          <w:p>
            <w:pPr>
              <w:jc w:val="right"/>
              <w:ind w:right="130"/>
              <w:spacing w:after="0"/>
              <w:rPr>
                <w:sz w:val="20"/>
                <w:szCs w:val="20"/>
                <w:color w:val="auto"/>
              </w:rPr>
            </w:pPr>
            <w:r>
              <w:rPr>
                <w:rFonts w:ascii="Arial" w:cs="Arial" w:eastAsia="Arial" w:hAnsi="Arial"/>
                <w:sz w:val="18"/>
                <w:szCs w:val="18"/>
                <w:color w:val="auto"/>
              </w:rPr>
              <w:t>862,759</w:t>
            </w:r>
          </w:p>
        </w:tc>
        <w:tc>
          <w:tcPr>
            <w:tcW w:w="300" w:type="dxa"/>
            <w:vAlign w:val="bottom"/>
          </w:tcPr>
          <w:p>
            <w:pPr>
              <w:spacing w:after="0"/>
              <w:rPr>
                <w:sz w:val="20"/>
                <w:szCs w:val="20"/>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109,776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972,535</w:t>
            </w:r>
          </w:p>
        </w:tc>
      </w:tr>
      <w:tr>
        <w:trPr>
          <w:trHeight w:val="27"/>
        </w:trPr>
        <w:tc>
          <w:tcPr>
            <w:tcW w:w="1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1460" w:type="dxa"/>
            <w:vAlign w:val="bottom"/>
          </w:tcPr>
          <w:p>
            <w:pPr>
              <w:jc w:val="right"/>
              <w:ind w:right="70"/>
              <w:spacing w:after="0"/>
              <w:rPr>
                <w:sz w:val="20"/>
                <w:szCs w:val="20"/>
                <w:color w:val="auto"/>
              </w:rPr>
            </w:pPr>
            <w:r>
              <w:rPr>
                <w:rFonts w:ascii="Arial" w:cs="Arial" w:eastAsia="Arial" w:hAnsi="Arial"/>
                <w:sz w:val="18"/>
                <w:szCs w:val="18"/>
                <w:color w:val="auto"/>
              </w:rPr>
              <w:t>(225)</w:t>
            </w:r>
          </w:p>
        </w:tc>
        <w:tc>
          <w:tcPr>
            <w:tcW w:w="30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70"/>
        </w:trPr>
        <w:tc>
          <w:tcPr>
            <w:tcW w:w="1460" w:type="dxa"/>
            <w:vAlign w:val="bottom"/>
          </w:tcPr>
          <w:p>
            <w:pPr>
              <w:jc w:val="right"/>
              <w:ind w:right="70"/>
              <w:spacing w:after="0"/>
              <w:rPr>
                <w:sz w:val="20"/>
                <w:szCs w:val="20"/>
                <w:color w:val="auto"/>
              </w:rPr>
            </w:pPr>
            <w:r>
              <w:rPr>
                <w:rFonts w:ascii="Arial" w:cs="Arial" w:eastAsia="Arial" w:hAnsi="Arial"/>
                <w:sz w:val="18"/>
                <w:szCs w:val="18"/>
                <w:color w:val="auto"/>
              </w:rPr>
              <w:t>(2,538)</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(2,538)</w:t>
            </w:r>
          </w:p>
        </w:tc>
      </w:tr>
      <w:tr>
        <w:trPr>
          <w:trHeight w:val="270"/>
        </w:trPr>
        <w:tc>
          <w:tcPr>
            <w:tcW w:w="1460" w:type="dxa"/>
            <w:vAlign w:val="bottom"/>
          </w:tcPr>
          <w:p>
            <w:pPr>
              <w:jc w:val="right"/>
              <w:ind w:right="70"/>
              <w:spacing w:after="0"/>
              <w:rPr>
                <w:sz w:val="20"/>
                <w:szCs w:val="20"/>
                <w:color w:val="auto"/>
              </w:rPr>
            </w:pPr>
            <w:r>
              <w:rPr>
                <w:rFonts w:ascii="Arial" w:cs="Arial" w:eastAsia="Arial" w:hAnsi="Arial"/>
                <w:sz w:val="18"/>
                <w:szCs w:val="18"/>
                <w:color w:val="auto"/>
              </w:rPr>
              <w:t>(469)</w:t>
            </w: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(469)</w:t>
            </w:r>
          </w:p>
        </w:tc>
      </w:tr>
      <w:tr>
        <w:trPr>
          <w:trHeight w:val="27"/>
        </w:trPr>
        <w:tc>
          <w:tcPr>
            <w:tcW w:w="1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1460" w:type="dxa"/>
            <w:vAlign w:val="bottom"/>
          </w:tcPr>
          <w:p>
            <w:pPr>
              <w:jc w:val="right"/>
              <w:ind w:right="130"/>
              <w:spacing w:after="0"/>
              <w:rPr>
                <w:sz w:val="20"/>
                <w:szCs w:val="20"/>
                <w:color w:val="auto"/>
              </w:rPr>
            </w:pPr>
            <w:r>
              <w:rPr>
                <w:rFonts w:ascii="Arial" w:cs="Arial" w:eastAsia="Arial" w:hAnsi="Arial"/>
                <w:sz w:val="18"/>
                <w:szCs w:val="18"/>
                <w:color w:val="auto"/>
              </w:rPr>
              <w:t>117,748</w:t>
            </w:r>
          </w:p>
        </w:tc>
        <w:tc>
          <w:tcPr>
            <w:tcW w:w="3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(2,779)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114,969</w:t>
            </w:r>
          </w:p>
        </w:tc>
      </w:tr>
      <w:tr>
        <w:trPr>
          <w:trHeight w:val="270"/>
        </w:trPr>
        <w:tc>
          <w:tcPr>
            <w:tcW w:w="1460" w:type="dxa"/>
            <w:vAlign w:val="bottom"/>
          </w:tcPr>
          <w:p>
            <w:pPr>
              <w:jc w:val="right"/>
              <w:ind w:right="70"/>
              <w:spacing w:after="0"/>
              <w:rPr>
                <w:sz w:val="20"/>
                <w:szCs w:val="20"/>
                <w:color w:val="auto"/>
              </w:rPr>
            </w:pPr>
            <w:r>
              <w:rPr>
                <w:rFonts w:ascii="Arial" w:cs="Arial" w:eastAsia="Arial" w:hAnsi="Arial"/>
                <w:sz w:val="18"/>
                <w:szCs w:val="18"/>
                <w:color w:val="auto"/>
              </w:rPr>
              <w:t>(39,772)</w:t>
            </w: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879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(38,893)</w:t>
            </w:r>
          </w:p>
        </w:tc>
      </w:tr>
      <w:tr>
        <w:trPr>
          <w:trHeight w:val="27"/>
        </w:trPr>
        <w:tc>
          <w:tcPr>
            <w:tcW w:w="1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1460" w:type="dxa"/>
            <w:vAlign w:val="bottom"/>
          </w:tcPr>
          <w:p>
            <w:pPr>
              <w:jc w:val="right"/>
              <w:ind w:right="130"/>
              <w:spacing w:after="0"/>
              <w:rPr>
                <w:sz w:val="20"/>
                <w:szCs w:val="20"/>
                <w:color w:val="auto"/>
              </w:rPr>
            </w:pPr>
            <w:r>
              <w:rPr>
                <w:rFonts w:ascii="Arial" w:cs="Arial" w:eastAsia="Arial" w:hAnsi="Arial"/>
                <w:sz w:val="18"/>
                <w:szCs w:val="18"/>
                <w:color w:val="auto"/>
              </w:rPr>
              <w:t>77,976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76,076</w:t>
            </w:r>
          </w:p>
        </w:tc>
      </w:tr>
      <w:tr>
        <w:trPr>
          <w:trHeight w:val="27"/>
        </w:trPr>
        <w:tc>
          <w:tcPr>
            <w:tcW w:w="1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1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521"/>
        </w:trPr>
        <w:tc>
          <w:tcPr>
            <w:tcW w:w="1460" w:type="dxa"/>
            <w:vAlign w:val="bottom"/>
          </w:tcPr>
          <w:p>
            <w:pPr>
              <w:jc w:val="right"/>
              <w:ind w:right="130"/>
              <w:spacing w:after="0"/>
              <w:rPr>
                <w:sz w:val="20"/>
                <w:szCs w:val="20"/>
                <w:color w:val="auto"/>
              </w:rPr>
            </w:pPr>
            <w:r>
              <w:rPr>
                <w:rFonts w:ascii="Arial" w:cs="Arial" w:eastAsia="Arial" w:hAnsi="Arial"/>
                <w:sz w:val="18"/>
                <w:szCs w:val="18"/>
                <w:color w:val="auto"/>
              </w:rPr>
              <w:t>2.86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2.79</w:t>
            </w:r>
          </w:p>
        </w:tc>
      </w:tr>
      <w:tr>
        <w:trPr>
          <w:trHeight w:val="270"/>
        </w:trPr>
        <w:tc>
          <w:tcPr>
            <w:tcW w:w="1460" w:type="dxa"/>
            <w:vAlign w:val="bottom"/>
          </w:tcPr>
          <w:p>
            <w:pPr>
              <w:jc w:val="right"/>
              <w:ind w:right="130"/>
              <w:spacing w:after="0"/>
              <w:rPr>
                <w:sz w:val="20"/>
                <w:szCs w:val="20"/>
                <w:color w:val="auto"/>
              </w:rPr>
            </w:pPr>
            <w:r>
              <w:rPr>
                <w:rFonts w:ascii="Arial" w:cs="Arial" w:eastAsia="Arial" w:hAnsi="Arial"/>
                <w:sz w:val="18"/>
                <w:szCs w:val="18"/>
                <w:color w:val="auto"/>
              </w:rPr>
              <w:t>2.79</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-522605</wp:posOffset>
            </wp:positionV>
            <wp:extent cx="11664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66495" cy="8890"/>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-1594485</wp:posOffset>
            </wp:positionV>
            <wp:extent cx="11664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66495" cy="8890"/>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-3669665</wp:posOffset>
            </wp:positionV>
            <wp:extent cx="11664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ectPr>
          <w:pgSz w:w="11900" w:h="16838" w:orient="portrait"/>
          <w:cols w:equalWidth="0" w:num="2">
            <w:col w:w="5840" w:space="360"/>
            <w:col w:w="5220"/>
          </w:cols>
          <w:pgMar w:left="240" w:top="58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Balance Sheet Impact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As of December 31, 2017</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5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40" w:type="dxa"/>
            <w:vAlign w:val="bottom"/>
            <w:gridSpan w:val="2"/>
          </w:tcPr>
          <w:p>
            <w:pPr>
              <w:ind w:left="180"/>
              <w:spacing w:after="0"/>
              <w:rPr>
                <w:sz w:val="20"/>
                <w:szCs w:val="20"/>
                <w:color w:val="auto"/>
              </w:rPr>
            </w:pPr>
            <w:r>
              <w:rPr>
                <w:rFonts w:ascii="Arial" w:cs="Arial" w:eastAsia="Arial" w:hAnsi="Arial"/>
                <w:sz w:val="16"/>
                <w:szCs w:val="16"/>
                <w:b w:val="1"/>
                <w:bCs w:val="1"/>
                <w:color w:val="auto"/>
              </w:rPr>
              <w:t>As Reported</w:t>
            </w:r>
          </w:p>
        </w:tc>
        <w:tc>
          <w:tcPr>
            <w:tcW w:w="300" w:type="dxa"/>
            <w:vAlign w:val="bottom"/>
          </w:tcPr>
          <w:p>
            <w:pPr>
              <w:spacing w:after="0"/>
              <w:rPr>
                <w:sz w:val="22"/>
                <w:szCs w:val="22"/>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Adjustments</w:t>
            </w:r>
          </w:p>
        </w:tc>
        <w:tc>
          <w:tcPr>
            <w:tcW w:w="300" w:type="dxa"/>
            <w:vAlign w:val="bottom"/>
          </w:tcPr>
          <w:p>
            <w:pPr>
              <w:spacing w:after="0"/>
              <w:rPr>
                <w:sz w:val="22"/>
                <w:szCs w:val="22"/>
                <w:color w:val="auto"/>
              </w:rPr>
            </w:pPr>
          </w:p>
        </w:tc>
        <w:tc>
          <w:tcPr>
            <w:tcW w:w="1520" w:type="dxa"/>
            <w:vAlign w:val="bottom"/>
          </w:tcPr>
          <w:p>
            <w:pPr>
              <w:jc w:val="right"/>
              <w:ind w:right="390"/>
              <w:spacing w:after="0"/>
              <w:rPr>
                <w:sz w:val="20"/>
                <w:szCs w:val="20"/>
                <w:color w:val="auto"/>
              </w:rPr>
            </w:pPr>
            <w:r>
              <w:rPr>
                <w:rFonts w:ascii="Arial" w:cs="Arial" w:eastAsia="Arial" w:hAnsi="Arial"/>
                <w:sz w:val="16"/>
                <w:szCs w:val="16"/>
                <w:b w:val="1"/>
                <w:bCs w:val="1"/>
                <w:color w:val="auto"/>
              </w:rPr>
              <w:t>As Adjusted</w:t>
            </w:r>
          </w:p>
        </w:tc>
        <w:tc>
          <w:tcPr>
            <w:tcW w:w="0" w:type="dxa"/>
            <w:vAlign w:val="bottom"/>
          </w:tcPr>
          <w:p>
            <w:pPr>
              <w:spacing w:after="0"/>
              <w:rPr>
                <w:sz w:val="1"/>
                <w:szCs w:val="1"/>
                <w:color w:val="auto"/>
              </w:rPr>
            </w:pPr>
          </w:p>
        </w:tc>
      </w:tr>
      <w:tr>
        <w:trPr>
          <w:trHeight w:val="250"/>
        </w:trPr>
        <w:tc>
          <w:tcPr>
            <w:tcW w:w="4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409,059</w:t>
            </w:r>
          </w:p>
        </w:tc>
        <w:tc>
          <w:tcPr>
            <w:tcW w:w="10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409,059</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81,553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81,553</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154,174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(62,515)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91,659</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net</w:t>
            </w: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1,119,631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1,114,552</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716,533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11,846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728,379</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252,727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252,727</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172,516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166,653</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ASSETS</w:t>
            </w:r>
          </w:p>
        </w:tc>
        <w:tc>
          <w:tcPr>
            <w:tcW w:w="1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2,906,193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(61,611)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2,844,582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4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5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145,405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145,405</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Advance deposits</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63,062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21,025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84,087</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168,591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119,810</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98,286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(29,228)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69,058</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and benefits liability</w:t>
            </w: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111,885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111,885</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Deferred compensation liability</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74,851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74,851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net</w:t>
            </w: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1,095,213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1,095,213</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13,155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13,471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taxes</w:t>
            </w:r>
          </w:p>
        </w:tc>
        <w:tc>
          <w:tcPr>
            <w:tcW w:w="1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90,725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89,987</w:t>
            </w:r>
          </w:p>
        </w:tc>
        <w:tc>
          <w:tcPr>
            <w:tcW w:w="0" w:type="dxa"/>
            <w:vAlign w:val="bottom"/>
          </w:tcPr>
          <w:p>
            <w:pPr>
              <w:spacing w:after="0"/>
              <w:rPr>
                <w:sz w:val="1"/>
                <w:szCs w:val="1"/>
                <w:color w:val="auto"/>
              </w:rPr>
            </w:pPr>
          </w:p>
        </w:tc>
      </w:tr>
      <w:tr>
        <w:trPr>
          <w:trHeight w:val="237"/>
        </w:trPr>
        <w:tc>
          <w:tcPr>
            <w:tcW w:w="4540" w:type="dxa"/>
            <w:vAlign w:val="bottom"/>
          </w:tcPr>
          <w:p>
            <w:pPr>
              <w:ind w:left="280"/>
              <w:spacing w:after="0"/>
              <w:rPr>
                <w:sz w:val="20"/>
                <w:szCs w:val="20"/>
                <w:color w:val="auto"/>
              </w:rPr>
            </w:pPr>
            <w:r>
              <w:rPr>
                <w:rFonts w:ascii="Arial" w:cs="Arial" w:eastAsia="Arial" w:hAnsi="Arial"/>
                <w:sz w:val="18"/>
                <w:szCs w:val="18"/>
                <w:b w:val="1"/>
                <w:bCs w:val="1"/>
                <w:color w:val="auto"/>
              </w:rPr>
              <w:t>TOTAL LIABILITIES</w:t>
            </w:r>
          </w:p>
        </w:tc>
        <w:tc>
          <w:tcPr>
            <w:tcW w:w="11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1,861,173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(57,406)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1,803,767</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5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Preferred stock</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Treasury stock</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(694,233)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(694,233)</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1,188,538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1,188,538</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Accumulated other comprehensive income</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16,745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16,745</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1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533,601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529,396</w:t>
            </w:r>
          </w:p>
        </w:tc>
        <w:tc>
          <w:tcPr>
            <w:tcW w:w="0" w:type="dxa"/>
            <w:vAlign w:val="bottom"/>
          </w:tcPr>
          <w:p>
            <w:pPr>
              <w:spacing w:after="0"/>
              <w:rPr>
                <w:sz w:val="1"/>
                <w:szCs w:val="1"/>
                <w:color w:val="auto"/>
              </w:rPr>
            </w:pPr>
          </w:p>
        </w:tc>
      </w:tr>
      <w:tr>
        <w:trPr>
          <w:trHeight w:val="237"/>
        </w:trPr>
        <w:tc>
          <w:tcPr>
            <w:tcW w:w="4540" w:type="dxa"/>
            <w:vAlign w:val="bottom"/>
          </w:tcPr>
          <w:p>
            <w:pPr>
              <w:ind w:left="280"/>
              <w:spacing w:after="0"/>
              <w:rPr>
                <w:sz w:val="20"/>
                <w:szCs w:val="20"/>
                <w:color w:val="auto"/>
              </w:rPr>
            </w:pPr>
            <w:r>
              <w:rPr>
                <w:rFonts w:ascii="Arial" w:cs="Arial" w:eastAsia="Arial" w:hAnsi="Arial"/>
                <w:sz w:val="18"/>
                <w:szCs w:val="18"/>
                <w:b w:val="1"/>
                <w:bCs w:val="1"/>
                <w:color w:val="auto"/>
              </w:rPr>
              <w:t>TOTAL EQUITY</w:t>
            </w:r>
          </w:p>
        </w:tc>
        <w:tc>
          <w:tcPr>
            <w:tcW w:w="11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1,045,020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1,040,815</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LIABILITIES AND EQUITY</w:t>
            </w:r>
          </w:p>
        </w:tc>
        <w:tc>
          <w:tcPr>
            <w:tcW w:w="1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2,906,193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(61,611)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2,844,582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40" w:type="dxa"/>
            <w:vAlign w:val="bottom"/>
          </w:tcPr>
          <w:p>
            <w:pPr>
              <w:spacing w:after="0"/>
              <w:rPr>
                <w:sz w:val="24"/>
                <w:szCs w:val="2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Cash Flow Impact - Operating Activities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80" w:type="dxa"/>
            <w:vAlign w:val="bottom"/>
            <w:gridSpan w:val="6"/>
          </w:tcPr>
          <w:p>
            <w:pPr>
              <w:jc w:val="center"/>
              <w:ind w:left="891"/>
              <w:spacing w:after="0"/>
              <w:rPr>
                <w:sz w:val="20"/>
                <w:szCs w:val="20"/>
                <w:color w:val="auto"/>
              </w:rPr>
            </w:pPr>
            <w:r>
              <w:rPr>
                <w:rFonts w:ascii="Arial" w:cs="Arial" w:eastAsia="Arial" w:hAnsi="Arial"/>
                <w:sz w:val="16"/>
                <w:szCs w:val="16"/>
                <w:b w:val="1"/>
                <w:bCs w:val="1"/>
                <w:color w:val="auto"/>
                <w:w w:val="91"/>
              </w:rPr>
              <w:t>Six Months Ended June 30, 2017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Arial" w:cs="Arial" w:eastAsia="Arial" w:hAnsi="Arial"/>
                <w:sz w:val="16"/>
                <w:szCs w:val="16"/>
                <w:b w:val="1"/>
                <w:bCs w:val="1"/>
                <w:color w:val="auto"/>
              </w:rPr>
              <w:t>As Reported</w:t>
            </w:r>
          </w:p>
        </w:tc>
        <w:tc>
          <w:tcPr>
            <w:tcW w:w="220" w:type="dxa"/>
            <w:vAlign w:val="bottom"/>
          </w:tcPr>
          <w:p>
            <w:pPr>
              <w:spacing w:after="0"/>
              <w:rPr>
                <w:sz w:val="22"/>
                <w:szCs w:val="22"/>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Adjustments</w:t>
            </w:r>
          </w:p>
        </w:tc>
        <w:tc>
          <w:tcPr>
            <w:tcW w:w="300" w:type="dxa"/>
            <w:vAlign w:val="bottom"/>
          </w:tcPr>
          <w:p>
            <w:pPr>
              <w:spacing w:after="0"/>
              <w:rPr>
                <w:sz w:val="22"/>
                <w:szCs w:val="22"/>
                <w:color w:val="auto"/>
              </w:rPr>
            </w:pPr>
          </w:p>
        </w:tc>
        <w:tc>
          <w:tcPr>
            <w:tcW w:w="1180" w:type="dxa"/>
            <w:vAlign w:val="bottom"/>
          </w:tcPr>
          <w:p>
            <w:pPr>
              <w:jc w:val="right"/>
              <w:ind w:right="230"/>
              <w:spacing w:after="0"/>
              <w:rPr>
                <w:sz w:val="20"/>
                <w:szCs w:val="20"/>
                <w:color w:val="auto"/>
              </w:rPr>
            </w:pPr>
            <w:r>
              <w:rPr>
                <w:rFonts w:ascii="Arial" w:cs="Arial" w:eastAsia="Arial" w:hAnsi="Arial"/>
                <w:sz w:val="16"/>
                <w:szCs w:val="16"/>
                <w:b w:val="1"/>
                <w:bCs w:val="1"/>
                <w:color w:val="auto"/>
                <w:w w:val="89"/>
              </w:rPr>
              <w:t>As Adjusted</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77,976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76,076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10,192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10,192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discount and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Vacation ownership notes receivable reserve</w:t>
            </w:r>
          </w:p>
        </w:tc>
        <w:tc>
          <w:tcPr>
            <w:tcW w:w="2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26,821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27,051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8,451</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11,778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12,810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change in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30,079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23,970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Vacation ownership notes receivable originations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(227,643)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(228,048)</w:t>
            </w:r>
          </w:p>
        </w:tc>
        <w:tc>
          <w:tcPr>
            <w:tcW w:w="0" w:type="dxa"/>
            <w:vAlign w:val="bottom"/>
          </w:tcPr>
          <w:p>
            <w:pPr>
              <w:spacing w:after="0"/>
              <w:rPr>
                <w:sz w:val="1"/>
                <w:szCs w:val="1"/>
                <w:color w:val="auto"/>
              </w:rPr>
            </w:pP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Vacation ownership notes receivable collections</w:t>
            </w:r>
          </w:p>
        </w:tc>
        <w:tc>
          <w:tcPr>
            <w:tcW w:w="2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136,731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136,731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Inventory</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15,006</w:t>
            </w:r>
          </w:p>
        </w:tc>
        <w:tc>
          <w:tcPr>
            <w:tcW w:w="0" w:type="dxa"/>
            <w:vAlign w:val="bottom"/>
          </w:tcPr>
          <w:p>
            <w:pPr>
              <w:spacing w:after="0"/>
              <w:rPr>
                <w:sz w:val="1"/>
                <w:szCs w:val="1"/>
                <w:color w:val="auto"/>
              </w:rPr>
            </w:pP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Purchase of vacation ownership units for future transfer to inventory</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(33,594)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(33,594)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4,475</w:t>
            </w:r>
          </w:p>
        </w:tc>
        <w:tc>
          <w:tcPr>
            <w:tcW w:w="0" w:type="dxa"/>
            <w:vAlign w:val="bottom"/>
          </w:tcPr>
          <w:p>
            <w:pPr>
              <w:spacing w:after="0"/>
              <w:rPr>
                <w:sz w:val="1"/>
                <w:szCs w:val="1"/>
                <w:color w:val="auto"/>
              </w:rPr>
            </w:pP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Accounts payable, advance deposits and accrued liabilities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(70,470)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(68,228)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25,163</w:t>
            </w:r>
          </w:p>
        </w:tc>
        <w:tc>
          <w:tcPr>
            <w:tcW w:w="0" w:type="dxa"/>
            <w:vAlign w:val="bottom"/>
          </w:tcPr>
          <w:p>
            <w:pPr>
              <w:spacing w:after="0"/>
              <w:rPr>
                <w:sz w:val="1"/>
                <w:szCs w:val="1"/>
                <w:color w:val="auto"/>
              </w:rPr>
            </w:pP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Payroll and benefit liabilities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(8,698)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compensation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7,053</w:t>
            </w:r>
          </w:p>
        </w:tc>
        <w:tc>
          <w:tcPr>
            <w:tcW w:w="0" w:type="dxa"/>
            <w:vAlign w:val="bottom"/>
          </w:tcPr>
          <w:p>
            <w:pPr>
              <w:spacing w:after="0"/>
              <w:rPr>
                <w:sz w:val="1"/>
                <w:szCs w:val="1"/>
                <w:color w:val="auto"/>
              </w:rPr>
            </w:pP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3,286</w:t>
            </w:r>
          </w:p>
        </w:tc>
        <w:tc>
          <w:tcPr>
            <w:tcW w:w="0" w:type="dxa"/>
            <w:vAlign w:val="bottom"/>
          </w:tcPr>
          <w:p>
            <w:pPr>
              <w:spacing w:after="0"/>
              <w:rPr>
                <w:sz w:val="1"/>
                <w:szCs w:val="1"/>
                <w:color w:val="auto"/>
              </w:rPr>
            </w:pPr>
          </w:p>
        </w:tc>
      </w:tr>
      <w:tr>
        <w:trPr>
          <w:trHeight w:val="257"/>
        </w:trPr>
        <w:tc>
          <w:tcPr>
            <w:tcW w:w="6740" w:type="dxa"/>
            <w:vAlign w:val="bottom"/>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14,130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14,130</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5620"/>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39" w:name="page40"/>
    <w:bookmarkEnd w:id="39"/>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make forward-looking statements in Management’s Discussion and Analysis of Financial Condition and Results of Operations and elsewhere in this Quarterly Report on Form 10-Q based on our management’s beliefs and assumptions and on information currently available to our management. Forward-looking statements include, among other things, the information concerning our possible or assumed future results of operations, business strategies, financing plans, competitive position, potential growth opportunities, potential operating performance improvements, and the effects of competition.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8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Forward-looking statements involve risks, uncertainties and assumptions. Actual results may differ materially from those expressed in these forward-looking statements. You should not put undue reliance on any forward-looking statements in this Quarterly Report. We do not have any intention or obligation to update forward-looking statements after the date of this Quarterly Report on Form 10-Q, except as required by law.</w:t>
      </w:r>
    </w:p>
    <w:p>
      <w:pPr>
        <w:spacing w:after="0" w:line="5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risk factors discussed in “Risk Factors” in our most recent Annual Report on Form 10-K and in this Quarterly Report on Form 10-Q, and which may be discussed in subsequent Quarterly Reports on Form 10-Q,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8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Financial Statements (as defined below), which we discuss below, reflect our historical financial condition, results of operations and cash flows. The financial information discussed below and included in this Quarterly Report on Form 10-Q may not necessarily reflect what our financial condition, results of operations or cash flows may be in the future. In order to make this report easier to read, we refer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to our Financial Statements that we include in the Financial Statements of this Quarterly Report on Form 10-Q.</w:t>
      </w:r>
    </w:p>
    <w:p>
      <w:pPr>
        <w:spacing w:after="0" w:line="8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On January 1, 2018, the first day of our 2018 fiscal year, we adopted Accounting Standards Update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 (Topic 606)</w:t>
      </w:r>
      <w:r>
        <w:rPr>
          <w:rFonts w:ascii="Arial" w:cs="Arial" w:eastAsia="Arial" w:hAnsi="Arial"/>
          <w:sz w:val="17"/>
          <w:szCs w:val="17"/>
          <w:color w:val="auto"/>
        </w:rPr>
        <w:t>” (“ASU 2014-09”), which, as amended, created Accounting Standards Codification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(“ASC 606”), and refer to it as the new “Revenue Standard” throughout this Quarterly Report on Form 10-Q. We restated our previously reported</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 results to conform with the adoption of the new Revenue Standard. See Footnote 1 “Summary of Significant Accounting Policies” to our Financial Statements for additional information on ASU 2014-09, as amended, and Footnote 15 “Adoption Impact of New Revenue Standard” to our Financial Statements for further discussion of the adoption and the impact on our previously reported historical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We are one of the world’s largest companies whose business is focused almost entirely on vacation ownership, based on number of owners, number of resorts and revenues. We are the exclusive worldwide developer, marketer, seller and manager of vacation ownership and related products under the Marriott Vacation Club and Grand Residences by Marriott brands, as well as under Marriott Vacation Club Pulse, an extension to the Marriott Vacation Club brand.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w:t>
      </w:r>
    </w:p>
    <w:p>
      <w:pPr>
        <w:spacing w:after="0" w:line="50"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Our business is grouped into three reportable segments: North America, Asia Pacific and Europe. As of June 30, 2018, our portfolio consisted of over 65 properties in the United States and nine other countries and territories. We generate most of our revenues from four primary sources: selling vacation ownership products; managing our resorts; financing consumer purchases of vacation ownership products; and renting vacation ownership inventory.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Pending Acquisition of ILG, Inc.</w:t>
      </w:r>
    </w:p>
    <w:p>
      <w:pPr>
        <w:spacing w:after="0" w:line="11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On April 30, 2018, we entered into an Agreement and Plan of Merger (“Merger Agreement”) under which we agreed to acquire, in a series of transactions, all of the outstanding shares of ILG, Inc. (“ILG”) in a cash and stock transaction with an implied equity value of approximately $4.7 billion as of that date. Under the Merger Agreement, shareholders of ILG will receive 0.165 shares of our common stock, par value $0.01 per share, and $14.75 in cash, without interest, for each share of ILG common stock, par value $0.01 per share, that they own immediately before these transactions close. Consummation of these transactions is subject to customary conditions, including approval from shareholders of both MVW and ILG and other customary closing conditions.</w:t>
      </w:r>
    </w:p>
    <w:p>
      <w:pPr>
        <w:spacing w:after="0" w:line="50"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We intend to finance the transaction through a combination of cash on hand and debt financing, and concurrently with the signing of the Merger Agreement, entered into a bridge facility commitment letter to provide for such financing. We expect to close the transaction by August 31,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Hurricane Activity</w:t>
      </w:r>
    </w:p>
    <w:p>
      <w:pPr>
        <w:spacing w:after="0" w:line="117"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During the third quarter of 2017, over 20 properties within our North America segment were negatively impacted by one or both of Hurricane Irma and Hurricane Maria (the “Hurricanes”). As a result of the mandatory evacuations, shutdowns and cancellations of reservations and scheduled tours resulting from the Hurricanes, the sales operations at several of our locations, primarily those located on St. Thomas (USVI) and on Marco Island and Singer Island in Florida, were adversely impacted along with rental and ancillary operations at those locations.</w:t>
      </w:r>
    </w:p>
    <w:p>
      <w:pPr>
        <w:spacing w:after="0" w:line="6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While many of the properties and sales centers impacted by the Hurricanes were fully or partially open by the end of September 2017, two resorts and a sales center on St. Thomas remained closed at the end of 2017. One resort and a modified sales gallery in St. Thomas opened in the middle of February 2018, and we expect the remaining resort in St. Thomas will be opened in the second half of 2018. Further, while some of the properties affected were fully or partially open by September 30, 2017, many of the operations at these locations will continue to ramp-up beyond the first half of 2018. We expect to submit insurance claims in 2018 for our business interruption losses as well as property damage experienced by both us and our owners’ associations from these Hurricanes; however, we cannot quantify the extent of any payment under such claims at this time.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Used in Describing Results of Operations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recognize revenues from the sale of vacation ownership products at closing, when control of the vacation ownership product is transferred to the customer and the transaction price is deemed collectible. Sales of vacation ownership products may be made for cash or we may provide financing. In addition, we recognize settlement fees associated with the transfer of vacation ownership products and commission revenues from sales of vacation ownership products on behalf of third-parties, which we refer to as “resales revenue.”</w:t>
      </w:r>
    </w:p>
    <w:p>
      <w:pPr>
        <w:spacing w:after="0" w:line="7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also provide sales incentives to certain purchasers. These sales incentives typically include Marriott Rewards points or an alternative sales incentive that we refer to as “plus points.” These plus points are redeemable for stays at our resorts or for use in the Explorer Collection, generally up to two years from the date of issuance. Typically, sales incentives are only awarded if the sale is closed.</w:t>
      </w:r>
    </w:p>
    <w:p>
      <w:pPr>
        <w:spacing w:after="0" w:line="73"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As a result of the revenue recognition requirements included in ASC 606, there may be timing differences between the date of the contract with the customer and when revenue is recognized. When comparing results year-over-year, this timing difference may generate significant variances, which we refer to as the impact of revenue reportability.</w:t>
      </w:r>
    </w:p>
    <w:p>
      <w:pPr>
        <w:spacing w:after="0" w:line="73"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Finally, as more fully described in “</w:t>
      </w:r>
      <w:r>
        <w:rPr>
          <w:rFonts w:ascii="Arial" w:cs="Arial" w:eastAsia="Arial" w:hAnsi="Arial"/>
          <w:sz w:val="18"/>
          <w:szCs w:val="18"/>
          <w:i w:val="1"/>
          <w:iCs w:val="1"/>
          <w:color w:val="auto"/>
        </w:rPr>
        <w:t>Financing</w:t>
      </w:r>
      <w:r>
        <w:rPr>
          <w:rFonts w:ascii="Arial" w:cs="Arial" w:eastAsia="Arial" w:hAnsi="Arial"/>
          <w:sz w:val="18"/>
          <w:szCs w:val="18"/>
          <w:color w:val="auto"/>
        </w:rPr>
        <w:t>” below, we record the difference between the vacation ownership note receivable and the consideration to which we expect to be entitled (also known as a vacation ownership notes receivable reserve or a sales reserve) as a reduction of revenues from the sale of vacation ownership products at the time we recognize revenues from a sale.</w:t>
      </w:r>
    </w:p>
    <w:p>
      <w:pPr>
        <w:spacing w:after="0" w:line="73"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report, on a supplemental basis, contract sales for each of our three segments. Contract sales consist of the total amount of vacation ownership product sales under contract signed during the period where we have received a down payment of at least ten percent of the contract price, reduced by actual rescissions during the period, inclusive of contracts associated with sales of vacation ownership products on behalf of third parties, which we refer to as “resales contract sales.” In circumstances where a customer applies any or all of their existing ownership interests as part of the purchase price for additional interests, we include only the incremental value purchased as contract sales. Contract sales differ from revenues from the sale of vacation ownership products that we report on our Income Statements due to the requirements for revenue recognition described above. We consider contract sales to be an important operating measure because it reflects the pace of sales in our business.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41" w:name="page42"/>
    <w:bookmarkEnd w:id="41"/>
    <w:p>
      <w:pPr>
        <w:ind w:firstLine="648"/>
        <w:spacing w:after="0" w:line="273" w:lineRule="auto"/>
        <w:rPr>
          <w:sz w:val="20"/>
          <w:szCs w:val="20"/>
          <w:color w:val="auto"/>
        </w:rPr>
      </w:pPr>
      <w:r>
        <w:rPr>
          <w:rFonts w:ascii="Arial" w:cs="Arial" w:eastAsia="Arial" w:hAnsi="Arial"/>
          <w:sz w:val="17"/>
          <w:szCs w:val="17"/>
          <w:color w:val="auto"/>
        </w:rPr>
        <w:t>Cost of vacation ownership products includes costs to develop and construct our projects (also known as real estate inventory costs), other non-capitalizable costs associated with the overall project development process and settlement expenses associated with closing process. For each project, we expense real estate inventory costs in the same proportion as the revenue recognized. Consistent with the applicable accounting guidance, to the extent there is a change in the estimated sales revenues or inventory costs for the project in a period, a non-cash adjustment is recorded on our Income Statements to true-up costs in that period to those that would have been recorded historically if the revised estimates had been used. These true-ups, which we refer to as product cost true-up activity, will have a positive or negative impact on our Income Statements.</w:t>
      </w:r>
    </w:p>
    <w:p>
      <w:pPr>
        <w:spacing w:after="0" w:line="70"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We refer to revenues from the sale of vacation ownership products less the cost of vacation ownership products and marketing and sales costs as development margin. Development margin percentage is calculated by dividing development margin by revenues from the sale of vacation ownership products.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Resort Management and Other Services</w:t>
      </w:r>
    </w:p>
    <w:p>
      <w:pPr>
        <w:spacing w:after="0" w:line="117"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Our resort management and other services revenues include revenues generated from fees we earn for managing each of our resorts. In addition, we earn revenue for providing ancillary offerings, including food and beverage outlets, golf courses and other retail and service outlets located at our resorts. We also receive annual fees, club dues, and certain transaction-based fees from owners and other third parties, including external exchange service providers with which we are associated.</w:t>
      </w:r>
    </w:p>
    <w:p>
      <w:pPr>
        <w:spacing w:after="0" w:line="79"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We provide day-to-day management services, including housekeeping services, operation of reservation systems, maintenance, and certain accounting and administrative services for property owners’ associations. We receive compensation for these management services; this compensation is typically based on either a percentage of the budgeted costs to operate the resorts or a fixed fee arrangement. We earn these fees regardless of usage or occupancy.</w:t>
      </w:r>
    </w:p>
    <w:p>
      <w:pPr>
        <w:spacing w:after="0" w:line="79"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Resort management and other services expenses include costs to operate the food and beverage outlets and other ancillary operations and overall customer support services, including reservations, and certain transaction-based expenses relating to external exchange service providers.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p>
      <w:pPr>
        <w:spacing w:after="0" w:line="130" w:lineRule="exact"/>
        <w:rPr>
          <w:sz w:val="20"/>
          <w:szCs w:val="20"/>
          <w:color w:val="auto"/>
        </w:rPr>
      </w:pPr>
    </w:p>
    <w:tbl>
      <w:tblPr>
        <w:tblLayout w:type="fixed"/>
        <w:tblInd w:w="104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3740" w:type="dxa"/>
            <w:vAlign w:val="bottom"/>
            <w:gridSpan w:val="3"/>
          </w:tcPr>
          <w:p>
            <w:pPr>
              <w:ind w:left="1240"/>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600" w:type="dxa"/>
            <w:vAlign w:val="bottom"/>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1"/>
        </w:trPr>
        <w:tc>
          <w:tcPr>
            <w:tcW w:w="5600" w:type="dxa"/>
            <w:vAlign w:val="bottom"/>
          </w:tcPr>
          <w:p>
            <w:pPr>
              <w:spacing w:after="0"/>
              <w:rPr>
                <w:sz w:val="20"/>
                <w:szCs w:val="20"/>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June 30, 2018</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90"/>
              </w:rPr>
              <w:t>June 30, 2017</w:t>
            </w:r>
          </w:p>
        </w:tc>
      </w:tr>
      <w:tr>
        <w:trPr>
          <w:trHeight w:val="33"/>
        </w:trPr>
        <w:tc>
          <w:tcPr>
            <w:tcW w:w="56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FICO score</w:t>
            </w:r>
          </w:p>
        </w:tc>
        <w:tc>
          <w:tcPr>
            <w:tcW w:w="186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rPr>
              <w:t>739</w:t>
            </w: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rPr>
              <w:t>743</w:t>
            </w:r>
          </w:p>
        </w:tc>
      </w:tr>
      <w:tr>
        <w:trPr>
          <w:trHeight w:val="27"/>
        </w:trPr>
        <w:tc>
          <w:tcPr>
            <w:tcW w:w="56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typical financing agreement provides for monthly payments of principal and interest with the principal balance of the loan fully amortizing over the term of the related vacation ownership note receivable, which is generally ten years. The interest income earned from the financing arrangements is earned on an accrual basis on the principal balance outstanding over the life of the arrangement and is recorded as Financing revenues on our Income Statements.</w:t>
      </w:r>
    </w:p>
    <w:p>
      <w:pPr>
        <w:spacing w:after="0" w:line="3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Financing revenues include interest income earned on vacation ownership notes receivable as well as fees earned from servicing the existing vacation ownership notes receivable portfolio. Financing expenses include costs in support of the financing, servicing and securitization processes. The amount of interest income earned in a period depends on the amount of outstanding vacation ownership notes receivable, which is impacted positively by the origination of new vacation ownership notes receivable and negatively by principal collections. We calculate financing propensity as contract sales volume of financed contracts closed in the period divided by contract sales volume of all contracts closed in the period. We do not include resales contract sales in the financing propensity calculation. Financing propensity was 64.0 percent in the 2017 fiscal year and 62.2 percent in the 2018 first half. We expect to continue to offer financing incentive programs in 2018 and that interest income will continue to increase as new originations of vacation ownership notes receivable outpace the decline in principal of existing vacation ownership notes receivable.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76" w:right="239" w:bottom="1440" w:gutter="0" w:footer="0" w:header="0"/>
        </w:sectPr>
      </w:pPr>
    </w:p>
    <w:bookmarkStart w:id="42" w:name="page43"/>
    <w:bookmarkEnd w:id="42"/>
    <w:p>
      <w:pPr>
        <w:ind w:right="120" w:firstLine="648"/>
        <w:spacing w:after="0" w:line="302" w:lineRule="auto"/>
        <w:rPr>
          <w:sz w:val="20"/>
          <w:szCs w:val="20"/>
          <w:color w:val="auto"/>
        </w:rPr>
      </w:pPr>
      <w:r>
        <w:rPr>
          <w:rFonts w:ascii="Arial" w:cs="Arial" w:eastAsia="Arial" w:hAnsi="Arial"/>
          <w:sz w:val="16"/>
          <w:szCs w:val="16"/>
          <w:color w:val="auto"/>
        </w:rPr>
        <w:t>In the event of a default, we generally have the right to foreclose on or revoke the vacation ownership interest. We return vacation ownership interests that we reacquire through foreclosure or revocation back to inventory. As discussed above, we record a vacation ownership notes receivable reserve at the time of sale and classify the reserve as a reduction to revenues from the sale of vacation ownership products on our Income Statements. Historical default rates, which represent defaults as a percentage of each year’s beginning gross vacation ownership notes receivable balance, were as follows:</w:t>
      </w:r>
    </w:p>
    <w:p>
      <w:pPr>
        <w:spacing w:after="0" w:line="114" w:lineRule="exact"/>
        <w:rPr>
          <w:sz w:val="20"/>
          <w:szCs w:val="20"/>
          <w:color w:val="auto"/>
        </w:rPr>
      </w:pPr>
    </w:p>
    <w:tbl>
      <w:tblPr>
        <w:tblLayout w:type="fixed"/>
        <w:tblInd w:w="104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3740" w:type="dxa"/>
            <w:vAlign w:val="bottom"/>
            <w:gridSpan w:val="3"/>
          </w:tcPr>
          <w:p>
            <w:pPr>
              <w:ind w:left="1240"/>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600" w:type="dxa"/>
            <w:vAlign w:val="bottom"/>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1"/>
        </w:trPr>
        <w:tc>
          <w:tcPr>
            <w:tcW w:w="5600" w:type="dxa"/>
            <w:vAlign w:val="bottom"/>
          </w:tcPr>
          <w:p>
            <w:pPr>
              <w:spacing w:after="0"/>
              <w:rPr>
                <w:sz w:val="20"/>
                <w:szCs w:val="20"/>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June 30, 2018</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90"/>
              </w:rPr>
              <w:t>June 30, 2017</w:t>
            </w:r>
          </w:p>
        </w:tc>
      </w:tr>
      <w:tr>
        <w:trPr>
          <w:trHeight w:val="33"/>
        </w:trPr>
        <w:tc>
          <w:tcPr>
            <w:tcW w:w="56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7"/>
        </w:trPr>
        <w:tc>
          <w:tcPr>
            <w:tcW w:w="5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Historical default rates</w:t>
            </w:r>
          </w:p>
        </w:tc>
        <w:tc>
          <w:tcPr>
            <w:tcW w:w="1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1.9%</w:t>
            </w:r>
          </w:p>
        </w:tc>
      </w:tr>
      <w:tr>
        <w:trPr>
          <w:trHeight w:val="27"/>
        </w:trPr>
        <w:tc>
          <w:tcPr>
            <w:tcW w:w="56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Rental</w:t>
      </w:r>
    </w:p>
    <w:p>
      <w:pPr>
        <w:spacing w:after="0" w:line="11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operate a rental business to provide owner flexibility and to help mitigate carrying costs associated with our inventory. We obtain rental inventory from unsold inventory and inventory we control because owners have elected alternative usage options offered through our vacation ownership programs. For rental revenues associated with vacation ownership products which we own and which are registered and held for sale, to the extent that the revenues from rental are less than costs, revenues are reported net in accordance with Accounting Standards Codification Topic 978, “</w:t>
      </w:r>
      <w:r>
        <w:rPr>
          <w:rFonts w:ascii="Arial" w:cs="Arial" w:eastAsia="Arial" w:hAnsi="Arial"/>
          <w:sz w:val="18"/>
          <w:szCs w:val="18"/>
          <w:i w:val="1"/>
          <w:iCs w:val="1"/>
          <w:color w:val="auto"/>
        </w:rPr>
        <w:t>Real Estate - Time-Sharing Activities</w:t>
      </w:r>
      <w:r>
        <w:rPr>
          <w:rFonts w:ascii="Arial" w:cs="Arial" w:eastAsia="Arial" w:hAnsi="Arial"/>
          <w:sz w:val="18"/>
          <w:szCs w:val="18"/>
          <w:color w:val="auto"/>
        </w:rPr>
        <w:t>” (“ASC 978”). The rental activity associated with discounted vacation packages requiring a tour (“preview stays”) is not included in rental</w:t>
      </w:r>
      <w:r>
        <w:rPr>
          <w:rFonts w:ascii="Arial" w:cs="Arial" w:eastAsia="Arial" w:hAnsi="Arial"/>
          <w:sz w:val="18"/>
          <w:szCs w:val="18"/>
          <w:i w:val="1"/>
          <w:iCs w:val="1"/>
          <w:color w:val="auto"/>
        </w:rPr>
        <w:t xml:space="preserve"> </w:t>
      </w:r>
      <w:r>
        <w:rPr>
          <w:rFonts w:ascii="Arial" w:cs="Arial" w:eastAsia="Arial" w:hAnsi="Arial"/>
          <w:sz w:val="18"/>
          <w:szCs w:val="18"/>
          <w:color w:val="auto"/>
        </w:rPr>
        <w:t>metrics, and because the majority of these preview stays are sourced directly or indirectly from unsold inventory, the associated revenues and expenses are reported net in Marketing and sales expense.</w:t>
      </w:r>
    </w:p>
    <w:p>
      <w:pPr>
        <w:spacing w:after="0" w:line="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Rental revenues are primarily the revenues we earn from renting this inventory. We also recognize rental revenue from the utilization of plus points under the Marriott Vacation Club Destinations (“MVCD”) program when the points are redeemed for rental stays at one of our resorts or in the Explorer Collection.</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Rental expenses include:</w:t>
      </w:r>
    </w:p>
    <w:p>
      <w:pPr>
        <w:spacing w:after="0" w:line="117"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Maintenance fees on unsold inventory;</w:t>
      </w:r>
    </w:p>
    <w:p>
      <w:pPr>
        <w:spacing w:after="0" w:line="117"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to provide alternative usage options, including Marriott Rewards points and offerings available as part of the Explorer Collection, for owners who elect to exchange their inventory; and</w:t>
      </w:r>
    </w:p>
    <w:p>
      <w:pPr>
        <w:spacing w:after="0" w:line="62"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Marketing costs and direct operating and related expenses in connection with the rental business (such as housekeeping, credit card expenses and reservation services).</w:t>
      </w:r>
    </w:p>
    <w:p>
      <w:pPr>
        <w:spacing w:after="0" w:line="6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Rental metrics, including the average daily transient rate or the number of transient keys rented, may not be comparable between periods given fluctuation in available occupancy by location, unit size (such as two bedroom, one bedroom or studio unit), and owner use and exchange behavior. In addition, rental metrics may not correlate with rental revenues due to the requirement to report certain rental revenues net of rental expenses in accordance with ASC 978 (as discussed above). Further, as our ability to rent certain luxury inventory and inventory in our Asia Pacific segment is often limited on a site-by-site basis, rental operations may not generate adequate rental revenues to cover associated costs. Our vacation units are either “full villas” or “lock-off” villas. Lock-off villas are units that can be separated into a master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Reimbursements</w:t>
      </w:r>
    </w:p>
    <w:p>
      <w:pPr>
        <w:spacing w:after="0" w:line="117"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Cost reimbursements include direct and indirect costs that property owners’ associations reimburse to us. All costs, with the exception of taxes assessed by a governmental authority, reimbursed to us by property owners’ associations are reported on a gross basis. We recognize cost reimbursements when we incur the related reimbursable costs. Cost reimbursements consist of actual expenses with no added margin.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Consumer Financing Interest Expense</w:t>
      </w:r>
    </w:p>
    <w:p>
      <w:pPr>
        <w:spacing w:after="0" w:line="117"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Consumer financing interest expense represents interest expense associated with the debt from our non-recourse warehouse credit facility (the “Warehouse Credit Facility”) and from the securitization of our vacation ownership notes receivable. We distinguish consumer financing interest expense from all other interest expense because the debt associated with the consumer financing interest expense is secured by vacation ownership notes receivable that have been sold to bankruptcy remote special purpose entities and is generally non-recourse to us.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76" w:right="23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consists of all interest expense other than consumer financing 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Items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measure operating performance using the following key metrics:</w:t>
      </w:r>
    </w:p>
    <w:p>
      <w:pPr>
        <w:spacing w:after="0" w:line="117" w:lineRule="exact"/>
        <w:rPr>
          <w:sz w:val="20"/>
          <w:szCs w:val="20"/>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Contract sales from the sale of vacation ownership products;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 margin percentage; and</w:t>
      </w:r>
    </w:p>
    <w:p>
      <w:pPr>
        <w:spacing w:after="0" w:line="117" w:lineRule="exact"/>
        <w:rPr>
          <w:rFonts w:ascii="Arial" w:cs="Arial" w:eastAsia="Arial" w:hAnsi="Arial"/>
          <w:sz w:val="18"/>
          <w:szCs w:val="18"/>
          <w:color w:val="auto"/>
        </w:rPr>
      </w:pPr>
    </w:p>
    <w:p>
      <w:pPr>
        <w:ind w:left="1300" w:right="40" w:hanging="320"/>
        <w:spacing w:after="0" w:line="259"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Volume per guest (“VPG”), which we calculate by dividing vacation ownership contract sales, excluding fractional sales, telesales, resales and other sales that are not attributed to a tour at a sales location, by the number of tours at sales locations in a given period. We believe that this operating metric is valuable in evaluating the effectiveness of the sales process as it combines the impact of average contract price with the number of touring guests who make a purchase.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discussion presents an analysis of our results of operations.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5"/>
          </w:tcPr>
          <w:p>
            <w:pPr>
              <w:ind w:left="8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3260" w:type="dxa"/>
            <w:vAlign w:val="bottom"/>
            <w:gridSpan w:val="4"/>
          </w:tcPr>
          <w:p>
            <w:pPr>
              <w:jc w:val="right"/>
              <w:ind w:right="1010"/>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8"/>
        </w:trPr>
        <w:tc>
          <w:tcPr>
            <w:tcW w:w="42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Pr>
          <w:p>
            <w:pPr>
              <w:spacing w:after="0"/>
              <w:rPr>
                <w:sz w:val="22"/>
                <w:szCs w:val="22"/>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2018</w:t>
            </w:r>
          </w:p>
        </w:tc>
        <w:tc>
          <w:tcPr>
            <w:tcW w:w="240" w:type="dxa"/>
            <w:vAlign w:val="bottom"/>
          </w:tcPr>
          <w:p>
            <w:pPr>
              <w:spacing w:after="0"/>
              <w:rPr>
                <w:sz w:val="22"/>
                <w:szCs w:val="22"/>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2017</w:t>
            </w:r>
          </w:p>
        </w:tc>
        <w:tc>
          <w:tcPr>
            <w:tcW w:w="260" w:type="dxa"/>
            <w:vAlign w:val="bottom"/>
          </w:tcPr>
          <w:p>
            <w:pPr>
              <w:spacing w:after="0"/>
              <w:rPr>
                <w:sz w:val="22"/>
                <w:szCs w:val="22"/>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 2018</w:t>
            </w:r>
          </w:p>
        </w:tc>
        <w:tc>
          <w:tcPr>
            <w:tcW w:w="240" w:type="dxa"/>
            <w:vAlign w:val="bottom"/>
          </w:tcPr>
          <w:p>
            <w:pPr>
              <w:spacing w:after="0"/>
              <w:rPr>
                <w:sz w:val="22"/>
                <w:szCs w:val="22"/>
                <w:color w:val="auto"/>
              </w:rPr>
            </w:pPr>
          </w:p>
        </w:tc>
        <w:tc>
          <w:tcPr>
            <w:tcW w:w="1460" w:type="dxa"/>
            <w:vAlign w:val="bottom"/>
          </w:tcPr>
          <w:p>
            <w:pPr>
              <w:jc w:val="right"/>
              <w:ind w:right="290"/>
              <w:spacing w:after="0"/>
              <w:rPr>
                <w:sz w:val="20"/>
                <w:szCs w:val="20"/>
                <w:color w:val="auto"/>
              </w:rPr>
            </w:pPr>
            <w:r>
              <w:rPr>
                <w:rFonts w:ascii="Arial" w:cs="Arial" w:eastAsia="Arial" w:hAnsi="Arial"/>
                <w:sz w:val="16"/>
                <w:szCs w:val="16"/>
                <w:b w:val="1"/>
                <w:bCs w:val="1"/>
                <w:color w:val="auto"/>
              </w:rPr>
              <w:t>June 30, 2017</w:t>
            </w: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Sale of vacation ownership products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205,168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201,856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379,957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365,733</w:t>
            </w: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77,642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147,822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139,359</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Financing</w:t>
            </w:r>
          </w:p>
        </w:tc>
        <w:tc>
          <w:tcPr>
            <w:tcW w:w="2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35,851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32,530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71,333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64,641</w:t>
            </w: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74,561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148,771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136,969</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2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201,470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186,820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417,658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384,034</w:t>
            </w: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594,692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562,436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1,165,541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1,090,736</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vacation ownership products</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56,863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103,226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94,796</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Marketing and sales</w:t>
            </w:r>
          </w:p>
        </w:tc>
        <w:tc>
          <w:tcPr>
            <w:tcW w:w="2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109,315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99,168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215,249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196,666</w:t>
            </w: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41,079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78,857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76,884</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Financing</w:t>
            </w:r>
          </w:p>
        </w:tc>
        <w:tc>
          <w:tcPr>
            <w:tcW w:w="2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3,788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3,449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8,036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7,466</w:t>
            </w: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62,739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118,638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111,464</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32,992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29,534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62,427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57,073</w:t>
            </w: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settlement</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Consumer financing interest</w:t>
            </w:r>
          </w:p>
        </w:tc>
        <w:tc>
          <w:tcPr>
            <w:tcW w:w="2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6,172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5,654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12,778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11,592</w:t>
            </w: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Royalty fee</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32,377</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Cost reimbursements</w:t>
            </w:r>
          </w:p>
        </w:tc>
        <w:tc>
          <w:tcPr>
            <w:tcW w:w="2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201,470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186,820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417,658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384,034</w:t>
            </w: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EXPENSES</w:t>
            </w:r>
          </w:p>
        </w:tc>
        <w:tc>
          <w:tcPr>
            <w:tcW w:w="2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546,928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489,309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1,064,100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972,535</w:t>
            </w:r>
          </w:p>
        </w:tc>
      </w:tr>
      <w:tr>
        <w:trPr>
          <w:trHeight w:val="237"/>
        </w:trPr>
        <w:tc>
          <w:tcPr>
            <w:tcW w:w="4240" w:type="dxa"/>
            <w:vAlign w:val="bottom"/>
          </w:tcPr>
          <w:p>
            <w:pPr>
              <w:ind w:left="280"/>
              <w:spacing w:after="0"/>
              <w:rPr>
                <w:sz w:val="20"/>
                <w:szCs w:val="20"/>
                <w:color w:val="auto"/>
              </w:rPr>
            </w:pPr>
            <w:r>
              <w:rPr>
                <w:rFonts w:ascii="Arial" w:cs="Arial" w:eastAsia="Arial" w:hAnsi="Arial"/>
                <w:sz w:val="18"/>
                <w:szCs w:val="18"/>
                <w:color w:val="auto"/>
              </w:rPr>
              <w:t>Losses and other expense, net</w:t>
            </w:r>
          </w:p>
        </w:tc>
        <w:tc>
          <w:tcPr>
            <w:tcW w:w="2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w:t>
            </w: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(2,538)</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(19,686)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(22,802)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(469)</w:t>
            </w: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64,070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114,969</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(22,918)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(17,328)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(38,893)</w:t>
            </w: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10,761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48,186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46,742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76,076</w:t>
            </w: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jc w:val="right"/>
              <w:ind w:right="9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5"/>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Pr>
          <w:p>
            <w:pPr>
              <w:spacing w:after="0"/>
              <w:rPr>
                <w:sz w:val="22"/>
                <w:szCs w:val="22"/>
                <w:color w:val="auto"/>
              </w:rPr>
            </w:pPr>
          </w:p>
        </w:tc>
        <w:tc>
          <w:tcPr>
            <w:tcW w:w="168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2018</w:t>
            </w:r>
          </w:p>
        </w:tc>
        <w:tc>
          <w:tcPr>
            <w:tcW w:w="280" w:type="dxa"/>
            <w:vAlign w:val="bottom"/>
          </w:tcPr>
          <w:p>
            <w:pPr>
              <w:spacing w:after="0"/>
              <w:rPr>
                <w:sz w:val="22"/>
                <w:szCs w:val="22"/>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2017</w:t>
            </w:r>
          </w:p>
        </w:tc>
        <w:tc>
          <w:tcPr>
            <w:tcW w:w="280" w:type="dxa"/>
            <w:vAlign w:val="bottom"/>
          </w:tcPr>
          <w:p>
            <w:pPr>
              <w:spacing w:after="0"/>
              <w:rPr>
                <w:sz w:val="22"/>
                <w:szCs w:val="22"/>
                <w:color w:val="auto"/>
              </w:rPr>
            </w:pPr>
          </w:p>
        </w:tc>
        <w:tc>
          <w:tcPr>
            <w:tcW w:w="1080" w:type="dxa"/>
            <w:vAlign w:val="bottom"/>
          </w:tcPr>
          <w:p>
            <w:pPr>
              <w:jc w:val="right"/>
              <w:ind w:right="312"/>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22"/>
                <w:szCs w:val="22"/>
                <w:color w:val="auto"/>
              </w:rPr>
            </w:pPr>
          </w:p>
        </w:tc>
        <w:tc>
          <w:tcPr>
            <w:tcW w:w="1360" w:type="dxa"/>
            <w:vAlign w:val="bottom"/>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211,469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195,791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15,678</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8%</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Asia Pacific</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2,170</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19%</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7,390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7,580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(3%)</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sales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232,643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214,985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17,658</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8%</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94"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changes in contract sales are described within the discussions of our segment results below. We estimate the ongoing impact of the 2017 Hurricanes negatively impacted contract sales by $3 million in the 2018 second quarter. Excluding this impact, we estimate total contract sales would have increased 10 percent over the prior year period.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Half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5"/>
          </w:tcPr>
          <w:p>
            <w:pPr>
              <w:ind w:left="980"/>
              <w:spacing w:after="0"/>
              <w:rPr>
                <w:sz w:val="20"/>
                <w:szCs w:val="20"/>
                <w:color w:val="auto"/>
              </w:rPr>
            </w:pPr>
            <w:r>
              <w:rPr>
                <w:rFonts w:ascii="Arial" w:cs="Arial" w:eastAsia="Arial" w:hAnsi="Arial"/>
                <w:sz w:val="16"/>
                <w:szCs w:val="16"/>
                <w:b w:val="1"/>
                <w:bCs w:val="1"/>
                <w:color w:val="auto"/>
              </w:rPr>
              <w:t>Six Months Ended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Pr>
          <w:p>
            <w:pPr>
              <w:spacing w:after="0"/>
              <w:rPr>
                <w:sz w:val="22"/>
                <w:szCs w:val="22"/>
                <w:color w:val="auto"/>
              </w:rPr>
            </w:pPr>
          </w:p>
        </w:tc>
        <w:tc>
          <w:tcPr>
            <w:tcW w:w="168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2018</w:t>
            </w:r>
          </w:p>
        </w:tc>
        <w:tc>
          <w:tcPr>
            <w:tcW w:w="280" w:type="dxa"/>
            <w:vAlign w:val="bottom"/>
          </w:tcPr>
          <w:p>
            <w:pPr>
              <w:spacing w:after="0"/>
              <w:rPr>
                <w:sz w:val="22"/>
                <w:szCs w:val="22"/>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2017</w:t>
            </w:r>
          </w:p>
        </w:tc>
        <w:tc>
          <w:tcPr>
            <w:tcW w:w="280" w:type="dxa"/>
            <w:vAlign w:val="bottom"/>
          </w:tcPr>
          <w:p>
            <w:pPr>
              <w:spacing w:after="0"/>
              <w:rPr>
                <w:sz w:val="22"/>
                <w:szCs w:val="22"/>
                <w:color w:val="auto"/>
              </w:rPr>
            </w:pPr>
          </w:p>
        </w:tc>
        <w:tc>
          <w:tcPr>
            <w:tcW w:w="1080" w:type="dxa"/>
            <w:vAlign w:val="bottom"/>
          </w:tcPr>
          <w:p>
            <w:pPr>
              <w:jc w:val="right"/>
              <w:ind w:right="312"/>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22"/>
                <w:szCs w:val="22"/>
                <w:color w:val="auto"/>
              </w:rPr>
            </w:pPr>
          </w:p>
        </w:tc>
        <w:tc>
          <w:tcPr>
            <w:tcW w:w="1360" w:type="dxa"/>
            <w:vAlign w:val="bottom"/>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398,613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379,011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19,602</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5%</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Asia Pacific</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2,565</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11%</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11,564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12,030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(466)</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(4%)</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sales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436,304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414,603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21,701</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5%</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changes in contract sales are described within the discussions of our segment results below. We estimate the ongoing impact of the 2017 Hurricanes negatively impacted contract sales by $10 million in the 2018 first half</w:t>
      </w:r>
      <w:r>
        <w:rPr>
          <w:rFonts w:ascii="Arial" w:cs="Arial" w:eastAsia="Arial" w:hAnsi="Arial"/>
          <w:sz w:val="18"/>
          <w:szCs w:val="18"/>
          <w:i w:val="1"/>
          <w:iCs w:val="1"/>
          <w:color w:val="auto"/>
        </w:rPr>
        <w:t>.</w:t>
      </w:r>
      <w:r>
        <w:rPr>
          <w:rFonts w:ascii="Arial" w:cs="Arial" w:eastAsia="Arial" w:hAnsi="Arial"/>
          <w:sz w:val="18"/>
          <w:szCs w:val="18"/>
          <w:color w:val="auto"/>
        </w:rPr>
        <w:t xml:space="preserve"> In addition, our 2017 first half had two additional days of sales due to the change to our financial reporting calendar at the beginning of 2017. Excluding both of these impacts, we estimate total contract sales would have increased 8 percent over the prior year period.</w:t>
      </w:r>
    </w:p>
    <w:p>
      <w:pPr>
        <w:spacing w:after="0" w:line="183" w:lineRule="exact"/>
        <w:rPr>
          <w:sz w:val="20"/>
          <w:szCs w:val="20"/>
          <w:color w:val="auto"/>
        </w:rPr>
      </w:pPr>
    </w:p>
    <w:p>
      <w:pPr>
        <w:jc w:val="center"/>
        <w:ind w:right="8540"/>
        <w:spacing w:after="0"/>
        <w:rPr>
          <w:sz w:val="20"/>
          <w:szCs w:val="20"/>
          <w:color w:val="auto"/>
        </w:rPr>
      </w:pPr>
      <w:r>
        <w:rPr>
          <w:rFonts w:ascii="Arial" w:cs="Arial" w:eastAsia="Arial" w:hAnsi="Arial"/>
          <w:sz w:val="16"/>
          <w:szCs w:val="16"/>
          <w:b w:val="1"/>
          <w:bCs w:val="1"/>
          <w:color w:val="auto"/>
        </w:rPr>
        <w:t>Sale of Vacation Ownership Products</w:t>
      </w:r>
    </w:p>
    <w:p>
      <w:pPr>
        <w:spacing w:after="0" w:line="144" w:lineRule="exact"/>
        <w:rPr>
          <w:sz w:val="20"/>
          <w:szCs w:val="20"/>
          <w:color w:val="auto"/>
        </w:rPr>
      </w:pPr>
    </w:p>
    <w:p>
      <w:pPr>
        <w:jc w:val="center"/>
        <w:ind w:right="8560"/>
        <w:spacing w:after="0"/>
        <w:rPr>
          <w:sz w:val="20"/>
          <w:szCs w:val="20"/>
          <w:color w:val="auto"/>
        </w:rPr>
      </w:pPr>
      <w:r>
        <w:rPr>
          <w:rFonts w:ascii="Arial" w:cs="Arial" w:eastAsia="Arial" w:hAnsi="Arial"/>
          <w:sz w:val="18"/>
          <w:szCs w:val="18"/>
          <w:i w:val="1"/>
          <w:iCs w:val="1"/>
          <w:color w:val="auto"/>
        </w:rPr>
        <w:t>2018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gridSpan w:val="5"/>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June 30, 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June 30, 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232,643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214,985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17,658</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Less resales contract sales</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(7,392)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(2,299)</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sales, net of resales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225,251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209,892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15,359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Plus:</w:t>
            </w: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4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Settlement revenue</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4,228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4,103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4620" w:type="dxa"/>
            <w:vAlign w:val="bottom"/>
          </w:tcPr>
          <w:p>
            <w:pPr>
              <w:ind w:left="260"/>
              <w:spacing w:after="0"/>
              <w:rPr>
                <w:sz w:val="20"/>
                <w:szCs w:val="20"/>
                <w:color w:val="auto"/>
              </w:rPr>
            </w:pPr>
            <w:r>
              <w:rPr>
                <w:rFonts w:ascii="Arial" w:cs="Arial" w:eastAsia="Arial" w:hAnsi="Arial"/>
                <w:sz w:val="18"/>
                <w:szCs w:val="18"/>
                <w:color w:val="auto"/>
              </w:rPr>
              <w:t>Resales revenue</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2,561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620" w:type="dxa"/>
            <w:vAlign w:val="bottom"/>
          </w:tcPr>
          <w:p>
            <w:pPr>
              <w:ind w:left="260"/>
              <w:spacing w:after="0"/>
              <w:rPr>
                <w:sz w:val="20"/>
                <w:szCs w:val="20"/>
                <w:color w:val="auto"/>
              </w:rPr>
            </w:pPr>
            <w:r>
              <w:rPr>
                <w:rFonts w:ascii="Arial" w:cs="Arial" w:eastAsia="Arial" w:hAnsi="Arial"/>
                <w:sz w:val="18"/>
                <w:szCs w:val="18"/>
                <w:color w:val="auto"/>
              </w:rPr>
              <w:t>Reportability</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9,862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(14,042)</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Sales reserve</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46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Other</w:t>
            </w:r>
            <w:r>
              <w:rPr>
                <w:rFonts w:ascii="Arial" w:cs="Arial" w:eastAsia="Arial" w:hAnsi="Arial"/>
                <w:sz w:val="21"/>
                <w:szCs w:val="21"/>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(7,776)</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(10,225)</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2,449</w:t>
            </w:r>
          </w:p>
        </w:tc>
        <w:tc>
          <w:tcPr>
            <w:tcW w:w="120" w:type="dxa"/>
            <w:vAlign w:val="bottom"/>
            <w:tcBorders>
              <w:bottom w:val="single" w:sz="8" w:color="CCEEFF"/>
            </w:tcBorders>
          </w:tcPr>
          <w:p>
            <w:pPr>
              <w:spacing w:after="0"/>
              <w:rPr>
                <w:sz w:val="23"/>
                <w:szCs w:val="23"/>
                <w:color w:val="auto"/>
              </w:rPr>
            </w:pPr>
          </w:p>
        </w:tc>
        <w:tc>
          <w:tcPr>
            <w:tcW w:w="13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 of vacation ownership products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205,168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201,856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3,312</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jc w:val="right"/>
              <w:ind w:right="2351"/>
              <w:spacing w:after="0"/>
              <w:rPr>
                <w:sz w:val="20"/>
                <w:szCs w:val="20"/>
                <w:color w:val="auto"/>
              </w:rPr>
            </w:pPr>
            <w:r>
              <w:rPr>
                <w:rFonts w:ascii="Arial" w:cs="Arial" w:eastAsia="Arial" w:hAnsi="Arial"/>
                <w:sz w:val="18"/>
                <w:szCs w:val="18"/>
                <w:color w:val="auto"/>
                <w:w w:val="89"/>
              </w:rPr>
              <w:t>_________________________</w:t>
            </w: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Previously included in Resort management and other services revenue prior to the adoption of the new Revenue Standard.</w:t>
      </w:r>
    </w:p>
    <w:p>
      <w:pPr>
        <w:spacing w:after="0" w:line="56" w:lineRule="exact"/>
        <w:rPr>
          <w:rFonts w:ascii="Arial" w:cs="Arial" w:eastAsia="Arial" w:hAnsi="Arial"/>
          <w:sz w:val="25"/>
          <w:szCs w:val="25"/>
          <w:color w:val="auto"/>
          <w:vertAlign w:val="superscript"/>
        </w:rPr>
      </w:pPr>
    </w:p>
    <w:p>
      <w:pPr>
        <w:ind w:left="660" w:right="40" w:hanging="652"/>
        <w:spacing w:after="0" w:line="208" w:lineRule="auto"/>
        <w:tabs>
          <w:tab w:leader="none" w:pos="66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 and other adjustments to Sale of vacation ownership products revenue.</w:t>
      </w:r>
    </w:p>
    <w:p>
      <w:pPr>
        <w:spacing w:after="0" w:line="96"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Revenue reportability had a negative impact in the 2018 second quarter due to an increase in unclosed contracts during the quarter. Revenue reportability had a positive impact in the 2017 second quarter due to a decrease in unclosed contracts during the quarter.</w:t>
      </w:r>
    </w:p>
    <w:p>
      <w:pPr>
        <w:sectPr>
          <w:pgSz w:w="11900" w:h="16838" w:orient="portrait"/>
          <w:cols w:equalWidth="0" w:num="1">
            <w:col w:w="11420"/>
          </w:cols>
          <w:pgMar w:left="240" w:top="580"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580" w:right="239" w:bottom="1440" w:gutter="0" w:footer="0" w:header="0"/>
          <w:type w:val="continuous"/>
        </w:sectPr>
      </w:pPr>
    </w:p>
    <w:bookmarkStart w:id="45" w:name="page46"/>
    <w:bookmarkEnd w:id="45"/>
    <w:p>
      <w:pPr>
        <w:ind w:left="660"/>
        <w:spacing w:after="0"/>
        <w:rPr>
          <w:sz w:val="20"/>
          <w:szCs w:val="20"/>
          <w:color w:val="auto"/>
        </w:rPr>
      </w:pPr>
      <w:r>
        <w:rPr>
          <w:rFonts w:ascii="Arial" w:cs="Arial" w:eastAsia="Arial" w:hAnsi="Arial"/>
          <w:sz w:val="18"/>
          <w:szCs w:val="18"/>
          <w:color w:val="auto"/>
        </w:rPr>
        <w:t>The higher sales reserve reflected a higher required reserve in the 2018 second quarter due to the increase in contract closings.</w:t>
      </w:r>
    </w:p>
    <w:p>
      <w:pPr>
        <w:spacing w:after="0" w:line="11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decrease in other adjustments was driven by a decrease in the utilization of sales incentives in our North America segment in the 2018 second quarter, partially offset by the increase in contract closings.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Half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5"/>
          </w:tcPr>
          <w:p>
            <w:pPr>
              <w:ind w:left="980"/>
              <w:spacing w:after="0"/>
              <w:rPr>
                <w:sz w:val="20"/>
                <w:szCs w:val="20"/>
                <w:color w:val="auto"/>
              </w:rPr>
            </w:pPr>
            <w:r>
              <w:rPr>
                <w:rFonts w:ascii="Arial" w:cs="Arial" w:eastAsia="Arial" w:hAnsi="Arial"/>
                <w:sz w:val="16"/>
                <w:szCs w:val="16"/>
                <w:b w:val="1"/>
                <w:bCs w:val="1"/>
                <w:color w:val="auto"/>
              </w:rPr>
              <w:t>Six Months Ended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June 30, 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June 30, 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436,304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414,603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21,701</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Less resales contract sales</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(14,932)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(10,876)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(4,056)</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 net of resales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421,372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403,727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17,645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Plus:</w:t>
            </w: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Settlement revenue</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7,741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7,439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line="270" w:lineRule="exact"/>
              <w:rPr>
                <w:sz w:val="20"/>
                <w:szCs w:val="20"/>
                <w:color w:val="auto"/>
              </w:rPr>
            </w:pPr>
            <w:r>
              <w:rPr>
                <w:rFonts w:ascii="Arial" w:cs="Arial" w:eastAsia="Arial" w:hAnsi="Arial"/>
                <w:sz w:val="18"/>
                <w:szCs w:val="18"/>
                <w:color w:val="auto"/>
              </w:rPr>
              <w:t>Resales revenue</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4,946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4,146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Reportability</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(15,690)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(4,288)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(11,402)</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reserve</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(14,442)</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3,790</w:t>
            </w:r>
          </w:p>
        </w:tc>
        <w:tc>
          <w:tcPr>
            <w:tcW w:w="120" w:type="dxa"/>
            <w:vAlign w:val="bottom"/>
            <w:tcBorders>
              <w:bottom w:val="single" w:sz="8" w:color="CCEEFF"/>
            </w:tcBorders>
          </w:tcPr>
          <w:p>
            <w:pPr>
              <w:spacing w:after="0"/>
              <w:rPr>
                <w:sz w:val="23"/>
                <w:szCs w:val="23"/>
                <w:color w:val="auto"/>
              </w:rPr>
            </w:pPr>
          </w:p>
        </w:tc>
        <w:tc>
          <w:tcPr>
            <w:tcW w:w="13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379,957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365,733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14,224</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Previously included in Resort management and other services revenue prior to the adoption of the new Revenue Standard.</w:t>
      </w:r>
    </w:p>
    <w:p>
      <w:pPr>
        <w:spacing w:after="0" w:line="56" w:lineRule="exact"/>
        <w:rPr>
          <w:rFonts w:ascii="Arial" w:cs="Arial" w:eastAsia="Arial" w:hAnsi="Arial"/>
          <w:sz w:val="25"/>
          <w:szCs w:val="25"/>
          <w:color w:val="auto"/>
          <w:vertAlign w:val="superscript"/>
        </w:rPr>
      </w:pPr>
    </w:p>
    <w:p>
      <w:pPr>
        <w:ind w:left="660" w:right="40" w:hanging="652"/>
        <w:spacing w:after="0" w:line="208" w:lineRule="auto"/>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 and other adjustments to Sale of vacation ownership products revenue.</w:t>
      </w:r>
    </w:p>
    <w:p>
      <w:pPr>
        <w:spacing w:after="0" w:line="95"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6"/>
          <w:szCs w:val="16"/>
          <w:color w:val="auto"/>
        </w:rPr>
        <w:t>Revenue reportability negatively impacted the 2018 first half and the 2017 first half due to an increase in unclosed contracts during each period.</w:t>
      </w:r>
    </w:p>
    <w:p>
      <w:pPr>
        <w:spacing w:after="0" w:line="14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lower sales reserve reflected a lower required reserve in the 2018 first half due to lower default and delinquency activity, partially offset by a higher reserve required due to the increase in contract closings.</w:t>
      </w:r>
    </w:p>
    <w:p>
      <w:pPr>
        <w:spacing w:after="0" w:line="6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decrease in other adjustments was driven by a decrease in the utilization of sales incentives in our North America segment in the 2018 first half, partially offset by the increase in contract closings.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20" w:type="dxa"/>
            <w:vAlign w:val="bottom"/>
            <w:gridSpan w:val="5"/>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2018</w:t>
            </w:r>
          </w:p>
        </w:tc>
        <w:tc>
          <w:tcPr>
            <w:tcW w:w="280" w:type="dxa"/>
            <w:vAlign w:val="bottom"/>
          </w:tcPr>
          <w:p>
            <w:pPr>
              <w:spacing w:after="0"/>
              <w:rPr>
                <w:sz w:val="20"/>
                <w:szCs w:val="20"/>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June 30, 2017</w:t>
            </w:r>
          </w:p>
        </w:tc>
        <w:tc>
          <w:tcPr>
            <w:tcW w:w="300" w:type="dxa"/>
            <w:vAlign w:val="bottom"/>
          </w:tcPr>
          <w:p>
            <w:pPr>
              <w:spacing w:after="0"/>
              <w:rPr>
                <w:sz w:val="20"/>
                <w:szCs w:val="20"/>
                <w:color w:val="auto"/>
              </w:rPr>
            </w:pPr>
          </w:p>
        </w:tc>
        <w:tc>
          <w:tcPr>
            <w:tcW w:w="1160" w:type="dxa"/>
            <w:vAlign w:val="bottom"/>
          </w:tcPr>
          <w:p>
            <w:pPr>
              <w:jc w:val="right"/>
              <w:ind w:right="371"/>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20"/>
                <w:szCs w:val="20"/>
                <w:color w:val="auto"/>
              </w:rPr>
            </w:pPr>
          </w:p>
        </w:tc>
        <w:tc>
          <w:tcPr>
            <w:tcW w:w="1240" w:type="dxa"/>
            <w:vAlign w:val="bottom"/>
          </w:tcPr>
          <w:p>
            <w:pPr>
              <w:ind w:left="26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Sale of vacation ownership products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205,168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201,856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3,312</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(56,863)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(51,025)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(5,838)</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Marketing and sales</w:t>
            </w:r>
          </w:p>
        </w:tc>
        <w:tc>
          <w:tcPr>
            <w:tcW w:w="2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(99,168)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(10,147)</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(10%)</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38,990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51,663</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(12,673)</w:t>
            </w:r>
          </w:p>
        </w:tc>
        <w:tc>
          <w:tcPr>
            <w:tcW w:w="136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1"/>
              </w:rPr>
              <w:t>(25%)</w:t>
            </w: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Development margin percentage</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(6.6 pts)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47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development margin reflected the following:</w:t>
      </w:r>
    </w:p>
    <w:p>
      <w:pPr>
        <w:spacing w:after="0" w:line="117" w:lineRule="exact"/>
        <w:rPr>
          <w:sz w:val="20"/>
          <w:szCs w:val="20"/>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$9.6 million of unfavorable revenue reportability compared to the 2017 second quarter;</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$5.7 million from an unfavorable mix of higher cost real estate inventory being sold;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$1.3 million from higher marketing and sales costs;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$0.3 million from higher sales reserve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decreases were partially offset by the following:</w:t>
      </w:r>
    </w:p>
    <w:p>
      <w:pPr>
        <w:spacing w:after="0" w:line="117" w:lineRule="exact"/>
        <w:rPr>
          <w:sz w:val="20"/>
          <w:szCs w:val="20"/>
          <w:color w:val="auto"/>
        </w:rPr>
      </w:pPr>
    </w:p>
    <w:p>
      <w:pPr>
        <w:ind w:left="1300" w:right="620" w:hanging="320"/>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$2.6 million from higher vacation ownership contract sales volume net of the sales reserve and direct variable expenses (i.e., cost of vacation ownership products and marketing and sales);</w:t>
      </w:r>
    </w:p>
    <w:p>
      <w:pPr>
        <w:sectPr>
          <w:pgSz w:w="11900" w:h="16838" w:orient="portrait"/>
          <w:cols w:equalWidth="0" w:num="1">
            <w:col w:w="11420"/>
          </w:cols>
          <w:pgMar w:left="240" w:top="476"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476" w:right="239" w:bottom="1440" w:gutter="0" w:footer="0" w:header="0"/>
          <w:type w:val="continuous"/>
        </w:sectPr>
      </w:pPr>
    </w:p>
    <w:bookmarkStart w:id="46" w:name="page47"/>
    <w:bookmarkEnd w:id="46"/>
    <w:p>
      <w:pPr>
        <w:ind w:left="1300" w:hanging="320"/>
        <w:spacing w:after="0"/>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$1.1 million from the lower utilization of sales incentives in our North America segment offset by changes in other expenses; and</w:t>
      </w:r>
    </w:p>
    <w:p>
      <w:pPr>
        <w:spacing w:after="0" w:line="128" w:lineRule="exact"/>
        <w:rPr>
          <w:rFonts w:ascii="Arial" w:cs="Arial" w:eastAsia="Arial" w:hAnsi="Arial"/>
          <w:sz w:val="17"/>
          <w:szCs w:val="17"/>
          <w:color w:val="auto"/>
        </w:rPr>
      </w:pPr>
    </w:p>
    <w:p>
      <w:pPr>
        <w:ind w:left="1300" w:right="420" w:hanging="320"/>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$0.5 million of favorable changes in product cost true-up activity ($1.0 million of favorable true-up activity in the 2018 second quarter compared to $0.5 million of favorable true-up activity in the 2017 second quarter).</w:t>
      </w:r>
    </w:p>
    <w:p>
      <w:pPr>
        <w:spacing w:after="0" w:line="62" w:lineRule="exact"/>
        <w:rPr>
          <w:sz w:val="20"/>
          <w:szCs w:val="20"/>
          <w:color w:val="auto"/>
        </w:rPr>
      </w:pPr>
    </w:p>
    <w:p>
      <w:pPr>
        <w:ind w:right="200" w:firstLine="648"/>
        <w:spacing w:after="0" w:line="327" w:lineRule="auto"/>
        <w:rPr>
          <w:sz w:val="20"/>
          <w:szCs w:val="20"/>
          <w:color w:val="auto"/>
        </w:rPr>
      </w:pPr>
      <w:r>
        <w:rPr>
          <w:rFonts w:ascii="Arial" w:cs="Arial" w:eastAsia="Arial" w:hAnsi="Arial"/>
          <w:sz w:val="15"/>
          <w:szCs w:val="15"/>
          <w:color w:val="auto"/>
        </w:rPr>
        <w:t>The 6.6 percentage point decline in the development margin percentage reflected a 3.4 percentage point decrease due to the unfavorable revenue reportability year-over-year, a 2.8 percentage point decrease due to an unfavorable mix of higher cost vacation ownership real estate inventory being sold, a 0.5 percentage point decline due to higher marketing and sales costs, and a 0.1 percentage point increase from a higher sales reserve rate in the 2018 second quarter. These declines were partially offset by a 0.2 percentage point increase due to the favorable changes in product cost true-up activity year-over-year.</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Half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20" w:type="dxa"/>
            <w:vAlign w:val="bottom"/>
            <w:gridSpan w:val="5"/>
          </w:tcPr>
          <w:p>
            <w:pPr>
              <w:ind w:left="980"/>
              <w:spacing w:after="0"/>
              <w:rPr>
                <w:sz w:val="20"/>
                <w:szCs w:val="20"/>
                <w:color w:val="auto"/>
              </w:rPr>
            </w:pPr>
            <w:r>
              <w:rPr>
                <w:rFonts w:ascii="Arial" w:cs="Arial" w:eastAsia="Arial" w:hAnsi="Arial"/>
                <w:sz w:val="16"/>
                <w:szCs w:val="16"/>
                <w:b w:val="1"/>
                <w:bCs w:val="1"/>
                <w:color w:val="auto"/>
              </w:rPr>
              <w:t>Six Months Ended</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2018</w:t>
            </w:r>
          </w:p>
        </w:tc>
        <w:tc>
          <w:tcPr>
            <w:tcW w:w="280" w:type="dxa"/>
            <w:vAlign w:val="bottom"/>
          </w:tcPr>
          <w:p>
            <w:pPr>
              <w:spacing w:after="0"/>
              <w:rPr>
                <w:sz w:val="20"/>
                <w:szCs w:val="20"/>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June 30, 2017</w:t>
            </w:r>
          </w:p>
        </w:tc>
        <w:tc>
          <w:tcPr>
            <w:tcW w:w="300" w:type="dxa"/>
            <w:vAlign w:val="bottom"/>
          </w:tcPr>
          <w:p>
            <w:pPr>
              <w:spacing w:after="0"/>
              <w:rPr>
                <w:sz w:val="20"/>
                <w:szCs w:val="20"/>
                <w:color w:val="auto"/>
              </w:rPr>
            </w:pPr>
          </w:p>
        </w:tc>
        <w:tc>
          <w:tcPr>
            <w:tcW w:w="1160" w:type="dxa"/>
            <w:vAlign w:val="bottom"/>
          </w:tcPr>
          <w:p>
            <w:pPr>
              <w:jc w:val="right"/>
              <w:ind w:right="371"/>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20"/>
                <w:szCs w:val="20"/>
                <w:color w:val="auto"/>
              </w:rPr>
            </w:pPr>
          </w:p>
        </w:tc>
        <w:tc>
          <w:tcPr>
            <w:tcW w:w="1240" w:type="dxa"/>
            <w:vAlign w:val="bottom"/>
          </w:tcPr>
          <w:p>
            <w:pPr>
              <w:ind w:left="26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Sale of vacation ownership products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379,957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365,733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14,224</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(103,226)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(94,796)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(8,430)</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Marketing and sales</w:t>
            </w:r>
          </w:p>
        </w:tc>
        <w:tc>
          <w:tcPr>
            <w:tcW w:w="2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(215,249)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(196,666)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(18,583)</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61,482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74,271</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(12,789)</w:t>
            </w:r>
          </w:p>
        </w:tc>
        <w:tc>
          <w:tcPr>
            <w:tcW w:w="136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1"/>
              </w:rPr>
              <w:t>(17%)</w:t>
            </w: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Development margin percentage</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(4.1 pts)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47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development margin reflected the following:</w:t>
      </w:r>
    </w:p>
    <w:p>
      <w:pPr>
        <w:spacing w:after="0" w:line="117" w:lineRule="exact"/>
        <w:rPr>
          <w:sz w:val="20"/>
          <w:szCs w:val="20"/>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$7.6 million of unfavorable revenue reportability compared to the 2017 first half;</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$7.6 million from higher marketing and sales costs; and</w:t>
      </w:r>
    </w:p>
    <w:p>
      <w:pPr>
        <w:spacing w:after="0" w:line="117" w:lineRule="exact"/>
        <w:rPr>
          <w:rFonts w:ascii="Arial" w:cs="Arial" w:eastAsia="Arial" w:hAnsi="Arial"/>
          <w:sz w:val="18"/>
          <w:szCs w:val="18"/>
          <w:color w:val="auto"/>
        </w:rPr>
      </w:pPr>
    </w:p>
    <w:p>
      <w:pPr>
        <w:ind w:left="660" w:right="4020" w:firstLine="320"/>
        <w:spacing w:after="0" w:line="375" w:lineRule="auto"/>
        <w:tabs>
          <w:tab w:leader="none" w:pos="1308" w:val="left"/>
        </w:tabs>
        <w:numPr>
          <w:ilvl w:val="0"/>
          <w:numId w:val="26"/>
        </w:numPr>
        <w:rPr>
          <w:rFonts w:ascii="Arial" w:cs="Arial" w:eastAsia="Arial" w:hAnsi="Arial"/>
          <w:sz w:val="18"/>
          <w:szCs w:val="18"/>
          <w:color w:val="auto"/>
        </w:rPr>
      </w:pPr>
      <w:r>
        <w:rPr>
          <w:rFonts w:ascii="Arial" w:cs="Arial" w:eastAsia="Arial" w:hAnsi="Arial"/>
          <w:sz w:val="18"/>
          <w:szCs w:val="18"/>
          <w:color w:val="auto"/>
        </w:rPr>
        <w:t>$6.6 million from an unfavorable mix of higher cost real estate inventory being sold. These decreases were partially offset by the following:</w:t>
      </w:r>
    </w:p>
    <w:p>
      <w:pPr>
        <w:spacing w:after="0" w:line="1" w:lineRule="exact"/>
        <w:rPr>
          <w:rFonts w:ascii="Arial" w:cs="Arial" w:eastAsia="Arial" w:hAnsi="Arial"/>
          <w:sz w:val="18"/>
          <w:szCs w:val="18"/>
          <w:color w:val="auto"/>
        </w:rPr>
      </w:pPr>
    </w:p>
    <w:p>
      <w:pPr>
        <w:ind w:left="1300" w:right="620" w:hanging="320"/>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$3.7 million from higher vacation ownership contract sales volume net of the sales reserve and direct variable expenses (i.e., cost of vacation ownership products and marketing and sales);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$3.2 million from lower sales reserve activity;</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$1.5 million from the lower utilization of sales incentives in our North America segment and decreases in other expenses; and</w:t>
      </w:r>
    </w:p>
    <w:p>
      <w:pPr>
        <w:spacing w:after="0" w:line="117" w:lineRule="exact"/>
        <w:rPr>
          <w:rFonts w:ascii="Arial" w:cs="Arial" w:eastAsia="Arial" w:hAnsi="Arial"/>
          <w:sz w:val="18"/>
          <w:szCs w:val="18"/>
          <w:color w:val="auto"/>
        </w:rPr>
      </w:pPr>
    </w:p>
    <w:p>
      <w:pPr>
        <w:ind w:left="1300" w:right="100" w:hanging="320"/>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$0.6 million of favorable changes in product cost true-up activity ($0.2 million of favorable true-up activity in the 2018 first half compared to $0.4 million of unfavorable true-up activity in the 2017 first half).</w:t>
      </w:r>
    </w:p>
    <w:p>
      <w:pPr>
        <w:spacing w:after="0" w:line="62"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4.1 percentage point decline in the development margin percentage reflected a 1.8 percentage point decline due to higher marketing and sales costs, a 1.7 percentage point decline due to an unfavorable mix of higher cost vacation ownership real estate inventory being sold in the 2018 first half, and a 1.5 percentage point decrease due to the unfavorable revenue reportability year-over-year. These declines were partially offset by a 0.7 percentage point increase from the lower sales reserve activity and a 0.2 percentage point increase due to the favorable changes in product cost true-up activity year-over-year.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5"/>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8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June 30, 2018</w:t>
            </w:r>
          </w:p>
        </w:tc>
        <w:tc>
          <w:tcPr>
            <w:tcW w:w="280" w:type="dxa"/>
            <w:vAlign w:val="bottom"/>
          </w:tcPr>
          <w:p>
            <w:pPr>
              <w:spacing w:after="0"/>
              <w:rPr>
                <w:sz w:val="20"/>
                <w:szCs w:val="20"/>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June 30, 2017</w:t>
            </w:r>
          </w:p>
        </w:tc>
        <w:tc>
          <w:tcPr>
            <w:tcW w:w="260" w:type="dxa"/>
            <w:vAlign w:val="bottom"/>
          </w:tcPr>
          <w:p>
            <w:pPr>
              <w:spacing w:after="0"/>
              <w:rPr>
                <w:sz w:val="20"/>
                <w:szCs w:val="20"/>
                <w:color w:val="auto"/>
              </w:rPr>
            </w:pPr>
          </w:p>
        </w:tc>
        <w:tc>
          <w:tcPr>
            <w:tcW w:w="1100" w:type="dxa"/>
            <w:vAlign w:val="bottom"/>
          </w:tcPr>
          <w:p>
            <w:pPr>
              <w:jc w:val="right"/>
              <w:ind w:right="331"/>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0"/>
                <w:szCs w:val="20"/>
                <w:color w:val="auto"/>
              </w:rPr>
            </w:pPr>
          </w:p>
        </w:tc>
        <w:tc>
          <w:tcPr>
            <w:tcW w:w="1380" w:type="dxa"/>
            <w:vAlign w:val="bottom"/>
          </w:tcPr>
          <w:p>
            <w:pPr>
              <w:ind w:left="32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Management fee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3,288</w:t>
            </w:r>
          </w:p>
        </w:tc>
        <w:tc>
          <w:tcPr>
            <w:tcW w:w="14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15%</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Ancillary revenues</w:t>
            </w:r>
          </w:p>
        </w:tc>
        <w:tc>
          <w:tcPr>
            <w:tcW w:w="28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35,412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33,040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2,372</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services revenues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16,914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16,872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77,642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71,940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5,702</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Resort management and other services expenses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(41,079)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(39,413)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97"/>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36,563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32,527</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4,036</w:t>
            </w:r>
          </w:p>
        </w:tc>
        <w:tc>
          <w:tcPr>
            <w:tcW w:w="148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4"/>
              </w:rPr>
              <w:t>12%</w:t>
            </w:r>
          </w:p>
        </w:tc>
        <w:tc>
          <w:tcPr>
            <w:tcW w:w="0" w:type="dxa"/>
            <w:vAlign w:val="bottom"/>
          </w:tcPr>
          <w:p>
            <w:pPr>
              <w:spacing w:after="0"/>
              <w:rPr>
                <w:sz w:val="1"/>
                <w:szCs w:val="1"/>
                <w:color w:val="auto"/>
              </w:rPr>
            </w:pPr>
          </w:p>
        </w:tc>
      </w:tr>
      <w:tr>
        <w:trPr>
          <w:trHeight w:val="190"/>
        </w:trPr>
        <w:tc>
          <w:tcPr>
            <w:tcW w:w="46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8"/>
                <w:shd w:val="clear" w:color="auto" w:fill="CCEEFF"/>
              </w:rPr>
              <w:t>Resort management and other services margin percentage</w:t>
            </w:r>
          </w:p>
        </w:tc>
        <w:tc>
          <w:tcPr>
            <w:tcW w:w="2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372"/>
              <w:spacing w:after="0" w:line="189" w:lineRule="exact"/>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351"/>
              <w:spacing w:after="0" w:line="189" w:lineRule="exact"/>
              <w:rPr>
                <w:sz w:val="20"/>
                <w:szCs w:val="20"/>
                <w:color w:val="auto"/>
              </w:rPr>
            </w:pPr>
            <w:r>
              <w:rPr>
                <w:rFonts w:ascii="Arial" w:cs="Arial" w:eastAsia="Arial" w:hAnsi="Arial"/>
                <w:sz w:val="18"/>
                <w:szCs w:val="18"/>
                <w:color w:val="auto"/>
              </w:rPr>
              <w:t>45.2%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11"/>
              <w:spacing w:after="0" w:line="189" w:lineRule="exact"/>
              <w:rPr>
                <w:sz w:val="20"/>
                <w:szCs w:val="20"/>
                <w:color w:val="auto"/>
              </w:rPr>
            </w:pPr>
            <w:r>
              <w:rPr>
                <w:rFonts w:ascii="Arial" w:cs="Arial" w:eastAsia="Arial" w:hAnsi="Arial"/>
                <w:sz w:val="18"/>
                <w:szCs w:val="18"/>
                <w:color w:val="auto"/>
              </w:rPr>
              <w:t>1.9 pts</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46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459"/>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jc w:val="right"/>
              <w:ind w:right="63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sectPr>
      </w:pPr>
    </w:p>
    <w:bookmarkStart w:id="47" w:name="page48"/>
    <w:bookmarkEnd w:id="47"/>
    <w:p>
      <w:pPr>
        <w:ind w:right="60" w:firstLine="648"/>
        <w:spacing w:after="0" w:line="255" w:lineRule="auto"/>
        <w:rPr>
          <w:sz w:val="20"/>
          <w:szCs w:val="20"/>
          <w:color w:val="auto"/>
        </w:rPr>
      </w:pPr>
      <w:r>
        <w:rPr>
          <w:rFonts w:ascii="Arial" w:cs="Arial" w:eastAsia="Arial" w:hAnsi="Arial"/>
          <w:sz w:val="18"/>
          <w:szCs w:val="18"/>
          <w:color w:val="auto"/>
        </w:rPr>
        <w:t>The increase in resort management and other services revenues reflected $3.3 million of higher management fees resulting from the cumulative increase in the number of vacation ownership products sold and higher operating costs across the system, $2.4 million of higher ancillary revenues from food and beverage and golf offerings at our resorts, and $1.5 million of higher annual club dues and other revenues earned in connection with the MVCD program due to the cumulative increase in owners enrolled in the program as well as an increase in the average club dues charged to enrolled owners. These increases were partially offset by $1.5 million of lower refurbishment and other revenues due to a decrease in the number of refurbishment projects completed in the 2018 second quarter.</w:t>
      </w:r>
    </w:p>
    <w:p>
      <w:pPr>
        <w:spacing w:after="0" w:line="8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improvement in the resort management and other services margin reflected the increases in revenue, partially offset by $1.7 million of higher expenses. Compared to the 2017 second quarter, expenses in the 2018 second quarter included $2.0 million of higher ancillary expenses from food and beverage and golf offerings at our resorts, $0.3 million of higher management fee related expenses, and $0.1 million of higher customer service expenses and expenses associated with the MVCD program, partially offset by $0.7 million of lower refurbishment expenses due to a decrease in the number of projects being refurbished in the 2018 second quarter.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Half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5"/>
          </w:tcPr>
          <w:p>
            <w:pPr>
              <w:ind w:left="980"/>
              <w:spacing w:after="0"/>
              <w:rPr>
                <w:sz w:val="20"/>
                <w:szCs w:val="20"/>
                <w:color w:val="auto"/>
              </w:rPr>
            </w:pPr>
            <w:r>
              <w:rPr>
                <w:rFonts w:ascii="Arial" w:cs="Arial" w:eastAsia="Arial" w:hAnsi="Arial"/>
                <w:sz w:val="16"/>
                <w:szCs w:val="16"/>
                <w:b w:val="1"/>
                <w:bCs w:val="1"/>
                <w:color w:val="auto"/>
              </w:rPr>
              <w:t>Six Months Ended</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8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June 30, 2018</w:t>
            </w:r>
          </w:p>
        </w:tc>
        <w:tc>
          <w:tcPr>
            <w:tcW w:w="280" w:type="dxa"/>
            <w:vAlign w:val="bottom"/>
          </w:tcPr>
          <w:p>
            <w:pPr>
              <w:spacing w:after="0"/>
              <w:rPr>
                <w:sz w:val="20"/>
                <w:szCs w:val="20"/>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June 30, 2017</w:t>
            </w:r>
          </w:p>
        </w:tc>
        <w:tc>
          <w:tcPr>
            <w:tcW w:w="260" w:type="dxa"/>
            <w:vAlign w:val="bottom"/>
          </w:tcPr>
          <w:p>
            <w:pPr>
              <w:spacing w:after="0"/>
              <w:rPr>
                <w:sz w:val="20"/>
                <w:szCs w:val="20"/>
                <w:color w:val="auto"/>
              </w:rPr>
            </w:pPr>
          </w:p>
        </w:tc>
        <w:tc>
          <w:tcPr>
            <w:tcW w:w="1100" w:type="dxa"/>
            <w:vAlign w:val="bottom"/>
          </w:tcPr>
          <w:p>
            <w:pPr>
              <w:jc w:val="right"/>
              <w:ind w:right="331"/>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0"/>
                <w:szCs w:val="20"/>
                <w:color w:val="auto"/>
              </w:rPr>
            </w:pPr>
          </w:p>
        </w:tc>
        <w:tc>
          <w:tcPr>
            <w:tcW w:w="1380" w:type="dxa"/>
            <w:vAlign w:val="bottom"/>
          </w:tcPr>
          <w:p>
            <w:pPr>
              <w:ind w:left="32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Management fee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49,490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5,347</w:t>
            </w:r>
          </w:p>
        </w:tc>
        <w:tc>
          <w:tcPr>
            <w:tcW w:w="14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12%</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Ancillary revenues</w:t>
            </w:r>
          </w:p>
        </w:tc>
        <w:tc>
          <w:tcPr>
            <w:tcW w:w="28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63,911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60,309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3,602</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services revenues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34,421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34,907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147,822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139,359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8,463</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Resort management and other services expenses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(76,884)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97"/>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68,965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62,475</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6,490</w:t>
            </w:r>
          </w:p>
        </w:tc>
        <w:tc>
          <w:tcPr>
            <w:tcW w:w="148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4"/>
              </w:rPr>
              <w:t>10%</w:t>
            </w:r>
          </w:p>
        </w:tc>
        <w:tc>
          <w:tcPr>
            <w:tcW w:w="0" w:type="dxa"/>
            <w:vAlign w:val="bottom"/>
          </w:tcPr>
          <w:p>
            <w:pPr>
              <w:spacing w:after="0"/>
              <w:rPr>
                <w:sz w:val="1"/>
                <w:szCs w:val="1"/>
                <w:color w:val="auto"/>
              </w:rPr>
            </w:pPr>
          </w:p>
        </w:tc>
      </w:tr>
      <w:tr>
        <w:trPr>
          <w:trHeight w:val="190"/>
        </w:trPr>
        <w:tc>
          <w:tcPr>
            <w:tcW w:w="46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8"/>
                <w:shd w:val="clear" w:color="auto" w:fill="CCEEFF"/>
              </w:rPr>
              <w:t>Resort management and other services margin percentage</w:t>
            </w:r>
          </w:p>
        </w:tc>
        <w:tc>
          <w:tcPr>
            <w:tcW w:w="2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372"/>
              <w:spacing w:after="0" w:line="189" w:lineRule="exact"/>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351"/>
              <w:spacing w:after="0" w:line="189" w:lineRule="exact"/>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11"/>
              <w:spacing w:after="0" w:line="189" w:lineRule="exact"/>
              <w:rPr>
                <w:sz w:val="20"/>
                <w:szCs w:val="20"/>
                <w:color w:val="auto"/>
              </w:rPr>
            </w:pPr>
            <w:r>
              <w:rPr>
                <w:rFonts w:ascii="Arial" w:cs="Arial" w:eastAsia="Arial" w:hAnsi="Arial"/>
                <w:sz w:val="18"/>
                <w:szCs w:val="18"/>
                <w:color w:val="auto"/>
              </w:rPr>
              <w:t>1.9 pts</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46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increase in resort management and other services revenues reflected $5.3 million of higher management fees resulting from the cumulative increase in the number of vacation ownership products sold and higher operating costs across the system, $3.6 million of higher ancillary revenues, and $2.9 million of higher annual club dues and other revenues earned in connection with the MVCD program due to the cumulative increase in owners enrolled in the program as well as an increase in the average club dues charged to enrolled owners. These increases were partially offset by $3.3 million of lower refurbishment and other revenues due to a decrease in the number of refurbishment projects completed in the 2018 first half.</w:t>
      </w:r>
    </w:p>
    <w:p>
      <w:pPr>
        <w:spacing w:after="0" w:line="50"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increase in ancillary revenues included $4.9 million of higher revenues from food and beverage and golf offerings at our resorts, partially offset by $0.7 million of lower revenue due to outsourcing multiple operations in our North America segment and $0.6 million of lower revenue due to the two St. Thomas resorts being closed for part or all of the 2018 first half as a result of the 2017 Hurricanes.</w:t>
      </w:r>
    </w:p>
    <w:p>
      <w:pPr>
        <w:spacing w:after="0" w:line="73"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improvement in the resort management and other services margin reflected the increases in revenue, partially offset by $2.0 million of higher expenses. Compared to the 2017 first half, expenses in the 2018 first half included $4.0 million of higher ancillary expenses from food and beverage and golf offerings at our resorts, $0.6 million of higher customer service expenses and expenses associated with the MVCD program, and $0.2 million of higher management fee related expenses, partially offset by $1.6 million of lower refurbishment expenses due to a decrease in the number of projects being refurbished in the 2018 first half, $1.0 million of lower ancillary expenses due to outsourcing multiple operations in our North America segment, and $0.2 million of lower ancillary expenses due to the two St. Thomas resorts being closed for part or all of the first half of 2018 as a result of the 2017 Hurricanes.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76"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Financing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5"/>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2018</w:t>
            </w:r>
          </w:p>
        </w:tc>
        <w:tc>
          <w:tcPr>
            <w:tcW w:w="280" w:type="dxa"/>
            <w:vAlign w:val="bottom"/>
          </w:tcPr>
          <w:p>
            <w:pPr>
              <w:spacing w:after="0"/>
              <w:rPr>
                <w:sz w:val="20"/>
                <w:szCs w:val="20"/>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June 30, 2017</w:t>
            </w:r>
          </w:p>
        </w:tc>
        <w:tc>
          <w:tcPr>
            <w:tcW w:w="280" w:type="dxa"/>
            <w:vAlign w:val="bottom"/>
          </w:tcPr>
          <w:p>
            <w:pPr>
              <w:spacing w:after="0"/>
              <w:rPr>
                <w:sz w:val="20"/>
                <w:szCs w:val="20"/>
                <w:color w:val="auto"/>
              </w:rPr>
            </w:pPr>
          </w:p>
        </w:tc>
        <w:tc>
          <w:tcPr>
            <w:tcW w:w="1080" w:type="dxa"/>
            <w:vAlign w:val="bottom"/>
          </w:tcPr>
          <w:p>
            <w:pPr>
              <w:jc w:val="right"/>
              <w:ind w:right="311"/>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20"/>
                <w:szCs w:val="20"/>
                <w:color w:val="auto"/>
              </w:rPr>
            </w:pPr>
          </w:p>
        </w:tc>
        <w:tc>
          <w:tcPr>
            <w:tcW w:w="1360" w:type="dxa"/>
            <w:vAlign w:val="bottom"/>
          </w:tcPr>
          <w:p>
            <w:pPr>
              <w:ind w:left="32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Interest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3,324</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financing revenues</w:t>
            </w:r>
          </w:p>
        </w:tc>
        <w:tc>
          <w:tcPr>
            <w:tcW w:w="2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1,724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Financing revenues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3,321</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Financing expenses</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(339)</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Consumer financing 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(9%)</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Financing margin</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25,891</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23,427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2,464</w:t>
            </w:r>
          </w:p>
        </w:tc>
        <w:tc>
          <w:tcPr>
            <w:tcW w:w="148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Financing propensity</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47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540" w:firstLine="648"/>
        <w:spacing w:after="0" w:line="264" w:lineRule="auto"/>
        <w:rPr>
          <w:sz w:val="20"/>
          <w:szCs w:val="20"/>
          <w:color w:val="auto"/>
        </w:rPr>
      </w:pPr>
      <w:r>
        <w:rPr>
          <w:rFonts w:ascii="Arial" w:cs="Arial" w:eastAsia="Arial" w:hAnsi="Arial"/>
          <w:sz w:val="18"/>
          <w:szCs w:val="18"/>
          <w:color w:val="auto"/>
        </w:rPr>
        <w:t>The increase in financing revenues was due to a $146 million increase in the average gross vacation ownership notes receivable balance ($4.5 million), partially offset by higher financing program incentive costs ($1.0 million) and a decrease in the weighted average coupon rate of our vacation ownership notes receivable ($0.2 million).</w:t>
      </w:r>
    </w:p>
    <w:p>
      <w:pPr>
        <w:spacing w:after="0" w:line="73"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The increase in financing margin reflected the higher financing revenues, partially offset by higher consumer financing interest expense and higher other expenses. The higher consumer financing interest expense was due to a higher average outstanding debt balance. The higher other expenses were due to an increase in variable expenses associated with the increase in the average gross vacation ownership notes receivable balance.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Half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5"/>
          </w:tcPr>
          <w:p>
            <w:pPr>
              <w:ind w:left="980"/>
              <w:spacing w:after="0"/>
              <w:rPr>
                <w:sz w:val="20"/>
                <w:szCs w:val="20"/>
                <w:color w:val="auto"/>
              </w:rPr>
            </w:pPr>
            <w:r>
              <w:rPr>
                <w:rFonts w:ascii="Arial" w:cs="Arial" w:eastAsia="Arial" w:hAnsi="Arial"/>
                <w:sz w:val="16"/>
                <w:szCs w:val="16"/>
                <w:b w:val="1"/>
                <w:bCs w:val="1"/>
                <w:color w:val="auto"/>
              </w:rPr>
              <w:t>Six Months Ended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2018</w:t>
            </w:r>
          </w:p>
        </w:tc>
        <w:tc>
          <w:tcPr>
            <w:tcW w:w="280" w:type="dxa"/>
            <w:vAlign w:val="bottom"/>
          </w:tcPr>
          <w:p>
            <w:pPr>
              <w:spacing w:after="0"/>
              <w:rPr>
                <w:sz w:val="20"/>
                <w:szCs w:val="20"/>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June 30, 2017</w:t>
            </w:r>
          </w:p>
        </w:tc>
        <w:tc>
          <w:tcPr>
            <w:tcW w:w="280" w:type="dxa"/>
            <w:vAlign w:val="bottom"/>
          </w:tcPr>
          <w:p>
            <w:pPr>
              <w:spacing w:after="0"/>
              <w:rPr>
                <w:sz w:val="20"/>
                <w:szCs w:val="20"/>
                <w:color w:val="auto"/>
              </w:rPr>
            </w:pPr>
          </w:p>
        </w:tc>
        <w:tc>
          <w:tcPr>
            <w:tcW w:w="1080" w:type="dxa"/>
            <w:vAlign w:val="bottom"/>
          </w:tcPr>
          <w:p>
            <w:pPr>
              <w:jc w:val="right"/>
              <w:ind w:right="311"/>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20"/>
                <w:szCs w:val="20"/>
                <w:color w:val="auto"/>
              </w:rPr>
            </w:pPr>
          </w:p>
        </w:tc>
        <w:tc>
          <w:tcPr>
            <w:tcW w:w="1360" w:type="dxa"/>
            <w:vAlign w:val="bottom"/>
          </w:tcPr>
          <w:p>
            <w:pPr>
              <w:ind w:left="32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Interest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67,825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61,159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6,666</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financing revenues</w:t>
            </w:r>
          </w:p>
        </w:tc>
        <w:tc>
          <w:tcPr>
            <w:tcW w:w="2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3,508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3,482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Financing revenues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71,333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64,641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6,692</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Financing expenses</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(8,036)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(7,466)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(570)</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Consumer financing 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(10%)</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Financing margin</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50,519</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45,583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4,936</w:t>
            </w:r>
          </w:p>
        </w:tc>
        <w:tc>
          <w:tcPr>
            <w:tcW w:w="148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Financing propensity</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47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540" w:firstLine="648"/>
        <w:spacing w:after="0" w:line="264" w:lineRule="auto"/>
        <w:rPr>
          <w:sz w:val="20"/>
          <w:szCs w:val="20"/>
          <w:color w:val="auto"/>
        </w:rPr>
      </w:pPr>
      <w:r>
        <w:rPr>
          <w:rFonts w:ascii="Arial" w:cs="Arial" w:eastAsia="Arial" w:hAnsi="Arial"/>
          <w:sz w:val="18"/>
          <w:szCs w:val="18"/>
          <w:color w:val="auto"/>
        </w:rPr>
        <w:t>The increase in financing revenues was due to a $148 million increase in the average gross vacation ownership notes receivable balance ($8.8 million), partially offset by higher financing program incentive costs ($1.6 million) and a decrease in the weighted average coupon rate of our vacation ownership notes receivable ($0.5 million).</w:t>
      </w:r>
    </w:p>
    <w:p>
      <w:pPr>
        <w:spacing w:after="0" w:line="73"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The increase in financing margin reflected the higher financing revenues, partially offset by higher consumer financing interest expense and higher other expenses. The higher consumer financing interest expense was due to a higher average outstanding debt balance. The higher other expenses were due to an increase in variable expenses associated with the increase in the average gross vacation ownership notes receivable balance.</w:t>
      </w:r>
    </w:p>
    <w:p>
      <w:pPr>
        <w:spacing w:after="0" w:line="39"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We expect financing propensity for the 2018 fiscal year to approximate 60 to 65 percent as we intend to continue to offer financing incentive programs, and that interest income will continue to increase as new originations of vacation ownership notes receivable outpace the decline in principal of existing vacation ownership notes receivable.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5"/>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June 30, 2018</w:t>
            </w:r>
          </w:p>
        </w:tc>
        <w:tc>
          <w:tcPr>
            <w:tcW w:w="280" w:type="dxa"/>
            <w:vAlign w:val="bottom"/>
          </w:tcPr>
          <w:p>
            <w:pPr>
              <w:spacing w:after="0"/>
              <w:rPr>
                <w:sz w:val="20"/>
                <w:szCs w:val="20"/>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June 30, 2017</w:t>
            </w:r>
          </w:p>
        </w:tc>
        <w:tc>
          <w:tcPr>
            <w:tcW w:w="240" w:type="dxa"/>
            <w:vAlign w:val="bottom"/>
          </w:tcPr>
          <w:p>
            <w:pPr>
              <w:spacing w:after="0"/>
              <w:rPr>
                <w:sz w:val="20"/>
                <w:szCs w:val="20"/>
                <w:color w:val="auto"/>
              </w:rPr>
            </w:pPr>
          </w:p>
        </w:tc>
        <w:tc>
          <w:tcPr>
            <w:tcW w:w="1120" w:type="dxa"/>
            <w:vAlign w:val="bottom"/>
          </w:tcPr>
          <w:p>
            <w:pPr>
              <w:jc w:val="center"/>
              <w:ind w:right="152"/>
              <w:spacing w:after="0"/>
              <w:rPr>
                <w:sz w:val="20"/>
                <w:szCs w:val="20"/>
                <w:color w:val="auto"/>
              </w:rPr>
            </w:pPr>
            <w:r>
              <w:rPr>
                <w:rFonts w:ascii="Arial" w:cs="Arial" w:eastAsia="Arial" w:hAnsi="Arial"/>
                <w:sz w:val="16"/>
                <w:szCs w:val="16"/>
                <w:b w:val="1"/>
                <w:bCs w:val="1"/>
                <w:color w:val="auto"/>
                <w:w w:val="88"/>
              </w:rPr>
              <w:t>Change</w:t>
            </w:r>
          </w:p>
        </w:tc>
        <w:tc>
          <w:tcPr>
            <w:tcW w:w="100" w:type="dxa"/>
            <w:vAlign w:val="bottom"/>
          </w:tcPr>
          <w:p>
            <w:pPr>
              <w:spacing w:after="0"/>
              <w:rPr>
                <w:sz w:val="20"/>
                <w:szCs w:val="20"/>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Rental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74,561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69,290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5,271</w:t>
            </w:r>
          </w:p>
        </w:tc>
        <w:tc>
          <w:tcPr>
            <w:tcW w:w="1480" w:type="dxa"/>
            <w:vAlign w:val="bottom"/>
            <w:tcBorders>
              <w:bottom w:val="single" w:sz="8" w:color="CCEEFF"/>
            </w:tcBorders>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Rental expenses</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(62,739)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(57,756)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(4,983)</w:t>
            </w:r>
          </w:p>
        </w:tc>
        <w:tc>
          <w:tcPr>
            <w:tcW w:w="1480" w:type="dxa"/>
            <w:vAlign w:val="bottom"/>
            <w:gridSpan w:val="2"/>
          </w:tcPr>
          <w:p>
            <w:pPr>
              <w:jc w:val="right"/>
              <w:ind w:right="419"/>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margin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11,822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11,534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288</w:t>
            </w:r>
          </w:p>
        </w:tc>
        <w:tc>
          <w:tcPr>
            <w:tcW w:w="1480" w:type="dxa"/>
            <w:vAlign w:val="bottom"/>
            <w:tcBorders>
              <w:bottom w:val="single" w:sz="8" w:color="CCEEFF"/>
            </w:tcBorders>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tcPr>
          <w:p>
            <w:pPr>
              <w:ind w:left="20"/>
              <w:spacing w:after="0"/>
              <w:rPr>
                <w:sz w:val="20"/>
                <w:szCs w:val="20"/>
                <w:color w:val="auto"/>
              </w:rPr>
            </w:pPr>
            <w:r>
              <w:rPr>
                <w:rFonts w:ascii="Arial" w:cs="Arial" w:eastAsia="Arial" w:hAnsi="Arial"/>
                <w:sz w:val="18"/>
                <w:szCs w:val="18"/>
                <w:color w:val="auto"/>
              </w:rPr>
              <w:t>Rental margin percentage</w:t>
            </w: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jc w:val="right"/>
              <w:ind w:right="373"/>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ind w:right="352"/>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center"/>
              <w:ind w:right="152"/>
              <w:spacing w:after="0"/>
              <w:rPr>
                <w:sz w:val="20"/>
                <w:szCs w:val="20"/>
                <w:color w:val="auto"/>
              </w:rPr>
            </w:pPr>
            <w:r>
              <w:rPr>
                <w:rFonts w:ascii="Arial" w:cs="Arial" w:eastAsia="Arial" w:hAnsi="Arial"/>
                <w:sz w:val="18"/>
                <w:szCs w:val="18"/>
                <w:color w:val="auto"/>
                <w:w w:val="90"/>
              </w:rPr>
              <w:t>(0.7 pts)</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0" w:type="dxa"/>
            <w:vAlign w:val="bottom"/>
            <w:gridSpan w:val="5"/>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June 30, 2018</w:t>
            </w:r>
          </w:p>
        </w:tc>
        <w:tc>
          <w:tcPr>
            <w:tcW w:w="280" w:type="dxa"/>
            <w:vAlign w:val="bottom"/>
          </w:tcPr>
          <w:p>
            <w:pPr>
              <w:spacing w:after="0"/>
              <w:rPr>
                <w:sz w:val="20"/>
                <w:szCs w:val="20"/>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June 30, 2017</w:t>
            </w:r>
          </w:p>
        </w:tc>
        <w:tc>
          <w:tcPr>
            <w:tcW w:w="240" w:type="dxa"/>
            <w:vAlign w:val="bottom"/>
          </w:tcPr>
          <w:p>
            <w:pPr>
              <w:spacing w:after="0"/>
              <w:rPr>
                <w:sz w:val="20"/>
                <w:szCs w:val="20"/>
                <w:color w:val="auto"/>
              </w:rPr>
            </w:pPr>
          </w:p>
        </w:tc>
        <w:tc>
          <w:tcPr>
            <w:tcW w:w="1120" w:type="dxa"/>
            <w:vAlign w:val="bottom"/>
          </w:tcPr>
          <w:p>
            <w:pPr>
              <w:jc w:val="center"/>
              <w:ind w:right="152"/>
              <w:spacing w:after="0"/>
              <w:rPr>
                <w:sz w:val="20"/>
                <w:szCs w:val="20"/>
                <w:color w:val="auto"/>
              </w:rPr>
            </w:pPr>
            <w:r>
              <w:rPr>
                <w:rFonts w:ascii="Arial" w:cs="Arial" w:eastAsia="Arial" w:hAnsi="Arial"/>
                <w:sz w:val="16"/>
                <w:szCs w:val="16"/>
                <w:b w:val="1"/>
                <w:bCs w:val="1"/>
                <w:color w:val="auto"/>
                <w:w w:val="88"/>
              </w:rPr>
              <w:t>Change</w:t>
            </w:r>
          </w:p>
        </w:tc>
        <w:tc>
          <w:tcPr>
            <w:tcW w:w="100" w:type="dxa"/>
            <w:vAlign w:val="bottom"/>
          </w:tcPr>
          <w:p>
            <w:pPr>
              <w:spacing w:after="0"/>
              <w:rPr>
                <w:sz w:val="20"/>
                <w:szCs w:val="20"/>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shd w:val="clear" w:color="auto" w:fill="CCEEFF"/>
              </w:rPr>
              <w:t>Transient keys rented</w:t>
            </w:r>
            <w:r>
              <w:rPr>
                <w:rFonts w:ascii="Arial" w:cs="Arial" w:eastAsia="Arial" w:hAnsi="Arial"/>
                <w:sz w:val="21"/>
                <w:szCs w:val="21"/>
                <w:color w:val="auto"/>
                <w:vertAlign w:val="superscript"/>
                <w:shd w:val="clear" w:color="auto" w:fill="CCEEFF"/>
              </w:rPr>
              <w:t>(1)</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336,892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333,874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right="152"/>
              <w:spacing w:after="0"/>
              <w:rPr>
                <w:sz w:val="20"/>
                <w:szCs w:val="20"/>
                <w:color w:val="auto"/>
              </w:rPr>
            </w:pPr>
            <w:r>
              <w:rPr>
                <w:rFonts w:ascii="Arial" w:cs="Arial" w:eastAsia="Arial" w:hAnsi="Arial"/>
                <w:sz w:val="18"/>
                <w:szCs w:val="18"/>
                <w:color w:val="auto"/>
                <w:w w:val="88"/>
              </w:rPr>
              <w:t>3,018</w:t>
            </w:r>
          </w:p>
        </w:tc>
        <w:tc>
          <w:tcPr>
            <w:tcW w:w="1480" w:type="dxa"/>
            <w:vAlign w:val="bottom"/>
            <w:tcBorders>
              <w:bottom w:val="single" w:sz="8" w:color="CCEEFF"/>
            </w:tcBorders>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Average transient key rate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216.53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212.92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3.61</w:t>
            </w:r>
          </w:p>
        </w:tc>
        <w:tc>
          <w:tcPr>
            <w:tcW w:w="1480" w:type="dxa"/>
            <w:vAlign w:val="bottom"/>
            <w:gridSpan w:val="2"/>
          </w:tcPr>
          <w:p>
            <w:pPr>
              <w:jc w:val="right"/>
              <w:ind w:right="479"/>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Resort occupancy</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rPr>
              <w:t>2.6 pts</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652"/>
        <w:spacing w:after="0" w:line="213" w:lineRule="auto"/>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Transient keys rented exclude those occupied through the use of plus points and preview stays.</w:t>
      </w:r>
    </w:p>
    <w:p>
      <w:pPr>
        <w:spacing w:after="0" w:line="99"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The increase in rental revenues was due to a 2 percent higher average transient rate ($1.2 million), a 1 percent increase in transient keys rented ($0.6 million), $2.0 million of higher other revenues and $1.4 million of higher plus points revenue. Plus points are recognized as revenue when the points are redeemed.</w:t>
      </w:r>
    </w:p>
    <w:p>
      <w:pPr>
        <w:spacing w:after="0" w:line="76"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increase in rental margin reflected the higher rental revenues net of direct variable expenses (such as housekeeping) and the $1.4 million increase in plus points revenue, partially offset by higher expenses incurred due to owners choosing alternative usage options and higher unsold maintenance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Half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gridSpan w:val="8"/>
          </w:tcPr>
          <w:p>
            <w:pPr>
              <w:ind w:left="960"/>
              <w:spacing w:after="0"/>
              <w:rPr>
                <w:sz w:val="20"/>
                <w:szCs w:val="20"/>
                <w:color w:val="auto"/>
              </w:rPr>
            </w:pPr>
            <w:r>
              <w:rPr>
                <w:rFonts w:ascii="Arial" w:cs="Arial" w:eastAsia="Arial" w:hAnsi="Arial"/>
                <w:sz w:val="16"/>
                <w:szCs w:val="16"/>
                <w:b w:val="1"/>
                <w:bCs w:val="1"/>
                <w:color w:val="auto"/>
              </w:rPr>
              <w:t>Six Months Ended</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60" w:type="dxa"/>
            <w:vAlign w:val="bottom"/>
            <w:gridSpan w:val="2"/>
            <w:vMerge w:val="restart"/>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6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3"/>
          </w:tcPr>
          <w:p>
            <w:pPr>
              <w:ind w:left="160"/>
              <w:spacing w:after="0"/>
              <w:rPr>
                <w:sz w:val="20"/>
                <w:szCs w:val="20"/>
                <w:color w:val="auto"/>
              </w:rPr>
            </w:pPr>
            <w:r>
              <w:rPr>
                <w:rFonts w:ascii="Arial" w:cs="Arial" w:eastAsia="Arial" w:hAnsi="Arial"/>
                <w:sz w:val="16"/>
                <w:szCs w:val="16"/>
                <w:b w:val="1"/>
                <w:bCs w:val="1"/>
                <w:color w:val="auto"/>
              </w:rPr>
              <w:t>June 30, 2018</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3"/>
          </w:tcPr>
          <w:p>
            <w:pPr>
              <w:ind w:left="140"/>
              <w:spacing w:after="0"/>
              <w:rPr>
                <w:sz w:val="20"/>
                <w:szCs w:val="20"/>
                <w:color w:val="auto"/>
              </w:rPr>
            </w:pPr>
            <w:r>
              <w:rPr>
                <w:rFonts w:ascii="Arial" w:cs="Arial" w:eastAsia="Arial" w:hAnsi="Arial"/>
                <w:sz w:val="16"/>
                <w:szCs w:val="16"/>
                <w:b w:val="1"/>
                <w:bCs w:val="1"/>
                <w:color w:val="auto"/>
              </w:rPr>
              <w:t>June 30, 2017</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312"/>
              <w:spacing w:after="0"/>
              <w:rPr>
                <w:sz w:val="20"/>
                <w:szCs w:val="20"/>
                <w:color w:val="auto"/>
              </w:rPr>
            </w:pPr>
            <w:r>
              <w:rPr>
                <w:rFonts w:ascii="Arial" w:cs="Arial" w:eastAsia="Arial" w:hAnsi="Arial"/>
                <w:sz w:val="16"/>
                <w:szCs w:val="16"/>
                <w:b w:val="1"/>
                <w:bCs w:val="1"/>
                <w:color w:val="auto"/>
              </w:rPr>
              <w:t>Change</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ind w:left="280"/>
              <w:spacing w:after="0"/>
              <w:rPr>
                <w:sz w:val="20"/>
                <w:szCs w:val="20"/>
                <w:color w:val="auto"/>
              </w:rPr>
            </w:pPr>
            <w:r>
              <w:rPr>
                <w:rFonts w:ascii="Arial" w:cs="Arial" w:eastAsia="Arial" w:hAnsi="Arial"/>
                <w:sz w:val="16"/>
                <w:szCs w:val="16"/>
                <w:b w:val="1"/>
                <w:bCs w:val="1"/>
                <w:color w:val="auto"/>
              </w:rPr>
              <w:t>% Change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Rental revenues</w:t>
            </w: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148,771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136,969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11,802</w:t>
            </w:r>
          </w:p>
        </w:tc>
        <w:tc>
          <w:tcPr>
            <w:tcW w:w="1460" w:type="dxa"/>
            <w:vAlign w:val="bottom"/>
            <w:tcBorders>
              <w:bottom w:val="single" w:sz="8" w:color="CCEEFF"/>
            </w:tcBorders>
            <w:gridSpan w:val="4"/>
            <w:shd w:val="clear" w:color="auto" w:fill="CCEEFF"/>
          </w:tcPr>
          <w:p>
            <w:pPr>
              <w:jc w:val="center"/>
              <w:ind w:left="50"/>
              <w:spacing w:after="0"/>
              <w:rPr>
                <w:sz w:val="20"/>
                <w:szCs w:val="20"/>
                <w:color w:val="auto"/>
              </w:rPr>
            </w:pPr>
            <w:r>
              <w:rPr>
                <w:rFonts w:ascii="Arial" w:cs="Arial" w:eastAsia="Arial" w:hAnsi="Arial"/>
                <w:sz w:val="18"/>
                <w:szCs w:val="18"/>
                <w:color w:val="auto"/>
                <w:w w:val="92"/>
              </w:rPr>
              <w:t>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Rental expenses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(118,638)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(111,464)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(7,174)</w:t>
            </w:r>
          </w:p>
        </w:tc>
        <w:tc>
          <w:tcPr>
            <w:tcW w:w="1460" w:type="dxa"/>
            <w:vAlign w:val="bottom"/>
            <w:gridSpan w:val="4"/>
          </w:tcPr>
          <w:p>
            <w:pPr>
              <w:jc w:val="center"/>
              <w:ind w:left="50"/>
              <w:spacing w:after="0"/>
              <w:rPr>
                <w:sz w:val="20"/>
                <w:szCs w:val="20"/>
                <w:color w:val="auto"/>
              </w:rPr>
            </w:pPr>
            <w:r>
              <w:rPr>
                <w:rFonts w:ascii="Arial" w:cs="Arial" w:eastAsia="Arial" w:hAnsi="Arial"/>
                <w:sz w:val="18"/>
                <w:szCs w:val="18"/>
                <w:color w:val="auto"/>
                <w:w w:val="94"/>
              </w:rPr>
              <w:t>(6%)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Rental margin</w:t>
            </w: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30,133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25,505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4,628</w:t>
            </w:r>
          </w:p>
        </w:tc>
        <w:tc>
          <w:tcPr>
            <w:tcW w:w="1460" w:type="dxa"/>
            <w:vAlign w:val="bottom"/>
            <w:tcBorders>
              <w:bottom w:val="single" w:sz="8" w:color="CCEEFF"/>
            </w:tcBorders>
            <w:gridSpan w:val="4"/>
            <w:shd w:val="clear" w:color="auto" w:fill="CCEEFF"/>
          </w:tcPr>
          <w:p>
            <w:pPr>
              <w:jc w:val="center"/>
              <w:ind w:left="30"/>
              <w:spacing w:after="0"/>
              <w:rPr>
                <w:sz w:val="20"/>
                <w:szCs w:val="20"/>
                <w:color w:val="auto"/>
              </w:rPr>
            </w:pPr>
            <w:r>
              <w:rPr>
                <w:rFonts w:ascii="Arial" w:cs="Arial" w:eastAsia="Arial" w:hAnsi="Arial"/>
                <w:sz w:val="18"/>
                <w:szCs w:val="18"/>
                <w:color w:val="auto"/>
                <w:w w:val="94"/>
              </w:rPr>
              <w:t>18%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ind w:left="40"/>
              <w:spacing w:after="0"/>
              <w:rPr>
                <w:sz w:val="20"/>
                <w:szCs w:val="20"/>
                <w:color w:val="auto"/>
              </w:rPr>
            </w:pPr>
            <w:r>
              <w:rPr>
                <w:rFonts w:ascii="Arial" w:cs="Arial" w:eastAsia="Arial" w:hAnsi="Arial"/>
                <w:sz w:val="18"/>
                <w:szCs w:val="18"/>
                <w:color w:val="auto"/>
              </w:rPr>
              <w:t>Rental margin percentage</w:t>
            </w: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6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ind w:right="373"/>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right"/>
              <w:ind w:right="352"/>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center"/>
              <w:ind w:right="112"/>
              <w:spacing w:after="0"/>
              <w:rPr>
                <w:sz w:val="20"/>
                <w:szCs w:val="20"/>
                <w:color w:val="auto"/>
              </w:rPr>
            </w:pPr>
            <w:r>
              <w:rPr>
                <w:rFonts w:ascii="Arial" w:cs="Arial" w:eastAsia="Arial" w:hAnsi="Arial"/>
                <w:sz w:val="18"/>
                <w:szCs w:val="18"/>
                <w:color w:val="auto"/>
                <w:w w:val="88"/>
              </w:rPr>
              <w:t>1.7 pts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7"/>
        </w:trPr>
        <w:tc>
          <w:tcPr>
            <w:tcW w:w="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80" w:type="dxa"/>
            <w:vAlign w:val="bottom"/>
            <w:gridSpan w:val="8"/>
          </w:tcPr>
          <w:p>
            <w:pPr>
              <w:ind w:left="1000"/>
              <w:spacing w:after="0"/>
              <w:rPr>
                <w:sz w:val="20"/>
                <w:szCs w:val="20"/>
                <w:color w:val="auto"/>
              </w:rPr>
            </w:pPr>
            <w:r>
              <w:rPr>
                <w:rFonts w:ascii="Arial" w:cs="Arial" w:eastAsia="Arial" w:hAnsi="Arial"/>
                <w:sz w:val="16"/>
                <w:szCs w:val="16"/>
                <w:b w:val="1"/>
                <w:bCs w:val="1"/>
                <w:color w:val="auto"/>
              </w:rPr>
              <w:t>Six Months Ended</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3"/>
          </w:tcPr>
          <w:p>
            <w:pPr>
              <w:ind w:left="180"/>
              <w:spacing w:after="0"/>
              <w:rPr>
                <w:sz w:val="20"/>
                <w:szCs w:val="20"/>
                <w:color w:val="auto"/>
              </w:rPr>
            </w:pPr>
            <w:r>
              <w:rPr>
                <w:rFonts w:ascii="Arial" w:cs="Arial" w:eastAsia="Arial" w:hAnsi="Arial"/>
                <w:sz w:val="16"/>
                <w:szCs w:val="16"/>
                <w:b w:val="1"/>
                <w:bCs w:val="1"/>
                <w:color w:val="auto"/>
              </w:rPr>
              <w:t>June 30, 2018</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3"/>
          </w:tcPr>
          <w:p>
            <w:pPr>
              <w:ind w:left="160"/>
              <w:spacing w:after="0"/>
              <w:rPr>
                <w:sz w:val="20"/>
                <w:szCs w:val="20"/>
                <w:color w:val="auto"/>
              </w:rPr>
            </w:pPr>
            <w:r>
              <w:rPr>
                <w:rFonts w:ascii="Arial" w:cs="Arial" w:eastAsia="Arial" w:hAnsi="Arial"/>
                <w:sz w:val="16"/>
                <w:szCs w:val="16"/>
                <w:b w:val="1"/>
                <w:bCs w:val="1"/>
                <w:color w:val="auto"/>
              </w:rPr>
              <w:t>June 30, 2017</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center"/>
              <w:ind w:right="132"/>
              <w:spacing w:after="0"/>
              <w:rPr>
                <w:sz w:val="20"/>
                <w:szCs w:val="20"/>
                <w:color w:val="auto"/>
              </w:rPr>
            </w:pPr>
            <w:r>
              <w:rPr>
                <w:rFonts w:ascii="Arial" w:cs="Arial" w:eastAsia="Arial" w:hAnsi="Arial"/>
                <w:sz w:val="16"/>
                <w:szCs w:val="16"/>
                <w:b w:val="1"/>
                <w:bCs w:val="1"/>
                <w:color w:val="auto"/>
                <w:w w:val="91"/>
              </w:rPr>
              <w:t>Change</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shd w:val="clear" w:color="auto" w:fill="CCEEFF"/>
              </w:rPr>
              <w:t>Transient keys rented</w:t>
            </w:r>
            <w:r>
              <w:rPr>
                <w:rFonts w:ascii="Arial" w:cs="Arial" w:eastAsia="Arial" w:hAnsi="Arial"/>
                <w:sz w:val="21"/>
                <w:szCs w:val="21"/>
                <w:color w:val="auto"/>
                <w:vertAlign w:val="superscript"/>
                <w:shd w:val="clear" w:color="auto" w:fill="CCEEFF"/>
              </w:rPr>
              <w:t>(1)</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669,800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660,213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ind w:right="112"/>
              <w:spacing w:after="0"/>
              <w:rPr>
                <w:sz w:val="20"/>
                <w:szCs w:val="20"/>
                <w:color w:val="auto"/>
              </w:rPr>
            </w:pPr>
            <w:r>
              <w:rPr>
                <w:rFonts w:ascii="Arial" w:cs="Arial" w:eastAsia="Arial" w:hAnsi="Arial"/>
                <w:sz w:val="18"/>
                <w:szCs w:val="18"/>
                <w:color w:val="auto"/>
                <w:w w:val="88"/>
              </w:rPr>
              <w:t>9,587</w:t>
            </w:r>
          </w:p>
        </w:tc>
        <w:tc>
          <w:tcPr>
            <w:tcW w:w="1460" w:type="dxa"/>
            <w:vAlign w:val="bottom"/>
            <w:tcBorders>
              <w:bottom w:val="single" w:sz="8" w:color="CCEEFF"/>
            </w:tcBorders>
            <w:gridSpan w:val="4"/>
            <w:shd w:val="clear" w:color="auto" w:fill="CCEEFF"/>
          </w:tcPr>
          <w:p>
            <w:pPr>
              <w:jc w:val="center"/>
              <w:ind w:left="90"/>
              <w:spacing w:after="0"/>
              <w:rPr>
                <w:sz w:val="20"/>
                <w:szCs w:val="20"/>
                <w:color w:val="auto"/>
              </w:rPr>
            </w:pPr>
            <w:r>
              <w:rPr>
                <w:rFonts w:ascii="Arial" w:cs="Arial" w:eastAsia="Arial" w:hAnsi="Arial"/>
                <w:sz w:val="18"/>
                <w:szCs w:val="18"/>
                <w:color w:val="auto"/>
                <w:w w:val="92"/>
              </w:rPr>
              <w:t>1%</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Average transient key rate</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225.78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220.27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5.51</w:t>
            </w:r>
          </w:p>
        </w:tc>
        <w:tc>
          <w:tcPr>
            <w:tcW w:w="1460" w:type="dxa"/>
            <w:vAlign w:val="bottom"/>
            <w:gridSpan w:val="4"/>
          </w:tcPr>
          <w:p>
            <w:pPr>
              <w:jc w:val="center"/>
              <w:ind w:left="90"/>
              <w:spacing w:after="0"/>
              <w:rPr>
                <w:sz w:val="20"/>
                <w:szCs w:val="20"/>
                <w:color w:val="auto"/>
              </w:rPr>
            </w:pPr>
            <w:r>
              <w:rPr>
                <w:rFonts w:ascii="Arial" w:cs="Arial" w:eastAsia="Arial" w:hAnsi="Arial"/>
                <w:sz w:val="18"/>
                <w:szCs w:val="18"/>
                <w:color w:val="auto"/>
                <w:w w:val="92"/>
              </w:rPr>
              <w:t>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Resort occupancy</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90.0%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rPr>
              <w:t>88.5%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1.5 pts</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652"/>
        <w:spacing w:after="0" w:line="213" w:lineRule="auto"/>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Transient keys rented exclude those occupied through the use of plus points and preview stays.</w:t>
      </w:r>
    </w:p>
    <w:p>
      <w:pPr>
        <w:spacing w:after="0" w:line="99"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The increase in rental revenues was due to a 3 percent higher average transient rate ($3.7 million), a 1 percent increase in transient keys rented ($2.1 million), $3.3 million of higher other revenues and $2.7 million of higher plus points revenue. Plus points are recognized as revenue when the points are redeemed.</w:t>
      </w:r>
    </w:p>
    <w:p>
      <w:pPr>
        <w:spacing w:after="0" w:line="76"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increase in rental margin reflected the higher rental revenues net of direct variable expenses (such as housekeeping) and the $2.7 million increase in plus points and other revenue, partially offset by higher expenses incurred due to owners choosing alternative usage options and higher unsold maintenance fees.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580"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Reimbursements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Second Quarter</w:t>
      </w:r>
    </w:p>
    <w:p>
      <w:pPr>
        <w:spacing w:after="0" w:line="117"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Cost reimbursements increased $14.7 million, or 8 percent, over the 2017 second quarter, reflecting $9.0 million due to higher costs, $4.4 million due to additional managed unit weeks in the 2018 second quarter and a $1.2 million impact from foreign exchange rates in our Europe segment.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Half</w:t>
      </w:r>
    </w:p>
    <w:p>
      <w:pPr>
        <w:spacing w:after="0" w:line="11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Cost reimbursements increased $33.6 million, or 9 percent, over the 2017 first half, reflecting $23.7 million due to higher costs, $7.2 million due to additional managed unit weeks in the 2018 first half and a $2.8 million impact from foreign exchange rates in our Europe segment.</w:t>
      </w:r>
    </w:p>
    <w:p>
      <w:pPr>
        <w:spacing w:after="0" w:line="143" w:lineRule="exact"/>
        <w:rPr>
          <w:sz w:val="20"/>
          <w:szCs w:val="20"/>
          <w:color w:val="auto"/>
        </w:rPr>
      </w:pPr>
    </w:p>
    <w:p>
      <w:pPr>
        <w:jc w:val="right"/>
        <w:ind w:right="9240"/>
        <w:spacing w:after="0"/>
        <w:rPr>
          <w:sz w:val="20"/>
          <w:szCs w:val="20"/>
          <w:color w:val="auto"/>
        </w:rPr>
      </w:pPr>
      <w:r>
        <w:rPr>
          <w:rFonts w:ascii="Arial" w:cs="Arial" w:eastAsia="Arial" w:hAnsi="Arial"/>
          <w:sz w:val="16"/>
          <w:szCs w:val="16"/>
          <w:b w:val="1"/>
          <w:bCs w:val="1"/>
          <w:color w:val="auto"/>
        </w:rPr>
        <w:t>General and Administrative</w:t>
      </w:r>
    </w:p>
    <w:p>
      <w:pPr>
        <w:spacing w:after="0" w:line="144" w:lineRule="exact"/>
        <w:rPr>
          <w:sz w:val="20"/>
          <w:szCs w:val="20"/>
          <w:color w:val="auto"/>
        </w:rPr>
      </w:pPr>
    </w:p>
    <w:p>
      <w:pPr>
        <w:jc w:val="right"/>
        <w:ind w:right="9200"/>
        <w:spacing w:after="0"/>
        <w:rPr>
          <w:sz w:val="20"/>
          <w:szCs w:val="20"/>
          <w:color w:val="auto"/>
        </w:rPr>
      </w:pPr>
      <w:r>
        <w:rPr>
          <w:rFonts w:ascii="Arial" w:cs="Arial" w:eastAsia="Arial" w:hAnsi="Arial"/>
          <w:sz w:val="18"/>
          <w:szCs w:val="18"/>
          <w:i w:val="1"/>
          <w:iCs w:val="1"/>
          <w:color w:val="auto"/>
        </w:rPr>
        <w:t>2018 Second Quarter</w:t>
      </w:r>
    </w:p>
    <w:p>
      <w:pPr>
        <w:spacing w:after="0" w:line="117"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General and administrative expenses increased $3.5 million due to higher litigation and technology costs as well as higher personnel related and other expenses. The higher personnel related and other expenses included annual merit, bonus and inflationary cost increases.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Half</w:t>
      </w:r>
    </w:p>
    <w:p>
      <w:pPr>
        <w:spacing w:after="0" w:line="117"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General and administrative expenses increased $5.4 million due to higher litigation and technology costs as well as higher personnel related and other expenses. The higher personnel related and other expenses included annual merit, bonus and inflationary cost increases.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Half</w:t>
      </w:r>
    </w:p>
    <w:p>
      <w:pPr>
        <w:spacing w:after="0" w:line="1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the 2018 first quarter, we had a $0.1 million true up of previously recorded litigation settlement expenses due to the reduction of a 2017 settlement of a construction related dispute at one of our North America resorts.</w:t>
      </w:r>
    </w:p>
    <w:p>
      <w:pPr>
        <w:spacing w:after="0" w:line="6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the 2018 second quarter, we incurred $16.3 million of litigation settlement charges, including $10.6 million related to a project in San Francisco, $4.6 million related to a project in Lake Tahoe and $1.1 million related to projects in Europe.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Half</w:t>
      </w:r>
    </w:p>
    <w:p>
      <w:pPr>
        <w:spacing w:after="0" w:line="11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the second quarter of 2017 we incurred $0.2 million of litigation settlement charges. We did not incur any litigation settlement charges in the first quarter of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Fee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Second Quarter</w:t>
      </w:r>
    </w:p>
    <w:p>
      <w:pPr>
        <w:spacing w:after="0" w:line="117"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Royalty fee expense decreased $0.1 million in the 2018 second quarter due to a contractual decrease in the fixed portion of the royalty fee owed to Marriott International as a result of amendments to our licensing agreements with Marriott International entered into during the 2018 first quarter ($0.7 million), partially offset by $0.6 million of higher costs due to a decrease in sales of pre-owned inventory, which carry a lower royalty fee as compared to initial sales of our inventory (one percent versus two percent) and a slight increase in the dollar volume of closings.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Half</w:t>
      </w:r>
    </w:p>
    <w:p>
      <w:pPr>
        <w:spacing w:after="0" w:line="11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Royalty fee expense decreased $1.4 million in the 2018 first half due to a contractual decrease in the fixed portion of the royalty fee owed to Marriott International as a result of amendments to our licensing agreements with Marriott International entered into during the 2018 first quarter ($1.1 million) and $0.3 million of lower costs due to an increase in sales of pre-owned inventory, which carry a lower royalty fee as compared to initial sales of our inventory (one percent versus two percent), partially offset by an increase in the dollar volume of closings ($0.2 million).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Losses and Other Expenses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Half</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2018 first quarter, we recorded a $0.5 million favorable true up of previously recorded costs associated with Hurricane Irma and Hurricane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Maria.</w:t>
      </w:r>
    </w:p>
    <w:p>
      <w:pPr>
        <w:spacing w:after="0" w:line="103"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In the 2018 second quarter, we recorded $6.7 million of losses and other expenses primarily resulting from fraudulently induced electronic payment disbursements made to third parties, partially offset by $0.1 million of other miscellaneous income. See Footnote 9 “Contingencies and Commitments” to our Financial Statements for additional information regarding the fraudulently induced electronic payment disbursements made to third parties during the second quarter of 2018.</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Half</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2017 second quarter and 2017 first half, we recorded $0.2 million of miscellaneous losses and other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Second Quarter</w:t>
      </w:r>
    </w:p>
    <w:p>
      <w:pPr>
        <w:spacing w:after="0" w:line="11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Interest expense increased $2.4 million due to $2.2 million of interest expense associated with the Convertible Notes issued during the 2017 third quarter and $0.6 million of imputed interest on a non-interest bearing note payable associated with the acquisition of vacation ownership units located on the Big Island of Hawaii, partially offset by a $0.4 million decrease in other expenses.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Half</w:t>
      </w:r>
    </w:p>
    <w:p>
      <w:pPr>
        <w:spacing w:after="0" w:line="11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Interest expense increased $5.9 million due to $4.4 million of interest expense associated with the Convertible Notes issued during the 2017 third quarter and $1.5 million of imputed interest on a non-interest bearing note payable associated with the acquisition of vacation ownership units located on the Big Island of Hawaii.</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Half</w:t>
      </w:r>
    </w:p>
    <w:p>
      <w:pPr>
        <w:spacing w:after="0" w:line="117"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During the 2018 first quarter, we incurred $3.1 million of other expenses, including $2.5 million of acquisition costs associated with the anticipated future capital efficient acquisition of an operating property in San Francisco, California and $0.7 million of other acquisition costs.</w:t>
      </w:r>
    </w:p>
    <w:p>
      <w:pPr>
        <w:spacing w:after="0" w:line="38"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During the 2018 second quarter, we incurred $19.7 million of other expenses, including $19.8 million of costs associated with the pending acquisition of ILG, partially offset by $0.1 million of other miscellaneous income.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First Half</w:t>
      </w:r>
    </w:p>
    <w:p>
      <w:pPr>
        <w:spacing w:after="0" w:line="11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During the 2017 first half, we incurred $0.5 million of other expenses, including $0.6 million of acquisition costs, partially offset by $0.1 million of other miscellaneous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Second Quarter</w:t>
      </w:r>
    </w:p>
    <w:p>
      <w:pPr>
        <w:spacing w:after="0" w:line="11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provision for income taxes decreased $16.3 million (from $22.9 million to $6.6 million) from the second quarter of 2017. The decrease was primarily due to the reduction of the U.S. corporate maximum tax rate from 35 percent to 21 percent as mentioned below and by decreases in U.S. and foreign earnings.</w:t>
      </w:r>
    </w:p>
    <w:p>
      <w:pPr>
        <w:spacing w:after="0" w:line="73"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On December 22, 2017, the Tax Cuts and Jobs Act (the “Tax Act”) was signed into law. The new U.S. tax legislation is subject to several complex provisions. We expect to finalize our provisional estimates related to the Tax Act by the fourth quarter of 2018. We expect future earnings to continue to be positively impacted largely due to the reduction of the U.S. federal corporate income tax rate from 35 percent to 21 percent.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Half</w:t>
      </w:r>
    </w:p>
    <w:p>
      <w:pPr>
        <w:spacing w:after="0" w:line="117"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Our provision for income taxes decreased $21.6 million (from $38.9 million to $17.3 million) from the 2017 first half. The decrease was primarily due to the reduction of the U.S. corporate maximum tax rate from 35 percent to 21 percent as mentioned above and by decreases in U.S. and foreign earnings.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Earnings Before Interest Expense, Taxes, Depreciation and Amortization (“EBITDA”) and Adjusted EBITDA</w:t>
      </w:r>
    </w:p>
    <w:p>
      <w:pPr>
        <w:spacing w:after="0" w:line="121"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EBITDA, a financial measure that is not prescribed by GAAP, is defined as earnings, or net income, before interest expense (excluding consumer financing interest expense), income taxes, depreciation and amortization. For purposes of our EBITDA and Adjusted EBITDA calculations, we do not adjust for consumer financing interest expense because we consider it to be an operating expense of our business. We consider EBITDA and Adjusted EBITDA to be indicators of operating performance, which we use to measure our ability to service debt, fund capital expenditures and expand our business. We also use EBITDA and Adjusted EBITDA, as do analysts, lenders, investors and others, because these measures exclude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and Adjusted EBITDA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Adjusted EBITDA reflects additional adjustments for certain items described below, and excludes non-cash share-based compensation expense to address considerable variability among companies in recording compensation expense because companies use share-based payment awards differently, both in the type and quantity of awards granted. We evaluate Adjusted EBITDA as an indicator of operating performance because it allows for period-over-period comparisons of our on-going core operations before the impact of the excluded items. Together, EBITDA and Adjusted EBITDA facilitate our comparison of results from our on-going core operations before the impact of these items with results from other vacation ownership companies.</w:t>
      </w:r>
    </w:p>
    <w:p>
      <w:pPr>
        <w:spacing w:after="0" w:line="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EBITDA and Adjusted EBITDA have limitations and should not be considered in isolation or as a substitute for performance measures calculated in accordance with GAAP. In addition, other companies in our industry may calculate EBITDA and Adjusted EBITDA differently than we do or may not calculate them at all, limiting their usefulness as comparative measures. The table below shows our EBITDA and Adjusted EBITDA calculation and reconciles these measures with Net income, which is the most directly comparable GAAP financial measure.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5"/>
          </w:tcPr>
          <w:p>
            <w:pPr>
              <w:ind w:left="8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3260" w:type="dxa"/>
            <w:vAlign w:val="bottom"/>
            <w:gridSpan w:val="4"/>
          </w:tcPr>
          <w:p>
            <w:pPr>
              <w:jc w:val="right"/>
              <w:ind w:right="101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2018</w:t>
            </w:r>
          </w:p>
        </w:tc>
        <w:tc>
          <w:tcPr>
            <w:tcW w:w="24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2017</w:t>
            </w:r>
          </w:p>
        </w:tc>
        <w:tc>
          <w:tcPr>
            <w:tcW w:w="26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 2018</w:t>
            </w:r>
          </w:p>
        </w:tc>
        <w:tc>
          <w:tcPr>
            <w:tcW w:w="240" w:type="dxa"/>
            <w:vAlign w:val="bottom"/>
          </w:tcPr>
          <w:p>
            <w:pPr>
              <w:spacing w:after="0"/>
              <w:rPr>
                <w:sz w:val="20"/>
                <w:szCs w:val="20"/>
                <w:color w:val="auto"/>
              </w:rPr>
            </w:pPr>
          </w:p>
        </w:tc>
        <w:tc>
          <w:tcPr>
            <w:tcW w:w="1460" w:type="dxa"/>
            <w:vAlign w:val="bottom"/>
          </w:tcPr>
          <w:p>
            <w:pPr>
              <w:jc w:val="right"/>
              <w:ind w:right="291"/>
              <w:spacing w:after="0"/>
              <w:rPr>
                <w:sz w:val="20"/>
                <w:szCs w:val="20"/>
                <w:color w:val="auto"/>
              </w:rPr>
            </w:pPr>
            <w:r>
              <w:rPr>
                <w:rFonts w:ascii="Arial" w:cs="Arial" w:eastAsia="Arial" w:hAnsi="Arial"/>
                <w:sz w:val="16"/>
                <w:szCs w:val="16"/>
                <w:b w:val="1"/>
                <w:bCs w:val="1"/>
                <w:color w:val="auto"/>
              </w:rPr>
              <w:t>June 30, 2017</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46,742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76,076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4,112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8,429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38,893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5,770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5,001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11,371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10,192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EBITDA</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83,870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127,699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Non-cash share-based compensation</w:t>
            </w:r>
          </w:p>
        </w:tc>
        <w:tc>
          <w:tcPr>
            <w:tcW w:w="26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6,117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5,175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9,718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8,451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Certain items</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42,673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45,284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37"/>
        </w:trPr>
        <w:tc>
          <w:tcPr>
            <w:tcW w:w="4240" w:type="dxa"/>
            <w:vAlign w:val="bottom"/>
          </w:tcPr>
          <w:p>
            <w:pPr>
              <w:ind w:left="280"/>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76,052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83,585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138,872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137,169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Second Quarter</w:t>
      </w:r>
    </w:p>
    <w:p>
      <w:pPr>
        <w:spacing w:after="0" w:line="11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Certain items for the 2018 second quarter consisted of $19.8 million of acquisition costs associated with the pending acquisition of ILG, $16.3 million of litigation settlement charges, including $10.6 million related to a project in San Francisco, $4.6 million related to a project in Lake Tahoe and $1.1 million related to projects in Europe, and $6.6 million of losses and other expenses primarily resulting from fraudulently induced electronic payment disbursements made to third parties. These exclusions increased EBITDA by $42.7 million.</w:t>
      </w:r>
    </w:p>
    <w:p>
      <w:pPr>
        <w:spacing w:after="0" w:line="7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Certain items for the 2017 second quarter consisted of $0.2 million of acquisition costs, less than $0.2 million of litigation settlement expenses and less than $0.2 million of losses and other expense. These exclusions increased EBITDA by $0.5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0" w:right="239" w:bottom="1440" w:gutter="0" w:footer="0" w:header="0"/>
        </w:sectPr>
      </w:pPr>
    </w:p>
    <w:bookmarkStart w:id="53" w:name="page54"/>
    <w:bookmarkEnd w:id="53"/>
    <w:p>
      <w:pPr>
        <w:ind w:left="660"/>
        <w:spacing w:after="0"/>
        <w:rPr>
          <w:sz w:val="20"/>
          <w:szCs w:val="20"/>
          <w:color w:val="auto"/>
        </w:rPr>
      </w:pPr>
      <w:r>
        <w:rPr>
          <w:rFonts w:ascii="Arial" w:cs="Arial" w:eastAsia="Arial" w:hAnsi="Arial"/>
          <w:sz w:val="18"/>
          <w:szCs w:val="18"/>
          <w:i w:val="1"/>
          <w:iCs w:val="1"/>
          <w:color w:val="auto"/>
        </w:rPr>
        <w:t>2018 First Half</w:t>
      </w:r>
    </w:p>
    <w:p>
      <w:pPr>
        <w:spacing w:after="0" w:line="117"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Certain items for the 2018 first half consisted of $22.9 million of acquisition costs, including $20.4 million of costs associated with the pending acquisition of ILG and $2.5 million of costs associated with the anticipated future capital efficient acquisition of an operating property in San Francisco, California, $16.3 million of litigation settlement charges, including $10.6 million related to a project in San Francisco, $4.6 million related to a project in Lake Tahoe and $1.1 million related to projects in Europe, and $6.6 million of losses and other expenses primarily resulting from fraudulently induced electronic payment disbursements made to third parties, partially offset by a $0.5 million favorable true up of previously recorded costs associated with the 2017 Hurricanes (recorded in losses and other expense) and a $0.1 million true up of previously recorded litigation settlement expenses. These exclusions increased EBITDA by $45.3 million.</w:t>
      </w:r>
    </w:p>
    <w:p>
      <w:pPr>
        <w:spacing w:after="0" w:line="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Certain items for the 2017 first half consisted of $0.6 million of acquisition costs, $0.2 million of litigation settlement expenses and $0.2 million of losses and other expense. These exclusions increased EBITDA by $1.0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Our business is grouped into three reportable business segments: North America, Asia Pacific and Europe. See Footnote 14 “Business Segments” to our Financial Statements for further information on our segments.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discussion presents an analysis of our results of operations for the North America segment.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gridSpan w:val="7"/>
          </w:tcPr>
          <w:p>
            <w:pPr>
              <w:ind w:left="72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6"/>
          </w:tcPr>
          <w:p>
            <w:pPr>
              <w:ind w:left="36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Pr>
          <w:p>
            <w:pPr>
              <w:spacing w:after="0"/>
              <w:rPr>
                <w:sz w:val="22"/>
                <w:szCs w:val="22"/>
                <w:color w:val="auto"/>
              </w:rPr>
            </w:pPr>
          </w:p>
        </w:tc>
        <w:tc>
          <w:tcPr>
            <w:tcW w:w="150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 2018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spacing w:after="0"/>
              <w:rPr>
                <w:sz w:val="20"/>
                <w:szCs w:val="20"/>
                <w:color w:val="auto"/>
              </w:rPr>
            </w:pPr>
            <w:r>
              <w:rPr>
                <w:rFonts w:ascii="Arial" w:cs="Arial" w:eastAsia="Arial" w:hAnsi="Arial"/>
                <w:sz w:val="16"/>
                <w:szCs w:val="16"/>
                <w:b w:val="1"/>
                <w:bCs w:val="1"/>
                <w:color w:val="auto"/>
              </w:rPr>
              <w:t>June 30, 2017</w:t>
            </w:r>
          </w:p>
        </w:tc>
        <w:tc>
          <w:tcPr>
            <w:tcW w:w="320" w:type="dxa"/>
            <w:vAlign w:val="bottom"/>
          </w:tcPr>
          <w:p>
            <w:pPr>
              <w:spacing w:after="0"/>
              <w:rPr>
                <w:sz w:val="22"/>
                <w:szCs w:val="22"/>
                <w:color w:val="auto"/>
              </w:rPr>
            </w:pPr>
          </w:p>
        </w:tc>
        <w:tc>
          <w:tcPr>
            <w:tcW w:w="1380" w:type="dxa"/>
            <w:vAlign w:val="bottom"/>
            <w:gridSpan w:val="4"/>
          </w:tcPr>
          <w:p>
            <w:pPr>
              <w:jc w:val="right"/>
              <w:ind w:right="420"/>
              <w:spacing w:after="0"/>
              <w:rPr>
                <w:sz w:val="20"/>
                <w:szCs w:val="20"/>
                <w:color w:val="auto"/>
              </w:rPr>
            </w:pPr>
            <w:r>
              <w:rPr>
                <w:rFonts w:ascii="Arial" w:cs="Arial" w:eastAsia="Arial" w:hAnsi="Arial"/>
                <w:sz w:val="16"/>
                <w:szCs w:val="16"/>
                <w:b w:val="1"/>
                <w:bCs w:val="1"/>
                <w:color w:val="auto"/>
                <w:w w:val="90"/>
              </w:rPr>
              <w:t>June 30, 2018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2017</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Sale of vacation ownership products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188,624</w:t>
            </w:r>
          </w:p>
        </w:tc>
        <w:tc>
          <w:tcPr>
            <w:tcW w:w="10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184,880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349,320</w:t>
            </w:r>
          </w:p>
        </w:tc>
        <w:tc>
          <w:tcPr>
            <w:tcW w:w="10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336,589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Resort management and other services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68,429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63,916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125,989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Financing</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33,912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30,719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67,441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60,958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Rental</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67,083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62,021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135,158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124,506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Cost reimbursements</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186,734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176,236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389,360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357,802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TOTAL REVENUES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544,782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517,772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1,073,239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1,005,844</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EXPENSES</w:t>
            </w:r>
          </w:p>
        </w:tc>
        <w:tc>
          <w:tcPr>
            <w:tcW w:w="2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6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vacation ownership products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50,123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45,808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91,108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84,731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Marketing and sales</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95,519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87,373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188,902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174,795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Resort management and other services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33,355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66,164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66,324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Rental</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53,283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49,220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100,466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95,274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Litigation settlement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15,199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14,988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Royalty fee</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3,641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3,038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5,478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reimbursements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186,734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176,236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389,360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357,802</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500"/>
              <w:spacing w:after="0"/>
              <w:rPr>
                <w:sz w:val="20"/>
                <w:szCs w:val="20"/>
                <w:color w:val="auto"/>
              </w:rPr>
            </w:pPr>
            <w:r>
              <w:rPr>
                <w:rFonts w:ascii="Arial" w:cs="Arial" w:eastAsia="Arial" w:hAnsi="Arial"/>
                <w:sz w:val="18"/>
                <w:szCs w:val="18"/>
                <w:b w:val="1"/>
                <w:bCs w:val="1"/>
                <w:color w:val="auto"/>
              </w:rPr>
              <w:t>TOTAL EXPENSES</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438,380</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395,030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856,466</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784,654</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Gains (losses) and other income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SEGMENT FINANCIAL RESULTS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106,445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122,654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214,351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221,119</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Contract Sales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700" w:type="dxa"/>
            <w:vAlign w:val="bottom"/>
            <w:gridSpan w:val="2"/>
          </w:tcPr>
          <w:p>
            <w:pPr>
              <w:ind w:left="660"/>
              <w:spacing w:after="0"/>
              <w:rPr>
                <w:sz w:val="20"/>
                <w:szCs w:val="20"/>
                <w:color w:val="auto"/>
              </w:rPr>
            </w:pPr>
            <w:r>
              <w:rPr>
                <w:rFonts w:ascii="Arial" w:cs="Arial" w:eastAsia="Arial" w:hAnsi="Arial"/>
                <w:sz w:val="18"/>
                <w:szCs w:val="18"/>
                <w:i w:val="1"/>
                <w:iCs w:val="1"/>
                <w:color w:val="auto"/>
              </w:rPr>
              <w:t>2018 Second Quarter</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gridSpan w:val="7"/>
          </w:tcPr>
          <w:p>
            <w:pPr>
              <w:ind w:left="92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June 30, 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w w:val="99"/>
              </w:rPr>
              <w:t>June 30, 2017</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 Change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86"/>
              </w:rPr>
              <w:t>211,469</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195,791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15,678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471"/>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estimate the 2017 Hurricanes negatively impacted contract sales by $3 million in the 2018 second quarter. Excluding this impact, we estimate that total contract sales would have increased 10 percent over the prior year period.</w:t>
      </w:r>
    </w:p>
    <w:p>
      <w:pPr>
        <w:spacing w:after="0" w:line="6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$15.7 million increase in North America vacation ownership contract sales reflected a $13.3 million increase in sales at on-site sales locations and a $2.4 million increase in sales at off-site (non tour-based) sales locations.</w:t>
      </w:r>
    </w:p>
    <w:p>
      <w:pPr>
        <w:sectPr>
          <w:pgSz w:w="11900" w:h="16838" w:orient="portrait"/>
          <w:cols w:equalWidth="0" w:num="1">
            <w:col w:w="11420"/>
          </w:cols>
          <w:pgMar w:left="240" w:top="584"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584" w:right="239" w:bottom="1440" w:gutter="0" w:footer="0" w:header="0"/>
          <w:type w:val="continuous"/>
        </w:sectPr>
      </w:pPr>
    </w:p>
    <w:bookmarkStart w:id="54" w:name="page55"/>
    <w:bookmarkEnd w:id="54"/>
    <w:p>
      <w:pPr>
        <w:ind w:left="660"/>
        <w:spacing w:after="0"/>
        <w:rPr>
          <w:sz w:val="20"/>
          <w:szCs w:val="20"/>
          <w:color w:val="auto"/>
        </w:rPr>
      </w:pPr>
      <w:r>
        <w:rPr>
          <w:rFonts w:ascii="Arial" w:cs="Arial" w:eastAsia="Arial" w:hAnsi="Arial"/>
          <w:sz w:val="16"/>
          <w:szCs w:val="16"/>
          <w:color w:val="auto"/>
        </w:rPr>
        <w:t>The increase in sales at North America on-site locations reflected a 5 percent increase in the number of tours and a 3 percent increase in VPG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$3,672 in the 2018 second quarter from $3,579 in the 2017 second quarter. The 5 percent increase in the number of tours was due to increases in both owner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tours and first time buyer tours. In addition, the increase in the number of total tours reflected an increase of 5 percent from new sales locations, while tours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existing sales locations were flat year over year. The increase in VPG resulted from a 0.6 percentage point increase in closing efficiency and higher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pricing.</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Half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00" w:type="dxa"/>
            <w:vAlign w:val="bottom"/>
            <w:gridSpan w:val="4"/>
          </w:tcPr>
          <w:p>
            <w:pPr>
              <w:jc w:val="right"/>
              <w:ind w:right="1154"/>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r>
      <w:tr>
        <w:trPr>
          <w:trHeight w:val="25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rPr>
              <w:t>June 30, 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June 30, 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398,613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379,011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19,602</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5%</w:t>
            </w:r>
          </w:p>
        </w:tc>
      </w:tr>
      <w:tr>
        <w:trPr>
          <w:trHeight w:val="27"/>
        </w:trPr>
        <w:tc>
          <w:tcPr>
            <w:tcW w:w="4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estimate the 2017 Hurricanes negatively impacted contract sales by $10 million in the 2018 first half. In addition, our 2017 first half had two additional days of sales due to the change to our financial reporting calendar at the beginning of 2017. Excluding both impacts, we estimate that total contract sales would have increased 8 percent over the prior year period.</w:t>
      </w:r>
    </w:p>
    <w:p>
      <w:pPr>
        <w:spacing w:after="0" w:line="7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$19.6 million increase in North America vacation ownership contract sales reflected a $20.4 million increase in sales at on-site sales locations, partially offset by a $0.8 million decrease in sales at off-site (non tour-based) sales locations.</w:t>
      </w:r>
    </w:p>
    <w:p>
      <w:pPr>
        <w:spacing w:after="0" w:line="6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increase in sales at North America on-site locations reflected a 4 percent increase in the number of tours and a 2 percent increase in VPG to $3,698 in the 2018 first half from $3,631 in the 2017 first half. The 4 percent increase in the number of tours was due to increases in both owner tours and first time buyer tours. In addition, the increase in the number of total tours reflected an increase of 5 percent from new sales locations, partially offset by a decrease of 1 percent from existing sales locations. The decrease at existing sales locations included a negative year over year impact at our St. Thomas sales gallery because it was closed for part of the 2018 first half as a result of the 2017 Hurricanes. The increase in VPG resulted from a 0.4 percentage point increase in closing efficiency and higher pricing. The sales at North America off-site locations were negatively impacted primarily by lower sales in Latin America.</w:t>
      </w:r>
    </w:p>
    <w:p>
      <w:pPr>
        <w:spacing w:after="0" w:line="185" w:lineRule="exact"/>
        <w:rPr>
          <w:sz w:val="20"/>
          <w:szCs w:val="20"/>
          <w:color w:val="auto"/>
        </w:rPr>
      </w:pPr>
    </w:p>
    <w:p>
      <w:pPr>
        <w:jc w:val="center"/>
        <w:ind w:right="8540"/>
        <w:spacing w:after="0"/>
        <w:rPr>
          <w:sz w:val="20"/>
          <w:szCs w:val="20"/>
          <w:color w:val="auto"/>
        </w:rPr>
      </w:pPr>
      <w:r>
        <w:rPr>
          <w:rFonts w:ascii="Arial" w:cs="Arial" w:eastAsia="Arial" w:hAnsi="Arial"/>
          <w:sz w:val="16"/>
          <w:szCs w:val="16"/>
          <w:b w:val="1"/>
          <w:bCs w:val="1"/>
          <w:color w:val="auto"/>
        </w:rPr>
        <w:t>Sale of Vacation Ownership Products</w:t>
      </w:r>
    </w:p>
    <w:p>
      <w:pPr>
        <w:spacing w:after="0" w:line="144" w:lineRule="exact"/>
        <w:rPr>
          <w:sz w:val="20"/>
          <w:szCs w:val="20"/>
          <w:color w:val="auto"/>
        </w:rPr>
      </w:pPr>
    </w:p>
    <w:p>
      <w:pPr>
        <w:jc w:val="center"/>
        <w:ind w:right="8560"/>
        <w:spacing w:after="0"/>
        <w:rPr>
          <w:sz w:val="20"/>
          <w:szCs w:val="20"/>
          <w:color w:val="auto"/>
        </w:rPr>
      </w:pPr>
      <w:r>
        <w:rPr>
          <w:rFonts w:ascii="Arial" w:cs="Arial" w:eastAsia="Arial" w:hAnsi="Arial"/>
          <w:sz w:val="18"/>
          <w:szCs w:val="18"/>
          <w:i w:val="1"/>
          <w:iCs w:val="1"/>
          <w:color w:val="auto"/>
        </w:rPr>
        <w:t>2018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5"/>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June 30, 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June 30, 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211,469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195,791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15,678</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Less resales contract sales</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(7,392)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(4,908)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(2,484)</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 net of resales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204,077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190,883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Plus:</w:t>
            </w: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Settlement revenue</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3,920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4,051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line="270" w:lineRule="exact"/>
              <w:rPr>
                <w:sz w:val="20"/>
                <w:szCs w:val="20"/>
                <w:color w:val="auto"/>
              </w:rPr>
            </w:pPr>
            <w:r>
              <w:rPr>
                <w:rFonts w:ascii="Arial" w:cs="Arial" w:eastAsia="Arial" w:hAnsi="Arial"/>
                <w:sz w:val="18"/>
                <w:szCs w:val="18"/>
                <w:color w:val="auto"/>
              </w:rPr>
              <w:t>Resales revenue</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2,594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2,561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Reportability</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9,512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(11,072)</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reserve</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(7,157)</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1,945</w:t>
            </w:r>
          </w:p>
        </w:tc>
        <w:tc>
          <w:tcPr>
            <w:tcW w:w="120" w:type="dxa"/>
            <w:vAlign w:val="bottom"/>
            <w:tcBorders>
              <w:bottom w:val="single" w:sz="8" w:color="CCEEFF"/>
            </w:tcBorders>
          </w:tcPr>
          <w:p>
            <w:pPr>
              <w:spacing w:after="0"/>
              <w:rPr>
                <w:sz w:val="23"/>
                <w:szCs w:val="23"/>
                <w:color w:val="auto"/>
              </w:rPr>
            </w:pPr>
          </w:p>
        </w:tc>
        <w:tc>
          <w:tcPr>
            <w:tcW w:w="13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188,624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184,880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3,744</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Previously included in Resort management and other services revenue prior to the adoption of the new Revenue Standard.</w:t>
      </w:r>
    </w:p>
    <w:p>
      <w:pPr>
        <w:spacing w:after="0" w:line="56" w:lineRule="exact"/>
        <w:rPr>
          <w:rFonts w:ascii="Arial" w:cs="Arial" w:eastAsia="Arial" w:hAnsi="Arial"/>
          <w:sz w:val="25"/>
          <w:szCs w:val="25"/>
          <w:color w:val="auto"/>
          <w:vertAlign w:val="superscript"/>
        </w:rPr>
      </w:pPr>
    </w:p>
    <w:p>
      <w:pPr>
        <w:ind w:left="660" w:right="40" w:hanging="652"/>
        <w:spacing w:after="0" w:line="208"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 and other adjustments to Sale of vacation ownership products revenue.</w:t>
      </w:r>
    </w:p>
    <w:p>
      <w:pPr>
        <w:spacing w:after="0" w:line="9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Revenue reportability negatively impacted the 2018 second quarter due to an increase in unclosed contracts during the quarter. Revenue reportability positively impacted the 2017 second quarter due to a decrease in unclosed contracts during the quarter.</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higher sales reserve reflected a higher required reserve in the 2018 second quarter due to the increase in contract closings.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76" w:right="239" w:bottom="1440" w:gutter="0" w:footer="0" w:header="0"/>
        </w:sectPr>
      </w:pPr>
    </w:p>
    <w:bookmarkStart w:id="55" w:name="page56"/>
    <w:bookmarkEnd w:id="55"/>
    <w:p>
      <w:pPr>
        <w:ind w:right="300" w:firstLine="648"/>
        <w:spacing w:after="0" w:line="277" w:lineRule="auto"/>
        <w:rPr>
          <w:sz w:val="20"/>
          <w:szCs w:val="20"/>
          <w:color w:val="auto"/>
        </w:rPr>
      </w:pPr>
      <w:r>
        <w:rPr>
          <w:rFonts w:ascii="Arial" w:cs="Arial" w:eastAsia="Arial" w:hAnsi="Arial"/>
          <w:sz w:val="18"/>
          <w:szCs w:val="18"/>
          <w:color w:val="auto"/>
        </w:rPr>
        <w:t>The decrease in other adjustments was driven by a decrease in the utilization of sales incentives in the 2018 second quarter, partially offset by the increase in contract closings.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Half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5"/>
          </w:tcPr>
          <w:p>
            <w:pPr>
              <w:ind w:left="980"/>
              <w:spacing w:after="0"/>
              <w:rPr>
                <w:sz w:val="20"/>
                <w:szCs w:val="20"/>
                <w:color w:val="auto"/>
              </w:rPr>
            </w:pPr>
            <w:r>
              <w:rPr>
                <w:rFonts w:ascii="Arial" w:cs="Arial" w:eastAsia="Arial" w:hAnsi="Arial"/>
                <w:sz w:val="16"/>
                <w:szCs w:val="16"/>
                <w:b w:val="1"/>
                <w:bCs w:val="1"/>
                <w:color w:val="auto"/>
              </w:rPr>
              <w:t>Six Months Ended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June 30, 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June 30, 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398,613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379,011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19,602</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Less resales contract sales</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(14,604)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(10,691)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(3,913)</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 net of resales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384,009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368,320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15,689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Plus:</w:t>
            </w: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Settlement revenue</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7,412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7,337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280"/>
              <w:spacing w:after="0" w:line="270" w:lineRule="exact"/>
              <w:rPr>
                <w:sz w:val="20"/>
                <w:szCs w:val="20"/>
                <w:color w:val="auto"/>
              </w:rPr>
            </w:pPr>
            <w:r>
              <w:rPr>
                <w:rFonts w:ascii="Arial" w:cs="Arial" w:eastAsia="Arial" w:hAnsi="Arial"/>
                <w:sz w:val="18"/>
                <w:szCs w:val="18"/>
                <w:color w:val="auto"/>
              </w:rPr>
              <w:t>Resales revenue</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4,724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4,146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Reportability</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(12,465)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(8,378)</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reserve</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(13,136)</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3,200</w:t>
            </w:r>
          </w:p>
        </w:tc>
        <w:tc>
          <w:tcPr>
            <w:tcW w:w="120" w:type="dxa"/>
            <w:vAlign w:val="bottom"/>
            <w:tcBorders>
              <w:bottom w:val="single" w:sz="8" w:color="CCEEFF"/>
            </w:tcBorders>
          </w:tcPr>
          <w:p>
            <w:pPr>
              <w:spacing w:after="0"/>
              <w:rPr>
                <w:sz w:val="23"/>
                <w:szCs w:val="23"/>
                <w:color w:val="auto"/>
              </w:rPr>
            </w:pPr>
          </w:p>
        </w:tc>
        <w:tc>
          <w:tcPr>
            <w:tcW w:w="13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349,320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336,589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12,731</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Previously included in Resort management and other services revenue prior to the adoption of the new Revenue Standard.</w:t>
      </w:r>
    </w:p>
    <w:p>
      <w:pPr>
        <w:spacing w:after="0" w:line="56" w:lineRule="exact"/>
        <w:rPr>
          <w:rFonts w:ascii="Arial" w:cs="Arial" w:eastAsia="Arial" w:hAnsi="Arial"/>
          <w:sz w:val="25"/>
          <w:szCs w:val="25"/>
          <w:color w:val="auto"/>
          <w:vertAlign w:val="superscript"/>
        </w:rPr>
      </w:pPr>
    </w:p>
    <w:p>
      <w:pPr>
        <w:ind w:left="660" w:right="40" w:hanging="652"/>
        <w:spacing w:after="0" w:line="208" w:lineRule="auto"/>
        <w:tabs>
          <w:tab w:leader="none" w:pos="66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 and other adjustments to Sale of vacation ownership products revenue.</w:t>
      </w:r>
    </w:p>
    <w:p>
      <w:pPr>
        <w:spacing w:after="0" w:line="95"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6"/>
          <w:szCs w:val="16"/>
          <w:color w:val="auto"/>
        </w:rPr>
        <w:t>Revenue reportability negatively impacted the 2018 first half and the 2017 first half due to an increase in unclosed contracts during each period.</w:t>
      </w:r>
    </w:p>
    <w:p>
      <w:pPr>
        <w:spacing w:after="0" w:line="14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lower sales reserve reflected a lower required reserve in the 2018 first half due to lower default and delinquency activity, partially offset by a higher reserve required due to the increase in contract closings.</w:t>
      </w:r>
    </w:p>
    <w:p>
      <w:pPr>
        <w:spacing w:after="0" w:line="6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decrease in other adjustments was driven by a decrease in the utilization of sales incentives in the 2018 first half, partially offset by the increase in contract closings.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5"/>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8"/>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June 30, 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June 30, 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Sale of vacation ownership products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188,624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184,880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3,744</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2%</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(50,123)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(45,808)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(4,315)</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(9%)</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Marketing and sales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(87,373)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(8,146)</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(9%)</w:t>
            </w:r>
          </w:p>
        </w:tc>
      </w:tr>
      <w:tr>
        <w:trPr>
          <w:trHeight w:val="297"/>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42,982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51,699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(8,717)</w:t>
            </w:r>
          </w:p>
        </w:tc>
        <w:tc>
          <w:tcPr>
            <w:tcW w:w="148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5"/>
              </w:rPr>
              <w:t>(17%)</w:t>
            </w:r>
          </w:p>
        </w:tc>
      </w:tr>
      <w:tr>
        <w:trPr>
          <w:trHeight w:val="217"/>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Development margin percentage</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(5.2 pts)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41"/>
        </w:trPr>
        <w:tc>
          <w:tcPr>
            <w:tcW w:w="46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18" w:lineRule="exact"/>
        <w:rPr>
          <w:sz w:val="20"/>
          <w:szCs w:val="20"/>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$7.7 million of unfavorable revenue reportability compared to the 2017 second quarter;</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$4.9 million from an unfavorable mix of higher cost real estate inventory being sold;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$0.7 million from higher marketing and sales costs.</w:t>
      </w:r>
    </w:p>
    <w:p>
      <w:pPr>
        <w:spacing w:after="0" w:line="200" w:lineRule="exact"/>
        <w:rPr>
          <w:sz w:val="20"/>
          <w:szCs w:val="20"/>
          <w:color w:val="auto"/>
        </w:rPr>
      </w:pPr>
    </w:p>
    <w:p>
      <w:pPr>
        <w:spacing w:after="0" w:line="241" w:lineRule="exact"/>
        <w:rPr>
          <w:sz w:val="20"/>
          <w:szCs w:val="20"/>
          <w:color w:val="auto"/>
        </w:rPr>
      </w:pPr>
    </w:p>
    <w:p>
      <w:pPr>
        <w:ind w:left="1300" w:right="620" w:hanging="320"/>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$2.2 million from higher vacation ownership contract sales volume net of the sales reserve and direct variable expenses (i.e., cost of vacation ownership products and marketing and sales);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$1.5 million from the lower utilization of sales incentives in our North America segment and decreases in other expenses;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76" w:right="239" w:bottom="1440" w:gutter="0" w:footer="0" w:header="0"/>
        </w:sectPr>
      </w:pPr>
    </w:p>
    <w:bookmarkStart w:id="56" w:name="page57"/>
    <w:bookmarkEnd w:id="56"/>
    <w:p>
      <w:pPr>
        <w:ind w:left="1300" w:right="420" w:hanging="320"/>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$0.8 million of favorable changes in product cost true-up activity ($1.0 million of favorable true-up activity in the 2018 second quarter compared to $0.2 million of favorable true-up activity in the 2017 second quarter); and</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$0.1 million from lower sales reserve activity in the 2018 second quarter.</w:t>
      </w:r>
    </w:p>
    <w:p>
      <w:pPr>
        <w:spacing w:after="0" w:line="11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5.2 percentage point decline in the development margin percentage reflected a 2.8 percentage point decrease from the unfavorable revenue reportability year-over-year, a 2.6 percentage point decrease due to an unfavorable mix of higher cost vacation ownership real estate inventory being sold, and a 0.2 percentage point decline due to higher marketing and sales costs in the 2018 second quarter. These declines were partially offset by a 0.4 percentage point increase due to the favorable changes in product cost true-up activity year-over-year.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Half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5"/>
          </w:tcPr>
          <w:p>
            <w:pPr>
              <w:ind w:left="980"/>
              <w:spacing w:after="0"/>
              <w:rPr>
                <w:sz w:val="20"/>
                <w:szCs w:val="20"/>
                <w:color w:val="auto"/>
              </w:rPr>
            </w:pPr>
            <w:r>
              <w:rPr>
                <w:rFonts w:ascii="Arial" w:cs="Arial" w:eastAsia="Arial" w:hAnsi="Arial"/>
                <w:sz w:val="16"/>
                <w:szCs w:val="16"/>
                <w:b w:val="1"/>
                <w:bCs w:val="1"/>
                <w:color w:val="auto"/>
              </w:rPr>
              <w:t>Six Months Ended</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June 30, 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June 30, 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Sale of vacation ownership products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349,320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336,589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12,731</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(91,108)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(84,731)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(6,377)</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(8%)</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Marketing and sales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(188,902)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(174,795)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(14,107)</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(8%)</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69,310</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77,063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(7,753)</w:t>
            </w:r>
          </w:p>
        </w:tc>
        <w:tc>
          <w:tcPr>
            <w:tcW w:w="148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1"/>
              </w:rPr>
              <w:t>(10%)</w:t>
            </w:r>
          </w:p>
        </w:tc>
      </w:tr>
      <w:tr>
        <w:trPr>
          <w:trHeight w:val="21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Development margin percentage</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(3.1 pts)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41"/>
        </w:trPr>
        <w:tc>
          <w:tcPr>
            <w:tcW w:w="47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development margin reflected the following:</w:t>
      </w:r>
    </w:p>
    <w:p>
      <w:pPr>
        <w:spacing w:after="0" w:line="117" w:lineRule="exact"/>
        <w:rPr>
          <w:sz w:val="20"/>
          <w:szCs w:val="20"/>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$5.6 million of unfavorable revenue reportability compared to the 2017 first half;</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$5.6 million from an unfavorable mix of higher cost real estate inventory being sold;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$4.3 million from higher marketing and sales costs.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decreases in development margin were partially offset by the following:</w:t>
      </w:r>
    </w:p>
    <w:p>
      <w:pPr>
        <w:spacing w:after="0" w:line="117" w:lineRule="exact"/>
        <w:rPr>
          <w:sz w:val="20"/>
          <w:szCs w:val="20"/>
          <w:color w:val="auto"/>
        </w:rPr>
      </w:pPr>
    </w:p>
    <w:p>
      <w:pPr>
        <w:ind w:left="1300" w:right="620" w:hanging="320"/>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$3.2 million from higher vacation ownership contract sales volume net of the sales reserve and direct variable expenses (i.e., cost of vacation ownership products and marketing and sales);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$2.1 million from lower sales reserve activity in the 2018 first half;</w:t>
      </w:r>
    </w:p>
    <w:p>
      <w:pPr>
        <w:spacing w:after="0" w:line="117" w:lineRule="exact"/>
        <w:rPr>
          <w:rFonts w:ascii="Arial" w:cs="Arial" w:eastAsia="Arial" w:hAnsi="Arial"/>
          <w:sz w:val="18"/>
          <w:szCs w:val="18"/>
          <w:color w:val="auto"/>
        </w:rPr>
      </w:pPr>
    </w:p>
    <w:p>
      <w:pPr>
        <w:ind w:left="1300" w:right="100" w:hanging="320"/>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$1.2 million of favorable changes in product cost true-up activity ($0.4 million of favorable true-up activity in the 2018 first half compared to $0.9 million of unfavorable true-up activity in the 2017 first half); and</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$1.2 million from the lower utilization of sales incentives in our North America segment and decreases in other expenses.</w:t>
      </w:r>
    </w:p>
    <w:p>
      <w:pPr>
        <w:spacing w:after="0" w:line="1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3.1 percentage point decline in the development margin percentage reflected a 1.6 percentage point decrease due to an unfavorable mix of higher cost vacation ownership real estate inventory being sold in the 2018 first half, a 1.2 percentage point decrease due to higher marketing and sales costs, and a 1.2 percentage point decrease from the unfavorable revenue reportability year-over-year. These declines were partially offset by a 0.5 percentage point increase due to the lower sales reserve activity and a 0.4 percentage point increase due to the favorable changes in product cost true-up activity year-over-year.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5"/>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June 30, 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June 30, 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Management fee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3,049</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Ancillary revenues</w:t>
            </w:r>
          </w:p>
        </w:tc>
        <w:tc>
          <w:tcPr>
            <w:tcW w:w="2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29,716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27,910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1,806</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6%</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services revenues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15,953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16,295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(2%)</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68,429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63,916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4,513</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7%</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Resort management and other services expenses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(33,881)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(2%)</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34,548</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30,561</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3,987</w:t>
            </w:r>
          </w:p>
        </w:tc>
        <w:tc>
          <w:tcPr>
            <w:tcW w:w="148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88"/>
              </w:rPr>
              <w:t>13%</w:t>
            </w:r>
          </w:p>
        </w:tc>
      </w:tr>
      <w:tr>
        <w:trPr>
          <w:trHeight w:val="190"/>
        </w:trPr>
        <w:tc>
          <w:tcPr>
            <w:tcW w:w="47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shd w:val="clear" w:color="auto" w:fill="CCEEFF"/>
              </w:rPr>
              <w:t>Resort management and other services margin</w:t>
            </w:r>
          </w:p>
        </w:tc>
        <w:tc>
          <w:tcPr>
            <w:tcW w:w="2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percentage</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rPr>
              <w:t>50.5%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2.7 pts</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459"/>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jc w:val="right"/>
              <w:ind w:right="652"/>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57" w:name="page58"/>
    <w:bookmarkEnd w:id="57"/>
    <w:p>
      <w:pPr>
        <w:ind w:right="80" w:firstLine="648"/>
        <w:spacing w:after="0" w:line="255" w:lineRule="auto"/>
        <w:rPr>
          <w:sz w:val="20"/>
          <w:szCs w:val="20"/>
          <w:color w:val="auto"/>
        </w:rPr>
      </w:pPr>
      <w:r>
        <w:rPr>
          <w:rFonts w:ascii="Arial" w:cs="Arial" w:eastAsia="Arial" w:hAnsi="Arial"/>
          <w:sz w:val="18"/>
          <w:szCs w:val="18"/>
          <w:color w:val="auto"/>
        </w:rPr>
        <w:t>The increase in resort management and other services revenues reflected $3.0 million of higher management fees resulting from the cumulative increase in the number of vacation ownership products sold and higher operating costs across the system, $1.8 million of higher ancillary revenues from food and beverage and golf offerings at our resorts, and $1.2 million of higher annual club dues and other revenues earned in connection with the MVCD program due to the cumulative increase in owners enrolled in the program as well as an increase in the average club dues charged to enrolled owners. These increases were partially offset by $1.5 million of lower refurbishment and other revenues due to a decrease in the number of refurbishment projects completed in the 2018 second quarter.</w:t>
      </w:r>
    </w:p>
    <w:p>
      <w:pPr>
        <w:spacing w:after="0" w:line="8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increase in the resort management and other services margin reflected the increases in revenue, partially offset by$0.5 million of higher expenses. The higher expenses included $1.2 million of higher ancillary expenses from food and beverage and golf offerings at our resorts, partially offset by $0.7 million of lower refurbishment expenses due to a decrease in the number of projects being refurbished in the 2018 second quarter.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Half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5"/>
          </w:tcPr>
          <w:p>
            <w:pPr>
              <w:ind w:left="980"/>
              <w:spacing w:after="0"/>
              <w:rPr>
                <w:sz w:val="20"/>
                <w:szCs w:val="20"/>
                <w:color w:val="auto"/>
              </w:rPr>
            </w:pPr>
            <w:r>
              <w:rPr>
                <w:rFonts w:ascii="Arial" w:cs="Arial" w:eastAsia="Arial" w:hAnsi="Arial"/>
                <w:sz w:val="16"/>
                <w:szCs w:val="16"/>
                <w:b w:val="1"/>
                <w:bCs w:val="1"/>
                <w:color w:val="auto"/>
              </w:rPr>
              <w:t>Six Months Ended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June 30, 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June 30, 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Management fee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4,696</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Ancillary revenues</w:t>
            </w:r>
          </w:p>
        </w:tc>
        <w:tc>
          <w:tcPr>
            <w:tcW w:w="2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55,113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52,598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2,515</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5%</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services revenues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32,524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(4%)</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131,960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125,989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5,971</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5%</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Resort management and other services expenses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(66,164)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65,796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59,665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6,131</w:t>
            </w:r>
          </w:p>
        </w:tc>
        <w:tc>
          <w:tcPr>
            <w:tcW w:w="148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88"/>
              </w:rPr>
              <w:t>10%</w:t>
            </w:r>
          </w:p>
        </w:tc>
      </w:tr>
      <w:tr>
        <w:trPr>
          <w:trHeight w:val="190"/>
        </w:trPr>
        <w:tc>
          <w:tcPr>
            <w:tcW w:w="47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shd w:val="clear" w:color="auto" w:fill="CCEEFF"/>
              </w:rPr>
              <w:t>Resort management and other services margin</w:t>
            </w:r>
          </w:p>
        </w:tc>
        <w:tc>
          <w:tcPr>
            <w:tcW w:w="2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16"/>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percentage</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2.5 pts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41"/>
        </w:trPr>
        <w:tc>
          <w:tcPr>
            <w:tcW w:w="47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r>
    </w:tbl>
    <w:p>
      <w:pPr>
        <w:spacing w:after="0" w:line="94"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increase in resort management and other services revenues reflected $4.7 million of higher management fees resulting from the cumulative increase in the number of vacation ownership products sold and higher operating costs across the system, $2.5 million of higher ancillary revenues, and $2.1 million of higher annual club dues and other revenues earned in connection with the MVCD program due to the cumulative increase in owners enrolled in the program as well as an increase in the average club dues charged to enrolled owners. These increases were partially offset by $3.3 million of lower refurbishment and other revenues due to a decrease in the number of refurbishment projects completed in the 2018 first half.</w:t>
      </w:r>
    </w:p>
    <w:p>
      <w:pPr>
        <w:spacing w:after="0" w:line="5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increase in ancillary revenues included $3.8 million of higher revenues from food and beverage and golf offerings at our resorts, partially offset by $0.7 million of lower revenue due to outsourcing multiple operations in our North America segment and $0.6 million of lower revenue due to the two St. Thomas resorts being closed for part or all of the 2018 first quarter as a result of the 2017 Hurricanes.</w:t>
      </w:r>
    </w:p>
    <w:p>
      <w:pPr>
        <w:spacing w:after="0" w:line="73"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increase in the resort management and other services margin reflected the increases in revenue and $0.2 million of lower expenses. The lower expenses included $1.7 million of lower refurbishment expenses due to a decrease in the number of projects being refurbished in the 2018 first half, $1.0 million of lower ancillary expenses due to outsourcing multiple operations, and $0.2 million of lower ancillary expenses due to the two St. Thomas resorts being closed for part or all of the first quarter of 2018 as a result of the 2017 Hurricanes, partially offset by $2.3 million of higher ancillary expenses from food and beverage and golf offerings at our resorts, $0.2 million of higher customer service expenses and expenses associated with the MVCD program, and $0.2 million of higher management fee related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5"/>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June 30, 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June 30, 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Interest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3,192</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financing revenues</w:t>
            </w:r>
          </w:p>
        </w:tc>
        <w:tc>
          <w:tcPr>
            <w:tcW w:w="2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1,691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Financing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33,912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30,719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3,193</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Financing propensity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ind w:right="373"/>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ind w:right="352"/>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increase in financing revenues was due to an increase in the average gross vacation ownership notes receivable balance ($4.3 million), partially offset by higher financing program incentive costs ($1.0 million) and a decrease in the weighted average coupon rate of our vacation ownership notes receivable ($0.1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76" w:right="239" w:bottom="1440" w:gutter="0" w:footer="0" w:header="0"/>
        </w:sectPr>
      </w:pPr>
    </w:p>
    <w:bookmarkStart w:id="58" w:name="page59"/>
    <w:bookmarkEnd w:id="58"/>
    <w:p>
      <w:pPr>
        <w:ind w:left="660"/>
        <w:spacing w:after="0"/>
        <w:rPr>
          <w:sz w:val="20"/>
          <w:szCs w:val="20"/>
          <w:color w:val="auto"/>
        </w:rPr>
      </w:pPr>
      <w:r>
        <w:rPr>
          <w:rFonts w:ascii="Arial" w:cs="Arial" w:eastAsia="Arial" w:hAnsi="Arial"/>
          <w:sz w:val="18"/>
          <w:szCs w:val="18"/>
          <w:i w:val="1"/>
          <w:iCs w:val="1"/>
          <w:color w:val="auto"/>
        </w:rPr>
        <w:t>2018 First Half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5"/>
          </w:tcPr>
          <w:p>
            <w:pPr>
              <w:ind w:left="980"/>
              <w:spacing w:after="0"/>
              <w:rPr>
                <w:sz w:val="20"/>
                <w:szCs w:val="20"/>
                <w:color w:val="auto"/>
              </w:rPr>
            </w:pPr>
            <w:r>
              <w:rPr>
                <w:rFonts w:ascii="Arial" w:cs="Arial" w:eastAsia="Arial" w:hAnsi="Arial"/>
                <w:sz w:val="16"/>
                <w:szCs w:val="16"/>
                <w:b w:val="1"/>
                <w:bCs w:val="1"/>
                <w:color w:val="auto"/>
              </w:rPr>
              <w:t>Six Months Ended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June 30, 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June 30, 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Interest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63,997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57,552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6,445</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financing revenues</w:t>
            </w:r>
          </w:p>
        </w:tc>
        <w:tc>
          <w:tcPr>
            <w:tcW w:w="2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3,444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3,406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Financing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67,441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60,958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6,483</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Financing propensity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ind w:right="373"/>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ind w:right="352"/>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increase in financing revenues was due to an increase in the average gross vacation ownership notes receivable balance ($8.5 million), partially offset by higher financing program incentive costs ($1.6 million) and a decrease in the weighted average coupon rate of our vacation ownership notes receivable ($0.4 million). We expect financing propensity for the 2018 fiscal year to approximate 60 to 65 percent as we intend to continue to offer financing incentive programs, and that interest income will continue to increase as new originations of vacation ownership notes receivable outpace the decline in principal of existing vacation ownership notes receivable.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00" w:type="dxa"/>
            <w:vAlign w:val="bottom"/>
            <w:gridSpan w:val="7"/>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8"/>
        </w:trPr>
        <w:tc>
          <w:tcPr>
            <w:tcW w:w="20" w:type="dxa"/>
            <w:vAlign w:val="bottom"/>
          </w:tcPr>
          <w:p>
            <w:pPr>
              <w:spacing w:after="0"/>
              <w:rPr>
                <w:sz w:val="22"/>
                <w:szCs w:val="22"/>
                <w:color w:val="auto"/>
              </w:rPr>
            </w:pPr>
          </w:p>
        </w:tc>
        <w:tc>
          <w:tcPr>
            <w:tcW w:w="46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June 30, 2018</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b w:val="1"/>
                <w:bCs w:val="1"/>
                <w:color w:val="auto"/>
              </w:rPr>
              <w:t>June 30, 2017</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1"/>
              </w:rPr>
              <w:t>Change</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Rental revenues</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67,083</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62,021</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5,062</w:t>
            </w:r>
          </w:p>
        </w:tc>
        <w:tc>
          <w:tcPr>
            <w:tcW w:w="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459"/>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Rental expenses</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(53,283)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(49,220)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(4,063)</w:t>
            </w:r>
          </w:p>
        </w:tc>
        <w:tc>
          <w:tcPr>
            <w:tcW w:w="20" w:type="dxa"/>
            <w:vAlign w:val="bottom"/>
          </w:tcPr>
          <w:p>
            <w:pPr>
              <w:spacing w:after="0"/>
              <w:rPr>
                <w:sz w:val="21"/>
                <w:szCs w:val="21"/>
                <w:color w:val="auto"/>
              </w:rPr>
            </w:pPr>
          </w:p>
        </w:tc>
        <w:tc>
          <w:tcPr>
            <w:tcW w:w="1460" w:type="dxa"/>
            <w:vAlign w:val="bottom"/>
            <w:gridSpan w:val="3"/>
          </w:tcPr>
          <w:p>
            <w:pPr>
              <w:jc w:val="right"/>
              <w:ind w:right="399"/>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Rental margin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13,800</w:t>
            </w:r>
          </w:p>
        </w:tc>
        <w:tc>
          <w:tcPr>
            <w:tcW w:w="20" w:type="dxa"/>
            <w:vAlign w:val="bottom"/>
            <w:shd w:val="clear" w:color="auto" w:fill="CCEEFF"/>
          </w:tcPr>
          <w:p>
            <w:pPr>
              <w:spacing w:after="0"/>
              <w:rPr>
                <w:sz w:val="22"/>
                <w:szCs w:val="22"/>
                <w:color w:val="auto"/>
              </w:rPr>
            </w:pP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12,801</w:t>
            </w:r>
          </w:p>
        </w:tc>
        <w:tc>
          <w:tcPr>
            <w:tcW w:w="4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2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jc w:val="right"/>
              <w:ind w:right="459"/>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Rental margin percentage</w:t>
            </w:r>
          </w:p>
        </w:tc>
        <w:tc>
          <w:tcPr>
            <w:tcW w:w="280" w:type="dxa"/>
            <w:vAlign w:val="bottom"/>
          </w:tcPr>
          <w:p>
            <w:pPr>
              <w:spacing w:after="0"/>
              <w:rPr>
                <w:sz w:val="20"/>
                <w:szCs w:val="20"/>
                <w:color w:val="auto"/>
              </w:rPr>
            </w:pPr>
          </w:p>
        </w:tc>
        <w:tc>
          <w:tcPr>
            <w:tcW w:w="1540" w:type="dxa"/>
            <w:vAlign w:val="bottom"/>
          </w:tcPr>
          <w:p>
            <w:pPr>
              <w:jc w:val="right"/>
              <w:ind w:right="353"/>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right"/>
              <w:ind w:right="312"/>
              <w:spacing w:after="0"/>
              <w:rPr>
                <w:sz w:val="20"/>
                <w:szCs w:val="20"/>
                <w:color w:val="auto"/>
              </w:rPr>
            </w:pPr>
            <w:r>
              <w:rPr>
                <w:rFonts w:ascii="Arial" w:cs="Arial" w:eastAsia="Arial" w:hAnsi="Arial"/>
                <w:sz w:val="18"/>
                <w:szCs w:val="18"/>
                <w:color w:val="auto"/>
              </w:rPr>
              <w:t>20.6%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07"/>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00" w:type="dxa"/>
            <w:vAlign w:val="bottom"/>
            <w:gridSpan w:val="7"/>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June 30, 2017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gridSpan w:val="2"/>
          </w:tcPr>
          <w:p>
            <w:pPr>
              <w:ind w:left="280"/>
              <w:spacing w:after="0"/>
              <w:rPr>
                <w:sz w:val="20"/>
                <w:szCs w:val="20"/>
                <w:color w:val="auto"/>
              </w:rPr>
            </w:pPr>
            <w:r>
              <w:rPr>
                <w:rFonts w:ascii="Arial" w:cs="Arial" w:eastAsia="Arial" w:hAnsi="Arial"/>
                <w:sz w:val="16"/>
                <w:szCs w:val="16"/>
                <w:b w:val="1"/>
                <w:bCs w:val="1"/>
                <w:color w:val="auto"/>
              </w:rPr>
              <w:t>% Change</w:t>
            </w:r>
          </w:p>
        </w:tc>
      </w:tr>
      <w:tr>
        <w:trPr>
          <w:trHeight w:val="33"/>
        </w:trPr>
        <w:tc>
          <w:tcPr>
            <w:tcW w:w="20" w:type="dxa"/>
            <w:vAlign w:val="bottom"/>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shd w:val="clear" w:color="auto" w:fill="CCEEFF"/>
              </w:rPr>
              <w:t>Transient keys rented</w:t>
            </w:r>
            <w:r>
              <w:rPr>
                <w:rFonts w:ascii="Arial" w:cs="Arial" w:eastAsia="Arial" w:hAnsi="Arial"/>
                <w:sz w:val="21"/>
                <w:szCs w:val="21"/>
                <w:color w:val="auto"/>
                <w:vertAlign w:val="superscript"/>
                <w:shd w:val="clear" w:color="auto" w:fill="CCEEFF"/>
              </w:rPr>
              <w:t>(1)</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310,561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306,830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3,731</w:t>
            </w:r>
          </w:p>
        </w:tc>
        <w:tc>
          <w:tcPr>
            <w:tcW w:w="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479"/>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Average transient key rate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211.18</w:t>
            </w:r>
          </w:p>
        </w:tc>
        <w:tc>
          <w:tcPr>
            <w:tcW w:w="20" w:type="dxa"/>
            <w:vAlign w:val="bottom"/>
          </w:tcPr>
          <w:p>
            <w:pPr>
              <w:spacing w:after="0"/>
              <w:rPr>
                <w:sz w:val="21"/>
                <w:szCs w:val="21"/>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207.98</w:t>
            </w:r>
          </w:p>
        </w:tc>
        <w:tc>
          <w:tcPr>
            <w:tcW w:w="40" w:type="dxa"/>
            <w:vAlign w:val="bottom"/>
          </w:tcPr>
          <w:p>
            <w:pPr>
              <w:spacing w:after="0"/>
              <w:rPr>
                <w:sz w:val="21"/>
                <w:szCs w:val="21"/>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21"/>
                <w:szCs w:val="21"/>
                <w:color w:val="auto"/>
              </w:rPr>
            </w:pPr>
          </w:p>
        </w:tc>
        <w:tc>
          <w:tcPr>
            <w:tcW w:w="1460" w:type="dxa"/>
            <w:vAlign w:val="bottom"/>
            <w:gridSpan w:val="3"/>
          </w:tcPr>
          <w:p>
            <w:pPr>
              <w:jc w:val="right"/>
              <w:ind w:right="479"/>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Resort occupancy</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rPr>
              <w:t>92.7%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rPr>
              <w:t>89.7%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3.0 pts</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ind w:left="660" w:hanging="652"/>
        <w:spacing w:after="0" w:line="213" w:lineRule="auto"/>
        <w:tabs>
          <w:tab w:leader="none" w:pos="66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Transient keys rented exclude those occupied through the use of plus points and preview stays.</w:t>
      </w:r>
    </w:p>
    <w:p>
      <w:pPr>
        <w:spacing w:after="0" w:line="99"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The increase in rental revenues was due to $1.9 million of higher other revenues, $1.4 million of higher plus points revenue (plus points are recognized as revenue when the points are redeemed), a 2 percent increase in average transient rate ($1.0 million), and a 1 percent increase in transient keys rented ($0.8 million).</w:t>
      </w:r>
    </w:p>
    <w:p>
      <w:pPr>
        <w:spacing w:after="0" w:line="76"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increase in rental margin reflected higher rental revenues net of direct variable expenses (such as housekeeping) and the $1.4 million increase in plus points, partially offset by higher expenses incurred due to owners choosing alternative usage options and higher unsold maintenance fees.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Half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80" w:type="dxa"/>
            <w:vAlign w:val="bottom"/>
            <w:gridSpan w:val="5"/>
          </w:tcPr>
          <w:p>
            <w:pPr>
              <w:ind w:left="960"/>
              <w:spacing w:after="0"/>
              <w:rPr>
                <w:sz w:val="20"/>
                <w:szCs w:val="20"/>
                <w:color w:val="auto"/>
              </w:rPr>
            </w:pPr>
            <w:r>
              <w:rPr>
                <w:rFonts w:ascii="Arial" w:cs="Arial" w:eastAsia="Arial" w:hAnsi="Arial"/>
                <w:sz w:val="16"/>
                <w:szCs w:val="16"/>
                <w:b w:val="1"/>
                <w:bCs w:val="1"/>
                <w:color w:val="auto"/>
              </w:rPr>
              <w:t>Six Months Ended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4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8"/>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June 30, 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June 30, 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Rental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135,158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124,506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10,652</w:t>
            </w:r>
          </w:p>
        </w:tc>
        <w:tc>
          <w:tcPr>
            <w:tcW w:w="146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9%</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Rental expenses</w:t>
            </w:r>
          </w:p>
        </w:tc>
        <w:tc>
          <w:tcPr>
            <w:tcW w:w="3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(100,466)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(95,274)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(5,192)</w:t>
            </w:r>
          </w:p>
        </w:tc>
        <w:tc>
          <w:tcPr>
            <w:tcW w:w="146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(5%)</w:t>
            </w:r>
          </w:p>
        </w:tc>
      </w:tr>
      <w:tr>
        <w:trPr>
          <w:trHeight w:val="27"/>
        </w:trPr>
        <w:tc>
          <w:tcPr>
            <w:tcW w:w="4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margin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34,692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29,232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5,460</w:t>
            </w:r>
          </w:p>
        </w:tc>
        <w:tc>
          <w:tcPr>
            <w:tcW w:w="14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19%</w:t>
            </w:r>
          </w:p>
        </w:tc>
      </w:tr>
      <w:tr>
        <w:trPr>
          <w:trHeight w:val="20"/>
        </w:trPr>
        <w:tc>
          <w:tcPr>
            <w:tcW w:w="4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0"/>
        </w:trPr>
        <w:tc>
          <w:tcPr>
            <w:tcW w:w="4660" w:type="dxa"/>
            <w:vAlign w:val="bottom"/>
          </w:tcPr>
          <w:p>
            <w:pPr>
              <w:ind w:left="40"/>
              <w:spacing w:after="0"/>
              <w:rPr>
                <w:sz w:val="20"/>
                <w:szCs w:val="20"/>
                <w:color w:val="auto"/>
              </w:rPr>
            </w:pPr>
            <w:r>
              <w:rPr>
                <w:rFonts w:ascii="Arial" w:cs="Arial" w:eastAsia="Arial" w:hAnsi="Arial"/>
                <w:sz w:val="18"/>
                <w:szCs w:val="18"/>
                <w:color w:val="auto"/>
              </w:rPr>
              <w:t>Rental margin percentage</w:t>
            </w:r>
          </w:p>
        </w:tc>
        <w:tc>
          <w:tcPr>
            <w:tcW w:w="300" w:type="dxa"/>
            <w:vAlign w:val="bottom"/>
          </w:tcPr>
          <w:p>
            <w:pPr>
              <w:spacing w:after="0"/>
              <w:rPr>
                <w:sz w:val="20"/>
                <w:szCs w:val="20"/>
                <w:color w:val="auto"/>
              </w:rPr>
            </w:pPr>
          </w:p>
        </w:tc>
        <w:tc>
          <w:tcPr>
            <w:tcW w:w="1560" w:type="dxa"/>
            <w:vAlign w:val="bottom"/>
          </w:tcPr>
          <w:p>
            <w:pPr>
              <w:jc w:val="right"/>
              <w:ind w:right="373"/>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ind w:right="352"/>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12"/>
              <w:spacing w:after="0"/>
              <w:rPr>
                <w:sz w:val="20"/>
                <w:szCs w:val="20"/>
                <w:color w:val="auto"/>
              </w:rPr>
            </w:pPr>
            <w:r>
              <w:rPr>
                <w:rFonts w:ascii="Arial" w:cs="Arial" w:eastAsia="Arial" w:hAnsi="Arial"/>
                <w:sz w:val="18"/>
                <w:szCs w:val="18"/>
                <w:color w:val="auto"/>
              </w:rPr>
              <w:t>2.2 pts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86"/>
        </w:trPr>
        <w:tc>
          <w:tcPr>
            <w:tcW w:w="4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jc w:val="right"/>
              <w:ind w:right="633"/>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80" w:type="dxa"/>
            <w:vAlign w:val="bottom"/>
            <w:gridSpan w:val="4"/>
          </w:tcPr>
          <w:p>
            <w:pPr>
              <w:jc w:val="right"/>
              <w:ind w:right="1152"/>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2018</w:t>
            </w:r>
          </w:p>
        </w:tc>
        <w:tc>
          <w:tcPr>
            <w:tcW w:w="280" w:type="dxa"/>
            <w:vAlign w:val="bottom"/>
          </w:tcPr>
          <w:p>
            <w:pPr>
              <w:spacing w:after="0"/>
              <w:rPr>
                <w:sz w:val="20"/>
                <w:szCs w:val="20"/>
                <w:color w:val="auto"/>
              </w:rPr>
            </w:pPr>
          </w:p>
        </w:tc>
        <w:tc>
          <w:tcPr>
            <w:tcW w:w="1540" w:type="dxa"/>
            <w:vAlign w:val="bottom"/>
          </w:tcPr>
          <w:p>
            <w:pPr>
              <w:jc w:val="right"/>
              <w:ind w:right="352"/>
              <w:spacing w:after="0"/>
              <w:rPr>
                <w:sz w:val="20"/>
                <w:szCs w:val="20"/>
                <w:color w:val="auto"/>
              </w:rPr>
            </w:pPr>
            <w:r>
              <w:rPr>
                <w:rFonts w:ascii="Arial" w:cs="Arial" w:eastAsia="Arial" w:hAnsi="Arial"/>
                <w:sz w:val="16"/>
                <w:szCs w:val="16"/>
                <w:b w:val="1"/>
                <w:bCs w:val="1"/>
                <w:color w:val="auto"/>
              </w:rPr>
              <w:t>June 30, 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Change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33"/>
        </w:trPr>
        <w:tc>
          <w:tcPr>
            <w:tcW w:w="20" w:type="dxa"/>
            <w:vAlign w:val="bottom"/>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Transient keys rented</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620,067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611,776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8,291</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w:t>
            </w:r>
          </w:p>
        </w:tc>
      </w:tr>
      <w:tr>
        <w:trPr>
          <w:trHeight w:val="243"/>
        </w:trPr>
        <w:tc>
          <w:tcPr>
            <w:tcW w:w="20" w:type="dxa"/>
            <w:vAlign w:val="bottom"/>
          </w:tcPr>
          <w:p>
            <w:pPr>
              <w:spacing w:after="0"/>
              <w:rPr>
                <w:sz w:val="21"/>
                <w:szCs w:val="21"/>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Average transient key rate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222.64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217.74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2%</w:t>
            </w: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Resort occupancy</w:t>
            </w: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1.8 pts</w:t>
            </w:r>
          </w:p>
        </w:tc>
        <w:tc>
          <w:tcPr>
            <w:tcW w:w="134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4640" w:type="dxa"/>
            <w:vAlign w:val="bottom"/>
          </w:tcPr>
          <w:p>
            <w:pPr>
              <w:jc w:val="right"/>
              <w:ind w:right="2310"/>
              <w:spacing w:after="0"/>
              <w:rPr>
                <w:sz w:val="20"/>
                <w:szCs w:val="20"/>
                <w:color w:val="auto"/>
              </w:rPr>
            </w:pPr>
            <w:r>
              <w:rPr>
                <w:rFonts w:ascii="Arial" w:cs="Arial" w:eastAsia="Arial" w:hAnsi="Arial"/>
                <w:sz w:val="18"/>
                <w:szCs w:val="18"/>
                <w:color w:val="auto"/>
                <w:w w:val="88"/>
              </w:rPr>
              <w:t>_________________________</w:t>
            </w: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ind w:left="660" w:hanging="652"/>
        <w:spacing w:after="0" w:line="213" w:lineRule="auto"/>
        <w:tabs>
          <w:tab w:leader="none" w:pos="66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Transient keys rented exclude those occupied through the use of plus points and preview stays.</w:t>
      </w:r>
    </w:p>
    <w:p>
      <w:pPr>
        <w:spacing w:after="0" w:line="99" w:lineRule="exact"/>
        <w:rPr>
          <w:sz w:val="20"/>
          <w:szCs w:val="20"/>
          <w:color w:val="auto"/>
        </w:rPr>
      </w:pPr>
    </w:p>
    <w:p>
      <w:pPr>
        <w:jc w:val="both"/>
        <w:ind w:right="200" w:firstLine="648"/>
        <w:spacing w:after="0" w:line="261" w:lineRule="auto"/>
        <w:rPr>
          <w:sz w:val="20"/>
          <w:szCs w:val="20"/>
          <w:color w:val="auto"/>
        </w:rPr>
      </w:pPr>
      <w:r>
        <w:rPr>
          <w:rFonts w:ascii="Arial" w:cs="Arial" w:eastAsia="Arial" w:hAnsi="Arial"/>
          <w:sz w:val="18"/>
          <w:szCs w:val="18"/>
          <w:color w:val="auto"/>
        </w:rPr>
        <w:t>The increase in rental revenues was due to $3.2 million of higher other revenues, a 2 percent increase in average transient rate ($3.0 million), $2.7 million of higher plus points revenue (plus points are recognized as revenue when the points are redeemed) and a 1 percent increase in transient keys rented ($1.8 million).</w:t>
      </w:r>
    </w:p>
    <w:p>
      <w:pPr>
        <w:spacing w:after="0" w:line="76"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increase in rental margin reflected higher rental revenues net of direct variable expenses (such as housekeeping) and the $2.7 million increase in plus points, partially offset by higher expenses incurred due to owners choosing alternative usage options and higher unsold maintenance fees.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Asia Pacific</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discussion presents an analysis of our results of operations for the Asia Pacific segment.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5"/>
          </w:tcPr>
          <w:p>
            <w:pPr>
              <w:ind w:left="8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3260" w:type="dxa"/>
            <w:vAlign w:val="bottom"/>
            <w:gridSpan w:val="4"/>
          </w:tcPr>
          <w:p>
            <w:pPr>
              <w:jc w:val="right"/>
              <w:ind w:right="1011"/>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8"/>
        </w:trPr>
        <w:tc>
          <w:tcPr>
            <w:tcW w:w="42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Pr>
          <w:p>
            <w:pPr>
              <w:spacing w:after="0"/>
              <w:rPr>
                <w:sz w:val="22"/>
                <w:szCs w:val="22"/>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2018</w:t>
            </w:r>
          </w:p>
        </w:tc>
        <w:tc>
          <w:tcPr>
            <w:tcW w:w="240" w:type="dxa"/>
            <w:vAlign w:val="bottom"/>
          </w:tcPr>
          <w:p>
            <w:pPr>
              <w:spacing w:after="0"/>
              <w:rPr>
                <w:sz w:val="22"/>
                <w:szCs w:val="22"/>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2017</w:t>
            </w:r>
          </w:p>
        </w:tc>
        <w:tc>
          <w:tcPr>
            <w:tcW w:w="260" w:type="dxa"/>
            <w:vAlign w:val="bottom"/>
          </w:tcPr>
          <w:p>
            <w:pPr>
              <w:spacing w:after="0"/>
              <w:rPr>
                <w:sz w:val="22"/>
                <w:szCs w:val="22"/>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 2018</w:t>
            </w:r>
          </w:p>
        </w:tc>
        <w:tc>
          <w:tcPr>
            <w:tcW w:w="240" w:type="dxa"/>
            <w:vAlign w:val="bottom"/>
          </w:tcPr>
          <w:p>
            <w:pPr>
              <w:spacing w:after="0"/>
              <w:rPr>
                <w:sz w:val="22"/>
                <w:szCs w:val="22"/>
                <w:color w:val="auto"/>
              </w:rPr>
            </w:pPr>
          </w:p>
        </w:tc>
        <w:tc>
          <w:tcPr>
            <w:tcW w:w="1460" w:type="dxa"/>
            <w:vAlign w:val="bottom"/>
          </w:tcPr>
          <w:p>
            <w:pPr>
              <w:jc w:val="right"/>
              <w:ind w:right="291"/>
              <w:spacing w:after="0"/>
              <w:rPr>
                <w:sz w:val="20"/>
                <w:szCs w:val="20"/>
                <w:color w:val="auto"/>
              </w:rPr>
            </w:pPr>
            <w:r>
              <w:rPr>
                <w:rFonts w:ascii="Arial" w:cs="Arial" w:eastAsia="Arial" w:hAnsi="Arial"/>
                <w:sz w:val="16"/>
                <w:szCs w:val="16"/>
                <w:b w:val="1"/>
                <w:bCs w:val="1"/>
                <w:color w:val="auto"/>
              </w:rPr>
              <w:t>June 30, 2017</w:t>
            </w: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Sale of vacation ownership products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11,654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10,282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22,900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19,437</w:t>
            </w: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Resort management and other services</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1,923</w:t>
            </w: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Financing</w:t>
            </w:r>
          </w:p>
        </w:tc>
        <w:tc>
          <w:tcPr>
            <w:tcW w:w="2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2,452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2,228</w:t>
            </w: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Rental</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4,950</w:t>
            </w: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Cost reimbursements</w:t>
            </w:r>
          </w:p>
        </w:tc>
        <w:tc>
          <w:tcPr>
            <w:tcW w:w="2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1,931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3,697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2,717</w:t>
            </w: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31,255</w:t>
            </w:r>
          </w:p>
        </w:tc>
      </w:tr>
      <w:tr>
        <w:trPr>
          <w:trHeight w:val="22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r>
        <w:trPr>
          <w:trHeight w:val="41"/>
        </w:trPr>
        <w:tc>
          <w:tcPr>
            <w:tcW w:w="4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vacation ownership products</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4,242</w:t>
            </w: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Marketing and sales</w:t>
            </w:r>
          </w:p>
        </w:tc>
        <w:tc>
          <w:tcPr>
            <w:tcW w:w="2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9,379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7,618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18,016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14,381</w:t>
            </w: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Resort management and other services</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1,703</w:t>
            </w: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Rental</w:t>
            </w:r>
          </w:p>
        </w:tc>
        <w:tc>
          <w:tcPr>
            <w:tcW w:w="2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5,019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4,315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10,045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8,641</w:t>
            </w: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Royalty fee</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w:t>
            </w: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Cost reimbursements</w:t>
            </w:r>
          </w:p>
        </w:tc>
        <w:tc>
          <w:tcPr>
            <w:tcW w:w="2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1,931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3,697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2,717</w:t>
            </w:r>
          </w:p>
        </w:tc>
      </w:tr>
      <w:tr>
        <w:trPr>
          <w:trHeight w:val="27"/>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EXPENSES</w:t>
            </w:r>
          </w:p>
        </w:tc>
        <w:tc>
          <w:tcPr>
            <w:tcW w:w="2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21,358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41,297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32,133</w:t>
            </w:r>
          </w:p>
        </w:tc>
      </w:tr>
      <w:tr>
        <w:trPr>
          <w:trHeight w:val="237"/>
        </w:trPr>
        <w:tc>
          <w:tcPr>
            <w:tcW w:w="4240" w:type="dxa"/>
            <w:vAlign w:val="bottom"/>
          </w:tcPr>
          <w:p>
            <w:pPr>
              <w:ind w:left="180"/>
              <w:spacing w:after="0"/>
              <w:rPr>
                <w:sz w:val="20"/>
                <w:szCs w:val="20"/>
                <w:color w:val="auto"/>
              </w:rPr>
            </w:pPr>
            <w:r>
              <w:rPr>
                <w:rFonts w:ascii="Arial" w:cs="Arial" w:eastAsia="Arial" w:hAnsi="Arial"/>
                <w:sz w:val="18"/>
                <w:szCs w:val="18"/>
                <w:color w:val="auto"/>
              </w:rPr>
              <w:t>Gains (losses) and other income (expense), net</w:t>
            </w:r>
          </w:p>
        </w:tc>
        <w:tc>
          <w:tcPr>
            <w:tcW w:w="2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SEGMENT FINANCIAL RESULTS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w:t>
            </w:r>
          </w:p>
        </w:tc>
      </w:tr>
      <w:tr>
        <w:trPr>
          <w:trHeight w:val="27"/>
        </w:trPr>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0" w:firstLine="662"/>
        <w:spacing w:after="0" w:line="312" w:lineRule="auto"/>
        <w:rPr>
          <w:sz w:val="20"/>
          <w:szCs w:val="20"/>
          <w:color w:val="auto"/>
        </w:rPr>
      </w:pPr>
      <w:r>
        <w:rPr>
          <w:rFonts w:ascii="Arial" w:cs="Arial" w:eastAsia="Arial" w:hAnsi="Arial"/>
          <w:sz w:val="16"/>
          <w:szCs w:val="16"/>
          <w:color w:val="auto"/>
        </w:rPr>
        <w:t>In our Asia Pacific segment, we continue to identify opportunities for development margin growth and improvement. We plan to continue to focus on future inventory acquisitions with strong on-site sales locations. During the 2017 third quarter, we completed the purchase of 51 completed vacation ownership units, as well as a sales gallery and related amenities, in Bali, Indonesia. We began selling from this new location in the 2018 second quarter.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00" w:type="dxa"/>
            <w:vAlign w:val="bottom"/>
            <w:gridSpan w:val="4"/>
          </w:tcPr>
          <w:p>
            <w:pPr>
              <w:jc w:val="right"/>
              <w:ind w:right="1054"/>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r>
      <w:tr>
        <w:trPr>
          <w:trHeight w:val="25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rPr>
              <w:t>June 30, 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June 30, 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13,784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11,614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2,170</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19%</w:t>
            </w:r>
          </w:p>
        </w:tc>
      </w:tr>
      <w:tr>
        <w:trPr>
          <w:trHeight w:val="27"/>
        </w:trPr>
        <w:tc>
          <w:tcPr>
            <w:tcW w:w="4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increase in Asia Pacific vacation ownership contract sales was driven by a 22 percent increase in tours, partially offset by a 2 percent decrease in VPG. The increase in tours included a 12 percent increase from the new sales locations in Surfers Paradise, Australia and Bali, Indonesia, and a 10 percent increase from the existing sales locations. The decrease in VPG was driven by an increase in sales to first time buyers, which generally have a lower VPG than sales to existing owners.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Half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00" w:type="dxa"/>
            <w:vAlign w:val="bottom"/>
            <w:gridSpan w:val="4"/>
          </w:tcPr>
          <w:p>
            <w:pPr>
              <w:ind w:left="980"/>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r>
      <w:tr>
        <w:trPr>
          <w:trHeight w:val="25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June 30, 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June 30, 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26,127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23,562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2,565</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11%</w:t>
            </w:r>
          </w:p>
        </w:tc>
      </w:tr>
      <w:tr>
        <w:trPr>
          <w:trHeight w:val="27"/>
        </w:trPr>
        <w:tc>
          <w:tcPr>
            <w:tcW w:w="4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increase in Asia Pacific vacation ownership contract sales was driven by a 15 percent increase in tours, partially offset by a 4 percent decrease in VPG. The increase in tours included a 6 percent increase from the new sales locations in Surfers Paradise, Australia and Bali, Indonesia, and a 9 percent increase from the existing sales locations. The decrease in VPG was driven by an increase in sales to first time buyers, which generally have a lower VPG than sales to existing owners.</w:t>
      </w:r>
    </w:p>
    <w:p>
      <w:pPr>
        <w:spacing w:after="0" w:line="183" w:lineRule="exact"/>
        <w:rPr>
          <w:sz w:val="20"/>
          <w:szCs w:val="20"/>
          <w:color w:val="auto"/>
        </w:rPr>
      </w:pPr>
    </w:p>
    <w:p>
      <w:pPr>
        <w:jc w:val="center"/>
        <w:ind w:right="8540"/>
        <w:spacing w:after="0"/>
        <w:rPr>
          <w:sz w:val="20"/>
          <w:szCs w:val="20"/>
          <w:color w:val="auto"/>
        </w:rPr>
      </w:pPr>
      <w:r>
        <w:rPr>
          <w:rFonts w:ascii="Arial" w:cs="Arial" w:eastAsia="Arial" w:hAnsi="Arial"/>
          <w:sz w:val="16"/>
          <w:szCs w:val="16"/>
          <w:b w:val="1"/>
          <w:bCs w:val="1"/>
          <w:color w:val="auto"/>
        </w:rPr>
        <w:t>Sale of Vacation Ownership Products</w:t>
      </w:r>
    </w:p>
    <w:p>
      <w:pPr>
        <w:spacing w:after="0" w:line="144" w:lineRule="exact"/>
        <w:rPr>
          <w:sz w:val="20"/>
          <w:szCs w:val="20"/>
          <w:color w:val="auto"/>
        </w:rPr>
      </w:pPr>
    </w:p>
    <w:p>
      <w:pPr>
        <w:jc w:val="center"/>
        <w:ind w:right="8560"/>
        <w:spacing w:after="0"/>
        <w:rPr>
          <w:sz w:val="20"/>
          <w:szCs w:val="20"/>
          <w:color w:val="auto"/>
        </w:rPr>
      </w:pPr>
      <w:r>
        <w:rPr>
          <w:rFonts w:ascii="Arial" w:cs="Arial" w:eastAsia="Arial" w:hAnsi="Arial"/>
          <w:sz w:val="18"/>
          <w:szCs w:val="18"/>
          <w:i w:val="1"/>
          <w:iCs w:val="1"/>
          <w:color w:val="auto"/>
        </w:rPr>
        <w:t>2018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gridSpan w:val="5"/>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June 30, 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June 30, 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2,170</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19%</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Plus:</w:t>
            </w: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462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Settlement revenue</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Revenue recognition adjustments:</w:t>
            </w: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Reportability</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620" w:type="dxa"/>
            <w:vAlign w:val="bottom"/>
          </w:tcPr>
          <w:p>
            <w:pPr>
              <w:ind w:left="260"/>
              <w:spacing w:after="0"/>
              <w:rPr>
                <w:sz w:val="20"/>
                <w:szCs w:val="20"/>
                <w:color w:val="auto"/>
              </w:rPr>
            </w:pPr>
            <w:r>
              <w:rPr>
                <w:rFonts w:ascii="Arial" w:cs="Arial" w:eastAsia="Arial" w:hAnsi="Arial"/>
                <w:sz w:val="18"/>
                <w:szCs w:val="18"/>
                <w:color w:val="auto"/>
              </w:rPr>
              <w:t>Sales reserve</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462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(2)</w:t>
            </w:r>
          </w:p>
        </w:tc>
        <w:tc>
          <w:tcPr>
            <w:tcW w:w="28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Sale of vacation ownership products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11,654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10,282</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1,372</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13%</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jc w:val="right"/>
              <w:ind w:right="2352"/>
              <w:spacing w:after="0"/>
              <w:rPr>
                <w:sz w:val="20"/>
                <w:szCs w:val="20"/>
                <w:color w:val="auto"/>
              </w:rPr>
            </w:pPr>
            <w:r>
              <w:rPr>
                <w:rFonts w:ascii="Arial" w:cs="Arial" w:eastAsia="Arial" w:hAnsi="Arial"/>
                <w:sz w:val="18"/>
                <w:szCs w:val="18"/>
                <w:color w:val="auto"/>
                <w:w w:val="89"/>
              </w:rPr>
              <w:t>_________________________</w:t>
            </w: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Previously included in Resort management and other services revenue prior to the adoption of the new Revenue Standard.</w:t>
      </w:r>
    </w:p>
    <w:p>
      <w:pPr>
        <w:spacing w:after="0" w:line="56" w:lineRule="exact"/>
        <w:rPr>
          <w:rFonts w:ascii="Arial" w:cs="Arial" w:eastAsia="Arial" w:hAnsi="Arial"/>
          <w:sz w:val="25"/>
          <w:szCs w:val="25"/>
          <w:color w:val="auto"/>
          <w:vertAlign w:val="superscript"/>
        </w:rPr>
      </w:pPr>
    </w:p>
    <w:p>
      <w:pPr>
        <w:ind w:left="660" w:right="40" w:hanging="652"/>
        <w:spacing w:after="0" w:line="208" w:lineRule="auto"/>
        <w:tabs>
          <w:tab w:leader="none" w:pos="66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 and other adjustments to Sale of vacation ownership products revenue.</w:t>
      </w:r>
    </w:p>
    <w:p>
      <w:pPr>
        <w:spacing w:after="0" w:line="9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higher sales reserve reflected a higher required reserve in the 2018 second quarter due to higher default and delinquency activity as well as the higher contract closings.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0" w:right="239" w:bottom="1440" w:gutter="0" w:footer="0" w:header="0"/>
        </w:sectPr>
      </w:pPr>
    </w:p>
    <w:bookmarkStart w:id="61" w:name="page62"/>
    <w:bookmarkEnd w:id="61"/>
    <w:p>
      <w:pPr>
        <w:ind w:left="660"/>
        <w:spacing w:after="0"/>
        <w:rPr>
          <w:sz w:val="20"/>
          <w:szCs w:val="20"/>
          <w:color w:val="auto"/>
        </w:rPr>
      </w:pPr>
      <w:r>
        <w:rPr>
          <w:rFonts w:ascii="Arial" w:cs="Arial" w:eastAsia="Arial" w:hAnsi="Arial"/>
          <w:sz w:val="18"/>
          <w:szCs w:val="18"/>
          <w:i w:val="1"/>
          <w:iCs w:val="1"/>
          <w:color w:val="auto"/>
        </w:rPr>
        <w:t>2018 First Half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5"/>
          </w:tcPr>
          <w:p>
            <w:pPr>
              <w:ind w:left="980"/>
              <w:spacing w:after="0"/>
              <w:rPr>
                <w:sz w:val="20"/>
                <w:szCs w:val="20"/>
                <w:color w:val="auto"/>
              </w:rPr>
            </w:pPr>
            <w:r>
              <w:rPr>
                <w:rFonts w:ascii="Arial" w:cs="Arial" w:eastAsia="Arial" w:hAnsi="Arial"/>
                <w:sz w:val="16"/>
                <w:szCs w:val="16"/>
                <w:b w:val="1"/>
                <w:bCs w:val="1"/>
                <w:color w:val="auto"/>
              </w:rPr>
              <w:t>Six Months Ended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June 30, 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June 30, 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2,565</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Plus:</w:t>
            </w: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Settlement revenue</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Reportability</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Sales reserve</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(2)</w:t>
            </w:r>
          </w:p>
        </w:tc>
        <w:tc>
          <w:tcPr>
            <w:tcW w:w="28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22,900</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19,437</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3,463</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18%</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Previously included in Resort management and other services revenue prior to the adoption of the new Revenue Standard.</w:t>
      </w:r>
    </w:p>
    <w:p>
      <w:pPr>
        <w:spacing w:after="0" w:line="56" w:lineRule="exact"/>
        <w:rPr>
          <w:rFonts w:ascii="Arial" w:cs="Arial" w:eastAsia="Arial" w:hAnsi="Arial"/>
          <w:sz w:val="25"/>
          <w:szCs w:val="25"/>
          <w:color w:val="auto"/>
          <w:vertAlign w:val="superscript"/>
        </w:rPr>
      </w:pPr>
    </w:p>
    <w:p>
      <w:pPr>
        <w:ind w:left="660" w:right="40" w:hanging="652"/>
        <w:spacing w:after="0" w:line="208" w:lineRule="auto"/>
        <w:tabs>
          <w:tab w:leader="none" w:pos="6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 and other adjustments to Sale of vacation ownership products revenue.</w:t>
      </w:r>
    </w:p>
    <w:p>
      <w:pPr>
        <w:spacing w:after="0" w:line="9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lower sales reserve reflected a lower required reserve in the 2018 first half due to lower default and delinquency activity, partially offset by the higher contract closings.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5"/>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June 30, 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June 30, 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Sale of vacation ownership products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(1,306)</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(60%)</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Marketing and sales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(23%)</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148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2"/>
              </w:rPr>
              <w:t>(353%)</w:t>
            </w:r>
          </w:p>
        </w:tc>
      </w:tr>
      <w:tr>
        <w:trPr>
          <w:trHeight w:val="21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Development margin percentage</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97"/>
              </w:rPr>
              <w:t>(15.1 pts)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41"/>
        </w:trPr>
        <w:tc>
          <w:tcPr>
            <w:tcW w:w="47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r>
    </w:tbl>
    <w:p>
      <w:pPr>
        <w:spacing w:after="0" w:line="94"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The decrease in development margin reflected an unfavorable mix of higher cost real estate inventory being sold in the 2018 second quarter, and higher marketing and sales costs due to the sales ramp-up in Bali and tour generation costs to support future growth in the region, partially offset by the higher sale of vacation ownership products revenue net of the sales reserve and direct variable expenses (i.e., cost of vacation ownership products and marketing and sales).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Half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00" w:type="dxa"/>
            <w:vAlign w:val="bottom"/>
            <w:gridSpan w:val="5"/>
          </w:tcPr>
          <w:p>
            <w:pPr>
              <w:ind w:left="94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4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8"/>
        </w:trPr>
        <w:tc>
          <w:tcPr>
            <w:tcW w:w="4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June 30, 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June 30, 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Sale of vacation ownership products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22,900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3,463</w:t>
            </w:r>
          </w:p>
        </w:tc>
        <w:tc>
          <w:tcPr>
            <w:tcW w:w="14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18%</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(4,242)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(2,394)</w:t>
            </w:r>
          </w:p>
        </w:tc>
        <w:tc>
          <w:tcPr>
            <w:tcW w:w="146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(56%)</w:t>
            </w:r>
          </w:p>
        </w:tc>
      </w:tr>
      <w:tr>
        <w:trPr>
          <w:trHeight w:val="27"/>
        </w:trPr>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Marketing and sales</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14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(25%)</w:t>
            </w:r>
          </w:p>
        </w:tc>
      </w:tr>
      <w:tr>
        <w:trPr>
          <w:trHeight w:val="297"/>
        </w:trPr>
        <w:tc>
          <w:tcPr>
            <w:tcW w:w="4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(2,566)</w:t>
            </w:r>
          </w:p>
        </w:tc>
        <w:tc>
          <w:tcPr>
            <w:tcW w:w="146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2"/>
              </w:rPr>
              <w:t>(315%)</w:t>
            </w:r>
          </w:p>
        </w:tc>
      </w:tr>
      <w:tr>
        <w:trPr>
          <w:trHeight w:val="217"/>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Development margin percentage</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97"/>
              </w:rPr>
              <w:t>(11.9 pts)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41"/>
        </w:trPr>
        <w:tc>
          <w:tcPr>
            <w:tcW w:w="4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r>
    </w:tbl>
    <w:p>
      <w:pPr>
        <w:spacing w:after="0" w:line="9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decrease in development margin reflected higher marketing and sales costs due to pre-opening expenses and sales ramp-up in Bali and tour generation costs to support future growth in the region, as well as an unfavorable mix of higher cost real estate inventory being sold in the 2018 first half, partially offset by the higher sale of vacation ownership products revenue net of the sales reserve and direct variable expenses (i.e., cost of vacation ownership products and marketing and sales).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84"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gridSpan w:val="3"/>
          </w:tcPr>
          <w:p>
            <w:pPr>
              <w:jc w:val="right"/>
              <w:ind w:right="612"/>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June 30, 2018</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2017</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Management fee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9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Ancillary revenues</w:t>
            </w:r>
          </w:p>
        </w:tc>
        <w:tc>
          <w:tcPr>
            <w:tcW w:w="2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services revenues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74%</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1,337</w:t>
            </w:r>
          </w:p>
        </w:tc>
        <w:tc>
          <w:tcPr>
            <w:tcW w:w="1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981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356</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36%</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Resort management and other services expenses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(831)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(53%)</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119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150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48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1"/>
              </w:rPr>
              <w:t>(56%)</w:t>
            </w:r>
          </w:p>
        </w:tc>
      </w:tr>
      <w:tr>
        <w:trPr>
          <w:trHeight w:val="190"/>
        </w:trPr>
        <w:tc>
          <w:tcPr>
            <w:tcW w:w="47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8"/>
                <w:shd w:val="clear" w:color="auto" w:fill="CCEEFF"/>
              </w:rPr>
              <w:t>Resort management and other services margin percentage</w:t>
            </w:r>
          </w:p>
        </w:tc>
        <w:tc>
          <w:tcPr>
            <w:tcW w:w="2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472"/>
              <w:spacing w:after="0" w:line="189" w:lineRule="exact"/>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15.3%</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311"/>
              <w:spacing w:after="0" w:line="189" w:lineRule="exact"/>
              <w:rPr>
                <w:sz w:val="20"/>
                <w:szCs w:val="20"/>
                <w:color w:val="auto"/>
              </w:rPr>
            </w:pPr>
            <w:r>
              <w:rPr>
                <w:rFonts w:ascii="Arial" w:cs="Arial" w:eastAsia="Arial" w:hAnsi="Arial"/>
                <w:sz w:val="18"/>
                <w:szCs w:val="18"/>
                <w:color w:val="auto"/>
                <w:w w:val="97"/>
              </w:rPr>
              <w:t>(10.4 pts)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68"/>
        </w:trPr>
        <w:tc>
          <w:tcPr>
            <w:tcW w:w="47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bl>
    <w:p>
      <w:pPr>
        <w:spacing w:after="0" w:line="9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increase in resort management and other services revenues reflected $0.2 million of higher annual club dues and other revenues and 0.1 million of higher ancillary revenues associated with the new resort in Bali, Indonesia. The increase in the resort management and other services expenses primarily reflected 0.3 million of higher customer service expenses and expenses associated with the MVCD program, as well as ancillary expenses associated with the new resort in Bali, Indonesia.</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Half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5"/>
          </w:tcPr>
          <w:p>
            <w:pPr>
              <w:ind w:left="980"/>
              <w:spacing w:after="0"/>
              <w:rPr>
                <w:sz w:val="20"/>
                <w:szCs w:val="20"/>
                <w:color w:val="auto"/>
              </w:rPr>
            </w:pPr>
            <w:r>
              <w:rPr>
                <w:rFonts w:ascii="Arial" w:cs="Arial" w:eastAsia="Arial" w:hAnsi="Arial"/>
                <w:sz w:val="16"/>
                <w:szCs w:val="16"/>
                <w:b w:val="1"/>
                <w:bCs w:val="1"/>
                <w:color w:val="auto"/>
              </w:rPr>
              <w:t>Six Months Ended</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June 30, 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June 30, 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Management fee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Ancillary revenues</w:t>
            </w:r>
          </w:p>
        </w:tc>
        <w:tc>
          <w:tcPr>
            <w:tcW w:w="2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services revenues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85%</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2,650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1,923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727</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38%</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Resort management and other services expenses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(40%)</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w:t>
            </w:r>
          </w:p>
        </w:tc>
        <w:tc>
          <w:tcPr>
            <w:tcW w:w="148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88"/>
              </w:rPr>
              <w:t>22%</w:t>
            </w:r>
          </w:p>
        </w:tc>
      </w:tr>
      <w:tr>
        <w:trPr>
          <w:trHeight w:val="190"/>
        </w:trPr>
        <w:tc>
          <w:tcPr>
            <w:tcW w:w="47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8"/>
                <w:shd w:val="clear" w:color="auto" w:fill="CCEEFF"/>
              </w:rPr>
              <w:t>Resort management and other services margin percentage</w:t>
            </w:r>
          </w:p>
        </w:tc>
        <w:tc>
          <w:tcPr>
            <w:tcW w:w="28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372"/>
              <w:spacing w:after="0" w:line="189" w:lineRule="exact"/>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371"/>
              <w:spacing w:after="0" w:line="189" w:lineRule="exact"/>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91"/>
              <w:spacing w:after="0" w:line="189" w:lineRule="exact"/>
              <w:rPr>
                <w:sz w:val="20"/>
                <w:szCs w:val="20"/>
                <w:color w:val="auto"/>
              </w:rPr>
            </w:pPr>
            <w:r>
              <w:rPr>
                <w:rFonts w:ascii="Arial" w:cs="Arial" w:eastAsia="Arial" w:hAnsi="Arial"/>
                <w:sz w:val="18"/>
                <w:szCs w:val="18"/>
                <w:color w:val="auto"/>
              </w:rPr>
              <w:t>(1.3 pts)</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68"/>
        </w:trPr>
        <w:tc>
          <w:tcPr>
            <w:tcW w:w="47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bl>
    <w:p>
      <w:pPr>
        <w:spacing w:after="0" w:line="9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increase in resort management and other services revenues reflected $0.5 million of higher annual club dues and other revenues, 0.1 million of higher ancillary revenues associated with the new resort in Bali, Indonesia and $0.1 million of higher management fees. The increase in the resort management and other services expenses primarily reflected 0.4 million of higher customer service expenses and expenses associated with the MVCD program, as well as ancillary expenses associated with the new resort in Bali, Indonesia.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Second Quarter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5"/>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June 30, 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June 30, 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Rental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Rental expenses</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(704)</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Rental margin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(30%)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Rental margin percentage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ind w:right="373"/>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ind w:right="372"/>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312"/>
              <w:spacing w:after="0"/>
              <w:rPr>
                <w:sz w:val="20"/>
                <w:szCs w:val="20"/>
                <w:color w:val="auto"/>
              </w:rPr>
            </w:pPr>
            <w:r>
              <w:rPr>
                <w:rFonts w:ascii="Arial" w:cs="Arial" w:eastAsia="Arial" w:hAnsi="Arial"/>
                <w:sz w:val="18"/>
                <w:szCs w:val="18"/>
                <w:color w:val="auto"/>
                <w:w w:val="97"/>
              </w:rPr>
              <w:t>(32.9 pts)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The slight increase in rental revenues was due to an increase in transient keys rented, partially offset by a lower average transient rate. The higher expenses were due to owners choosing alternative usage options and higher unsold maintenance fees in the 2018 second quarter.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80" w:right="239" w:bottom="1440" w:gutter="0" w:footer="0" w:header="0"/>
        </w:sectPr>
      </w:pPr>
    </w:p>
    <w:bookmarkStart w:id="63" w:name="page64"/>
    <w:bookmarkEnd w:id="63"/>
    <w:p>
      <w:pPr>
        <w:ind w:left="660"/>
        <w:spacing w:after="0"/>
        <w:rPr>
          <w:sz w:val="20"/>
          <w:szCs w:val="20"/>
          <w:color w:val="auto"/>
        </w:rPr>
      </w:pPr>
      <w:r>
        <w:rPr>
          <w:rFonts w:ascii="Arial" w:cs="Arial" w:eastAsia="Arial" w:hAnsi="Arial"/>
          <w:sz w:val="18"/>
          <w:szCs w:val="18"/>
          <w:i w:val="1"/>
          <w:iCs w:val="1"/>
          <w:color w:val="auto"/>
        </w:rPr>
        <w:t>2018 First Half</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5"/>
          </w:tcPr>
          <w:p>
            <w:pPr>
              <w:ind w:left="980"/>
              <w:spacing w:after="0"/>
              <w:rPr>
                <w:sz w:val="20"/>
                <w:szCs w:val="20"/>
                <w:color w:val="auto"/>
              </w:rPr>
            </w:pPr>
            <w:r>
              <w:rPr>
                <w:rFonts w:ascii="Arial" w:cs="Arial" w:eastAsia="Arial" w:hAnsi="Arial"/>
                <w:sz w:val="16"/>
                <w:szCs w:val="16"/>
                <w:b w:val="1"/>
                <w:bCs w:val="1"/>
                <w:color w:val="auto"/>
              </w:rPr>
              <w:t>Six Months Ended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June 30, 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June 30, 2017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Rental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434</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9%</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Rental expenses</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(8,641)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(1,404)</w:t>
            </w:r>
          </w:p>
        </w:tc>
        <w:tc>
          <w:tcPr>
            <w:tcW w:w="14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(16%)</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Rental margin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(26%)</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Rental margin percentage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ind w:right="473"/>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ind w:right="452"/>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312"/>
              <w:spacing w:after="0"/>
              <w:rPr>
                <w:sz w:val="20"/>
                <w:szCs w:val="20"/>
                <w:color w:val="auto"/>
              </w:rPr>
            </w:pPr>
            <w:r>
              <w:rPr>
                <w:rFonts w:ascii="Arial" w:cs="Arial" w:eastAsia="Arial" w:hAnsi="Arial"/>
                <w:sz w:val="18"/>
                <w:szCs w:val="18"/>
                <w:color w:val="auto"/>
                <w:w w:val="99"/>
              </w:rPr>
              <w:t>(12.0 pts)</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increase in rental revenues was due to an increase in transient keys rented. The higher expenses were due to owners choosing alternative usage options and higher unsold maintenance fees in the 2018 first half.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discussion presents an analysis of our results of operations for the Europe segment.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5"/>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3480" w:type="dxa"/>
            <w:vAlign w:val="bottom"/>
            <w:gridSpan w:val="4"/>
          </w:tcPr>
          <w:p>
            <w:pPr>
              <w:jc w:val="right"/>
              <w:ind w:right="1131"/>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8"/>
        </w:trPr>
        <w:tc>
          <w:tcPr>
            <w:tcW w:w="37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Pr>
          <w:p>
            <w:pPr>
              <w:spacing w:after="0"/>
              <w:rPr>
                <w:sz w:val="22"/>
                <w:szCs w:val="22"/>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2018</w:t>
            </w:r>
          </w:p>
        </w:tc>
        <w:tc>
          <w:tcPr>
            <w:tcW w:w="280" w:type="dxa"/>
            <w:vAlign w:val="bottom"/>
          </w:tcPr>
          <w:p>
            <w:pPr>
              <w:spacing w:after="0"/>
              <w:rPr>
                <w:sz w:val="22"/>
                <w:szCs w:val="22"/>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2017</w:t>
            </w:r>
          </w:p>
        </w:tc>
        <w:tc>
          <w:tcPr>
            <w:tcW w:w="280" w:type="dxa"/>
            <w:vAlign w:val="bottom"/>
          </w:tcPr>
          <w:p>
            <w:pPr>
              <w:spacing w:after="0"/>
              <w:rPr>
                <w:sz w:val="22"/>
                <w:szCs w:val="22"/>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2018</w:t>
            </w:r>
          </w:p>
        </w:tc>
        <w:tc>
          <w:tcPr>
            <w:tcW w:w="280" w:type="dxa"/>
            <w:vAlign w:val="bottom"/>
          </w:tcPr>
          <w:p>
            <w:pPr>
              <w:spacing w:after="0"/>
              <w:rPr>
                <w:sz w:val="22"/>
                <w:szCs w:val="22"/>
                <w:color w:val="auto"/>
              </w:rPr>
            </w:pPr>
          </w:p>
        </w:tc>
        <w:tc>
          <w:tcPr>
            <w:tcW w:w="1540" w:type="dxa"/>
            <w:vAlign w:val="bottom"/>
          </w:tcPr>
          <w:p>
            <w:pPr>
              <w:jc w:val="right"/>
              <w:ind w:right="351"/>
              <w:spacing w:after="0"/>
              <w:rPr>
                <w:sz w:val="20"/>
                <w:szCs w:val="20"/>
                <w:color w:val="auto"/>
              </w:rPr>
            </w:pPr>
            <w:r>
              <w:rPr>
                <w:rFonts w:ascii="Arial" w:cs="Arial" w:eastAsia="Arial" w:hAnsi="Arial"/>
                <w:sz w:val="16"/>
                <w:szCs w:val="16"/>
                <w:b w:val="1"/>
                <w:bCs w:val="1"/>
                <w:color w:val="auto"/>
              </w:rPr>
              <w:t>June 30, 2017</w:t>
            </w:r>
          </w:p>
        </w:tc>
      </w:tr>
      <w:tr>
        <w:trPr>
          <w:trHeight w:val="250"/>
        </w:trPr>
        <w:tc>
          <w:tcPr>
            <w:tcW w:w="378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780" w:type="dxa"/>
            <w:vAlign w:val="bottom"/>
            <w:gridSpan w:val="3"/>
          </w:tcPr>
          <w:p>
            <w:pPr>
              <w:ind w:left="280"/>
              <w:spacing w:after="0"/>
              <w:rPr>
                <w:sz w:val="20"/>
                <w:szCs w:val="20"/>
                <w:color w:val="auto"/>
              </w:rPr>
            </w:pPr>
            <w:r>
              <w:rPr>
                <w:rFonts w:ascii="Arial" w:cs="Arial" w:eastAsia="Arial" w:hAnsi="Arial"/>
                <w:sz w:val="18"/>
                <w:szCs w:val="18"/>
                <w:color w:val="auto"/>
              </w:rPr>
              <w:t>Sale of vacation ownership products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4,890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6,694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7,737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9,707</w:t>
            </w:r>
          </w:p>
        </w:tc>
      </w:tr>
      <w:tr>
        <w:trPr>
          <w:trHeight w:val="27"/>
        </w:trPr>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11,447</w:t>
            </w:r>
          </w:p>
        </w:tc>
      </w:tr>
      <w:tr>
        <w:trPr>
          <w:trHeight w:val="243"/>
        </w:trPr>
        <w:tc>
          <w:tcPr>
            <w:tcW w:w="3780" w:type="dxa"/>
            <w:vAlign w:val="bottom"/>
            <w:gridSpan w:val="3"/>
          </w:tcPr>
          <w:p>
            <w:pPr>
              <w:ind w:left="280"/>
              <w:spacing w:after="0"/>
              <w:rPr>
                <w:sz w:val="20"/>
                <w:szCs w:val="20"/>
                <w:color w:val="auto"/>
              </w:rPr>
            </w:pPr>
            <w:r>
              <w:rPr>
                <w:rFonts w:ascii="Arial" w:cs="Arial" w:eastAsia="Arial" w:hAnsi="Arial"/>
                <w:sz w:val="18"/>
                <w:szCs w:val="18"/>
                <w:color w:val="auto"/>
              </w:rPr>
              <w:t>Financing</w:t>
            </w:r>
          </w:p>
        </w:tc>
        <w:tc>
          <w:tcPr>
            <w:tcW w:w="2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1,440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1,455</w:t>
            </w:r>
          </w:p>
        </w:tc>
      </w:tr>
      <w:tr>
        <w:trPr>
          <w:trHeight w:val="27"/>
        </w:trPr>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Rental</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7,513</w:t>
            </w:r>
          </w:p>
        </w:tc>
      </w:tr>
      <w:tr>
        <w:trPr>
          <w:trHeight w:val="243"/>
        </w:trPr>
        <w:tc>
          <w:tcPr>
            <w:tcW w:w="3780" w:type="dxa"/>
            <w:vAlign w:val="bottom"/>
            <w:gridSpan w:val="3"/>
          </w:tcPr>
          <w:p>
            <w:pPr>
              <w:ind w:left="280"/>
              <w:spacing w:after="0"/>
              <w:rPr>
                <w:sz w:val="20"/>
                <w:szCs w:val="20"/>
                <w:color w:val="auto"/>
              </w:rPr>
            </w:pPr>
            <w:r>
              <w:rPr>
                <w:rFonts w:ascii="Arial" w:cs="Arial" w:eastAsia="Arial" w:hAnsi="Arial"/>
                <w:sz w:val="18"/>
                <w:szCs w:val="18"/>
                <w:color w:val="auto"/>
              </w:rPr>
              <w:t>Cost reimbursements</w:t>
            </w:r>
          </w:p>
        </w:tc>
        <w:tc>
          <w:tcPr>
            <w:tcW w:w="2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12,805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8,977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24,601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23,515</w:t>
            </w:r>
          </w:p>
        </w:tc>
      </w:tr>
      <w:tr>
        <w:trPr>
          <w:trHeight w:val="27"/>
        </w:trPr>
        <w:tc>
          <w:tcPr>
            <w:tcW w:w="5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5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7"/>
                <w:shd w:val="clear" w:color="auto" w:fill="CCEEFF"/>
              </w:rPr>
              <w:t>TOTAL REVENUES</w:t>
            </w:r>
          </w:p>
        </w:tc>
        <w:tc>
          <w:tcPr>
            <w:tcW w:w="16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31,691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55,219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53,637</w:t>
            </w:r>
          </w:p>
        </w:tc>
      </w:tr>
      <w:tr>
        <w:trPr>
          <w:trHeight w:val="223"/>
        </w:trPr>
        <w:tc>
          <w:tcPr>
            <w:tcW w:w="3780" w:type="dxa"/>
            <w:vAlign w:val="bottom"/>
            <w:gridSpan w:val="3"/>
          </w:tcPr>
          <w:p>
            <w:pPr>
              <w:ind w:left="40"/>
              <w:spacing w:after="0"/>
              <w:rPr>
                <w:sz w:val="20"/>
                <w:szCs w:val="20"/>
                <w:color w:val="auto"/>
              </w:rPr>
            </w:pPr>
            <w:r>
              <w:rPr>
                <w:rFonts w:ascii="Arial" w:cs="Arial" w:eastAsia="Arial" w:hAnsi="Arial"/>
                <w:sz w:val="18"/>
                <w:szCs w:val="18"/>
                <w:b w:val="1"/>
                <w:bCs w:val="1"/>
                <w:color w:val="auto"/>
              </w:rPr>
              <w:t>EXPENSES</w:t>
            </w:r>
          </w:p>
        </w:tc>
        <w:tc>
          <w:tcPr>
            <w:tcW w:w="2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r>
      <w:tr>
        <w:trPr>
          <w:trHeight w:val="41"/>
        </w:trPr>
        <w:tc>
          <w:tcPr>
            <w:tcW w:w="5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50"/>
        </w:trPr>
        <w:tc>
          <w:tcPr>
            <w:tcW w:w="3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Cost of vacation ownership products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1,692</w:t>
            </w:r>
          </w:p>
        </w:tc>
      </w:tr>
      <w:tr>
        <w:trPr>
          <w:trHeight w:val="243"/>
        </w:trPr>
        <w:tc>
          <w:tcPr>
            <w:tcW w:w="3780" w:type="dxa"/>
            <w:vAlign w:val="bottom"/>
            <w:gridSpan w:val="3"/>
          </w:tcPr>
          <w:p>
            <w:pPr>
              <w:ind w:left="280"/>
              <w:spacing w:after="0"/>
              <w:rPr>
                <w:sz w:val="20"/>
                <w:szCs w:val="20"/>
                <w:color w:val="auto"/>
              </w:rPr>
            </w:pPr>
            <w:r>
              <w:rPr>
                <w:rFonts w:ascii="Arial" w:cs="Arial" w:eastAsia="Arial" w:hAnsi="Arial"/>
                <w:sz w:val="18"/>
                <w:szCs w:val="18"/>
                <w:color w:val="auto"/>
              </w:rPr>
              <w:t>Marketing and sales</w:t>
            </w:r>
          </w:p>
        </w:tc>
        <w:tc>
          <w:tcPr>
            <w:tcW w:w="2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4,417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4,177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8,331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7,490</w:t>
            </w:r>
          </w:p>
        </w:tc>
      </w:tr>
      <w:tr>
        <w:trPr>
          <w:trHeight w:val="27"/>
        </w:trPr>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Resort management and other services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8,857</w:t>
            </w:r>
          </w:p>
        </w:tc>
      </w:tr>
      <w:tr>
        <w:trPr>
          <w:trHeight w:val="243"/>
        </w:trPr>
        <w:tc>
          <w:tcPr>
            <w:tcW w:w="3780" w:type="dxa"/>
            <w:vAlign w:val="bottom"/>
            <w:gridSpan w:val="3"/>
          </w:tcPr>
          <w:p>
            <w:pPr>
              <w:ind w:left="280"/>
              <w:spacing w:after="0"/>
              <w:rPr>
                <w:sz w:val="20"/>
                <w:szCs w:val="20"/>
                <w:color w:val="auto"/>
              </w:rPr>
            </w:pPr>
            <w:r>
              <w:rPr>
                <w:rFonts w:ascii="Arial" w:cs="Arial" w:eastAsia="Arial" w:hAnsi="Arial"/>
                <w:sz w:val="18"/>
                <w:szCs w:val="18"/>
                <w:color w:val="auto"/>
              </w:rPr>
              <w:t>Rental</w:t>
            </w:r>
          </w:p>
        </w:tc>
        <w:tc>
          <w:tcPr>
            <w:tcW w:w="2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4,437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4,221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8,127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7,549</w:t>
            </w:r>
          </w:p>
        </w:tc>
      </w:tr>
      <w:tr>
        <w:trPr>
          <w:trHeight w:val="27"/>
        </w:trPr>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Litigation settlement</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gridSpan w:val="3"/>
          </w:tcPr>
          <w:p>
            <w:pPr>
              <w:ind w:left="280"/>
              <w:spacing w:after="0"/>
              <w:rPr>
                <w:sz w:val="20"/>
                <w:szCs w:val="20"/>
                <w:color w:val="auto"/>
              </w:rPr>
            </w:pPr>
            <w:r>
              <w:rPr>
                <w:rFonts w:ascii="Arial" w:cs="Arial" w:eastAsia="Arial" w:hAnsi="Arial"/>
                <w:sz w:val="18"/>
                <w:szCs w:val="18"/>
                <w:color w:val="auto"/>
              </w:rPr>
              <w:t>Royalty fee</w:t>
            </w:r>
          </w:p>
        </w:tc>
        <w:tc>
          <w:tcPr>
            <w:tcW w:w="2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125</w:t>
            </w:r>
          </w:p>
        </w:tc>
      </w:tr>
      <w:tr>
        <w:trPr>
          <w:trHeight w:val="27"/>
        </w:trPr>
        <w:tc>
          <w:tcPr>
            <w:tcW w:w="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Cost reimbursements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12,805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8,977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24,601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23,515</w:t>
            </w:r>
          </w:p>
        </w:tc>
      </w:tr>
      <w:tr>
        <w:trPr>
          <w:trHeight w:val="237"/>
        </w:trPr>
        <w:tc>
          <w:tcPr>
            <w:tcW w:w="3780" w:type="dxa"/>
            <w:vAlign w:val="bottom"/>
            <w:gridSpan w:val="3"/>
          </w:tcPr>
          <w:p>
            <w:pPr>
              <w:ind w:left="500"/>
              <w:spacing w:after="0"/>
              <w:rPr>
                <w:sz w:val="20"/>
                <w:szCs w:val="20"/>
                <w:color w:val="auto"/>
              </w:rPr>
            </w:pPr>
            <w:r>
              <w:rPr>
                <w:rFonts w:ascii="Arial" w:cs="Arial" w:eastAsia="Arial" w:hAnsi="Arial"/>
                <w:sz w:val="18"/>
                <w:szCs w:val="18"/>
                <w:b w:val="1"/>
                <w:bCs w:val="1"/>
                <w:color w:val="auto"/>
              </w:rPr>
              <w:t>TOTAL EXPENSES</w:t>
            </w: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29,580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23,818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53,922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49,228</w:t>
            </w:r>
          </w:p>
        </w:tc>
      </w:tr>
      <w:tr>
        <w:trPr>
          <w:trHeight w:val="27"/>
        </w:trPr>
        <w:tc>
          <w:tcPr>
            <w:tcW w:w="5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SEGMENT FINANCIAL RESULTS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4,409</w:t>
            </w: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In our Europe segment, we are focused on selling our existing projects and managing existing resorts. We do not have any current plans for new development in this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gridSpan w:val="2"/>
          </w:tcPr>
          <w:p>
            <w:pPr>
              <w:jc w:val="right"/>
              <w:spacing w:after="0"/>
              <w:rPr>
                <w:sz w:val="20"/>
                <w:szCs w:val="20"/>
                <w:color w:val="auto"/>
              </w:rPr>
            </w:pPr>
            <w:r>
              <w:rPr>
                <w:rFonts w:ascii="Arial" w:cs="Arial" w:eastAsia="Arial" w:hAnsi="Arial"/>
                <w:sz w:val="18"/>
                <w:szCs w:val="18"/>
                <w:i w:val="1"/>
                <w:iCs w:val="1"/>
                <w:color w:val="auto"/>
              </w:rPr>
              <w:t>2018</w:t>
            </w:r>
          </w:p>
        </w:tc>
        <w:tc>
          <w:tcPr>
            <w:tcW w:w="3660" w:type="dxa"/>
            <w:vAlign w:val="bottom"/>
          </w:tcPr>
          <w:p>
            <w:pPr>
              <w:ind w:left="20"/>
              <w:spacing w:after="0"/>
              <w:rPr>
                <w:sz w:val="20"/>
                <w:szCs w:val="20"/>
                <w:color w:val="auto"/>
              </w:rPr>
            </w:pPr>
            <w:r>
              <w:rPr>
                <w:rFonts w:ascii="Arial" w:cs="Arial" w:eastAsia="Arial" w:hAnsi="Arial"/>
                <w:sz w:val="18"/>
                <w:szCs w:val="18"/>
                <w:i w:val="1"/>
                <w:iCs w:val="1"/>
                <w:color w:val="auto"/>
              </w:rPr>
              <w:t>Second Quarter</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2"/>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gridSpan w:val="5"/>
          </w:tcPr>
          <w:p>
            <w:pPr>
              <w:ind w:left="82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8"/>
        </w:trPr>
        <w:tc>
          <w:tcPr>
            <w:tcW w:w="10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i w:val="1"/>
                <w:iCs w:val="1"/>
                <w:color w:val="auto"/>
                <w:w w:val="90"/>
              </w:rPr>
              <w:t>($ in thousands)</w:t>
            </w:r>
          </w:p>
        </w:tc>
        <w:tc>
          <w:tcPr>
            <w:tcW w:w="36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w w:val="97"/>
              </w:rPr>
              <w:t>June 30, 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June 30, 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gridSpan w:val="2"/>
          </w:tcPr>
          <w:p>
            <w:pPr>
              <w:spacing w:after="0"/>
              <w:rPr>
                <w:sz w:val="22"/>
                <w:szCs w:val="22"/>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7,390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7,580</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432"/>
        </w:trPr>
        <w:tc>
          <w:tcPr>
            <w:tcW w:w="1040" w:type="dxa"/>
            <w:vAlign w:val="bottom"/>
            <w:gridSpan w:val="2"/>
          </w:tcPr>
          <w:p>
            <w:pPr>
              <w:jc w:val="right"/>
              <w:spacing w:after="0"/>
              <w:rPr>
                <w:sz w:val="20"/>
                <w:szCs w:val="20"/>
                <w:color w:val="auto"/>
              </w:rPr>
            </w:pPr>
            <w:r>
              <w:rPr>
                <w:rFonts w:ascii="Arial" w:cs="Arial" w:eastAsia="Arial" w:hAnsi="Arial"/>
                <w:sz w:val="18"/>
                <w:szCs w:val="18"/>
                <w:i w:val="1"/>
                <w:iCs w:val="1"/>
                <w:color w:val="auto"/>
              </w:rPr>
              <w:t>2018</w:t>
            </w:r>
          </w:p>
        </w:tc>
        <w:tc>
          <w:tcPr>
            <w:tcW w:w="3660" w:type="dxa"/>
            <w:vAlign w:val="bottom"/>
          </w:tcPr>
          <w:p>
            <w:pPr>
              <w:ind w:left="20"/>
              <w:spacing w:after="0"/>
              <w:rPr>
                <w:sz w:val="20"/>
                <w:szCs w:val="20"/>
                <w:color w:val="auto"/>
              </w:rPr>
            </w:pPr>
            <w:r>
              <w:rPr>
                <w:rFonts w:ascii="Arial" w:cs="Arial" w:eastAsia="Arial" w:hAnsi="Arial"/>
                <w:sz w:val="18"/>
                <w:szCs w:val="18"/>
                <w:i w:val="1"/>
                <w:iCs w:val="1"/>
                <w:color w:val="auto"/>
              </w:rPr>
              <w:t>First Half</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gridSpan w:val="5"/>
          </w:tcPr>
          <w:p>
            <w:pPr>
              <w:ind w:left="980"/>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1360" w:type="dxa"/>
            <w:vAlign w:val="bottom"/>
            <w:gridSpan w:val="2"/>
          </w:tcPr>
          <w:p>
            <w:pPr>
              <w:spacing w:after="0"/>
              <w:rPr>
                <w:sz w:val="2"/>
                <w:szCs w:val="2"/>
                <w:color w:val="auto"/>
              </w:rPr>
            </w:pPr>
          </w:p>
        </w:tc>
      </w:tr>
      <w:tr>
        <w:trPr>
          <w:trHeight w:val="258"/>
        </w:trPr>
        <w:tc>
          <w:tcPr>
            <w:tcW w:w="40" w:type="dxa"/>
            <w:vAlign w:val="bottom"/>
          </w:tcPr>
          <w:p>
            <w:pPr>
              <w:spacing w:after="0"/>
              <w:rPr>
                <w:sz w:val="22"/>
                <w:szCs w:val="22"/>
                <w:color w:val="auto"/>
              </w:rPr>
            </w:pPr>
          </w:p>
        </w:tc>
        <w:tc>
          <w:tcPr>
            <w:tcW w:w="1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w w:val="88"/>
              </w:rPr>
              <w:t>($ in thousands)</w:t>
            </w:r>
          </w:p>
        </w:tc>
        <w:tc>
          <w:tcPr>
            <w:tcW w:w="3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96"/>
              <w:spacing w:after="0"/>
              <w:rPr>
                <w:sz w:val="20"/>
                <w:szCs w:val="20"/>
                <w:color w:val="auto"/>
              </w:rPr>
            </w:pPr>
            <w:r>
              <w:rPr>
                <w:rFonts w:ascii="Arial" w:cs="Arial" w:eastAsia="Arial" w:hAnsi="Arial"/>
                <w:sz w:val="16"/>
                <w:szCs w:val="16"/>
                <w:b w:val="1"/>
                <w:bCs w:val="1"/>
                <w:color w:val="auto"/>
              </w:rPr>
              <w:t>June 30, 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June 30, 2017</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 sales</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11,564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12,030</w:t>
            </w:r>
          </w:p>
        </w:tc>
        <w:tc>
          <w:tcPr>
            <w:tcW w:w="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584" w:right="239" w:bottom="1440" w:gutter="0" w:footer="0" w:header="0"/>
          <w:type w:val="continuous"/>
        </w:sectPr>
      </w:pPr>
    </w:p>
    <w:bookmarkStart w:id="64" w:name="page65"/>
    <w:bookmarkEnd w:id="64"/>
    <w:p>
      <w:pPr>
        <w:jc w:val="center"/>
        <w:ind w:right="8500"/>
        <w:spacing w:after="0"/>
        <w:rPr>
          <w:sz w:val="20"/>
          <w:szCs w:val="20"/>
          <w:color w:val="auto"/>
        </w:rPr>
      </w:pPr>
      <w:r>
        <w:rPr>
          <w:rFonts w:ascii="Arial" w:cs="Arial" w:eastAsia="Arial" w:hAnsi="Arial"/>
          <w:sz w:val="16"/>
          <w:szCs w:val="16"/>
          <w:b w:val="1"/>
          <w:bCs w:val="1"/>
          <w:color w:val="auto"/>
        </w:rPr>
        <w:t>Sale of Vacation Ownership Products</w:t>
      </w:r>
    </w:p>
    <w:p>
      <w:pPr>
        <w:spacing w:after="0" w:line="144" w:lineRule="exact"/>
        <w:rPr>
          <w:sz w:val="20"/>
          <w:szCs w:val="20"/>
          <w:color w:val="auto"/>
        </w:rPr>
      </w:pPr>
    </w:p>
    <w:p>
      <w:pPr>
        <w:jc w:val="center"/>
        <w:ind w:right="8520"/>
        <w:spacing w:after="0"/>
        <w:rPr>
          <w:sz w:val="20"/>
          <w:szCs w:val="20"/>
          <w:color w:val="auto"/>
        </w:rPr>
      </w:pPr>
      <w:r>
        <w:rPr>
          <w:rFonts w:ascii="Arial" w:cs="Arial" w:eastAsia="Arial" w:hAnsi="Arial"/>
          <w:sz w:val="18"/>
          <w:szCs w:val="18"/>
          <w:i w:val="1"/>
          <w:iCs w:val="1"/>
          <w:color w:val="auto"/>
        </w:rPr>
        <w:t>2018 Second Quarter</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gridSpan w:val="5"/>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0" w:type="dxa"/>
            <w:vAlign w:val="bottom"/>
          </w:tcPr>
          <w:p>
            <w:pPr>
              <w:spacing w:after="0"/>
              <w:rPr>
                <w:sz w:val="22"/>
                <w:szCs w:val="22"/>
                <w:color w:val="auto"/>
              </w:rPr>
            </w:pPr>
          </w:p>
        </w:tc>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June 30, 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June 30, 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460" w:type="dxa"/>
            <w:vAlign w:val="bottom"/>
            <w:tcBorders>
              <w:bottom w:val="single" w:sz="8" w:color="CCEEFF"/>
            </w:tcBorders>
            <w:gridSpan w:val="2"/>
            <w:shd w:val="clear" w:color="auto" w:fill="CCEEFF"/>
          </w:tcPr>
          <w:p>
            <w:pPr>
              <w:jc w:val="right"/>
              <w:ind w:right="41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Less resales contract sales</w:t>
            </w:r>
          </w:p>
        </w:tc>
        <w:tc>
          <w:tcPr>
            <w:tcW w:w="28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sales, net of resales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Plus:</w:t>
            </w: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462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Settlement revenue</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4620" w:type="dxa"/>
            <w:vAlign w:val="bottom"/>
          </w:tcPr>
          <w:p>
            <w:pPr>
              <w:ind w:left="260"/>
              <w:spacing w:after="0" w:line="270" w:lineRule="exact"/>
              <w:rPr>
                <w:sz w:val="20"/>
                <w:szCs w:val="20"/>
                <w:color w:val="auto"/>
              </w:rPr>
            </w:pPr>
            <w:r>
              <w:rPr>
                <w:rFonts w:ascii="Arial" w:cs="Arial" w:eastAsia="Arial" w:hAnsi="Arial"/>
                <w:sz w:val="18"/>
                <w:szCs w:val="18"/>
                <w:color w:val="auto"/>
              </w:rPr>
              <w:t>Resales revenue</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620" w:type="dxa"/>
            <w:vAlign w:val="bottom"/>
          </w:tcPr>
          <w:p>
            <w:pPr>
              <w:ind w:left="260"/>
              <w:spacing w:after="0"/>
              <w:rPr>
                <w:sz w:val="20"/>
                <w:szCs w:val="20"/>
                <w:color w:val="auto"/>
              </w:rPr>
            </w:pPr>
            <w:r>
              <w:rPr>
                <w:rFonts w:ascii="Arial" w:cs="Arial" w:eastAsia="Arial" w:hAnsi="Arial"/>
                <w:sz w:val="18"/>
                <w:szCs w:val="18"/>
                <w:color w:val="auto"/>
              </w:rPr>
              <w:t>Reportability</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(2,416)</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Sales reserve</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4620" w:type="dxa"/>
            <w:vAlign w:val="bottom"/>
            <w:tcBorders>
              <w:bottom w:val="single" w:sz="8" w:color="CCEEFF"/>
            </w:tcBorders>
          </w:tcPr>
          <w:p>
            <w:pPr>
              <w:ind w:left="26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tcPr>
          <w:p>
            <w:pPr>
              <w:spacing w:after="0"/>
              <w:rPr>
                <w:sz w:val="23"/>
                <w:szCs w:val="23"/>
                <w:color w:val="auto"/>
              </w:rPr>
            </w:pPr>
          </w:p>
        </w:tc>
        <w:tc>
          <w:tcPr>
            <w:tcW w:w="13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 of vacation ownership products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6,694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46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jc w:val="right"/>
              <w:ind w:right="2351"/>
              <w:spacing w:after="0"/>
              <w:rPr>
                <w:sz w:val="20"/>
                <w:szCs w:val="20"/>
                <w:color w:val="auto"/>
              </w:rPr>
            </w:pPr>
            <w:r>
              <w:rPr>
                <w:rFonts w:ascii="Arial" w:cs="Arial" w:eastAsia="Arial" w:hAnsi="Arial"/>
                <w:sz w:val="18"/>
                <w:szCs w:val="18"/>
                <w:color w:val="auto"/>
                <w:w w:val="89"/>
              </w:rPr>
              <w:t>_________________________</w:t>
            </w: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Previously included in Resort management and other services revenue prior to the adoption of the new Revenue Standard.</w:t>
      </w:r>
    </w:p>
    <w:p>
      <w:pPr>
        <w:spacing w:after="0" w:line="56" w:lineRule="exact"/>
        <w:rPr>
          <w:rFonts w:ascii="Arial" w:cs="Arial" w:eastAsia="Arial" w:hAnsi="Arial"/>
          <w:sz w:val="25"/>
          <w:szCs w:val="25"/>
          <w:color w:val="auto"/>
          <w:vertAlign w:val="superscript"/>
        </w:rPr>
      </w:pPr>
    </w:p>
    <w:p>
      <w:pPr>
        <w:ind w:left="660" w:hanging="652"/>
        <w:spacing w:after="0" w:line="208" w:lineRule="auto"/>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 and other adjustments to Sale of vacation ownership products revenue.</w:t>
      </w:r>
    </w:p>
    <w:p>
      <w:pPr>
        <w:spacing w:after="0" w:line="203"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i w:val="1"/>
          <w:iCs w:val="1"/>
          <w:color w:val="auto"/>
        </w:rPr>
        <w:t>2018 First Half</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gridSpan w:val="5"/>
          </w:tcPr>
          <w:p>
            <w:pPr>
              <w:ind w:left="960"/>
              <w:spacing w:after="0"/>
              <w:rPr>
                <w:sz w:val="20"/>
                <w:szCs w:val="20"/>
                <w:color w:val="auto"/>
              </w:rPr>
            </w:pPr>
            <w:r>
              <w:rPr>
                <w:rFonts w:ascii="Arial" w:cs="Arial" w:eastAsia="Arial" w:hAnsi="Arial"/>
                <w:sz w:val="16"/>
                <w:szCs w:val="16"/>
                <w:b w:val="1"/>
                <w:bCs w:val="1"/>
                <w:color w:val="auto"/>
              </w:rPr>
              <w:t>Six Months Ended</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4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8"/>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June 30, 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June 30, 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 Change</w:t>
            </w: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440" w:type="dxa"/>
            <w:vAlign w:val="bottom"/>
            <w:tcBorders>
              <w:bottom w:val="single" w:sz="8" w:color="CCEEFF"/>
            </w:tcBorders>
            <w:gridSpan w:val="2"/>
            <w:shd w:val="clear" w:color="auto" w:fill="CCEEFF"/>
          </w:tcPr>
          <w:p>
            <w:pPr>
              <w:jc w:val="right"/>
              <w:ind w:right="399"/>
              <w:spacing w:after="0"/>
              <w:rPr>
                <w:sz w:val="20"/>
                <w:szCs w:val="20"/>
                <w:color w:val="auto"/>
              </w:rPr>
            </w:pPr>
            <w:r>
              <w:rPr>
                <w:rFonts w:ascii="Arial" w:cs="Arial" w:eastAsia="Arial" w:hAnsi="Arial"/>
                <w:sz w:val="18"/>
                <w:szCs w:val="18"/>
                <w:color w:val="auto"/>
              </w:rPr>
              <w:t>(4%)</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Less resales contract sales</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sales, net of resales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Plus:</w:t>
            </w:r>
          </w:p>
        </w:tc>
        <w:tc>
          <w:tcPr>
            <w:tcW w:w="2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6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Settlement revenue</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70"/>
        </w:trPr>
        <w:tc>
          <w:tcPr>
            <w:tcW w:w="4620" w:type="dxa"/>
            <w:vAlign w:val="bottom"/>
          </w:tcPr>
          <w:p>
            <w:pPr>
              <w:ind w:left="280"/>
              <w:spacing w:after="0" w:line="270" w:lineRule="exact"/>
              <w:rPr>
                <w:sz w:val="20"/>
                <w:szCs w:val="20"/>
                <w:color w:val="auto"/>
              </w:rPr>
            </w:pPr>
            <w:r>
              <w:rPr>
                <w:rFonts w:ascii="Arial" w:cs="Arial" w:eastAsia="Arial" w:hAnsi="Arial"/>
                <w:sz w:val="18"/>
                <w:szCs w:val="18"/>
                <w:color w:val="auto"/>
              </w:rPr>
              <w:t>Resales revenue</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Reportability</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(3,089)</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reserve</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70"/>
        </w:trPr>
        <w:tc>
          <w:tcPr>
            <w:tcW w:w="462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tcPr>
          <w:p>
            <w:pPr>
              <w:spacing w:after="0"/>
              <w:rPr>
                <w:sz w:val="23"/>
                <w:szCs w:val="23"/>
                <w:color w:val="auto"/>
              </w:rPr>
            </w:pPr>
          </w:p>
        </w:tc>
        <w:tc>
          <w:tcPr>
            <w:tcW w:w="1340" w:type="dxa"/>
            <w:vAlign w:val="bottom"/>
            <w:tcBorders>
              <w:bottom w:val="single" w:sz="8" w:color="CCEEFF"/>
            </w:tcBorders>
          </w:tcPr>
          <w:p>
            <w:pPr>
              <w:spacing w:after="0"/>
              <w:rPr>
                <w:sz w:val="23"/>
                <w:szCs w:val="23"/>
                <w:color w:val="auto"/>
              </w:rPr>
            </w:pPr>
          </w:p>
        </w:tc>
      </w:tr>
      <w:tr>
        <w:trPr>
          <w:trHeight w:val="257"/>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 of vacation ownership products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7,737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9,707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1440" w:type="dxa"/>
            <w:vAlign w:val="bottom"/>
            <w:tcBorders>
              <w:bottom w:val="single" w:sz="8" w:color="CCEEFF"/>
            </w:tcBorders>
            <w:gridSpan w:val="2"/>
            <w:shd w:val="clear" w:color="auto" w:fill="CCEEFF"/>
          </w:tcPr>
          <w:p>
            <w:pPr>
              <w:jc w:val="right"/>
              <w:ind w:right="359"/>
              <w:spacing w:after="0"/>
              <w:rPr>
                <w:sz w:val="20"/>
                <w:szCs w:val="20"/>
                <w:color w:val="auto"/>
              </w:rPr>
            </w:pPr>
            <w:r>
              <w:rPr>
                <w:rFonts w:ascii="Arial" w:cs="Arial" w:eastAsia="Arial" w:hAnsi="Arial"/>
                <w:sz w:val="18"/>
                <w:szCs w:val="18"/>
                <w:color w:val="auto"/>
              </w:rPr>
              <w:t>(20%)</w:t>
            </w:r>
          </w:p>
        </w:tc>
      </w:tr>
      <w:tr>
        <w:trPr>
          <w:trHeight w:val="20"/>
        </w:trPr>
        <w:tc>
          <w:tcPr>
            <w:tcW w:w="4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w:t>
      </w:r>
    </w:p>
    <w:p>
      <w:pPr>
        <w:ind w:left="660" w:hanging="652"/>
        <w:spacing w:after="0" w:line="233" w:lineRule="auto"/>
        <w:tabs>
          <w:tab w:leader="none" w:pos="66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Previously included in Resort management and other services revenue prior to the adoption of the new Revenue Standard.</w:t>
      </w:r>
    </w:p>
    <w:p>
      <w:pPr>
        <w:spacing w:after="0" w:line="55" w:lineRule="exact"/>
        <w:rPr>
          <w:rFonts w:ascii="Arial" w:cs="Arial" w:eastAsia="Arial" w:hAnsi="Arial"/>
          <w:sz w:val="25"/>
          <w:szCs w:val="25"/>
          <w:color w:val="auto"/>
          <w:vertAlign w:val="superscript"/>
        </w:rPr>
      </w:pPr>
    </w:p>
    <w:p>
      <w:pPr>
        <w:ind w:left="660" w:hanging="652"/>
        <w:spacing w:after="0" w:line="208" w:lineRule="auto"/>
        <w:tabs>
          <w:tab w:leader="none" w:pos="66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 and other adjustments to Sale of vacation ownership products revenue.</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580" w:right="27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Second Quarter</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thousands)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color w:val="auto"/>
          <w:shd w:val="clear" w:color="auto" w:fill="CCEEFF"/>
        </w:rPr>
        <w:t>Sale of vacation ownership products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 of vacation ownership products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shd w:val="clear" w:color="auto" w:fill="CCEEFF"/>
        </w:rPr>
        <w:t>Marketing and sales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Development margin</w:t>
      </w:r>
    </w:p>
    <w:p>
      <w:pPr>
        <w:spacing w:after="0" w:line="117" w:lineRule="exact"/>
        <w:rPr>
          <w:sz w:val="20"/>
          <w:szCs w:val="20"/>
          <w:color w:val="auto"/>
        </w:rPr>
      </w:pPr>
    </w:p>
    <w:p>
      <w:pPr>
        <w:jc w:val="center"/>
        <w:ind w:right="1580"/>
        <w:spacing w:after="0"/>
        <w:rPr>
          <w:sz w:val="20"/>
          <w:szCs w:val="20"/>
          <w:color w:val="auto"/>
        </w:rPr>
      </w:pPr>
      <w:r>
        <w:rPr>
          <w:rFonts w:ascii="Arial" w:cs="Arial" w:eastAsia="Arial" w:hAnsi="Arial"/>
          <w:sz w:val="16"/>
          <w:szCs w:val="16"/>
          <w:color w:val="auto"/>
          <w:shd w:val="clear" w:color="auto" w:fill="CCEEFF"/>
        </w:rPr>
        <w:t>Development margin percentage</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Half</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4"/>
          <w:szCs w:val="14"/>
          <w:b w:val="1"/>
          <w:bCs w:val="1"/>
          <w:i w:val="1"/>
          <w:iCs w:val="1"/>
          <w:color w:val="auto"/>
        </w:rPr>
        <w:t>($ in thousands)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6"/>
          <w:szCs w:val="16"/>
          <w:color w:val="auto"/>
          <w:shd w:val="clear" w:color="auto" w:fill="CCEEFF"/>
        </w:rPr>
        <w:t>Sale of vacation ownership products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Cost of vacation ownership products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8"/>
          <w:szCs w:val="18"/>
          <w:color w:val="auto"/>
          <w:shd w:val="clear" w:color="auto" w:fill="CCEEFF"/>
        </w:rPr>
        <w:t>Marketing and sales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Development margin</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shd w:val="clear" w:color="auto" w:fill="CCEEFF"/>
        </w:rPr>
        <w:t>Development margin percentage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40" w:type="dxa"/>
            <w:vAlign w:val="bottom"/>
            <w:gridSpan w:val="6"/>
          </w:tcPr>
          <w:p>
            <w:pPr>
              <w:ind w:left="82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1"/>
        </w:trPr>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2018</w:t>
            </w:r>
          </w:p>
        </w:tc>
        <w:tc>
          <w:tcPr>
            <w:tcW w:w="260" w:type="dxa"/>
            <w:vAlign w:val="bottom"/>
          </w:tcPr>
          <w:p>
            <w:pPr>
              <w:spacing w:after="0"/>
              <w:rPr>
                <w:sz w:val="20"/>
                <w:szCs w:val="20"/>
                <w:color w:val="auto"/>
              </w:rPr>
            </w:pPr>
          </w:p>
        </w:tc>
        <w:tc>
          <w:tcPr>
            <w:tcW w:w="1660" w:type="dxa"/>
            <w:vAlign w:val="bottom"/>
            <w:gridSpan w:val="3"/>
          </w:tcPr>
          <w:p>
            <w:pPr>
              <w:ind w:left="180"/>
              <w:spacing w:after="0"/>
              <w:rPr>
                <w:sz w:val="20"/>
                <w:szCs w:val="20"/>
                <w:color w:val="auto"/>
              </w:rPr>
            </w:pPr>
            <w:r>
              <w:rPr>
                <w:rFonts w:ascii="Arial" w:cs="Arial" w:eastAsia="Arial" w:hAnsi="Arial"/>
                <w:sz w:val="16"/>
                <w:szCs w:val="16"/>
                <w:b w:val="1"/>
                <w:bCs w:val="1"/>
                <w:color w:val="auto"/>
              </w:rPr>
              <w:t>June 30, 2017</w:t>
            </w:r>
          </w:p>
        </w:tc>
        <w:tc>
          <w:tcPr>
            <w:tcW w:w="200" w:type="dxa"/>
            <w:vAlign w:val="bottom"/>
          </w:tcPr>
          <w:p>
            <w:pPr>
              <w:spacing w:after="0"/>
              <w:rPr>
                <w:sz w:val="20"/>
                <w:szCs w:val="20"/>
                <w:color w:val="auto"/>
              </w:rPr>
            </w:pPr>
          </w:p>
        </w:tc>
        <w:tc>
          <w:tcPr>
            <w:tcW w:w="1160" w:type="dxa"/>
            <w:vAlign w:val="bottom"/>
          </w:tcPr>
          <w:p>
            <w:pPr>
              <w:jc w:val="right"/>
              <w:ind w:right="311"/>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2"/>
          </w:tcPr>
          <w:p>
            <w:pPr>
              <w:ind w:left="320"/>
              <w:spacing w:after="0"/>
              <w:rPr>
                <w:sz w:val="20"/>
                <w:szCs w:val="20"/>
                <w:color w:val="auto"/>
              </w:rPr>
            </w:pPr>
            <w:r>
              <w:rPr>
                <w:rFonts w:ascii="Arial" w:cs="Arial" w:eastAsia="Arial" w:hAnsi="Arial"/>
                <w:sz w:val="16"/>
                <w:szCs w:val="16"/>
                <w:b w:val="1"/>
                <w:bCs w:val="1"/>
                <w:color w:val="auto"/>
              </w:rPr>
              <w:t>% Change</w:t>
            </w:r>
          </w:p>
        </w:tc>
      </w:tr>
      <w:tr>
        <w:trPr>
          <w:trHeight w:val="33"/>
        </w:trPr>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4,890</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6,694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(1,804)</w:t>
            </w:r>
          </w:p>
        </w:tc>
        <w:tc>
          <w:tcPr>
            <w:tcW w:w="1460" w:type="dxa"/>
            <w:vAlign w:val="bottom"/>
            <w:gridSpan w:val="3"/>
          </w:tcPr>
          <w:p>
            <w:pPr>
              <w:jc w:val="center"/>
              <w:ind w:left="50"/>
              <w:spacing w:after="0"/>
              <w:rPr>
                <w:sz w:val="20"/>
                <w:szCs w:val="20"/>
                <w:color w:val="auto"/>
              </w:rPr>
            </w:pPr>
            <w:r>
              <w:rPr>
                <w:rFonts w:ascii="Arial" w:cs="Arial" w:eastAsia="Arial" w:hAnsi="Arial"/>
                <w:sz w:val="18"/>
                <w:szCs w:val="18"/>
                <w:color w:val="auto"/>
                <w:w w:val="91"/>
              </w:rPr>
              <w:t>(27%)</w:t>
            </w:r>
          </w:p>
        </w:tc>
        <w:tc>
          <w:tcPr>
            <w:tcW w:w="20" w:type="dxa"/>
            <w:vAlign w:val="bottom"/>
          </w:tcPr>
          <w:p>
            <w:pPr>
              <w:spacing w:after="0"/>
              <w:rPr>
                <w:sz w:val="20"/>
                <w:szCs w:val="20"/>
                <w:color w:val="auto"/>
              </w:rPr>
            </w:pPr>
          </w:p>
        </w:tc>
      </w:tr>
      <w:tr>
        <w:trPr>
          <w:trHeight w:val="270"/>
        </w:trPr>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(1,137)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314</w:t>
            </w:r>
          </w:p>
        </w:tc>
        <w:tc>
          <w:tcPr>
            <w:tcW w:w="1460" w:type="dxa"/>
            <w:vAlign w:val="bottom"/>
            <w:gridSpan w:val="3"/>
          </w:tcPr>
          <w:p>
            <w:pPr>
              <w:jc w:val="center"/>
              <w:ind w:left="50"/>
              <w:spacing w:after="0"/>
              <w:rPr>
                <w:sz w:val="20"/>
                <w:szCs w:val="20"/>
                <w:color w:val="auto"/>
              </w:rPr>
            </w:pPr>
            <w:r>
              <w:rPr>
                <w:rFonts w:ascii="Arial" w:cs="Arial" w:eastAsia="Arial" w:hAnsi="Arial"/>
                <w:sz w:val="18"/>
                <w:szCs w:val="18"/>
                <w:color w:val="auto"/>
                <w:w w:val="88"/>
              </w:rPr>
              <w:t>28%</w:t>
            </w:r>
          </w:p>
        </w:tc>
        <w:tc>
          <w:tcPr>
            <w:tcW w:w="20" w:type="dxa"/>
            <w:vAlign w:val="bottom"/>
          </w:tcPr>
          <w:p>
            <w:pPr>
              <w:spacing w:after="0"/>
              <w:rPr>
                <w:sz w:val="23"/>
                <w:szCs w:val="23"/>
                <w:color w:val="auto"/>
              </w:rPr>
            </w:pPr>
          </w:p>
        </w:tc>
      </w:tr>
      <w:tr>
        <w:trPr>
          <w:trHeight w:val="270"/>
        </w:trPr>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(4,417)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(4,177)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w:t>
            </w:r>
          </w:p>
        </w:tc>
        <w:tc>
          <w:tcPr>
            <w:tcW w:w="1460" w:type="dxa"/>
            <w:vAlign w:val="bottom"/>
            <w:gridSpan w:val="3"/>
          </w:tcPr>
          <w:p>
            <w:pPr>
              <w:jc w:val="center"/>
              <w:ind w:left="50"/>
              <w:spacing w:after="0"/>
              <w:rPr>
                <w:sz w:val="20"/>
                <w:szCs w:val="20"/>
                <w:color w:val="auto"/>
              </w:rPr>
            </w:pPr>
            <w:r>
              <w:rPr>
                <w:rFonts w:ascii="Arial" w:cs="Arial" w:eastAsia="Arial" w:hAnsi="Arial"/>
                <w:sz w:val="18"/>
                <w:szCs w:val="18"/>
                <w:color w:val="auto"/>
                <w:w w:val="94"/>
              </w:rPr>
              <w:t>(6%)</w:t>
            </w:r>
          </w:p>
        </w:tc>
        <w:tc>
          <w:tcPr>
            <w:tcW w:w="20" w:type="dxa"/>
            <w:vAlign w:val="bottom"/>
          </w:tcPr>
          <w:p>
            <w:pPr>
              <w:spacing w:after="0"/>
              <w:rPr>
                <w:sz w:val="23"/>
                <w:szCs w:val="23"/>
                <w:color w:val="auto"/>
              </w:rPr>
            </w:pPr>
          </w:p>
        </w:tc>
      </w:tr>
      <w:tr>
        <w:trPr>
          <w:trHeight w:val="27"/>
        </w:trPr>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1,380</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w:t>
            </w:r>
          </w:p>
        </w:tc>
        <w:tc>
          <w:tcPr>
            <w:tcW w:w="146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(125%)</w:t>
            </w:r>
          </w:p>
        </w:tc>
        <w:tc>
          <w:tcPr>
            <w:tcW w:w="20" w:type="dxa"/>
            <w:vAlign w:val="bottom"/>
          </w:tcPr>
          <w:p>
            <w:pPr>
              <w:spacing w:after="0"/>
              <w:rPr>
                <w:sz w:val="22"/>
                <w:szCs w:val="22"/>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453"/>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ind w:left="660"/>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11"/>
              <w:spacing w:after="0"/>
              <w:rPr>
                <w:sz w:val="20"/>
                <w:szCs w:val="20"/>
                <w:color w:val="auto"/>
              </w:rPr>
            </w:pPr>
            <w:r>
              <w:rPr>
                <w:rFonts w:ascii="Arial" w:cs="Arial" w:eastAsia="Arial" w:hAnsi="Arial"/>
                <w:sz w:val="18"/>
                <w:szCs w:val="18"/>
                <w:color w:val="auto"/>
                <w:w w:val="97"/>
              </w:rPr>
              <w:t>(27.8 pts)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31"/>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40" w:type="dxa"/>
            <w:vAlign w:val="bottom"/>
            <w:gridSpan w:val="6"/>
          </w:tcPr>
          <w:p>
            <w:pPr>
              <w:ind w:left="98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231"/>
        </w:trPr>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2018</w:t>
            </w:r>
          </w:p>
        </w:tc>
        <w:tc>
          <w:tcPr>
            <w:tcW w:w="260" w:type="dxa"/>
            <w:vAlign w:val="bottom"/>
          </w:tcPr>
          <w:p>
            <w:pPr>
              <w:spacing w:after="0"/>
              <w:rPr>
                <w:sz w:val="20"/>
                <w:szCs w:val="20"/>
                <w:color w:val="auto"/>
              </w:rPr>
            </w:pPr>
          </w:p>
        </w:tc>
        <w:tc>
          <w:tcPr>
            <w:tcW w:w="1660" w:type="dxa"/>
            <w:vAlign w:val="bottom"/>
            <w:gridSpan w:val="3"/>
          </w:tcPr>
          <w:p>
            <w:pPr>
              <w:ind w:left="160"/>
              <w:spacing w:after="0"/>
              <w:rPr>
                <w:sz w:val="20"/>
                <w:szCs w:val="20"/>
                <w:color w:val="auto"/>
              </w:rPr>
            </w:pPr>
            <w:r>
              <w:rPr>
                <w:rFonts w:ascii="Arial" w:cs="Arial" w:eastAsia="Arial" w:hAnsi="Arial"/>
                <w:sz w:val="16"/>
                <w:szCs w:val="16"/>
                <w:b w:val="1"/>
                <w:bCs w:val="1"/>
                <w:color w:val="auto"/>
              </w:rPr>
              <w:t>June 30, 2017</w:t>
            </w:r>
          </w:p>
        </w:tc>
        <w:tc>
          <w:tcPr>
            <w:tcW w:w="200" w:type="dxa"/>
            <w:vAlign w:val="bottom"/>
          </w:tcPr>
          <w:p>
            <w:pPr>
              <w:spacing w:after="0"/>
              <w:rPr>
                <w:sz w:val="20"/>
                <w:szCs w:val="20"/>
                <w:color w:val="auto"/>
              </w:rPr>
            </w:pPr>
          </w:p>
        </w:tc>
        <w:tc>
          <w:tcPr>
            <w:tcW w:w="1160" w:type="dxa"/>
            <w:vAlign w:val="bottom"/>
          </w:tcPr>
          <w:p>
            <w:pPr>
              <w:jc w:val="right"/>
              <w:ind w:right="331"/>
              <w:spacing w:after="0"/>
              <w:rPr>
                <w:sz w:val="20"/>
                <w:szCs w:val="20"/>
                <w:color w:val="auto"/>
              </w:rPr>
            </w:pPr>
            <w:r>
              <w:rPr>
                <w:rFonts w:ascii="Arial" w:cs="Arial" w:eastAsia="Arial" w:hAnsi="Arial"/>
                <w:sz w:val="16"/>
                <w:szCs w:val="16"/>
                <w:b w:val="1"/>
                <w:bCs w:val="1"/>
                <w:color w:val="auto"/>
              </w:rPr>
              <w:t>Change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2"/>
          </w:tcPr>
          <w:p>
            <w:pPr>
              <w:ind w:left="3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7,737</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9,707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(1,970)</w:t>
            </w:r>
          </w:p>
        </w:tc>
        <w:tc>
          <w:tcPr>
            <w:tcW w:w="1460" w:type="dxa"/>
            <w:vAlign w:val="bottom"/>
            <w:gridSpan w:val="3"/>
          </w:tcPr>
          <w:p>
            <w:pPr>
              <w:jc w:val="center"/>
              <w:ind w:left="10"/>
              <w:spacing w:after="0"/>
              <w:rPr>
                <w:sz w:val="20"/>
                <w:szCs w:val="20"/>
                <w:color w:val="auto"/>
              </w:rPr>
            </w:pPr>
            <w:r>
              <w:rPr>
                <w:rFonts w:ascii="Arial" w:cs="Arial" w:eastAsia="Arial" w:hAnsi="Arial"/>
                <w:sz w:val="18"/>
                <w:szCs w:val="18"/>
                <w:color w:val="auto"/>
                <w:w w:val="91"/>
              </w:rPr>
              <w:t>(20%)</w:t>
            </w:r>
          </w:p>
        </w:tc>
        <w:tc>
          <w:tcPr>
            <w:tcW w:w="20" w:type="dxa"/>
            <w:vAlign w:val="bottom"/>
          </w:tcPr>
          <w:p>
            <w:pPr>
              <w:spacing w:after="0"/>
              <w:rPr>
                <w:sz w:val="20"/>
                <w:szCs w:val="20"/>
                <w:color w:val="auto"/>
              </w:rPr>
            </w:pPr>
          </w:p>
        </w:tc>
      </w:tr>
      <w:tr>
        <w:trPr>
          <w:trHeight w:val="270"/>
        </w:trPr>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(1,233)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(1,692)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459</w:t>
            </w:r>
          </w:p>
        </w:tc>
        <w:tc>
          <w:tcPr>
            <w:tcW w:w="1460" w:type="dxa"/>
            <w:vAlign w:val="bottom"/>
            <w:gridSpan w:val="3"/>
          </w:tcPr>
          <w:p>
            <w:pPr>
              <w:jc w:val="center"/>
              <w:ind w:left="10"/>
              <w:spacing w:after="0"/>
              <w:rPr>
                <w:sz w:val="20"/>
                <w:szCs w:val="20"/>
                <w:color w:val="auto"/>
              </w:rPr>
            </w:pPr>
            <w:r>
              <w:rPr>
                <w:rFonts w:ascii="Arial" w:cs="Arial" w:eastAsia="Arial" w:hAnsi="Arial"/>
                <w:sz w:val="18"/>
                <w:szCs w:val="18"/>
                <w:color w:val="auto"/>
                <w:w w:val="88"/>
              </w:rPr>
              <w:t>27%</w:t>
            </w:r>
          </w:p>
        </w:tc>
        <w:tc>
          <w:tcPr>
            <w:tcW w:w="20" w:type="dxa"/>
            <w:vAlign w:val="bottom"/>
          </w:tcPr>
          <w:p>
            <w:pPr>
              <w:spacing w:after="0"/>
              <w:rPr>
                <w:sz w:val="23"/>
                <w:szCs w:val="23"/>
                <w:color w:val="auto"/>
              </w:rPr>
            </w:pPr>
          </w:p>
        </w:tc>
      </w:tr>
      <w:tr>
        <w:trPr>
          <w:trHeight w:val="270"/>
        </w:trPr>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(8,331)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(7,490)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(841)</w:t>
            </w:r>
          </w:p>
        </w:tc>
        <w:tc>
          <w:tcPr>
            <w:tcW w:w="1460" w:type="dxa"/>
            <w:vAlign w:val="bottom"/>
            <w:gridSpan w:val="3"/>
          </w:tcPr>
          <w:p>
            <w:pPr>
              <w:jc w:val="center"/>
              <w:ind w:left="10"/>
              <w:spacing w:after="0"/>
              <w:rPr>
                <w:sz w:val="20"/>
                <w:szCs w:val="20"/>
                <w:color w:val="auto"/>
              </w:rPr>
            </w:pPr>
            <w:r>
              <w:rPr>
                <w:rFonts w:ascii="Arial" w:cs="Arial" w:eastAsia="Arial" w:hAnsi="Arial"/>
                <w:sz w:val="18"/>
                <w:szCs w:val="18"/>
                <w:color w:val="auto"/>
                <w:w w:val="91"/>
              </w:rPr>
              <w:t>(11%)</w:t>
            </w:r>
          </w:p>
        </w:tc>
        <w:tc>
          <w:tcPr>
            <w:tcW w:w="20" w:type="dxa"/>
            <w:vAlign w:val="bottom"/>
          </w:tcPr>
          <w:p>
            <w:pPr>
              <w:spacing w:after="0"/>
              <w:rPr>
                <w:sz w:val="23"/>
                <w:szCs w:val="23"/>
                <w:color w:val="auto"/>
              </w:rPr>
            </w:pPr>
          </w:p>
        </w:tc>
      </w:tr>
      <w:tr>
        <w:trPr>
          <w:trHeight w:val="27"/>
        </w:trPr>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(1,827)</w:t>
            </w:r>
          </w:p>
        </w:tc>
        <w:tc>
          <w:tcPr>
            <w:tcW w:w="12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525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(2,352)</w:t>
            </w:r>
          </w:p>
        </w:tc>
        <w:tc>
          <w:tcPr>
            <w:tcW w:w="1460" w:type="dxa"/>
            <w:vAlign w:val="bottom"/>
            <w:gridSpan w:val="3"/>
          </w:tcPr>
          <w:p>
            <w:pPr>
              <w:jc w:val="center"/>
              <w:spacing w:after="0"/>
              <w:rPr>
                <w:sz w:val="20"/>
                <w:szCs w:val="20"/>
                <w:color w:val="auto"/>
              </w:rPr>
            </w:pPr>
            <w:r>
              <w:rPr>
                <w:rFonts w:ascii="Arial" w:cs="Arial" w:eastAsia="Arial" w:hAnsi="Arial"/>
                <w:sz w:val="18"/>
                <w:szCs w:val="18"/>
                <w:color w:val="auto"/>
                <w:w w:val="92"/>
              </w:rPr>
              <w:t>(448%)</w:t>
            </w:r>
          </w:p>
        </w:tc>
        <w:tc>
          <w:tcPr>
            <w:tcW w:w="2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353"/>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ind w:left="66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11"/>
              <w:spacing w:after="0"/>
              <w:rPr>
                <w:sz w:val="20"/>
                <w:szCs w:val="20"/>
                <w:color w:val="auto"/>
              </w:rPr>
            </w:pPr>
            <w:r>
              <w:rPr>
                <w:rFonts w:ascii="Arial" w:cs="Arial" w:eastAsia="Arial" w:hAnsi="Arial"/>
                <w:sz w:val="18"/>
                <w:szCs w:val="18"/>
                <w:color w:val="auto"/>
                <w:w w:val="97"/>
              </w:rPr>
              <w:t>(29.0 pts)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-2494915</wp:posOffset>
            </wp:positionV>
            <wp:extent cx="724662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-2143125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-1783080</wp:posOffset>
            </wp:positionV>
            <wp:extent cx="724662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-882650</wp:posOffset>
            </wp:positionV>
            <wp:extent cx="7212330"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2330" cy="18034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-530860</wp:posOffset>
            </wp:positionV>
            <wp:extent cx="721233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-170815</wp:posOffset>
            </wp:positionV>
            <wp:extent cx="721233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2330" cy="188595"/>
                    </a:xfrm>
                    <a:prstGeom prst="rect">
                      <a:avLst/>
                    </a:prstGeom>
                    <a:noFill/>
                  </pic:spPr>
                </pic:pic>
              </a:graphicData>
            </a:graphic>
          </wp:anchor>
        </w:drawing>
      </w:r>
    </w:p>
    <w:p>
      <w:pPr>
        <w:spacing w:after="0" w:line="620" w:lineRule="exact"/>
        <w:rPr>
          <w:sz w:val="20"/>
          <w:szCs w:val="20"/>
          <w:color w:val="auto"/>
        </w:rPr>
      </w:pPr>
    </w:p>
    <w:p>
      <w:pPr>
        <w:sectPr>
          <w:pgSz w:w="11900" w:h="16838" w:orient="portrait"/>
          <w:cols w:equalWidth="0" w:num="2">
            <w:col w:w="3980" w:space="720"/>
            <w:col w:w="6720"/>
          </w:cols>
          <w:pgMar w:left="240" w:top="580" w:right="239" w:bottom="1440" w:gutter="0" w:footer="0" w:header="0"/>
        </w:sect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5"/>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3480" w:type="dxa"/>
            <w:vAlign w:val="bottom"/>
            <w:gridSpan w:val="4"/>
          </w:tcPr>
          <w:p>
            <w:pPr>
              <w:jc w:val="right"/>
              <w:ind w:right="1131"/>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3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8"/>
        </w:trPr>
        <w:tc>
          <w:tcPr>
            <w:tcW w:w="37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Pr>
          <w:p>
            <w:pPr>
              <w:spacing w:after="0"/>
              <w:rPr>
                <w:sz w:val="22"/>
                <w:szCs w:val="22"/>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2018</w:t>
            </w:r>
          </w:p>
        </w:tc>
        <w:tc>
          <w:tcPr>
            <w:tcW w:w="280" w:type="dxa"/>
            <w:vAlign w:val="bottom"/>
          </w:tcPr>
          <w:p>
            <w:pPr>
              <w:spacing w:after="0"/>
              <w:rPr>
                <w:sz w:val="22"/>
                <w:szCs w:val="22"/>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2017</w:t>
            </w:r>
          </w:p>
        </w:tc>
        <w:tc>
          <w:tcPr>
            <w:tcW w:w="280" w:type="dxa"/>
            <w:vAlign w:val="bottom"/>
          </w:tcPr>
          <w:p>
            <w:pPr>
              <w:spacing w:after="0"/>
              <w:rPr>
                <w:sz w:val="22"/>
                <w:szCs w:val="22"/>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2018</w:t>
            </w:r>
          </w:p>
        </w:tc>
        <w:tc>
          <w:tcPr>
            <w:tcW w:w="280" w:type="dxa"/>
            <w:vAlign w:val="bottom"/>
          </w:tcPr>
          <w:p>
            <w:pPr>
              <w:spacing w:after="0"/>
              <w:rPr>
                <w:sz w:val="22"/>
                <w:szCs w:val="22"/>
                <w:color w:val="auto"/>
              </w:rPr>
            </w:pPr>
          </w:p>
        </w:tc>
        <w:tc>
          <w:tcPr>
            <w:tcW w:w="1540" w:type="dxa"/>
            <w:vAlign w:val="bottom"/>
          </w:tcPr>
          <w:p>
            <w:pPr>
              <w:jc w:val="right"/>
              <w:ind w:right="351"/>
              <w:spacing w:after="0"/>
              <w:rPr>
                <w:sz w:val="20"/>
                <w:szCs w:val="20"/>
                <w:color w:val="auto"/>
              </w:rPr>
            </w:pPr>
            <w:r>
              <w:rPr>
                <w:rFonts w:ascii="Arial" w:cs="Arial" w:eastAsia="Arial" w:hAnsi="Arial"/>
                <w:sz w:val="16"/>
                <w:szCs w:val="16"/>
                <w:b w:val="1"/>
                <w:bCs w:val="1"/>
                <w:color w:val="auto"/>
              </w:rPr>
              <w:t>June 30, 2017</w:t>
            </w:r>
          </w:p>
        </w:tc>
      </w:tr>
      <w:tr>
        <w:trPr>
          <w:trHeight w:val="25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Cost of vacation ownership products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2,427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4,249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4,131</w:t>
            </w: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7,466</w:t>
            </w: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32,992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29,534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62,427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57,073</w:t>
            </w: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settlement</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Consumer financing interest</w:t>
            </w:r>
          </w:p>
        </w:tc>
        <w:tc>
          <w:tcPr>
            <w:tcW w:w="28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6,172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5,654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12,778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11,592</w:t>
            </w: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Royalty fee</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12,969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24,912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26,075</w:t>
            </w:r>
          </w:p>
        </w:tc>
      </w:tr>
      <w:tr>
        <w:trPr>
          <w:trHeight w:val="237"/>
        </w:trPr>
        <w:tc>
          <w:tcPr>
            <w:tcW w:w="3780" w:type="dxa"/>
            <w:vAlign w:val="bottom"/>
          </w:tcPr>
          <w:p>
            <w:pPr>
              <w:ind w:left="500"/>
              <w:spacing w:after="0"/>
              <w:rPr>
                <w:sz w:val="20"/>
                <w:szCs w:val="20"/>
                <w:color w:val="auto"/>
              </w:rPr>
            </w:pPr>
            <w:r>
              <w:rPr>
                <w:rFonts w:ascii="Arial" w:cs="Arial" w:eastAsia="Arial" w:hAnsi="Arial"/>
                <w:sz w:val="18"/>
                <w:szCs w:val="18"/>
                <w:b w:val="1"/>
                <w:bCs w:val="1"/>
                <w:color w:val="auto"/>
              </w:rPr>
              <w:t>TOTAL EXPENSES</w:t>
            </w: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57,610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53,685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112,415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106,520</w:t>
            </w:r>
          </w:p>
        </w:tc>
      </w:tr>
      <w:tr>
        <w:trPr>
          <w:trHeight w:val="27"/>
        </w:trPr>
        <w:tc>
          <w:tcPr>
            <w:tcW w:w="3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Losses and other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(8,429)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(2,538)</w:t>
            </w: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(19,707)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(20,367)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TOTAL FINANCIAL RESULTS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(88,075)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(55,618)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(147,397)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(109,651)</w:t>
            </w:r>
          </w:p>
        </w:tc>
      </w:tr>
      <w:tr>
        <w:trPr>
          <w:trHeight w:val="27"/>
        </w:trPr>
        <w:tc>
          <w:tcPr>
            <w:tcW w:w="3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Corporate and Other consists of results not specifically attributable to an individual segment, including expenses in support of our financing operations, non-capitalizable development expenses incurred to support overall company development, company-wide general and administrative costs, corporate interest expense, consumer financing interest expense and the fixed royalty fee payable under the license agreements that we have with Marriott International.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Expenses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Second Quarter</w:t>
      </w:r>
    </w:p>
    <w:p>
      <w:pPr>
        <w:spacing w:after="0" w:line="11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Total expenses increased $3.9 million from the 2017 second quarter. The $3.9 million increase resulted from $3.5 million of higher general and administrative expenses, $0.5 million of higher consumer financing interest expense, $0.5 million of higher cost of vacation ownership products expenses due to higher development expenses, and $0.3 million of higher financing expenses due to the increase in the average gross vacation ownership notes receivable balance, partially offset by $0.7 million of lower royalty fees due to amendments to our license agreements with Marriott International entered into during the 2018 first quarter and $0.2 million of lower litigation settlement.</w:t>
      </w:r>
    </w:p>
    <w:p>
      <w:pPr>
        <w:spacing w:after="0" w:line="80"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General and administrative expenses increased $3.5 million due to higher litigation and technology costs as well as higher personnel related and other expenses. The higher personnel related and other expenses included annual merit, bonus and inflationary cost increases.</w:t>
      </w:r>
    </w:p>
    <w:p>
      <w:pPr>
        <w:sectPr>
          <w:pgSz w:w="11900" w:h="16838" w:orient="portrait"/>
          <w:cols w:equalWidth="0" w:num="1">
            <w:col w:w="11420"/>
          </w:cols>
          <w:pgMar w:left="240" w:top="580" w:right="239" w:bottom="1440" w:gutter="0" w:footer="0" w:header="0"/>
          <w:type w:val="continuous"/>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580" w:right="239" w:bottom="1440" w:gutter="0" w:footer="0" w:header="0"/>
          <w:type w:val="continuous"/>
        </w:sectPr>
      </w:pPr>
    </w:p>
    <w:bookmarkStart w:id="66" w:name="page67"/>
    <w:bookmarkEnd w:id="66"/>
    <w:p>
      <w:pPr>
        <w:ind w:left="660"/>
        <w:spacing w:after="0"/>
        <w:rPr>
          <w:sz w:val="20"/>
          <w:szCs w:val="20"/>
          <w:color w:val="auto"/>
        </w:rPr>
      </w:pPr>
      <w:r>
        <w:rPr>
          <w:rFonts w:ascii="Arial" w:cs="Arial" w:eastAsia="Arial" w:hAnsi="Arial"/>
          <w:sz w:val="18"/>
          <w:szCs w:val="18"/>
          <w:color w:val="auto"/>
        </w:rPr>
        <w:t>The $0.5 million increase in consumer financing interest expense was due to a higher average outstanding debt balance.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First Half</w:t>
      </w:r>
    </w:p>
    <w:p>
      <w:pPr>
        <w:spacing w:after="0" w:line="11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Total expenses increased $5.9 million from the 2017 first half. The $5.9 million increase resulted from $5.4 million of higher general and administrative expenses, $1.2 million of higher consumer financing interest expense, $0.6 million of higher financing expenses due to the increase in the average gross vacation ownership notes receivable balance, and $0.1 million of higher cost of vacation ownership products expenses due to higher development expenses, partially offset by $1.2 million of lower royalty fees due to amendments to our license agreements with Marriott International entered into during the 2018 first quarter and $0.2 million of lower litigation settlement.</w:t>
      </w:r>
    </w:p>
    <w:p>
      <w:pPr>
        <w:spacing w:after="0" w:line="80"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General and administrative expenses increased $5.4 million due to higher litigation and technology costs as well as higher personnel related and other expenses. The higher personnel related and other expenses included annual merit, bonus and inflationary cost increases.</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$1.2 million increase in consumer financing interest expense was due to a higher average outstanding debt balance.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See Footnote 1 “Summary of Significant Accounting Policies” to our Financial Statements for a discussion of recently issued accounting pronouncements, including information on new accounting standards and the future adoption of such standards. Further, see Footnote 15 “Adoption Impact of New Revenue Standard” to our Financial Statements for the impact of the adoption of ASU 2014-09, as amended, on our previously reported historical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Our capital needs are supported by cash on hand ($547.7 million at the end of the 2018 second quarter), cash generated from operations, our ability to raise capital through securitizations in the ABS market and, to the extent necessary, funds available under the Warehouse Credit Facility and our $250.0 million revolving credit facility (the “Revolving Corporate Credit Facility”). We believe these sources of capital will be adequate to meet our short-term and long-term liquidity requirements, finance our long-term growth plans, satisfy debt service requirements, fulfill other cash requirements and return capital to shareholders. At the end of the 2018 second quarter, we had $1.4 billion of total gross debt outstanding, which included $1.1 billion of non-recourse debt associated with vacation ownership notes receivable securitizations, $230.0 million of Convertible Notes and a $30.9 million non-interest bearing note payable issued in connection with the acquisition of completed vacation ownership units on the Big Island of Hawaii.</w:t>
      </w:r>
    </w:p>
    <w:p>
      <w:pPr>
        <w:spacing w:after="0" w:line="59"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At the end of the 2018 second quarter, we had $685.5 million of real estate inventory on hand, comprised of $325.4 million of finished goods, $0.1 million of work in progress, and $360.0 million of land and infrastructure. In addition, we had $47.6 million of completed vacation ownership units that have been classified as a component of Property and equipment until the time at which they are legally registered and held for sale as vacation ownership products.</w:t>
      </w:r>
    </w:p>
    <w:p>
      <w:pPr>
        <w:spacing w:after="0" w:line="3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vacation ownership product offerings allow us to utilize our inventory efficiently. The majority of our sales are of points-based products, which permits us to sell vacation ownership products at most of our sales locations, including those where little or no weeks-based inventory remains available for sale. Because we no longer need specific resort-based inventory at each sales location, we need to have only a few resorts under construction at any given time and can leverage successful sales locations at completed resorts. This allows us to maintain long-term sales locations and reduces the need to develop and staff on-site sales locations at smaller projects in the future. We believe our points-based programs enable us to align our inventory acquisitions with the pace of sales of vacation ownership products.</w:t>
      </w:r>
    </w:p>
    <w:p>
      <w:pPr>
        <w:spacing w:after="0" w:line="8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are selectively pursuing growth opportunities in North America and Asia Pacific by targeting high-quality inventory that allows us to add desirable new destinations to our system with new on-site sales locations through transactions that limit our up-front capital investment and allow us to purchase finished inventory closer to the time it is needed for sale. These capital efficient deal structures may consist of the development of new inventory, or the conversion of previously built units by third parties, just prior to sale.</w:t>
      </w:r>
    </w:p>
    <w:p>
      <w:pPr>
        <w:spacing w:after="0" w:line="7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intend for our capital allocation strategy to strike a balance between enhancing our operations and using our capital to provide returns to our shareholders through programs such as share repurchase programs and payment of dividends.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76" w:right="259" w:bottom="1440" w:gutter="0" w:footer="0" w:header="0"/>
        </w:sectPr>
      </w:pPr>
    </w:p>
    <w:bookmarkStart w:id="67" w:name="page68"/>
    <w:bookmarkEnd w:id="67"/>
    <w:p>
      <w:pPr>
        <w:ind w:left="660"/>
        <w:spacing w:after="0"/>
        <w:rPr>
          <w:sz w:val="20"/>
          <w:szCs w:val="20"/>
          <w:color w:val="auto"/>
        </w:rPr>
      </w:pPr>
      <w:r>
        <w:rPr>
          <w:rFonts w:ascii="Arial" w:cs="Arial" w:eastAsia="Arial" w:hAnsi="Arial"/>
          <w:sz w:val="18"/>
          <w:szCs w:val="18"/>
          <w:color w:val="auto"/>
        </w:rPr>
        <w:t>The following table summarizes the changes in cash, cash equivalents and restricted cash:</w:t>
      </w:r>
    </w:p>
    <w:p>
      <w:pPr>
        <w:spacing w:after="0" w:line="185" w:lineRule="exact"/>
        <w:rPr>
          <w:sz w:val="20"/>
          <w:szCs w:val="20"/>
          <w:color w:val="auto"/>
        </w:rPr>
      </w:pPr>
    </w:p>
    <w:p>
      <w:pPr>
        <w:ind w:left="892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37465</wp:posOffset>
            </wp:positionV>
            <wp:extent cx="23837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Pr>
          <w:p>
            <w:pPr>
              <w:spacing w:after="0"/>
              <w:rPr>
                <w:sz w:val="20"/>
                <w:szCs w:val="20"/>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2018</w:t>
            </w:r>
          </w:p>
        </w:tc>
        <w:tc>
          <w:tcPr>
            <w:tcW w:w="280" w:type="dxa"/>
            <w:vAlign w:val="bottom"/>
          </w:tcPr>
          <w:p>
            <w:pPr>
              <w:spacing w:after="0"/>
              <w:rPr>
                <w:sz w:val="20"/>
                <w:szCs w:val="20"/>
                <w:color w:val="auto"/>
              </w:rPr>
            </w:pPr>
          </w:p>
        </w:tc>
        <w:tc>
          <w:tcPr>
            <w:tcW w:w="1540" w:type="dxa"/>
            <w:vAlign w:val="bottom"/>
          </w:tcPr>
          <w:p>
            <w:pPr>
              <w:jc w:val="right"/>
              <w:ind w:right="351"/>
              <w:spacing w:after="0"/>
              <w:rPr>
                <w:sz w:val="20"/>
                <w:szCs w:val="20"/>
                <w:color w:val="auto"/>
              </w:rPr>
            </w:pPr>
            <w:r>
              <w:rPr>
                <w:rFonts w:ascii="Arial" w:cs="Arial" w:eastAsia="Arial" w:hAnsi="Arial"/>
                <w:sz w:val="16"/>
                <w:szCs w:val="16"/>
                <w:b w:val="1"/>
                <w:bCs w:val="1"/>
                <w:color w:val="auto"/>
              </w:rPr>
              <w:t>June 30, 2017</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provided by (used in):</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58,453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14,130</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(21,425)</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187,363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(63,865)</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change in exchange rates on cash, cash equivalents and restricted cash</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1,962</w:t>
            </w:r>
          </w:p>
        </w:tc>
      </w:tr>
      <w:tr>
        <w:trPr>
          <w:trHeight w:val="237"/>
        </w:trPr>
        <w:tc>
          <w:tcPr>
            <w:tcW w:w="7660" w:type="dxa"/>
            <w:vAlign w:val="bottom"/>
          </w:tcPr>
          <w:p>
            <w:pPr>
              <w:ind w:left="500"/>
              <w:spacing w:after="0"/>
              <w:rPr>
                <w:sz w:val="20"/>
                <w:szCs w:val="20"/>
                <w:color w:val="auto"/>
              </w:rPr>
            </w:pPr>
            <w:r>
              <w:rPr>
                <w:rFonts w:ascii="Arial" w:cs="Arial" w:eastAsia="Arial" w:hAnsi="Arial"/>
                <w:sz w:val="18"/>
                <w:szCs w:val="18"/>
                <w:color w:val="auto"/>
              </w:rPr>
              <w:t>Net change in cash, cash equivalents and restricted cash</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227,591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(69,198)</w:t>
            </w:r>
          </w:p>
        </w:tc>
      </w:tr>
      <w:tr>
        <w:trPr>
          <w:trHeight w:val="27"/>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Operating Activities</w:t>
      </w:r>
    </w:p>
    <w:p>
      <w:pPr>
        <w:spacing w:after="0" w:line="11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primary sources of funds from operations are (1) cash sales and down payments on financed sales, (2) cash from our financing operations, including principal and interest payments received on outstanding vacation ownership notes receivable and (3) net cash generated from our rental and resort management and other services operations. Outflows include spending for the development of new phases of existing resorts, the acquisition of additional inventory and funding our working capital needs.</w:t>
      </w:r>
    </w:p>
    <w:p>
      <w:pPr>
        <w:spacing w:after="0" w:line="7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property owners’ associations and certain annual compensation-related outflows. In addition, our cash from operations varies due to the timing of our owners’ repayment of vacation ownership notes receivable, the closing of sales contracts for vacation ownership products, financing propensity and cash outlays for inventory acquisition and development.</w:t>
      </w:r>
    </w:p>
    <w:p>
      <w:pPr>
        <w:spacing w:after="0" w:line="8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the 2018 first half, we generated $58.5 million of cash flows from operating activities, compared to $14.1 million in the 2017 first half. Excluding the impact of changes in net income and adjustments for non-cash items, the change in cash flows from operations reflected lower inventory spending, higher collections due to an increasing portfolio of outstanding vacation ownership notes receivable, timing of maintenance fee payments on unsold inventory and increased deposits on sales contracts for vacation ownership products, partially offset by higher payments related to employee benefits programs, timing of payments to property owners’ associations for maintenance fees collected on their behalf, and higher originations of vacation ownership notes receivable driven by higher contract sales.</w:t>
      </w:r>
    </w:p>
    <w:p>
      <w:pPr>
        <w:spacing w:after="0" w:line="8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In addition to net income and adjustments for non-cash items, the following operating activities are key drivers of our cash flow from operating activities: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Inventory Spending Less Than / in Excess of Cost of Sales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4"/>
          </w:tcPr>
          <w:p>
            <w:pPr>
              <w:jc w:val="right"/>
              <w:ind w:right="113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8"/>
        </w:trPr>
        <w:tc>
          <w:tcPr>
            <w:tcW w:w="76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Pr>
          <w:p>
            <w:pPr>
              <w:spacing w:after="0"/>
              <w:rPr>
                <w:sz w:val="22"/>
                <w:szCs w:val="22"/>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2018</w:t>
            </w:r>
          </w:p>
        </w:tc>
        <w:tc>
          <w:tcPr>
            <w:tcW w:w="280" w:type="dxa"/>
            <w:vAlign w:val="bottom"/>
          </w:tcPr>
          <w:p>
            <w:pPr>
              <w:spacing w:after="0"/>
              <w:rPr>
                <w:sz w:val="22"/>
                <w:szCs w:val="22"/>
                <w:color w:val="auto"/>
              </w:rPr>
            </w:pPr>
          </w:p>
        </w:tc>
        <w:tc>
          <w:tcPr>
            <w:tcW w:w="1540" w:type="dxa"/>
            <w:vAlign w:val="bottom"/>
          </w:tcPr>
          <w:p>
            <w:pPr>
              <w:jc w:val="right"/>
              <w:ind w:right="352"/>
              <w:spacing w:after="0"/>
              <w:rPr>
                <w:sz w:val="20"/>
                <w:szCs w:val="20"/>
                <w:color w:val="auto"/>
              </w:rPr>
            </w:pPr>
            <w:r>
              <w:rPr>
                <w:rFonts w:ascii="Arial" w:cs="Arial" w:eastAsia="Arial" w:hAnsi="Arial"/>
                <w:sz w:val="16"/>
                <w:szCs w:val="16"/>
                <w:b w:val="1"/>
                <w:bCs w:val="1"/>
                <w:color w:val="auto"/>
              </w:rPr>
              <w:t>June 30, 2017</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spending</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(65,147)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Purchase of vacation ownership units for future transfer to inventory</w:t>
            </w:r>
          </w:p>
        </w:tc>
        <w:tc>
          <w:tcPr>
            <w:tcW w:w="28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(33,594)</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costs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88,647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80,751</w:t>
            </w:r>
          </w:p>
        </w:tc>
      </w:tr>
      <w:tr>
        <w:trPr>
          <w:trHeight w:val="237"/>
        </w:trPr>
        <w:tc>
          <w:tcPr>
            <w:tcW w:w="7660" w:type="dxa"/>
            <w:vAlign w:val="bottom"/>
          </w:tcPr>
          <w:p>
            <w:pPr>
              <w:ind w:left="280"/>
              <w:spacing w:after="0"/>
              <w:rPr>
                <w:sz w:val="20"/>
                <w:szCs w:val="20"/>
                <w:color w:val="auto"/>
              </w:rPr>
            </w:pPr>
            <w:r>
              <w:rPr>
                <w:rFonts w:ascii="Arial" w:cs="Arial" w:eastAsia="Arial" w:hAnsi="Arial"/>
                <w:sz w:val="18"/>
                <w:szCs w:val="18"/>
                <w:color w:val="auto"/>
              </w:rPr>
              <w:t>Inventory spending less than (in excess of) cost of sales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36,502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(17,990)</w:t>
            </w:r>
          </w:p>
        </w:tc>
      </w:tr>
      <w:tr>
        <w:trPr>
          <w:trHeight w:val="27"/>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measure our inventory capital efficiency by comparing the cash outflow for inventory spending (a cash item) to the amount of inventory costs charged to expense on our Income Statements related to sale of vacation ownership products (a non-cash item).</w:t>
      </w:r>
    </w:p>
    <w:p>
      <w:pPr>
        <w:spacing w:after="0" w:line="6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inventory spending was less than inventory costs in the 2018 first half even though we satisfied a portion of our commitment to purchase vacation ownership units in our North America segment. We expect our full year inventory spending to be in line with inventory costs. Inventory spending in the 2018 first half included the acquisition of 20 completed vacation ownership units located at our resort in Marco Island, Florida, for $23.9 million, as well as a deposit of $1.9 million for the purchase of completed vacation ownership units located in Bali, Indonesia. We entered into each of these commitments in prior periods as part of our capital efficiency strategy to limit our up-front capital investment and purchase finished inventory closer to the time it is needed for sale. See Footnote 6 “Acquisitions and Dispositions” and Footnote 9 “Contingencies and Commitments” to our Financial Statements for additional information regarding these transactions.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76" w:right="239" w:bottom="1440" w:gutter="0" w:footer="0" w:header="0"/>
        </w:sectPr>
      </w:pPr>
    </w:p>
    <w:bookmarkStart w:id="68" w:name="page69"/>
    <w:bookmarkEnd w:id="68"/>
    <w:p>
      <w:pPr>
        <w:ind w:right="20" w:firstLine="648"/>
        <w:spacing w:after="0" w:line="270" w:lineRule="auto"/>
        <w:rPr>
          <w:sz w:val="20"/>
          <w:szCs w:val="20"/>
          <w:color w:val="auto"/>
        </w:rPr>
      </w:pPr>
      <w:r>
        <w:rPr>
          <w:rFonts w:ascii="Arial" w:cs="Arial" w:eastAsia="Arial" w:hAnsi="Arial"/>
          <w:sz w:val="17"/>
          <w:szCs w:val="17"/>
          <w:color w:val="auto"/>
        </w:rPr>
        <w:t>Our inventory spending exceeded inventory costs in the 2017 first half as we satisfied a portion of our commitments to purchase vacation ownership units in our North America segment. Inventory spending included the acquisition of 112 completed vacation ownership units located on the Big Island of Hawaii for $27.3 million. In connection with this transaction, we also settled a $0.5 million note receivable from the seller on a non-cash basis, and issued a non-interest bearing note payable for $63.6 million. Purchase of vacation ownership units for future transfer to inventory included the acquisition of 36 completed vacation ownership units located at our resort in Marco Island, Florida, for $33.6 million. Our inventory spending increased throughout the remainder of 2017 as we satisfied our commitments to purchase vacation ownership units in our North America and Asia Pacific segments that we had entered into in prior periods as part of our capital efficiency strategy to limit our up-front capital investment and purchase finished inventory closer to the time it is needed for sale. See Footnote 6 “Acquisitions and Dispositions” and Footnote 9 “Contingencies and Commitments” to our Financial Statements for additional information regarding these transactions.</w:t>
      </w:r>
    </w:p>
    <w:p>
      <w:pPr>
        <w:spacing w:after="0" w:line="7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Through our existing vacation ownership interest repurchase program, we proactively buy back previously sold vacation ownership interests at lower costs than would be required to develop new inventory. By repurchasing inventory in desirable locations, we expect to be able to stabilize the future cost of vacation ownership products.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Vacation Ownership Notes Receivable Collections Less Than Originations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4"/>
          </w:tcPr>
          <w:p>
            <w:pPr>
              <w:jc w:val="right"/>
              <w:ind w:right="113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8"/>
        </w:trPr>
        <w:tc>
          <w:tcPr>
            <w:tcW w:w="76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Pr>
          <w:p>
            <w:pPr>
              <w:spacing w:after="0"/>
              <w:rPr>
                <w:sz w:val="22"/>
                <w:szCs w:val="22"/>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2018</w:t>
            </w:r>
          </w:p>
        </w:tc>
        <w:tc>
          <w:tcPr>
            <w:tcW w:w="280" w:type="dxa"/>
            <w:vAlign w:val="bottom"/>
          </w:tcPr>
          <w:p>
            <w:pPr>
              <w:spacing w:after="0"/>
              <w:rPr>
                <w:sz w:val="22"/>
                <w:szCs w:val="22"/>
                <w:color w:val="auto"/>
              </w:rPr>
            </w:pPr>
          </w:p>
        </w:tc>
        <w:tc>
          <w:tcPr>
            <w:tcW w:w="1540" w:type="dxa"/>
            <w:vAlign w:val="bottom"/>
          </w:tcPr>
          <w:p>
            <w:pPr>
              <w:jc w:val="right"/>
              <w:ind w:right="352"/>
              <w:spacing w:after="0"/>
              <w:rPr>
                <w:sz w:val="20"/>
                <w:szCs w:val="20"/>
                <w:color w:val="auto"/>
              </w:rPr>
            </w:pPr>
            <w:r>
              <w:rPr>
                <w:rFonts w:ascii="Arial" w:cs="Arial" w:eastAsia="Arial" w:hAnsi="Arial"/>
                <w:sz w:val="16"/>
                <w:szCs w:val="16"/>
                <w:b w:val="1"/>
                <w:bCs w:val="1"/>
                <w:color w:val="auto"/>
              </w:rPr>
              <w:t>June 30, 2017</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Vacation ownership notes receivable collections — non-securitized</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49,742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41,307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Vacation ownership notes receivable collections — securitized</w:t>
            </w:r>
          </w:p>
        </w:tc>
        <w:tc>
          <w:tcPr>
            <w:tcW w:w="28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105,515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95,424</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Vacation ownership notes receivable originations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(233,061)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(228,048)</w:t>
            </w:r>
          </w:p>
        </w:tc>
      </w:tr>
      <w:tr>
        <w:trPr>
          <w:trHeight w:val="237"/>
        </w:trPr>
        <w:tc>
          <w:tcPr>
            <w:tcW w:w="7660" w:type="dxa"/>
            <w:vAlign w:val="bottom"/>
          </w:tcPr>
          <w:p>
            <w:pPr>
              <w:ind w:left="280"/>
              <w:spacing w:after="0"/>
              <w:rPr>
                <w:sz w:val="20"/>
                <w:szCs w:val="20"/>
                <w:color w:val="auto"/>
              </w:rPr>
            </w:pPr>
            <w:r>
              <w:rPr>
                <w:rFonts w:ascii="Arial" w:cs="Arial" w:eastAsia="Arial" w:hAnsi="Arial"/>
                <w:sz w:val="18"/>
                <w:szCs w:val="18"/>
                <w:color w:val="auto"/>
              </w:rPr>
              <w:t>Vacation ownership notes receivable collections less than originations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(77,804)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(91,317)</w:t>
            </w:r>
          </w:p>
        </w:tc>
      </w:tr>
      <w:tr>
        <w:trPr>
          <w:trHeight w:val="27"/>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Vacation ownership notes receivable collections include principal from non-securitized and securitized vacation ownership notes receivable. Vacation ownership notes receivable collections increased during the 2018 first half, as compared to the 2017 first half, due to an increase in the portfolio of outstanding vacation ownership notes receivable. Vacation ownership notes receivable originations in the 2018 first half increased due to higher vacation ownership contract sales, offset partially by a decrease in financing propensity to 62.2 percent for the 2018 first half compared to 64.4 percent for the 2017 first half.</w:t>
      </w:r>
    </w:p>
    <w:p>
      <w:pPr>
        <w:sectPr>
          <w:pgSz w:w="11900" w:h="16838" w:orient="portrait"/>
          <w:cols w:equalWidth="0" w:num="1">
            <w:col w:w="11420"/>
          </w:cols>
          <w:pgMar w:left="240" w:top="476" w:right="2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from Investing Activities</w:t>
      </w: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shd w:val="clear" w:color="auto" w:fill="CCEEFF"/>
        </w:rPr>
        <w:t>Capital expenditures for property and equipment (excluding inventory)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 of company owned 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shd w:val="clear" w:color="auto" w:fill="CCEEFF"/>
        </w:rPr>
        <w:t>Dispositions, net</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cash used in investing activities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Expenditures for Property and Equipment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23837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2018</w:t>
            </w:r>
          </w:p>
        </w:tc>
        <w:tc>
          <w:tcPr>
            <w:tcW w:w="280" w:type="dxa"/>
            <w:vAlign w:val="bottom"/>
          </w:tcPr>
          <w:p>
            <w:pPr>
              <w:spacing w:after="0"/>
              <w:rPr>
                <w:sz w:val="18"/>
                <w:szCs w:val="18"/>
                <w:color w:val="auto"/>
              </w:rPr>
            </w:pPr>
          </w:p>
        </w:tc>
        <w:tc>
          <w:tcPr>
            <w:tcW w:w="1540" w:type="dxa"/>
            <w:vAlign w:val="bottom"/>
          </w:tcPr>
          <w:p>
            <w:pPr>
              <w:jc w:val="right"/>
              <w:ind w:right="352"/>
              <w:spacing w:after="0"/>
              <w:rPr>
                <w:sz w:val="20"/>
                <w:szCs w:val="20"/>
                <w:color w:val="auto"/>
              </w:rPr>
            </w:pPr>
            <w:r>
              <w:rPr>
                <w:rFonts w:ascii="Arial" w:cs="Arial" w:eastAsia="Arial" w:hAnsi="Arial"/>
                <w:sz w:val="16"/>
                <w:szCs w:val="16"/>
                <w:b w:val="1"/>
                <w:bCs w:val="1"/>
                <w:color w:val="auto"/>
              </w:rPr>
              <w:t>June 30, 2017</w:t>
            </w:r>
          </w:p>
        </w:tc>
      </w:tr>
      <w:tr>
        <w:trPr>
          <w:trHeight w:val="33"/>
        </w:trPr>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(7,490)</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(11,344)</w:t>
            </w:r>
          </w:p>
        </w:tc>
      </w:tr>
      <w:tr>
        <w:trPr>
          <w:trHeight w:val="270"/>
        </w:trPr>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(11,562)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(10,092)</w:t>
            </w:r>
          </w:p>
        </w:tc>
      </w:tr>
      <w:tr>
        <w:trPr>
          <w:trHeight w:val="270"/>
        </w:trPr>
        <w:tc>
          <w:tcPr>
            <w:tcW w:w="280" w:type="dxa"/>
            <w:vAlign w:val="bottom"/>
          </w:tcPr>
          <w:p>
            <w:pPr>
              <w:spacing w:after="0"/>
              <w:rPr>
                <w:sz w:val="23"/>
                <w:szCs w:val="23"/>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7"/>
        </w:trPr>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(18,932)</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(21,425)</w:t>
            </w:r>
          </w:p>
        </w:tc>
      </w:tr>
      <w:tr>
        <w:trPr>
          <w:trHeight w:val="27"/>
        </w:trPr>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525" w:lineRule="exact"/>
        <w:rPr>
          <w:sz w:val="20"/>
          <w:szCs w:val="20"/>
          <w:color w:val="auto"/>
        </w:rPr>
      </w:pPr>
    </w:p>
    <w:p>
      <w:pPr>
        <w:sectPr>
          <w:pgSz w:w="11900" w:h="16838" w:orient="portrait"/>
          <w:cols w:equalWidth="0" w:num="2">
            <w:col w:w="6940" w:space="720"/>
            <w:col w:w="3760"/>
          </w:cols>
          <w:pgMar w:left="240" w:top="476" w:right="239" w:bottom="1440" w:gutter="0" w:footer="0" w:header="0"/>
          <w:type w:val="continuous"/>
        </w:sectPr>
      </w:pPr>
    </w:p>
    <w:p>
      <w:pPr>
        <w:ind w:right="40" w:firstLine="648"/>
        <w:spacing w:after="0" w:line="277" w:lineRule="auto"/>
        <w:rPr>
          <w:sz w:val="20"/>
          <w:szCs w:val="20"/>
          <w:color w:val="auto"/>
        </w:rPr>
      </w:pPr>
      <w:r>
        <w:rPr>
          <w:rFonts w:ascii="Arial" w:cs="Arial" w:eastAsia="Arial" w:hAnsi="Arial"/>
          <w:sz w:val="18"/>
          <w:szCs w:val="18"/>
          <w:color w:val="auto"/>
        </w:rPr>
        <w:t>Capital expenditures for property and equipment relate to spending for technology development, buildings and equipment used at sales locations and ancillary offerings, such as food and beverage offerings, at locations where such offerings are provided.</w:t>
      </w:r>
    </w:p>
    <w:p>
      <w:pPr>
        <w:spacing w:after="0" w:line="62"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In the 2018 first half, capital expenditures for property and equipment of $7.5 million included $5.0 million to support business operations (including $1.9 million for ancillary and other operations assets and $3.1 million for sales locations) and $2.4 million for technology spending.</w:t>
      </w:r>
    </w:p>
    <w:p>
      <w:pPr>
        <w:spacing w:after="0" w:line="38"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In the 2017 first half, capital expenditures for property and equipment of $11.3 million included $10.5 million to support business operations (including $5.7 million for ancillary and other operations assets and $4.8 million for sales locations) and $0.8 million for technology spending.</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of Company Owned Life Insurance</w:t>
      </w:r>
    </w:p>
    <w:p>
      <w:pPr>
        <w:spacing w:after="0" w:line="1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To support our ability to meet a portion of our obligations under the Marriott Vacations Worldwide Corporation Deferred Compensation Plan (the “Deferred Compensation Plan”), we acquired company owned insurance policies on the lives of certain participants in the Deferred Compensation Plan, the proceeds of which are intended to be aligned with the investment alternatives elected by plan participants. During the 2018 first half, we paid $11.6 million to acquire these policies.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76" w:right="2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Cash from Financing Activities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4"/>
          </w:tcPr>
          <w:p>
            <w:pPr>
              <w:jc w:val="right"/>
              <w:ind w:right="1131"/>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8"/>
        </w:trPr>
        <w:tc>
          <w:tcPr>
            <w:tcW w:w="76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Pr>
          <w:p>
            <w:pPr>
              <w:spacing w:after="0"/>
              <w:rPr>
                <w:sz w:val="22"/>
                <w:szCs w:val="22"/>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2018</w:t>
            </w:r>
          </w:p>
        </w:tc>
        <w:tc>
          <w:tcPr>
            <w:tcW w:w="280" w:type="dxa"/>
            <w:vAlign w:val="bottom"/>
          </w:tcPr>
          <w:p>
            <w:pPr>
              <w:spacing w:after="0"/>
              <w:rPr>
                <w:sz w:val="22"/>
                <w:szCs w:val="22"/>
                <w:color w:val="auto"/>
              </w:rPr>
            </w:pPr>
          </w:p>
        </w:tc>
        <w:tc>
          <w:tcPr>
            <w:tcW w:w="1540" w:type="dxa"/>
            <w:vAlign w:val="bottom"/>
          </w:tcPr>
          <w:p>
            <w:pPr>
              <w:jc w:val="right"/>
              <w:ind w:right="351"/>
              <w:spacing w:after="0"/>
              <w:rPr>
                <w:sz w:val="20"/>
                <w:szCs w:val="20"/>
                <w:color w:val="auto"/>
              </w:rPr>
            </w:pPr>
            <w:r>
              <w:rPr>
                <w:rFonts w:ascii="Arial" w:cs="Arial" w:eastAsia="Arial" w:hAnsi="Arial"/>
                <w:sz w:val="16"/>
                <w:szCs w:val="16"/>
                <w:b w:val="1"/>
                <w:bCs w:val="1"/>
                <w:color w:val="auto"/>
              </w:rPr>
              <w:t>June 30, 2017</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from securitization transactions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50,260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Repayment of debt related to securitization transactions</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(154,271)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(117,400)</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from Revolving Corporate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Repayment of Revolving Corporate Credit Facility</w:t>
            </w:r>
          </w:p>
        </w:tc>
        <w:tc>
          <w:tcPr>
            <w:tcW w:w="28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(12,500)</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non-interest bearing note payable</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(6,578)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(1,219)</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Payment of dividends</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(31,927)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(28,552)</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(624)</w:t>
            </w: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187,363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(63,865)</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Borrowings from / Repayment of Debt Related to Securitization Transactions</w:t>
      </w:r>
    </w:p>
    <w:p>
      <w:pPr>
        <w:spacing w:after="0" w:line="117"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We reflect proceeds from securitizations of vacation ownership notes receivable, including draw downs on the Warehouse Credit Facility, as “Borrowings from securitization transactions.” We reflect repayments of bonds associated with vacation ownership notes receivable securitizations and repayments on the Warehouse Credit Facility (including vacation ownership notes receivable repurchases) as “Repayment of debt related to securitization transactions.”</w:t>
      </w:r>
    </w:p>
    <w:p>
      <w:pPr>
        <w:spacing w:after="0" w:line="7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During the 2018 first half, we completed the securitization of a pool of $436.1 million of vacation ownership notes receivable. Approximately $327.1 million of the vacation ownership notes receivable were purchased on June 28, 2018 by the 2018-1 Trust, and we expect the remaining vacation ownership notes receivable to be purchased by the 2018-1 Trust prior to September 30, 2018. As of June 28, 2018, the 2018-1 Trust held $105.8 million of the proceeds, which will be released as the remaining vacation ownership notes receivable are purchased. On July 26, 2018, subsequent to the second quarter of 2018, the 2018-1 Trust purchased $56.5 million of the remaining vacation ownership notes receivable and $54.8 million was released from restricted cash. Any funds not used to purchase vacation ownership notes receivable will be returned to the investors. See Footnote 10 “Debt” to our Financial Statements for additional information regarding this transaction.</w:t>
      </w:r>
    </w:p>
    <w:p>
      <w:pPr>
        <w:spacing w:after="0" w:line="81"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At June 30, 2018, $39.6 million of gross vacation ownership notes receivable were eligible for securitization. See Footnote 10 “Debt” to our Financial Statements for additional information regarding our Warehouse Credit Facility.</w:t>
      </w:r>
    </w:p>
    <w:p>
      <w:pPr>
        <w:spacing w:after="0" w:line="62"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During the 2017 first half, we securitized vacation ownership notes receivable under our Warehouse Credit Facility. The carrying amount of the vacation ownership notes receivable securitized was $59.1 million. The advance rate was 85 percent, which resulted in gross proceeds of $50.3 million. Net proceeds were $50.0 million due to the funding of reserve accounts in the amount of $0.3 million.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Borrowings from / Repayment of Revolving Corporate Credit Facility</w:t>
      </w:r>
    </w:p>
    <w:p>
      <w:pPr>
        <w:spacing w:after="0" w:line="11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There were no amounts outstanding under our Revolving Corporate Credit Facility as of June 30, 2018. See Footnote 10 “Debt” to our Financial Statements for additional information regarding our Revolving Corporate Credit Facility.</w:t>
      </w:r>
    </w:p>
    <w:p>
      <w:pPr>
        <w:spacing w:after="0" w:line="62"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During the 2017 first half, we borrowed $60.0 million under our $200.0 million revolving credit facility (the “Previous Revolving Corporate Credit Facility”) to facilitate the funding of our short-term working capital needs, of which $47.5 million was outstanding as of June 30, 2017.</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In the 2018 first half, we paid $6.6 million of debt issuance costs, which included $5.6 million associated with the 2018 vacation ownership notes receivable securitization and $1.0 million of debt issuance costs associated with the amendment and extension of the Warehouse Credit Facility.</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2017 first half, we incurred $1.2 million of debt issuance costs associated with the amendment and extension of the Warehouse Credit Facility.</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84" w:right="239" w:bottom="1440" w:gutter="0" w:footer="0" w:header="0"/>
        </w:sectPr>
      </w:pPr>
    </w:p>
    <w:bookmarkStart w:id="70" w:name="page71"/>
    <w:bookmarkEnd w:id="70"/>
    <w:p>
      <w:pPr>
        <w:ind w:left="660"/>
        <w:spacing w:after="0"/>
        <w:rPr>
          <w:sz w:val="20"/>
          <w:szCs w:val="20"/>
          <w:color w:val="auto"/>
        </w:rPr>
      </w:pPr>
      <w:r>
        <w:rPr>
          <w:rFonts w:ascii="Arial" w:cs="Arial" w:eastAsia="Arial" w:hAnsi="Arial"/>
          <w:sz w:val="18"/>
          <w:szCs w:val="18"/>
          <w:i w:val="1"/>
          <w:iCs w:val="1"/>
          <w:color w:val="auto"/>
        </w:rPr>
        <w:t>Repayment of Other Debt</w:t>
      </w:r>
    </w:p>
    <w:p>
      <w:pPr>
        <w:spacing w:after="0" w:line="11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In the 2018 first half, we paid $32.7 million on the non-interest bearing note payable related to the acquisition of 112 completed vacation ownership units located on the Big Island of Hawaii in 2017. See Footnote 6 “Acquisitions and Dispositions” and Footnote 9 “Contingencies and Commitments” to our Financial Statements for additional information regarding this transaction.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share repurchase activity under our current share repurchase program: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Number of Shares</w:t>
            </w:r>
          </w:p>
        </w:tc>
        <w:tc>
          <w:tcPr>
            <w:tcW w:w="22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Cost of Shares</w:t>
            </w:r>
          </w:p>
        </w:tc>
        <w:tc>
          <w:tcPr>
            <w:tcW w:w="140" w:type="dxa"/>
            <w:vAlign w:val="bottom"/>
          </w:tcPr>
          <w:p>
            <w:pPr>
              <w:spacing w:after="0"/>
              <w:rPr>
                <w:sz w:val="17"/>
                <w:szCs w:val="17"/>
                <w:color w:val="auto"/>
              </w:rPr>
            </w:pPr>
          </w:p>
        </w:tc>
        <w:tc>
          <w:tcPr>
            <w:tcW w:w="1460" w:type="dxa"/>
            <w:vAlign w:val="bottom"/>
          </w:tcPr>
          <w:p>
            <w:pPr>
              <w:jc w:val="right"/>
              <w:ind w:right="54"/>
              <w:spacing w:after="0"/>
              <w:rPr>
                <w:sz w:val="20"/>
                <w:szCs w:val="20"/>
                <w:color w:val="auto"/>
              </w:rPr>
            </w:pPr>
            <w:r>
              <w:rPr>
                <w:rFonts w:ascii="Arial" w:cs="Arial" w:eastAsia="Arial" w:hAnsi="Arial"/>
                <w:sz w:val="16"/>
                <w:szCs w:val="16"/>
                <w:b w:val="1"/>
                <w:bCs w:val="1"/>
                <w:color w:val="auto"/>
                <w:w w:val="89"/>
              </w:rPr>
              <w:t>Average Price Paid</w:t>
            </w:r>
          </w:p>
        </w:tc>
      </w:tr>
      <w:tr>
        <w:trPr>
          <w:trHeight w:val="237"/>
        </w:trPr>
        <w:tc>
          <w:tcPr>
            <w:tcW w:w="64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 except per share amounts)</w:t>
            </w: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Repurchased</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Repurchased</w:t>
            </w:r>
          </w:p>
        </w:tc>
        <w:tc>
          <w:tcPr>
            <w:tcW w:w="140" w:type="dxa"/>
            <w:vAlign w:val="bottom"/>
          </w:tcPr>
          <w:p>
            <w:pPr>
              <w:spacing w:after="0"/>
              <w:rPr>
                <w:sz w:val="20"/>
                <w:szCs w:val="20"/>
                <w:color w:val="auto"/>
              </w:rPr>
            </w:pPr>
          </w:p>
        </w:tc>
        <w:tc>
          <w:tcPr>
            <w:tcW w:w="1460" w:type="dxa"/>
            <w:vAlign w:val="bottom"/>
          </w:tcPr>
          <w:p>
            <w:pPr>
              <w:jc w:val="right"/>
              <w:ind w:right="374"/>
              <w:spacing w:after="0"/>
              <w:rPr>
                <w:sz w:val="20"/>
                <w:szCs w:val="20"/>
                <w:color w:val="auto"/>
              </w:rPr>
            </w:pPr>
            <w:r>
              <w:rPr>
                <w:rFonts w:ascii="Arial" w:cs="Arial" w:eastAsia="Arial" w:hAnsi="Arial"/>
                <w:sz w:val="16"/>
                <w:szCs w:val="16"/>
                <w:b w:val="1"/>
                <w:bCs w:val="1"/>
                <w:color w:val="auto"/>
              </w:rPr>
              <w:t>per Share</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2017</w:t>
            </w:r>
          </w:p>
        </w:tc>
        <w:tc>
          <w:tcPr>
            <w:tcW w:w="16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10,440,505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696,744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66.73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 the first half of 2018</w:t>
            </w: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13,969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134.70</w:t>
            </w: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June 30, 2018</w:t>
            </w:r>
          </w:p>
        </w:tc>
        <w:tc>
          <w:tcPr>
            <w:tcW w:w="1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10,454,474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698,626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66.83</w:t>
            </w: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right="260" w:firstLine="648"/>
        <w:spacing w:after="0" w:line="277" w:lineRule="auto"/>
        <w:rPr>
          <w:sz w:val="20"/>
          <w:szCs w:val="20"/>
          <w:color w:val="auto"/>
        </w:rPr>
      </w:pPr>
      <w:r>
        <w:rPr>
          <w:rFonts w:ascii="Arial" w:cs="Arial" w:eastAsia="Arial" w:hAnsi="Arial"/>
          <w:sz w:val="18"/>
          <w:szCs w:val="18"/>
          <w:color w:val="auto"/>
        </w:rPr>
        <w:t>See Footnote 11 “Shareholders’ Equity” to our Financial Statements for further information related to our share repurchase program. The Merger Agreement prohibits us from repurchasing shares of our common stock without ILG’s consent.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distributed cash dividends to holders of common stock during the 2018 first half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Declaration Date</w:t>
            </w:r>
          </w:p>
        </w:tc>
        <w:tc>
          <w:tcPr>
            <w:tcW w:w="28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Shareholder Record Date</w:t>
            </w:r>
          </w:p>
        </w:tc>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Distribution Date</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w w:val="91"/>
              </w:rPr>
              <w:t>Dividend per Share</w:t>
            </w:r>
          </w:p>
        </w:tc>
      </w:tr>
      <w:tr>
        <w:trPr>
          <w:trHeight w:val="33"/>
        </w:trPr>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7, 2017</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21, 2017</w:t>
            </w: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January 4, 2018</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$0.40</w:t>
            </w:r>
          </w:p>
        </w:tc>
      </w:tr>
      <w:tr>
        <w:trPr>
          <w:trHeight w:val="243"/>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16, 2018</w:t>
            </w:r>
          </w:p>
        </w:tc>
        <w:tc>
          <w:tcPr>
            <w:tcW w:w="28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1, 2018</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15, 2018</w:t>
            </w:r>
          </w:p>
        </w:tc>
        <w:tc>
          <w:tcPr>
            <w:tcW w:w="2720" w:type="dxa"/>
            <w:vAlign w:val="bottom"/>
          </w:tcPr>
          <w:p>
            <w:pPr>
              <w:jc w:val="center"/>
              <w:spacing w:after="0"/>
              <w:rPr>
                <w:sz w:val="20"/>
                <w:szCs w:val="20"/>
                <w:color w:val="auto"/>
              </w:rPr>
            </w:pPr>
            <w:r>
              <w:rPr>
                <w:rFonts w:ascii="Arial" w:cs="Arial" w:eastAsia="Arial" w:hAnsi="Arial"/>
                <w:sz w:val="18"/>
                <w:szCs w:val="18"/>
                <w:color w:val="auto"/>
                <w:w w:val="88"/>
              </w:rPr>
              <w:t>$0.40</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43"/>
        </w:trPr>
        <w:tc>
          <w:tcPr>
            <w:tcW w:w="3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May 14, 2018</w:t>
            </w:r>
          </w:p>
        </w:tc>
        <w:tc>
          <w:tcPr>
            <w:tcW w:w="28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May 28, 2018</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June 11, 2018</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$0.40</w:t>
            </w:r>
          </w:p>
        </w:tc>
      </w:tr>
      <w:tr>
        <w:trPr>
          <w:trHeight w:val="27"/>
        </w:trPr>
        <w:tc>
          <w:tcPr>
            <w:tcW w:w="2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currently expect to pay quarterly cash dividends in the future, but any future dividend payments will be subject to Board approval, which will depend on our financial condition, results of operations and capital requirements, as well as applicable law, regulatory constraints, industry practice and other business considerations that our Board of Directors considers relevant. In addition, our Revolving Corporate Credit Facility contains restrictions on our ability to pay dividends, and the terms of agreements governing debt that we may incur in the future may also limit or prohibit dividend payments. The Merger Agreement restricts our ability to pay dividends other than our regular quarterly dividends until the pending ILG acquisition is completed. The payment of certain cash dividends may also result in an adjustment to the conversion rate of the Convertible Notes in a manner adverse to us. Accordingly, there can be no assurance that we will pay dividends in the future at the same rate or at all.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84"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as of June 30,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0"/>
              </w:rPr>
              <w:t>Payments Due by Period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Remainder</w:t>
            </w:r>
          </w:p>
        </w:tc>
        <w:tc>
          <w:tcPr>
            <w:tcW w:w="160" w:type="dxa"/>
            <w:vAlign w:val="bottom"/>
          </w:tcPr>
          <w:p>
            <w:pPr>
              <w:spacing w:after="0"/>
              <w:rPr>
                <w:sz w:val="18"/>
                <w:szCs w:val="18"/>
                <w:color w:val="auto"/>
              </w:rPr>
            </w:pPr>
          </w:p>
        </w:tc>
        <w:tc>
          <w:tcPr>
            <w:tcW w:w="1200" w:type="dxa"/>
            <w:vAlign w:val="bottom"/>
            <w:gridSpan w:val="2"/>
          </w:tcPr>
          <w:p>
            <w:pPr>
              <w:ind w:left="260"/>
              <w:spacing w:after="0"/>
              <w:rPr>
                <w:sz w:val="20"/>
                <w:szCs w:val="20"/>
                <w:color w:val="auto"/>
              </w:rPr>
            </w:pPr>
            <w:r>
              <w:rPr>
                <w:rFonts w:ascii="Arial" w:cs="Arial" w:eastAsia="Arial" w:hAnsi="Arial"/>
                <w:sz w:val="18"/>
                <w:szCs w:val="18"/>
                <w:b w:val="1"/>
                <w:bCs w:val="1"/>
                <w:color w:val="auto"/>
              </w:rPr>
              <w:t>Years</w:t>
            </w:r>
          </w:p>
        </w:tc>
        <w:tc>
          <w:tcPr>
            <w:tcW w:w="180" w:type="dxa"/>
            <w:vAlign w:val="bottom"/>
          </w:tcPr>
          <w:p>
            <w:pPr>
              <w:spacing w:after="0"/>
              <w:rPr>
                <w:sz w:val="18"/>
                <w:szCs w:val="18"/>
                <w:color w:val="auto"/>
              </w:rPr>
            </w:pPr>
          </w:p>
        </w:tc>
        <w:tc>
          <w:tcPr>
            <w:tcW w:w="1300" w:type="dxa"/>
            <w:vAlign w:val="bottom"/>
            <w:gridSpan w:val="2"/>
          </w:tcPr>
          <w:p>
            <w:pPr>
              <w:ind w:left="300"/>
              <w:spacing w:after="0"/>
              <w:rPr>
                <w:sz w:val="20"/>
                <w:szCs w:val="20"/>
                <w:color w:val="auto"/>
              </w:rPr>
            </w:pPr>
            <w:r>
              <w:rPr>
                <w:rFonts w:ascii="Arial" w:cs="Arial" w:eastAsia="Arial" w:hAnsi="Arial"/>
                <w:sz w:val="18"/>
                <w:szCs w:val="18"/>
                <w:b w:val="1"/>
                <w:bCs w:val="1"/>
                <w:color w:val="auto"/>
              </w:rPr>
              <w:t>Years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360" w:type="dxa"/>
            <w:vAlign w:val="bottom"/>
            <w:gridSpan w:val="4"/>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00" w:type="dxa"/>
            <w:vAlign w:val="bottom"/>
          </w:tcPr>
          <w:p>
            <w:pPr>
              <w:spacing w:after="0"/>
              <w:rPr>
                <w:sz w:val="22"/>
                <w:szCs w:val="22"/>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2"/>
                <w:szCs w:val="22"/>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of 2018</w:t>
            </w:r>
          </w:p>
        </w:tc>
        <w:tc>
          <w:tcPr>
            <w:tcW w:w="160" w:type="dxa"/>
            <w:vAlign w:val="bottom"/>
          </w:tcPr>
          <w:p>
            <w:pPr>
              <w:spacing w:after="0"/>
              <w:rPr>
                <w:sz w:val="22"/>
                <w:szCs w:val="22"/>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b w:val="1"/>
                <w:bCs w:val="1"/>
                <w:color w:val="auto"/>
                <w:w w:val="91"/>
              </w:rPr>
              <w:t>2019 - 2020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2021 - 2022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b w:val="1"/>
                <w:bCs w:val="1"/>
                <w:color w:val="auto"/>
              </w:rPr>
              <w:t>Thereafter</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Contractual Obligations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4080" w:type="dxa"/>
            <w:vAlign w:val="bottom"/>
            <w:gridSpan w:val="3"/>
          </w:tcPr>
          <w:p>
            <w:pPr>
              <w:spacing w:after="0" w:line="270" w:lineRule="exact"/>
              <w:rPr>
                <w:sz w:val="20"/>
                <w:szCs w:val="20"/>
                <w:color w:val="auto"/>
              </w:rPr>
            </w:pPr>
            <w:r>
              <w:rPr>
                <w:rFonts w:ascii="Arial" w:cs="Arial" w:eastAsia="Arial" w:hAnsi="Arial"/>
                <w:sz w:val="18"/>
                <w:szCs w:val="18"/>
                <w:color w:val="auto"/>
              </w:rPr>
              <w:t>Debt</w:t>
            </w:r>
            <w:r>
              <w:rPr>
                <w:rFonts w:ascii="Arial" w:cs="Arial" w:eastAsia="Arial" w:hAnsi="Arial"/>
                <w:sz w:val="25"/>
                <w:szCs w:val="25"/>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1,559,201</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72,271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316,253</w:t>
            </w:r>
          </w:p>
        </w:tc>
        <w:tc>
          <w:tcPr>
            <w:tcW w:w="100" w:type="dxa"/>
            <w:vAlign w:val="bottom"/>
          </w:tcPr>
          <w:p>
            <w:pPr>
              <w:spacing w:after="0"/>
              <w:rPr>
                <w:sz w:val="23"/>
                <w:szCs w:val="23"/>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514,817</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655,860</w:t>
            </w:r>
          </w:p>
        </w:tc>
        <w:tc>
          <w:tcPr>
            <w:tcW w:w="0" w:type="dxa"/>
            <w:vAlign w:val="bottom"/>
          </w:tcPr>
          <w:p>
            <w:pPr>
              <w:spacing w:after="0"/>
              <w:rPr>
                <w:sz w:val="1"/>
                <w:szCs w:val="1"/>
                <w:color w:val="auto"/>
              </w:rPr>
            </w:pPr>
          </w:p>
        </w:tc>
      </w:tr>
      <w:tr>
        <w:trPr>
          <w:trHeight w:val="173"/>
        </w:trPr>
        <w:tc>
          <w:tcPr>
            <w:tcW w:w="2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8"/>
                <w:shd w:val="clear" w:color="auto" w:fill="CCEEFF"/>
              </w:rPr>
              <w:t>Purchase obligations</w:t>
            </w:r>
          </w:p>
        </w:tc>
        <w:tc>
          <w:tcPr>
            <w:tcW w:w="3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75"/>
                <w:shd w:val="clear" w:color="auto" w:fill="CCEEFF"/>
              </w:rPr>
              <w:t>(2)</w:t>
            </w:r>
          </w:p>
        </w:tc>
        <w:tc>
          <w:tcPr>
            <w:tcW w:w="2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495,176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18,212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405,200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69,782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77"/>
        </w:trPr>
        <w:tc>
          <w:tcPr>
            <w:tcW w:w="280" w:type="dxa"/>
            <w:vAlign w:val="bottom"/>
            <w:tcBorders>
              <w:bottom w:val="single" w:sz="8" w:color="CCEEFF"/>
            </w:tcBorders>
            <w:shd w:val="clear" w:color="auto" w:fill="CCEEFF"/>
          </w:tcPr>
          <w:p>
            <w:pPr>
              <w:spacing w:after="0"/>
              <w:rPr>
                <w:sz w:val="6"/>
                <w:szCs w:val="6"/>
                <w:color w:val="auto"/>
              </w:rPr>
            </w:pPr>
          </w:p>
        </w:tc>
        <w:tc>
          <w:tcPr>
            <w:tcW w:w="1500" w:type="dxa"/>
            <w:vAlign w:val="bottom"/>
            <w:tcBorders>
              <w:bottom w:val="single" w:sz="8" w:color="CCEEFF"/>
            </w:tcBorders>
            <w:vMerge w:val="continue"/>
            <w:shd w:val="clear" w:color="auto" w:fill="CCEEFF"/>
          </w:tcPr>
          <w:p>
            <w:pPr>
              <w:spacing w:after="0"/>
              <w:rPr>
                <w:sz w:val="6"/>
                <w:szCs w:val="6"/>
                <w:color w:val="auto"/>
              </w:rPr>
            </w:pPr>
          </w:p>
        </w:tc>
        <w:tc>
          <w:tcPr>
            <w:tcW w:w="360" w:type="dxa"/>
            <w:vAlign w:val="bottom"/>
            <w:tcBorders>
              <w:bottom w:val="single" w:sz="8" w:color="CCEEFF"/>
            </w:tcBorders>
            <w:shd w:val="clear" w:color="auto" w:fill="CCEEFF"/>
          </w:tcPr>
          <w:p>
            <w:pPr>
              <w:spacing w:after="0"/>
              <w:rPr>
                <w:sz w:val="6"/>
                <w:szCs w:val="6"/>
                <w:color w:val="auto"/>
              </w:rPr>
            </w:pPr>
          </w:p>
        </w:tc>
        <w:tc>
          <w:tcPr>
            <w:tcW w:w="2220" w:type="dxa"/>
            <w:vAlign w:val="bottom"/>
            <w:tcBorders>
              <w:bottom w:val="single" w:sz="8" w:color="CCEEFF"/>
            </w:tcBorders>
            <w:shd w:val="clear" w:color="auto" w:fill="CCEEFF"/>
          </w:tcPr>
          <w:p>
            <w:pPr>
              <w:spacing w:after="0"/>
              <w:rPr>
                <w:sz w:val="6"/>
                <w:szCs w:val="6"/>
                <w:color w:val="auto"/>
              </w:rPr>
            </w:pPr>
          </w:p>
        </w:tc>
        <w:tc>
          <w:tcPr>
            <w:tcW w:w="300" w:type="dxa"/>
            <w:vAlign w:val="bottom"/>
            <w:tcBorders>
              <w:bottom w:val="single" w:sz="8" w:color="CCEEFF"/>
            </w:tcBorders>
            <w:shd w:val="clear" w:color="auto" w:fill="CCEEFF"/>
          </w:tcPr>
          <w:p>
            <w:pPr>
              <w:spacing w:after="0"/>
              <w:rPr>
                <w:sz w:val="6"/>
                <w:szCs w:val="6"/>
                <w:color w:val="auto"/>
              </w:rPr>
            </w:pPr>
          </w:p>
        </w:tc>
        <w:tc>
          <w:tcPr>
            <w:tcW w:w="108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11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11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118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118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87,497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8,725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27,249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16,036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35,487</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80" w:type="dxa"/>
            <w:vAlign w:val="bottom"/>
            <w:shd w:val="clear" w:color="auto" w:fill="CCEEFF"/>
          </w:tcPr>
          <w:p>
            <w:pPr>
              <w:spacing w:after="0"/>
              <w:rPr>
                <w:sz w:val="15"/>
                <w:szCs w:val="15"/>
                <w:color w:val="auto"/>
              </w:rPr>
            </w:pPr>
          </w:p>
        </w:tc>
        <w:tc>
          <w:tcPr>
            <w:tcW w:w="18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w w:val="89"/>
                <w:shd w:val="clear" w:color="auto" w:fill="CCEEFF"/>
              </w:rPr>
              <w:t>Capital Lease Obligations</w:t>
            </w:r>
          </w:p>
        </w:tc>
        <w:tc>
          <w:tcPr>
            <w:tcW w:w="2220" w:type="dxa"/>
            <w:vAlign w:val="bottom"/>
            <w:shd w:val="clear" w:color="auto" w:fill="CCEEFF"/>
          </w:tcPr>
          <w:p>
            <w:pPr>
              <w:jc w:val="right"/>
              <w:ind w:right="1997"/>
              <w:spacing w:after="0"/>
              <w:rPr>
                <w:sz w:val="20"/>
                <w:szCs w:val="20"/>
                <w:color w:val="auto"/>
              </w:rPr>
            </w:pPr>
            <w:r>
              <w:rPr>
                <w:rFonts w:ascii="Arial" w:cs="Arial" w:eastAsia="Arial" w:hAnsi="Arial"/>
                <w:sz w:val="13"/>
                <w:szCs w:val="13"/>
                <w:color w:val="auto"/>
                <w:w w:val="87"/>
                <w:shd w:val="clear" w:color="auto" w:fill="CCEEFF"/>
              </w:rPr>
              <w:t>(3)</w:t>
            </w:r>
          </w:p>
        </w:tc>
        <w:tc>
          <w:tcPr>
            <w:tcW w:w="3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7,402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7,221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7"/>
        </w:trPr>
        <w:tc>
          <w:tcPr>
            <w:tcW w:w="280" w:type="dxa"/>
            <w:vAlign w:val="bottom"/>
            <w:tcBorders>
              <w:bottom w:val="single" w:sz="8" w:color="CCEEFF"/>
            </w:tcBorders>
            <w:shd w:val="clear" w:color="auto" w:fill="CCEEFF"/>
          </w:tcPr>
          <w:p>
            <w:pPr>
              <w:spacing w:after="0"/>
              <w:rPr>
                <w:sz w:val="6"/>
                <w:szCs w:val="6"/>
                <w:color w:val="auto"/>
              </w:rPr>
            </w:pPr>
          </w:p>
        </w:tc>
        <w:tc>
          <w:tcPr>
            <w:tcW w:w="1860" w:type="dxa"/>
            <w:vAlign w:val="bottom"/>
            <w:tcBorders>
              <w:bottom w:val="single" w:sz="8" w:color="CCEEFF"/>
            </w:tcBorders>
            <w:gridSpan w:val="2"/>
            <w:vMerge w:val="continue"/>
            <w:shd w:val="clear" w:color="auto" w:fill="CCEEFF"/>
          </w:tcPr>
          <w:p>
            <w:pPr>
              <w:spacing w:after="0"/>
              <w:rPr>
                <w:sz w:val="6"/>
                <w:szCs w:val="6"/>
                <w:color w:val="auto"/>
              </w:rPr>
            </w:pPr>
          </w:p>
        </w:tc>
        <w:tc>
          <w:tcPr>
            <w:tcW w:w="2220" w:type="dxa"/>
            <w:vAlign w:val="bottom"/>
            <w:tcBorders>
              <w:bottom w:val="single" w:sz="8" w:color="CCEEFF"/>
            </w:tcBorders>
            <w:shd w:val="clear" w:color="auto" w:fill="CCEEFF"/>
          </w:tcPr>
          <w:p>
            <w:pPr>
              <w:spacing w:after="0"/>
              <w:rPr>
                <w:sz w:val="6"/>
                <w:szCs w:val="6"/>
                <w:color w:val="auto"/>
              </w:rPr>
            </w:pPr>
          </w:p>
        </w:tc>
        <w:tc>
          <w:tcPr>
            <w:tcW w:w="300" w:type="dxa"/>
            <w:vAlign w:val="bottom"/>
            <w:tcBorders>
              <w:bottom w:val="single" w:sz="8" w:color="CCEEFF"/>
            </w:tcBorders>
            <w:shd w:val="clear" w:color="auto" w:fill="CCEEFF"/>
          </w:tcPr>
          <w:p>
            <w:pPr>
              <w:spacing w:after="0"/>
              <w:rPr>
                <w:sz w:val="6"/>
                <w:szCs w:val="6"/>
                <w:color w:val="auto"/>
              </w:rPr>
            </w:pPr>
          </w:p>
        </w:tc>
        <w:tc>
          <w:tcPr>
            <w:tcW w:w="108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11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110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1300" w:type="dxa"/>
            <w:vAlign w:val="bottom"/>
            <w:tcBorders>
              <w:bottom w:val="single" w:sz="8" w:color="CCEEFF"/>
            </w:tcBorders>
            <w:gridSpan w:val="2"/>
            <w:vMerge w:val="continue"/>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118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Other long-term obligations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2"/>
                <w:shd w:val="clear" w:color="auto" w:fill="CCEEFF"/>
              </w:rPr>
              <w:t>Total contractual obligations</w:t>
            </w:r>
          </w:p>
        </w:tc>
        <w:tc>
          <w:tcPr>
            <w:tcW w:w="2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2,150,179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100,292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755,923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600,635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693,329</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gridSpan w:val="4"/>
            <w:vMerge w:val="restart"/>
          </w:tcPr>
          <w:p>
            <w:pPr>
              <w:jc w:val="right"/>
              <w:ind w:right="2037"/>
              <w:spacing w:after="0"/>
              <w:rPr>
                <w:sz w:val="20"/>
                <w:szCs w:val="20"/>
                <w:color w:val="auto"/>
              </w:rPr>
            </w:pPr>
            <w:r>
              <w:rPr>
                <w:rFonts w:ascii="Arial" w:cs="Arial" w:eastAsia="Arial" w:hAnsi="Arial"/>
                <w:sz w:val="18"/>
                <w:szCs w:val="18"/>
                <w:color w:val="auto"/>
                <w:w w:val="89"/>
              </w:rPr>
              <w:t>_________________________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gridSpan w:val="4"/>
            <w:vMerge w:val="continue"/>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25" w:lineRule="auto"/>
        <w:tabs>
          <w:tab w:leader="none" w:pos="66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Includes principal as well as interest payments and excludes unamortized debt discount and issuance costs.</w:t>
      </w:r>
    </w:p>
    <w:p>
      <w:pPr>
        <w:spacing w:after="0" w:line="56" w:lineRule="exact"/>
        <w:rPr>
          <w:rFonts w:ascii="Arial" w:cs="Arial" w:eastAsia="Arial" w:hAnsi="Arial"/>
          <w:sz w:val="25"/>
          <w:szCs w:val="25"/>
          <w:color w:val="auto"/>
          <w:vertAlign w:val="superscript"/>
        </w:rPr>
      </w:pPr>
    </w:p>
    <w:p>
      <w:pPr>
        <w:ind w:left="660" w:right="220" w:hanging="652"/>
        <w:spacing w:after="0" w:line="254" w:lineRule="auto"/>
        <w:tabs>
          <w:tab w:leader="none" w:pos="660" w:val="left"/>
        </w:tabs>
        <w:numPr>
          <w:ilvl w:val="0"/>
          <w:numId w:val="42"/>
        </w:numPr>
        <w:rPr>
          <w:rFonts w:ascii="Arial" w:cs="Arial" w:eastAsia="Arial" w:hAnsi="Arial"/>
          <w:sz w:val="22"/>
          <w:szCs w:val="22"/>
          <w:color w:val="auto"/>
          <w:vertAlign w:val="superscript"/>
        </w:rPr>
      </w:pPr>
      <w:r>
        <w:rPr>
          <w:rFonts w:ascii="Arial" w:cs="Arial" w:eastAsia="Arial" w:hAnsi="Arial"/>
          <w:sz w:val="16"/>
          <w:szCs w:val="16"/>
          <w:color w:val="auto"/>
        </w:rPr>
        <w:t>Arrangements are considered purchase obligations if a contract specifies all significant terms, including fixed or minimum quantities to be purchased, a pricing structure, and approximate timing of the transaction. Amounts reflected in the table above represent expected funding under such contracts. Amounts reflected on the consolidated balance sheet as accounts payable and accrued liabilities are excluded from the table above.</w:t>
      </w:r>
    </w:p>
    <w:p>
      <w:pPr>
        <w:ind w:left="660" w:hanging="652"/>
        <w:spacing w:after="0" w:line="225" w:lineRule="auto"/>
        <w:tabs>
          <w:tab w:leader="none" w:pos="66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Includes interest.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consolidated results of operations or financial condition.</w:t>
      </w:r>
    </w:p>
    <w:p>
      <w:pPr>
        <w:spacing w:after="0" w:line="79"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consolidated financial position or results of operations. We have discussed those estimates that we believe are critical and require the use of complex judgment in their application in our most recent Annual Report on Form 10-K. Since the date of our most recent Annual Report on Form 10-K, there have been no material changes to our critical accounting policies or the methodologies or assumptions we apply under them, except those resulting from our adoption of Accounting Standards Update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 amended, which are discussed in Footnote 2 “Revenue” to our interim consolidated financial statements presented in Part 1, Item 1 of this Quarterly Report on Form 10-Q.</w:t>
      </w:r>
    </w:p>
    <w:p>
      <w:pPr>
        <w:spacing w:after="0" w:line="16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exposure to market risk has not changed materially from that disclosed in Part I, Item 7A of our Annual Report on Form 10-K for the year ended December 31,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84" w:right="239" w:bottom="1440" w:gutter="0" w:footer="0" w:header="0"/>
        </w:sectPr>
      </w:pPr>
    </w:p>
    <w:bookmarkStart w:id="72" w:name="page73"/>
    <w:bookmarkEnd w:id="72"/>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During June 2018, we identified fraudulently induced electronic disbursements we made to third parties in an aggregate amount of $9.9 million resulting from unauthorized third-party access to our email system. In consultation with the Audit Committee of our Board of Directors and our independent registered public accounting firm, Ernst &amp; Young LLP, management has concluded that our controls to prevent improper electronic funds transfers were not designed effectively, resulting in a material weakness in our internal control over financial reporting.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Because management concluded that the material weakness described above existed, we have concluded that we did not maintain effective internal control over financial reporting based on the criteria in Internal Control - Integrated Framework (2013) issued by the Committee of Sponsoring Organizations of the Treadway Commission.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and concluded that such controls were not effective as of the end of the period covered by this Quarterly Report on Form 10-Q, based on the identification of the material weakness described above.</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Immediately after identification of the fraudulently induced disbursements, management implemented additional controls intended to prevent fraudulently induced electronic disbursements, including additional verification and documentation procedures with respect to electronic disbursements. We believe these enhancements have increased the ability of our associates to identify and prevent fraudulently induced electronic disbursements and that these actions have improved our internal controls over financial reporting. The reliability of internal control processes requires repeatable execution and the identified material weakness will be considered fully remediated when these internal control enhancements have been in operation for a sufficient period of time for our management to conclude that the material weakness has been successfully remediated, which will likely occur in the third quarter of 2018.</w:t>
      </w:r>
    </w:p>
    <w:p>
      <w:pPr>
        <w:spacing w:after="0" w:line="5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There were no other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580" w:right="27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Currently, and from time to time, we are subject to claims in legal proceedings arising in the normal course of business, including, among others, the legal actions discussed in Footnote 9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There have been no material changes to the risk factors disclosed in Part I, Item 1A of (a) our Annual Report on Form 10-K for the fiscal year ended December 31, 2017 (our “2017 10-K”) and (b) our Quarterly Report on Form 10-Q for the three months ended March 31, 2018, other than as set forth below. The first two risk factors set forth below reflect revisions to the prior versions of such risk factors that appeared in our 2017 10-K. The final risk factor set forth below was originally disclosed in our Current Report on Form 8-K filed on July 19, 2018 and is repeated here for ease of reference.</w:t>
      </w:r>
    </w:p>
    <w:p>
      <w:pPr>
        <w:spacing w:after="0" w:line="171"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b w:val="1"/>
          <w:bCs w:val="1"/>
          <w:i w:val="1"/>
          <w:iCs w:val="1"/>
          <w:color w:val="auto"/>
        </w:rPr>
        <w:t>Failure to maintain the integrity of internal or customer data, or to protect our systems from cyber attacks and similar incidents, could result in faulty business decisions or operational inefficiencies, damage our reputation and/or subject us to costs, fines or lawsuits.</w:t>
      </w:r>
    </w:p>
    <w:p>
      <w:pPr>
        <w:spacing w:after="0" w:line="3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collect and retain large volumes of internal and customer data, including social security numbers, credit card numbers and other personally identifiable information of our customers in various internal information systems and information systems of our service providers. We also maintain personally identifiable information about our employees. The integrity and protection of that customer, employee and company data is critical to us. We could make faulty decisions if that data is inaccurate or incomplete. Our customers and employees also have a high expectation that we and our service providers will adequately protect their personal information. The regulatory environment as well as the requirements imposed on us by the payment card industry surrounding information, security and privacy is also increasingly demanding, in both the United States and other jurisdictions in which we operate. Our systems may be unable to satisfy changing regulatory and payment card industry requirements and employee and customer expectations, or may require significant additional investments or time in order to do so.</w:t>
      </w:r>
    </w:p>
    <w:p>
      <w:pPr>
        <w:spacing w:after="0" w:line="7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information systems and records, including those we maintain with our service providers, may be subject to security breaches, cyber attack or cyber-intrusion, system failures, viruses, operator error or inadvertent releases of data. Data breaches have increased in recent years as the number, intensity and sophistication of attempted attacks and intrusions have increased. We must continuously monitor and enhance our information security controls to prevent, detect, and contain unauthorized activity, access, misuse and malicious software. Because the techniques used to obtain unauthorized access, disable or degrade service, or sabotage systems change frequently and may be difficult to detect for long periods of time, we may be unable to anticipate these techniques or implement adequate preventive measures. Unauthorized parties may also attempt to gain access to our systems or facilities through fraud, trickery or other forms of deceiving our associates, owners, customers or other users of our systems. Accordingly, we may be unable to anticipate these techniques or to implement adequate preventative measures, and, even if such measures are implemented and appropriate training is conducted in support of such measures, human errors compromising the efficacy of such measures may still occur. As a result, current or future security measures may not prevent any or all breaches and we may be required to expend significant capital and other resources to protect against, detect and remedy any potential or existing breaches and their consequences. For example, in June 2018, we identified fraudulently induced electronic payment disbursements we made to third parties in an aggregate amount of $9.9 million resulting from unauthorized third-party access to our email system. A significant cyberattack or theft, loss, or fraudulent use of customer, employee or company data maintained by us or by a service provider could adversely impact our reputation and could result in remedial and other expenses, fines or litigation. For example, failure to comply with Europe’s new GDPR, which became effective in May 2018, could result in fines of up to 4 percent of annual worldwide “turnover” (a measure similar to revenues in the United States). A breach in the security of our information systems or those of our service providers could lead to an interruption in the operation of our systems, resulting in operational inefficiencies and a loss of profits.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580" w:right="259" w:bottom="1440" w:gutter="0" w:footer="0" w:header="0"/>
        </w:sectPr>
      </w:pPr>
    </w:p>
    <w:bookmarkStart w:id="74" w:name="page75"/>
    <w:bookmarkEnd w:id="74"/>
    <w:p>
      <w:pPr>
        <w:ind w:right="320" w:firstLine="648"/>
        <w:spacing w:after="0" w:line="277" w:lineRule="auto"/>
        <w:rPr>
          <w:sz w:val="20"/>
          <w:szCs w:val="20"/>
          <w:color w:val="auto"/>
        </w:rPr>
      </w:pPr>
      <w:r>
        <w:rPr>
          <w:rFonts w:ascii="Arial" w:cs="Arial" w:eastAsia="Arial" w:hAnsi="Arial"/>
          <w:sz w:val="18"/>
          <w:szCs w:val="18"/>
          <w:b w:val="1"/>
          <w:bCs w:val="1"/>
          <w:i w:val="1"/>
          <w:iCs w:val="1"/>
          <w:color w:val="auto"/>
        </w:rPr>
        <w:t>Inadequate or failed technologies could lead to interruptions in our operations, which may materially adversely affect our business, financial position, results of operations or cash flows</w:t>
      </w:r>
      <w:r>
        <w:rPr>
          <w:rFonts w:ascii="Arial" w:cs="Arial" w:eastAsia="Arial" w:hAnsi="Arial"/>
          <w:sz w:val="18"/>
          <w:szCs w:val="18"/>
          <w:color w:val="auto"/>
        </w:rPr>
        <w:t>.</w:t>
      </w:r>
    </w:p>
    <w:p>
      <w:pPr>
        <w:spacing w:after="0" w:line="6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Our operations depend on our ability to maintain existing systems and implement new technologies, which includes allocating sufficient resources to periodically upgrade our information technology systems, and to protect our equipment and the information stored in our databases against both manmade and natural disasters, as well as power losses, computer and telecommunications failures, technological breakdowns, unauthorized intrusions, cyber-attacks, and other events. Conversions to new information technology systems require effective change management processes and may result in cost overruns, delays or business interruptions. If our information technology systems are disrupted, subject to a cyber attack or other unauthorized intrusion, become obsolete or do not adequately support our strategic, operational or compliance needs, our business, financial position, results of operations or cash flows may be adversely affected. In addition to financial consequences, disruptions to our information technology systems may materially impact our disclosure controls and procedures and internal control over financial reporting in future periods.</w:t>
      </w:r>
    </w:p>
    <w:p>
      <w:pPr>
        <w:spacing w:after="0" w:line="17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b w:val="1"/>
          <w:bCs w:val="1"/>
          <w:i w:val="1"/>
          <w:iCs w:val="1"/>
          <w:color w:val="auto"/>
        </w:rPr>
        <w:t>Spanish court rulings invalidating timeshare contracts have increased our exposure to litigation and such litigation may materially adversely affect our business and financial condition</w:t>
      </w:r>
      <w:r>
        <w:rPr>
          <w:rFonts w:ascii="Arial" w:cs="Arial" w:eastAsia="Arial" w:hAnsi="Arial"/>
          <w:sz w:val="18"/>
          <w:szCs w:val="18"/>
          <w:color w:val="auto"/>
        </w:rPr>
        <w:t>.</w:t>
      </w:r>
    </w:p>
    <w:p>
      <w:pPr>
        <w:spacing w:after="0" w:line="62"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A series of Spanish court rulings over the past several years invalidating timeshare contracts have increased our exposure to litigation and such litigation may materially adversely affect our business and financial condition. These rulings have invalidated timeshare contracts entered into after January 1999 related to certain resorts in Spain if the timeshare structure of those resorts did not meet requirements prescribed by Spanish timeshare laws enacted in 1998, even if the structure was lawful prior to 1998 and adapted to the 1998 laws pursuant to mechanisms specified in the 1998 laws. These rulings have led to an increase in lawsuits by owners seeking to invalidate timeshare contracts in Spain, including a number of such lawsuits filed by owners at two of our resorts in Spain that have been decided in favor of the owners. If additional owners at our resorts in Spain file similar lawsuits, this may: result in the invalidation of those owners’ timeshare contracts entered into after January 1999; cause us to incur material litigation and other costs, including judgment or settlement payments; and materially adversely affect the results of operation of our Europe segment, as well as our business and financial condition. Members of the vacation ownership industry disagree with these rulings and are seeking to introduce legislation that will implement a more balanced approach. However, there can be no assurance that this new legislation will be enacted. The timeshare laws, regulations and policies in Spain may continue to change or be subject to different interpretations in the future, including in ways that could negatively impact our business.</w:t>
      </w:r>
    </w:p>
    <w:p>
      <w:pPr>
        <w:spacing w:after="0" w:line="16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6"/>
              </w:rPr>
              <w:t>Maximum Number of</w:t>
            </w:r>
          </w:p>
        </w:tc>
        <w:tc>
          <w:tcPr>
            <w:tcW w:w="0" w:type="dxa"/>
            <w:vAlign w:val="bottom"/>
          </w:tcPr>
          <w:p>
            <w:pPr>
              <w:spacing w:after="0"/>
              <w:rPr>
                <w:sz w:val="1"/>
                <w:szCs w:val="1"/>
                <w:color w:val="auto"/>
              </w:rPr>
            </w:pPr>
          </w:p>
        </w:tc>
      </w:tr>
      <w:tr>
        <w:trPr>
          <w:trHeight w:val="203"/>
        </w:trPr>
        <w:tc>
          <w:tcPr>
            <w:tcW w:w="4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as Part of</w:t>
            </w: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2"/>
              </w:rPr>
              <w:t>Shares That May Yet Be</w:t>
            </w:r>
          </w:p>
        </w:tc>
        <w:tc>
          <w:tcPr>
            <w:tcW w:w="0" w:type="dxa"/>
            <w:vAlign w:val="bottom"/>
          </w:tcPr>
          <w:p>
            <w:pPr>
              <w:spacing w:after="0"/>
              <w:rPr>
                <w:sz w:val="1"/>
                <w:szCs w:val="1"/>
                <w:color w:val="auto"/>
              </w:rPr>
            </w:pPr>
          </w:p>
        </w:tc>
      </w:tr>
      <w:tr>
        <w:trPr>
          <w:trHeight w:val="203"/>
        </w:trPr>
        <w:tc>
          <w:tcPr>
            <w:tcW w:w="44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Average</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 Plans</w:t>
            </w: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Under the</w:t>
            </w:r>
          </w:p>
        </w:tc>
        <w:tc>
          <w:tcPr>
            <w:tcW w:w="0" w:type="dxa"/>
            <w:vAlign w:val="bottom"/>
          </w:tcPr>
          <w:p>
            <w:pPr>
              <w:spacing w:after="0"/>
              <w:rPr>
                <w:sz w:val="1"/>
                <w:szCs w:val="1"/>
                <w:color w:val="auto"/>
              </w:rPr>
            </w:pPr>
          </w:p>
        </w:tc>
      </w:tr>
      <w:tr>
        <w:trPr>
          <w:trHeight w:val="243"/>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Shares Purchased</w:t>
            </w: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Price per Share</w:t>
            </w:r>
          </w:p>
        </w:tc>
        <w:tc>
          <w:tcPr>
            <w:tcW w:w="10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or Programs</w:t>
            </w:r>
            <w:r>
              <w:rPr>
                <w:rFonts w:ascii="Arial" w:cs="Arial" w:eastAsia="Arial" w:hAnsi="Arial"/>
                <w:sz w:val="21"/>
                <w:szCs w:val="21"/>
                <w:b w:val="1"/>
                <w:bCs w:val="1"/>
                <w:color w:val="auto"/>
                <w:w w:val="89"/>
                <w:vertAlign w:val="superscript"/>
              </w:rPr>
              <w:t>(1)</w:t>
            </w:r>
          </w:p>
        </w:tc>
        <w:tc>
          <w:tcPr>
            <w:tcW w:w="10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Plans or Programs</w:t>
            </w:r>
            <w:r>
              <w:rPr>
                <w:rFonts w:ascii="Arial" w:cs="Arial" w:eastAsia="Arial" w:hAnsi="Arial"/>
                <w:sz w:val="21"/>
                <w:szCs w:val="21"/>
                <w:b w:val="1"/>
                <w:bCs w:val="1"/>
                <w:color w:val="auto"/>
                <w:w w:val="89"/>
                <w:vertAlign w:val="superscript"/>
              </w:rPr>
              <w:t>(1)</w:t>
            </w: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2018 – April 30, 2018</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1,445,526</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May 1, 2018 – May 31, 2018</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1,445,526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1, 2018 – June 30, 2018</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1,445,526</w:t>
            </w:r>
          </w:p>
        </w:tc>
        <w:tc>
          <w:tcPr>
            <w:tcW w:w="0" w:type="dxa"/>
            <w:vAlign w:val="bottom"/>
          </w:tcPr>
          <w:p>
            <w:pPr>
              <w:spacing w:after="0"/>
              <w:rPr>
                <w:sz w:val="1"/>
                <w:szCs w:val="1"/>
                <w:color w:val="auto"/>
              </w:rPr>
            </w:pP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w:t>
            </w:r>
          </w:p>
        </w:tc>
        <w:tc>
          <w:tcPr>
            <w:tcW w:w="1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1,445,526</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200" w:hanging="652"/>
        <w:spacing w:after="0" w:line="232" w:lineRule="auto"/>
        <w:tabs>
          <w:tab w:leader="none" w:pos="66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On May 14, 2018, our Board of Directors authorized the extension of the duration of our existing share repurchase program through December 31, 2018. As of June 30, 2018, our Board of Directors had authorized the repurchase of an aggregate of up to 11.9 million shares of our common stock under the share repurchase program since the initiation of the program in October 2013. The Merger Agreement prohibits us from repurchasing shares of our common stock without ILG’s consent.</w:t>
      </w:r>
    </w:p>
    <w:p>
      <w:pPr>
        <w:spacing w:after="0" w:line="19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584" w:right="239" w:bottom="1440" w:gutter="0" w:footer="0" w:header="0"/>
        </w:sectPr>
      </w:pPr>
    </w:p>
    <w:bookmarkStart w:id="75" w:name="page76"/>
    <w:bookmarkEnd w:id="75"/>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documents referenced below are being filed as a part of this Quarterly Report on Form 10-Q, unless otherwise noted.</w:t>
      </w:r>
    </w:p>
    <w:p>
      <w:pPr>
        <w:spacing w:after="0" w:line="185"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2100" w:type="dxa"/>
            <w:vAlign w:val="bottom"/>
            <w:vMerge w:val="restart"/>
          </w:tcPr>
          <w:p>
            <w:pPr>
              <w:jc w:val="center"/>
              <w:ind w:right="1439"/>
              <w:spacing w:after="0"/>
              <w:rPr>
                <w:sz w:val="20"/>
                <w:szCs w:val="20"/>
                <w:color w:val="auto"/>
              </w:rPr>
            </w:pPr>
            <w:r>
              <w:rPr>
                <w:rFonts w:ascii="Arial" w:cs="Arial" w:eastAsia="Arial" w:hAnsi="Arial"/>
                <w:sz w:val="16"/>
                <w:szCs w:val="16"/>
                <w:b w:val="1"/>
                <w:bCs w:val="1"/>
                <w:color w:val="auto"/>
                <w:w w:val="93"/>
              </w:rPr>
              <w:t>Exhibit</w:t>
            </w:r>
          </w:p>
        </w:tc>
        <w:tc>
          <w:tcPr>
            <w:tcW w:w="3800" w:type="dxa"/>
            <w:vAlign w:val="bottom"/>
          </w:tcPr>
          <w:p>
            <w:pPr>
              <w:spacing w:after="0"/>
              <w:rPr>
                <w:sz w:val="18"/>
                <w:szCs w:val="18"/>
                <w:color w:val="auto"/>
              </w:rPr>
            </w:pPr>
          </w:p>
        </w:tc>
        <w:tc>
          <w:tcPr>
            <w:tcW w:w="2400" w:type="dxa"/>
            <w:vAlign w:val="bottom"/>
            <w:vMerge w:val="restart"/>
          </w:tcPr>
          <w:p>
            <w:pPr>
              <w:jc w:val="center"/>
              <w:ind w:left="1179"/>
              <w:spacing w:after="0"/>
              <w:rPr>
                <w:sz w:val="20"/>
                <w:szCs w:val="20"/>
                <w:color w:val="auto"/>
              </w:rPr>
            </w:pPr>
            <w:r>
              <w:rPr>
                <w:rFonts w:ascii="Arial" w:cs="Arial" w:eastAsia="Arial" w:hAnsi="Arial"/>
                <w:sz w:val="16"/>
                <w:szCs w:val="16"/>
                <w:b w:val="1"/>
                <w:bCs w:val="1"/>
                <w:color w:val="auto"/>
                <w:w w:val="90"/>
              </w:rPr>
              <w:t>Filed</w:t>
            </w:r>
          </w:p>
        </w:tc>
        <w:tc>
          <w:tcPr>
            <w:tcW w:w="2940" w:type="dxa"/>
            <w:vAlign w:val="bottom"/>
            <w:gridSpan w:val="3"/>
          </w:tcPr>
          <w:p>
            <w:pPr>
              <w:ind w:left="300"/>
              <w:spacing w:after="0"/>
              <w:rPr>
                <w:sz w:val="20"/>
                <w:szCs w:val="20"/>
                <w:color w:val="auto"/>
              </w:rPr>
            </w:pPr>
            <w:r>
              <w:rPr>
                <w:rFonts w:ascii="Arial" w:cs="Arial" w:eastAsia="Arial" w:hAnsi="Arial"/>
                <w:sz w:val="16"/>
                <w:szCs w:val="16"/>
                <w:b w:val="1"/>
                <w:bCs w:val="1"/>
                <w:color w:val="auto"/>
              </w:rPr>
              <w:t>Incorporation By Reference From</w:t>
            </w:r>
          </w:p>
        </w:tc>
        <w:tc>
          <w:tcPr>
            <w:tcW w:w="0" w:type="dxa"/>
            <w:vAlign w:val="bottom"/>
          </w:tcPr>
          <w:p>
            <w:pPr>
              <w:spacing w:after="0"/>
              <w:rPr>
                <w:sz w:val="1"/>
                <w:szCs w:val="1"/>
                <w:color w:val="auto"/>
              </w:rPr>
            </w:pPr>
          </w:p>
        </w:tc>
      </w:tr>
      <w:tr>
        <w:trPr>
          <w:trHeight w:val="33"/>
        </w:trPr>
        <w:tc>
          <w:tcPr>
            <w:tcW w:w="2100" w:type="dxa"/>
            <w:vAlign w:val="bottom"/>
            <w:vMerge w:val="continue"/>
          </w:tcPr>
          <w:p>
            <w:pPr>
              <w:spacing w:after="0"/>
              <w:rPr>
                <w:sz w:val="2"/>
                <w:szCs w:val="2"/>
                <w:color w:val="auto"/>
              </w:rPr>
            </w:pPr>
          </w:p>
        </w:tc>
        <w:tc>
          <w:tcPr>
            <w:tcW w:w="3800" w:type="dxa"/>
            <w:vAlign w:val="bottom"/>
          </w:tcPr>
          <w:p>
            <w:pPr>
              <w:spacing w:after="0"/>
              <w:rPr>
                <w:sz w:val="2"/>
                <w:szCs w:val="2"/>
                <w:color w:val="auto"/>
              </w:rPr>
            </w:pPr>
          </w:p>
        </w:tc>
        <w:tc>
          <w:tcPr>
            <w:tcW w:w="2400" w:type="dxa"/>
            <w:vAlign w:val="bottom"/>
            <w:vMerge w:val="continue"/>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100" w:type="dxa"/>
            <w:vAlign w:val="bottom"/>
          </w:tcPr>
          <w:p>
            <w:pPr>
              <w:jc w:val="center"/>
              <w:ind w:right="1439"/>
              <w:spacing w:after="0"/>
              <w:rPr>
                <w:sz w:val="20"/>
                <w:szCs w:val="20"/>
                <w:color w:val="auto"/>
              </w:rPr>
            </w:pPr>
            <w:r>
              <w:rPr>
                <w:rFonts w:ascii="Arial" w:cs="Arial" w:eastAsia="Arial" w:hAnsi="Arial"/>
                <w:sz w:val="16"/>
                <w:szCs w:val="16"/>
                <w:b w:val="1"/>
                <w:bCs w:val="1"/>
                <w:color w:val="auto"/>
                <w:w w:val="95"/>
              </w:rPr>
              <w:t>Number</w:t>
            </w:r>
          </w:p>
        </w:tc>
        <w:tc>
          <w:tcPr>
            <w:tcW w:w="3800" w:type="dxa"/>
            <w:vAlign w:val="bottom"/>
          </w:tcPr>
          <w:p>
            <w:pPr>
              <w:ind w:left="1500"/>
              <w:spacing w:after="0"/>
              <w:rPr>
                <w:sz w:val="20"/>
                <w:szCs w:val="20"/>
                <w:color w:val="auto"/>
              </w:rPr>
            </w:pPr>
            <w:r>
              <w:rPr>
                <w:rFonts w:ascii="Arial" w:cs="Arial" w:eastAsia="Arial" w:hAnsi="Arial"/>
                <w:sz w:val="16"/>
                <w:szCs w:val="16"/>
                <w:b w:val="1"/>
                <w:bCs w:val="1"/>
                <w:color w:val="auto"/>
              </w:rPr>
              <w:t>Description</w:t>
            </w:r>
          </w:p>
        </w:tc>
        <w:tc>
          <w:tcPr>
            <w:tcW w:w="2400" w:type="dxa"/>
            <w:vAlign w:val="bottom"/>
          </w:tcPr>
          <w:p>
            <w:pPr>
              <w:jc w:val="center"/>
              <w:ind w:left="1179"/>
              <w:spacing w:after="0"/>
              <w:rPr>
                <w:sz w:val="20"/>
                <w:szCs w:val="20"/>
                <w:color w:val="auto"/>
              </w:rPr>
            </w:pPr>
            <w:r>
              <w:rPr>
                <w:rFonts w:ascii="Arial" w:cs="Arial" w:eastAsia="Arial" w:hAnsi="Arial"/>
                <w:sz w:val="16"/>
                <w:szCs w:val="16"/>
                <w:b w:val="1"/>
                <w:bCs w:val="1"/>
                <w:color w:val="auto"/>
                <w:w w:val="97"/>
              </w:rPr>
              <w:t>Herewith</w:t>
            </w:r>
          </w:p>
        </w:tc>
        <w:tc>
          <w:tcPr>
            <w:tcW w:w="760" w:type="dxa"/>
            <w:vAlign w:val="bottom"/>
          </w:tcPr>
          <w:p>
            <w:pPr>
              <w:ind w:left="160"/>
              <w:spacing w:after="0"/>
              <w:rPr>
                <w:sz w:val="20"/>
                <w:szCs w:val="20"/>
                <w:color w:val="auto"/>
              </w:rPr>
            </w:pPr>
            <w:r>
              <w:rPr>
                <w:rFonts w:ascii="Arial" w:cs="Arial" w:eastAsia="Arial" w:hAnsi="Arial"/>
                <w:sz w:val="16"/>
                <w:szCs w:val="16"/>
                <w:b w:val="1"/>
                <w:bCs w:val="1"/>
                <w:color w:val="auto"/>
              </w:rPr>
              <w:t>Form</w:t>
            </w:r>
          </w:p>
        </w:tc>
        <w:tc>
          <w:tcPr>
            <w:tcW w:w="1000" w:type="dxa"/>
            <w:vAlign w:val="bottom"/>
          </w:tcPr>
          <w:p>
            <w:pPr>
              <w:ind w:left="220"/>
              <w:spacing w:after="0"/>
              <w:rPr>
                <w:sz w:val="20"/>
                <w:szCs w:val="20"/>
                <w:color w:val="auto"/>
              </w:rPr>
            </w:pPr>
            <w:r>
              <w:rPr>
                <w:rFonts w:ascii="Arial" w:cs="Arial" w:eastAsia="Arial" w:hAnsi="Arial"/>
                <w:sz w:val="16"/>
                <w:szCs w:val="16"/>
                <w:b w:val="1"/>
                <w:bCs w:val="1"/>
                <w:color w:val="auto"/>
              </w:rPr>
              <w:t>Exhibit</w:t>
            </w:r>
          </w:p>
        </w:tc>
        <w:tc>
          <w:tcPr>
            <w:tcW w:w="1180" w:type="dxa"/>
            <w:vAlign w:val="bottom"/>
          </w:tcPr>
          <w:p>
            <w:pPr>
              <w:ind w:left="260"/>
              <w:spacing w:after="0"/>
              <w:rPr>
                <w:sz w:val="20"/>
                <w:szCs w:val="20"/>
                <w:color w:val="auto"/>
              </w:rPr>
            </w:pPr>
            <w:r>
              <w:rPr>
                <w:rFonts w:ascii="Arial" w:cs="Arial" w:eastAsia="Arial" w:hAnsi="Arial"/>
                <w:sz w:val="16"/>
                <w:szCs w:val="16"/>
                <w:b w:val="1"/>
                <w:bCs w:val="1"/>
                <w:color w:val="auto"/>
              </w:rPr>
              <w:t>Date Filed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275" w:lineRule="exact"/>
        <w:rPr>
          <w:sz w:val="20"/>
          <w:szCs w:val="20"/>
          <w:color w:val="auto"/>
        </w:rPr>
      </w:pPr>
    </w:p>
    <w:p>
      <w:pPr>
        <w:ind w:left="360"/>
        <w:spacing w:after="0"/>
        <w:rPr>
          <w:rFonts w:ascii="Arial" w:cs="Arial" w:eastAsia="Arial" w:hAnsi="Arial"/>
          <w:sz w:val="18"/>
          <w:szCs w:val="18"/>
          <w:u w:val="single" w:color="auto"/>
          <w:color w:val="0000FF"/>
        </w:rPr>
      </w:pPr>
      <w:hyperlink r:id="rId48">
        <w:r>
          <w:rPr>
            <w:rFonts w:ascii="Arial" w:cs="Arial" w:eastAsia="Arial" w:hAnsi="Arial"/>
            <w:sz w:val="18"/>
            <w:szCs w:val="18"/>
            <w:u w:val="single" w:color="auto"/>
            <w:color w:val="0000FF"/>
          </w:rPr>
          <w:t>2.1</w:t>
        </w:r>
      </w:hyperlink>
    </w:p>
    <w:p>
      <w:pPr>
        <w:spacing w:after="0" w:line="279" w:lineRule="exact"/>
        <w:rPr>
          <w:sz w:val="20"/>
          <w:szCs w:val="20"/>
          <w:color w:val="auto"/>
        </w:rPr>
      </w:pPr>
    </w:p>
    <w:p>
      <w:pPr>
        <w:ind w:left="360"/>
        <w:spacing w:after="0"/>
        <w:rPr>
          <w:rFonts w:ascii="Arial" w:cs="Arial" w:eastAsia="Arial" w:hAnsi="Arial"/>
          <w:sz w:val="18"/>
          <w:szCs w:val="18"/>
          <w:u w:val="single" w:color="auto"/>
          <w:color w:val="0000FF"/>
        </w:rPr>
      </w:pPr>
      <w:hyperlink r:id="rId49">
        <w:r>
          <w:rPr>
            <w:rFonts w:ascii="Arial" w:cs="Arial" w:eastAsia="Arial" w:hAnsi="Arial"/>
            <w:sz w:val="18"/>
            <w:szCs w:val="18"/>
            <w:u w:val="single" w:color="auto"/>
            <w:color w:val="0000FF"/>
          </w:rPr>
          <w:t>3.1</w:t>
        </w:r>
      </w:hyperlink>
    </w:p>
    <w:p>
      <w:pPr>
        <w:spacing w:after="0" w:line="63" w:lineRule="exact"/>
        <w:rPr>
          <w:sz w:val="20"/>
          <w:szCs w:val="20"/>
          <w:color w:val="auto"/>
        </w:rPr>
      </w:pPr>
    </w:p>
    <w:p>
      <w:pPr>
        <w:ind w:left="360"/>
        <w:spacing w:after="0"/>
        <w:rPr>
          <w:rFonts w:ascii="Arial" w:cs="Arial" w:eastAsia="Arial" w:hAnsi="Arial"/>
          <w:sz w:val="18"/>
          <w:szCs w:val="18"/>
          <w:u w:val="single" w:color="auto"/>
          <w:color w:val="0000FF"/>
        </w:rPr>
      </w:pPr>
      <w:hyperlink r:id="rId50">
        <w:r>
          <w:rPr>
            <w:rFonts w:ascii="Arial" w:cs="Arial" w:eastAsia="Arial" w:hAnsi="Arial"/>
            <w:sz w:val="18"/>
            <w:szCs w:val="18"/>
            <w:u w:val="single" w:color="auto"/>
            <w:color w:val="0000FF"/>
          </w:rPr>
          <w:t>3.2</w:t>
        </w:r>
      </w:hyperlink>
    </w:p>
    <w:p>
      <w:pPr>
        <w:spacing w:after="0" w:line="279" w:lineRule="exact"/>
        <w:rPr>
          <w:sz w:val="20"/>
          <w:szCs w:val="20"/>
          <w:color w:val="auto"/>
        </w:rPr>
      </w:pPr>
    </w:p>
    <w:p>
      <w:pPr>
        <w:ind w:left="300"/>
        <w:spacing w:after="0"/>
        <w:rPr>
          <w:rFonts w:ascii="Arial" w:cs="Arial" w:eastAsia="Arial" w:hAnsi="Arial"/>
          <w:sz w:val="18"/>
          <w:szCs w:val="18"/>
          <w:u w:val="single" w:color="auto"/>
          <w:color w:val="0000FF"/>
        </w:rPr>
      </w:pPr>
      <w:hyperlink r:id="rId51">
        <w:r>
          <w:rPr>
            <w:rFonts w:ascii="Arial" w:cs="Arial" w:eastAsia="Arial" w:hAnsi="Arial"/>
            <w:sz w:val="18"/>
            <w:szCs w:val="18"/>
            <w:u w:val="single" w:color="auto"/>
            <w:color w:val="0000FF"/>
          </w:rPr>
          <w:t>10.1</w:t>
        </w:r>
      </w:hyperlink>
    </w:p>
    <w:p>
      <w:pPr>
        <w:spacing w:after="0" w:line="387" w:lineRule="exact"/>
        <w:rPr>
          <w:sz w:val="20"/>
          <w:szCs w:val="20"/>
          <w:color w:val="auto"/>
        </w:rPr>
      </w:pPr>
    </w:p>
    <w:p>
      <w:pPr>
        <w:ind w:left="300"/>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31.1</w:t>
        </w:r>
      </w:hyperlink>
    </w:p>
    <w:p>
      <w:pPr>
        <w:spacing w:after="0" w:line="279" w:lineRule="exact"/>
        <w:rPr>
          <w:sz w:val="20"/>
          <w:szCs w:val="20"/>
          <w:color w:val="auto"/>
        </w:rPr>
      </w:pPr>
    </w:p>
    <w:p>
      <w:pPr>
        <w:ind w:left="30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31.2</w:t>
        </w:r>
      </w:hyperlink>
    </w:p>
    <w:p>
      <w:pPr>
        <w:spacing w:after="0" w:line="279" w:lineRule="exact"/>
        <w:rPr>
          <w:sz w:val="20"/>
          <w:szCs w:val="20"/>
          <w:color w:val="auto"/>
        </w:rPr>
      </w:pPr>
    </w:p>
    <w:p>
      <w:pPr>
        <w:ind w:left="30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32.1</w:t>
        </w:r>
      </w:hyperlink>
    </w:p>
    <w:p>
      <w:pPr>
        <w:spacing w:after="0" w:line="279" w:lineRule="exact"/>
        <w:rPr>
          <w:sz w:val="20"/>
          <w:szCs w:val="20"/>
          <w:color w:val="auto"/>
        </w:rPr>
      </w:pPr>
    </w:p>
    <w:p>
      <w:pPr>
        <w:ind w:left="300"/>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32.2</w:t>
        </w:r>
      </w:hyperlink>
    </w:p>
    <w:p>
      <w:pPr>
        <w:spacing w:after="0" w:line="27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101.INS</w:t>
      </w:r>
    </w:p>
    <w:p>
      <w:pPr>
        <w:spacing w:after="0" w:line="18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101.SCH</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101.CAL</w:t>
      </w:r>
    </w:p>
    <w:p>
      <w:pPr>
        <w:spacing w:after="0" w:line="7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101.DEF</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101.LAB</w:t>
      </w:r>
    </w:p>
    <w:p>
      <w:pPr>
        <w:spacing w:after="0" w:line="7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Agreement and Plan of Merger, dated as of April 30, 2018, by and among Marriott Vacations Worldwide Corporation, ILG, Inc., Ignite Holdco, Inc., Ignite Holdco Subsidiary, Inc., Volt Merger Sub, Inc., and Volt Merger Sub LLC*</w:t>
      </w:r>
    </w:p>
    <w:p>
      <w:pPr>
        <w:spacing w:after="0" w:line="3" w:lineRule="exact"/>
        <w:rPr>
          <w:sz w:val="20"/>
          <w:szCs w:val="20"/>
          <w:color w:val="auto"/>
        </w:rPr>
      </w:pPr>
    </w:p>
    <w:p>
      <w:pPr>
        <w:ind w:right="240"/>
        <w:spacing w:after="0" w:line="313" w:lineRule="auto"/>
        <w:rPr>
          <w:sz w:val="20"/>
          <w:szCs w:val="20"/>
          <w:color w:val="auto"/>
        </w:rPr>
      </w:pPr>
      <w:r>
        <w:rPr>
          <w:rFonts w:ascii="Arial" w:cs="Arial" w:eastAsia="Arial" w:hAnsi="Arial"/>
          <w:sz w:val="18"/>
          <w:szCs w:val="18"/>
          <w:color w:val="auto"/>
        </w:rPr>
        <w:t>Restated Certificate of Incorporation of Marriott Vacations Worldwide Corporation Restated Bylaws of Marriott Vacations Worldwide Corporation</w:t>
      </w:r>
    </w:p>
    <w:p>
      <w:pPr>
        <w:ind w:right="200"/>
        <w:spacing w:after="0" w:line="264" w:lineRule="auto"/>
        <w:rPr>
          <w:sz w:val="20"/>
          <w:szCs w:val="20"/>
          <w:color w:val="auto"/>
        </w:rPr>
      </w:pPr>
      <w:r>
        <w:rPr>
          <w:rFonts w:ascii="Arial" w:cs="Arial" w:eastAsia="Arial" w:hAnsi="Arial"/>
          <w:sz w:val="18"/>
          <w:szCs w:val="18"/>
          <w:color w:val="auto"/>
        </w:rPr>
        <w:t>Voting and Support Agreement dated as of April 30, 2018, by and among ILG, Inc., Marriott Vacations Worldwide Corporation, Qurate Retail, Inc., and Liberty USA Holdings, LLC</w:t>
      </w:r>
    </w:p>
    <w:p>
      <w:pPr>
        <w:spacing w:after="0" w:line="1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p>
      <w:pPr>
        <w:spacing w:after="0" w:line="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p>
      <w:pPr>
        <w:spacing w:after="0" w:line="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Certification of Chief Executive Officer pursuant to Rule 13a-14(b) and Section 906 of the Sarbanes-Oxley Act of 2002</w:t>
      </w:r>
    </w:p>
    <w:p>
      <w:pPr>
        <w:spacing w:after="0" w:line="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Certification of Chief Financial Officer pursuant to Rule 13a-14(b) and Section 906 of the Sarbanes-Oxley Act of 2002</w:t>
      </w:r>
    </w:p>
    <w:p>
      <w:pPr>
        <w:spacing w:after="0" w:line="8" w:lineRule="exact"/>
        <w:rPr>
          <w:sz w:val="20"/>
          <w:szCs w:val="20"/>
          <w:color w:val="auto"/>
        </w:rPr>
      </w:pPr>
    </w:p>
    <w:p>
      <w:pPr>
        <w:ind w:right="40"/>
        <w:spacing w:after="0" w:line="317" w:lineRule="auto"/>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 within the Inline XBRL document.</w:t>
      </w:r>
    </w:p>
    <w:p>
      <w:pPr>
        <w:spacing w:after="0"/>
        <w:rPr>
          <w:sz w:val="20"/>
          <w:szCs w:val="20"/>
          <w:color w:val="auto"/>
        </w:rPr>
      </w:pPr>
      <w:r>
        <w:rPr>
          <w:rFonts w:ascii="Arial" w:cs="Arial" w:eastAsia="Arial" w:hAnsi="Arial"/>
          <w:sz w:val="18"/>
          <w:szCs w:val="18"/>
          <w:color w:val="auto"/>
        </w:rPr>
        <w:t>XBRL Taxonomy Extension Schema Document</w:t>
      </w:r>
    </w:p>
    <w:p>
      <w:pPr>
        <w:spacing w:after="0" w:line="63" w:lineRule="exact"/>
        <w:rPr>
          <w:sz w:val="20"/>
          <w:szCs w:val="20"/>
          <w:color w:val="auto"/>
        </w:rPr>
      </w:pPr>
    </w:p>
    <w:p>
      <w:pPr>
        <w:ind w:right="1740"/>
        <w:spacing w:after="0" w:line="372" w:lineRule="auto"/>
        <w:rPr>
          <w:sz w:val="20"/>
          <w:szCs w:val="20"/>
          <w:color w:val="auto"/>
        </w:rPr>
      </w:pPr>
      <w:r>
        <w:rPr>
          <w:rFonts w:ascii="Arial" w:cs="Arial" w:eastAsia="Arial" w:hAnsi="Arial"/>
          <w:sz w:val="16"/>
          <w:szCs w:val="16"/>
          <w:color w:val="auto"/>
        </w:rPr>
        <w:t>XBRL Taxonomy Extension Calculation Linkbase Document XBRL Taxonomy Extension Definition Linkbase Document XBRL Taxonomy Extension Label Linkbase Document XBRL Taxonomy Extension Presentation Linkbase Document</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8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91"/>
              </w:rPr>
              <w:t>5/1/2018</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11/22/2011</w:t>
            </w:r>
          </w:p>
        </w:tc>
      </w:tr>
      <w:tr>
        <w:trPr>
          <w:trHeight w:val="270"/>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11/22/2011</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8-K</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91"/>
              </w:rPr>
              <w:t>5/1/2018</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Furnished</w:t>
      </w:r>
    </w:p>
    <w:p>
      <w:pPr>
        <w:spacing w:after="0" w:line="27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Furnished</w:t>
      </w:r>
    </w:p>
    <w:p>
      <w:pPr>
        <w:spacing w:after="0" w:line="279" w:lineRule="exact"/>
        <w:rPr>
          <w:sz w:val="20"/>
          <w:szCs w:val="20"/>
          <w:color w:val="auto"/>
        </w:rPr>
      </w:pPr>
    </w:p>
    <w:p>
      <w:pPr>
        <w:jc w:val="right"/>
        <w:ind w:right="1080"/>
        <w:spacing w:after="0"/>
        <w:rPr>
          <w:sz w:val="20"/>
          <w:szCs w:val="20"/>
          <w:color w:val="auto"/>
        </w:rPr>
      </w:pPr>
      <w:r>
        <w:rPr>
          <w:rFonts w:ascii="Arial" w:cs="Arial" w:eastAsia="Arial" w:hAnsi="Arial"/>
          <w:sz w:val="18"/>
          <w:szCs w:val="18"/>
          <w:color w:val="auto"/>
        </w:rPr>
        <w:t>Electronically Submitted</w:t>
      </w:r>
    </w:p>
    <w:p>
      <w:pPr>
        <w:spacing w:after="0" w:line="171" w:lineRule="exact"/>
        <w:rPr>
          <w:sz w:val="20"/>
          <w:szCs w:val="20"/>
          <w:color w:val="auto"/>
        </w:rPr>
      </w:pPr>
    </w:p>
    <w:p>
      <w:pPr>
        <w:jc w:val="right"/>
        <w:ind w:right="1080"/>
        <w:spacing w:after="0"/>
        <w:rPr>
          <w:sz w:val="20"/>
          <w:szCs w:val="20"/>
          <w:color w:val="auto"/>
        </w:rPr>
      </w:pPr>
      <w:r>
        <w:rPr>
          <w:rFonts w:ascii="Arial" w:cs="Arial" w:eastAsia="Arial" w:hAnsi="Arial"/>
          <w:sz w:val="18"/>
          <w:szCs w:val="18"/>
          <w:color w:val="auto"/>
        </w:rPr>
        <w:t>Electronically Submitted</w:t>
      </w:r>
    </w:p>
    <w:p>
      <w:pPr>
        <w:spacing w:after="0" w:line="63" w:lineRule="exact"/>
        <w:rPr>
          <w:sz w:val="20"/>
          <w:szCs w:val="20"/>
          <w:color w:val="auto"/>
        </w:rPr>
      </w:pPr>
    </w:p>
    <w:p>
      <w:pPr>
        <w:jc w:val="right"/>
        <w:ind w:right="1080"/>
        <w:spacing w:after="0"/>
        <w:rPr>
          <w:sz w:val="20"/>
          <w:szCs w:val="20"/>
          <w:color w:val="auto"/>
        </w:rPr>
      </w:pPr>
      <w:r>
        <w:rPr>
          <w:rFonts w:ascii="Arial" w:cs="Arial" w:eastAsia="Arial" w:hAnsi="Arial"/>
          <w:sz w:val="18"/>
          <w:szCs w:val="18"/>
          <w:color w:val="auto"/>
        </w:rPr>
        <w:t>Electronically Submitted</w:t>
      </w:r>
    </w:p>
    <w:p>
      <w:pPr>
        <w:spacing w:after="0" w:line="63" w:lineRule="exact"/>
        <w:rPr>
          <w:sz w:val="20"/>
          <w:szCs w:val="20"/>
          <w:color w:val="auto"/>
        </w:rPr>
      </w:pPr>
    </w:p>
    <w:p>
      <w:pPr>
        <w:jc w:val="right"/>
        <w:ind w:right="1080"/>
        <w:spacing w:after="0"/>
        <w:rPr>
          <w:sz w:val="20"/>
          <w:szCs w:val="20"/>
          <w:color w:val="auto"/>
        </w:rPr>
      </w:pPr>
      <w:r>
        <w:rPr>
          <w:rFonts w:ascii="Arial" w:cs="Arial" w:eastAsia="Arial" w:hAnsi="Arial"/>
          <w:sz w:val="18"/>
          <w:szCs w:val="18"/>
          <w:color w:val="auto"/>
        </w:rPr>
        <w:t>Electronically Submitted</w:t>
      </w:r>
    </w:p>
    <w:p>
      <w:pPr>
        <w:spacing w:after="0" w:line="63" w:lineRule="exact"/>
        <w:rPr>
          <w:sz w:val="20"/>
          <w:szCs w:val="20"/>
          <w:color w:val="auto"/>
        </w:rPr>
      </w:pPr>
    </w:p>
    <w:p>
      <w:pPr>
        <w:jc w:val="right"/>
        <w:ind w:right="1080"/>
        <w:spacing w:after="0"/>
        <w:rPr>
          <w:sz w:val="20"/>
          <w:szCs w:val="20"/>
          <w:color w:val="auto"/>
        </w:rPr>
      </w:pPr>
      <w:r>
        <w:rPr>
          <w:rFonts w:ascii="Arial" w:cs="Arial" w:eastAsia="Arial" w:hAnsi="Arial"/>
          <w:sz w:val="18"/>
          <w:szCs w:val="18"/>
          <w:color w:val="auto"/>
        </w:rPr>
        <w:t>Electronically Submitted</w:t>
      </w:r>
    </w:p>
    <w:p>
      <w:pPr>
        <w:spacing w:after="0" w:line="63" w:lineRule="exact"/>
        <w:rPr>
          <w:sz w:val="20"/>
          <w:szCs w:val="20"/>
          <w:color w:val="auto"/>
        </w:rPr>
      </w:pPr>
    </w:p>
    <w:p>
      <w:pPr>
        <w:jc w:val="right"/>
        <w:ind w:right="1080"/>
        <w:spacing w:after="0"/>
        <w:rPr>
          <w:sz w:val="20"/>
          <w:szCs w:val="20"/>
          <w:color w:val="auto"/>
        </w:rPr>
      </w:pPr>
      <w:r>
        <w:rPr>
          <w:rFonts w:ascii="Arial" w:cs="Arial" w:eastAsia="Arial" w:hAnsi="Arial"/>
          <w:sz w:val="18"/>
          <w:szCs w:val="18"/>
          <w:color w:val="auto"/>
        </w:rPr>
        <w:t>Electronically Submitted</w:t>
      </w:r>
    </w:p>
    <w:p>
      <w:pPr>
        <w:spacing w:after="0" w:line="171" w:lineRule="exact"/>
        <w:rPr>
          <w:sz w:val="20"/>
          <w:szCs w:val="20"/>
          <w:color w:val="auto"/>
        </w:rPr>
      </w:pPr>
    </w:p>
    <w:p>
      <w:pPr>
        <w:sectPr>
          <w:pgSz w:w="11900" w:h="16838" w:orient="portrait"/>
          <w:cols w:equalWidth="0" w:num="3">
            <w:col w:w="800" w:space="280"/>
            <w:col w:w="6220" w:space="540"/>
            <w:col w:w="3580"/>
          </w:cols>
          <w:pgMar w:left="240" w:top="580" w:right="239" w:bottom="1440" w:gutter="0" w:footer="0" w:header="0"/>
          <w:type w:val="continuous"/>
        </w:sectPr>
      </w:pP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Schedules have been omitted pursuant to Item 601(b)(2) of Regulation S-K. The Company agrees to furnish supplemental copies to the SEC of any omitted schedule upon request by the SEC.</w:t>
      </w:r>
    </w:p>
    <w:p>
      <w:pPr>
        <w:spacing w:after="0" w:line="89" w:lineRule="exact"/>
        <w:rPr>
          <w:sz w:val="20"/>
          <w:szCs w:val="20"/>
          <w:color w:val="auto"/>
        </w:rPr>
      </w:pPr>
    </w:p>
    <w:p>
      <w:pPr>
        <w:sectPr>
          <w:pgSz w:w="11900" w:h="16838" w:orient="portrait"/>
          <w:cols w:equalWidth="0" w:num="2">
            <w:col w:w="520" w:space="560"/>
            <w:col w:w="10340"/>
          </w:cols>
          <w:pgMar w:left="240" w:top="580"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We have submitted electronically the following documents formatted in XBRL (Extensible Business Reporting Language) as Exhibit 101 to this</w:t>
      </w:r>
    </w:p>
    <w:p>
      <w:pPr>
        <w:spacing w:after="0" w:line="4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report: (i) the Interim Consolidated Statements of Income for the three and six months ended June 30, 2018 and June 30, 2017; (ii) the Interim Consolidated Statements of Comprehensive Income for the three and six months ended June 30, 2018 and June 30, 2017; (iii) the Interim Consolidated Balance Sheets at June 30, 2018 and December 31, 2017; and (iv) the Interim Consolidated Statements of Cash Flows for the six months ended June 30, 2018 and June 30, 2017.</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580" w:right="239" w:bottom="1440" w:gutter="0" w:footer="0" w:header="0"/>
          <w:type w:val="continuous"/>
        </w:sectPr>
      </w:pPr>
    </w:p>
    <w:bookmarkStart w:id="76" w:name="page77"/>
    <w:bookmarkEnd w:id="76"/>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87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6640" w:type="dxa"/>
            <w:vAlign w:val="bottom"/>
          </w:tcPr>
          <w:p>
            <w:pPr>
              <w:ind w:left="40"/>
              <w:spacing w:after="0"/>
              <w:rPr>
                <w:sz w:val="20"/>
                <w:szCs w:val="20"/>
                <w:color w:val="auto"/>
              </w:rPr>
            </w:pPr>
            <w:r>
              <w:rPr>
                <w:rFonts w:ascii="Arial" w:cs="Arial" w:eastAsia="Arial" w:hAnsi="Arial"/>
                <w:sz w:val="18"/>
                <w:szCs w:val="18"/>
                <w:color w:val="auto"/>
              </w:rPr>
              <w:t>MARRIOTT VACATIONS WORLDWIDE CORPORATION</w:t>
            </w:r>
          </w:p>
        </w:tc>
      </w:tr>
      <w:tr>
        <w:trPr>
          <w:trHeight w:val="594"/>
        </w:trPr>
        <w:tc>
          <w:tcPr>
            <w:tcW w:w="4580" w:type="dxa"/>
            <w:vAlign w:val="bottom"/>
          </w:tcPr>
          <w:p>
            <w:pPr>
              <w:spacing w:after="0"/>
              <w:rPr>
                <w:sz w:val="20"/>
                <w:szCs w:val="20"/>
                <w:color w:val="auto"/>
              </w:rPr>
            </w:pPr>
            <w:r>
              <w:rPr>
                <w:rFonts w:ascii="Arial" w:cs="Arial" w:eastAsia="Arial" w:hAnsi="Arial"/>
                <w:sz w:val="18"/>
                <w:szCs w:val="18"/>
                <w:color w:val="auto"/>
              </w:rPr>
              <w:t>August 2, 2018</w:t>
            </w:r>
          </w:p>
        </w:tc>
        <w:tc>
          <w:tcPr>
            <w:tcW w:w="6640" w:type="dxa"/>
            <w:vAlign w:val="bottom"/>
          </w:tcPr>
          <w:p>
            <w:pPr>
              <w:ind w:left="40"/>
              <w:spacing w:after="0"/>
              <w:rPr>
                <w:sz w:val="20"/>
                <w:szCs w:val="20"/>
                <w:color w:val="auto"/>
              </w:rPr>
            </w:pPr>
            <w:r>
              <w:rPr>
                <w:rFonts w:ascii="Arial" w:cs="Arial" w:eastAsia="Arial" w:hAnsi="Arial"/>
                <w:sz w:val="18"/>
                <w:szCs w:val="18"/>
                <w:color w:val="auto"/>
              </w:rPr>
              <w:t>/s/ Stephen P. Weisz</w:t>
            </w:r>
          </w:p>
        </w:tc>
      </w:tr>
      <w:tr>
        <w:trPr>
          <w:trHeight w:val="27"/>
        </w:trPr>
        <w:tc>
          <w:tcPr>
            <w:tcW w:w="4580" w:type="dxa"/>
            <w:vAlign w:val="bottom"/>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6640" w:type="dxa"/>
            <w:vAlign w:val="bottom"/>
          </w:tcPr>
          <w:p>
            <w:pPr>
              <w:ind w:left="40"/>
              <w:spacing w:after="0"/>
              <w:rPr>
                <w:sz w:val="20"/>
                <w:szCs w:val="20"/>
                <w:color w:val="auto"/>
              </w:rPr>
            </w:pPr>
            <w:r>
              <w:rPr>
                <w:rFonts w:ascii="Arial" w:cs="Arial" w:eastAsia="Arial" w:hAnsi="Arial"/>
                <w:sz w:val="18"/>
                <w:szCs w:val="18"/>
                <w:color w:val="auto"/>
              </w:rPr>
              <w:t>Stephen P. Weisz</w:t>
            </w:r>
          </w:p>
        </w:tc>
      </w:tr>
      <w:tr>
        <w:trPr>
          <w:trHeight w:val="270"/>
        </w:trPr>
        <w:tc>
          <w:tcPr>
            <w:tcW w:w="4580" w:type="dxa"/>
            <w:vAlign w:val="bottom"/>
          </w:tcPr>
          <w:p>
            <w:pPr>
              <w:spacing w:after="0"/>
              <w:rPr>
                <w:sz w:val="23"/>
                <w:szCs w:val="23"/>
                <w:color w:val="auto"/>
              </w:rPr>
            </w:pPr>
          </w:p>
        </w:tc>
        <w:tc>
          <w:tcPr>
            <w:tcW w:w="664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594"/>
        </w:trPr>
        <w:tc>
          <w:tcPr>
            <w:tcW w:w="4580" w:type="dxa"/>
            <w:vAlign w:val="bottom"/>
          </w:tcPr>
          <w:p>
            <w:pPr>
              <w:spacing w:after="0"/>
              <w:rPr>
                <w:sz w:val="24"/>
                <w:szCs w:val="24"/>
                <w:color w:val="auto"/>
              </w:rPr>
            </w:pPr>
          </w:p>
        </w:tc>
        <w:tc>
          <w:tcPr>
            <w:tcW w:w="6640" w:type="dxa"/>
            <w:vAlign w:val="bottom"/>
          </w:tcPr>
          <w:p>
            <w:pPr>
              <w:ind w:left="40"/>
              <w:spacing w:after="0"/>
              <w:rPr>
                <w:sz w:val="20"/>
                <w:szCs w:val="20"/>
                <w:color w:val="auto"/>
              </w:rPr>
            </w:pPr>
            <w:r>
              <w:rPr>
                <w:rFonts w:ascii="Arial" w:cs="Arial" w:eastAsia="Arial" w:hAnsi="Arial"/>
                <w:sz w:val="18"/>
                <w:szCs w:val="18"/>
                <w:color w:val="auto"/>
              </w:rPr>
              <w:t>/s/ John E. Geller, Jr.</w:t>
            </w:r>
          </w:p>
        </w:tc>
      </w:tr>
      <w:tr>
        <w:trPr>
          <w:trHeight w:val="27"/>
        </w:trPr>
        <w:tc>
          <w:tcPr>
            <w:tcW w:w="4580" w:type="dxa"/>
            <w:vAlign w:val="bottom"/>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6640" w:type="dxa"/>
            <w:vAlign w:val="bottom"/>
          </w:tcPr>
          <w:p>
            <w:pPr>
              <w:ind w:left="40"/>
              <w:spacing w:after="0"/>
              <w:rPr>
                <w:sz w:val="20"/>
                <w:szCs w:val="20"/>
                <w:color w:val="auto"/>
              </w:rPr>
            </w:pPr>
            <w:r>
              <w:rPr>
                <w:rFonts w:ascii="Arial" w:cs="Arial" w:eastAsia="Arial" w:hAnsi="Arial"/>
                <w:sz w:val="18"/>
                <w:szCs w:val="18"/>
                <w:color w:val="auto"/>
              </w:rPr>
              <w:t>John E. Geller, Jr.</w:t>
            </w:r>
          </w:p>
        </w:tc>
      </w:tr>
      <w:tr>
        <w:trPr>
          <w:trHeight w:val="270"/>
        </w:trPr>
        <w:tc>
          <w:tcPr>
            <w:tcW w:w="4580" w:type="dxa"/>
            <w:vAlign w:val="bottom"/>
          </w:tcPr>
          <w:p>
            <w:pPr>
              <w:spacing w:after="0"/>
              <w:rPr>
                <w:sz w:val="23"/>
                <w:szCs w:val="23"/>
                <w:color w:val="auto"/>
              </w:rPr>
            </w:pPr>
          </w:p>
        </w:tc>
        <w:tc>
          <w:tcPr>
            <w:tcW w:w="664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and Administrative Officer</w:t>
            </w:r>
          </w:p>
        </w:tc>
      </w:tr>
      <w:tr>
        <w:trPr>
          <w:trHeight w:val="486"/>
        </w:trPr>
        <w:tc>
          <w:tcPr>
            <w:tcW w:w="4580" w:type="dxa"/>
            <w:vAlign w:val="bottom"/>
          </w:tcPr>
          <w:p>
            <w:pPr>
              <w:spacing w:after="0"/>
              <w:rPr>
                <w:sz w:val="24"/>
                <w:szCs w:val="24"/>
                <w:color w:val="auto"/>
              </w:rPr>
            </w:pPr>
          </w:p>
        </w:tc>
        <w:tc>
          <w:tcPr>
            <w:tcW w:w="6640" w:type="dxa"/>
            <w:vAlign w:val="bottom"/>
          </w:tcPr>
          <w:p>
            <w:pPr>
              <w:ind w:left="1000"/>
              <w:spacing w:after="0"/>
              <w:rPr>
                <w:sz w:val="20"/>
                <w:szCs w:val="20"/>
                <w:color w:val="auto"/>
              </w:rPr>
            </w:pPr>
            <w:r>
              <w:rPr>
                <w:rFonts w:ascii="Arial" w:cs="Arial" w:eastAsia="Arial" w:hAnsi="Arial"/>
                <w:sz w:val="18"/>
                <w:szCs w:val="18"/>
                <w:color w:val="auto"/>
              </w:rPr>
              <w:t>75</w:t>
            </w:r>
          </w:p>
        </w:tc>
      </w:tr>
    </w:tbl>
    <w:p>
      <w:pPr>
        <w:sectPr>
          <w:pgSz w:w="11900" w:h="16838" w:orient="portrait"/>
          <w:cols w:equalWidth="0" w:num="1">
            <w:col w:w="11260"/>
          </w:cols>
          <w:pgMar w:left="240" w:top="364" w:right="39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certify that:</w:t>
      </w:r>
    </w:p>
    <w:p>
      <w:pPr>
        <w:spacing w:after="0" w:line="117"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p>
      <w:pPr>
        <w:spacing w:after="0" w:line="200" w:lineRule="exact"/>
        <w:rPr>
          <w:sz w:val="20"/>
          <w:szCs w:val="20"/>
          <w:color w:val="auto"/>
        </w:rPr>
      </w:pPr>
    </w:p>
    <w:p>
      <w:pPr>
        <w:spacing w:after="0" w:line="295"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42710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5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Stephen P. Weisz</w:t>
      </w:r>
    </w:p>
    <w:p>
      <w:pPr>
        <w:spacing w:after="0" w:line="6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E. Geller, Jr., certify that:</w:t>
      </w:r>
    </w:p>
    <w:p>
      <w:pPr>
        <w:spacing w:after="0" w:line="117"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2018</w:t>
      </w:r>
    </w:p>
    <w:p>
      <w:pPr>
        <w:spacing w:after="0" w:line="200" w:lineRule="exact"/>
        <w:rPr>
          <w:sz w:val="20"/>
          <w:szCs w:val="20"/>
          <w:color w:val="auto"/>
        </w:rPr>
      </w:pPr>
    </w:p>
    <w:p>
      <w:pPr>
        <w:spacing w:after="0" w:line="268"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31750</wp:posOffset>
            </wp:positionV>
            <wp:extent cx="42367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5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John E. Geller, Jr.</w:t>
      </w:r>
    </w:p>
    <w:p>
      <w:pPr>
        <w:spacing w:after="0" w:line="6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Executive Vice President and Chief Financial and Administrative Officer</w:t>
      </w:r>
    </w:p>
    <w:p>
      <w:pPr>
        <w:spacing w:after="0" w:line="6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President and Chief Executive Officer of Marriott Vacations Worldwide Corporation (the “Company”) certify that:</w:t>
      </w:r>
    </w:p>
    <w:p>
      <w:pPr>
        <w:spacing w:after="0" w:line="117" w:lineRule="exact"/>
        <w:rPr>
          <w:sz w:val="20"/>
          <w:szCs w:val="20"/>
          <w:color w:val="auto"/>
        </w:rPr>
      </w:pPr>
    </w:p>
    <w:p>
      <w:pPr>
        <w:ind w:left="660" w:right="880" w:hanging="652"/>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June 30, 2018 (the “Quarterly Report”), fully complies with the requirements of section 13(a) or 15(d) of the Securities Exchange Act of 1934 (15 U.S.C. 78m or 78o(d)); and</w:t>
      </w:r>
    </w:p>
    <w:p>
      <w:pPr>
        <w:spacing w:after="0" w:line="38" w:lineRule="exact"/>
        <w:rPr>
          <w:rFonts w:ascii="Arial" w:cs="Arial" w:eastAsia="Arial" w:hAnsi="Arial"/>
          <w:sz w:val="17"/>
          <w:szCs w:val="17"/>
          <w:color w:val="auto"/>
        </w:rPr>
      </w:pPr>
    </w:p>
    <w:p>
      <w:pPr>
        <w:ind w:left="660" w:right="420" w:hanging="652"/>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August 2,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31750</wp:posOffset>
            </wp:positionV>
            <wp:extent cx="34563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Stephen P. Weisz</w:t>
      </w:r>
    </w:p>
    <w:p>
      <w:pPr>
        <w:spacing w:after="0" w:line="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John E. Geller, Jr., Executive Vice President and Chief Financial Officer of Marriott Vacations Worldwide Corporation (the “Company”) certify that:</w:t>
      </w:r>
    </w:p>
    <w:p>
      <w:pPr>
        <w:spacing w:after="0" w:line="129" w:lineRule="exact"/>
        <w:rPr>
          <w:sz w:val="20"/>
          <w:szCs w:val="20"/>
          <w:color w:val="auto"/>
        </w:rPr>
      </w:pPr>
    </w:p>
    <w:p>
      <w:pPr>
        <w:ind w:left="660" w:right="880" w:hanging="652"/>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June 30, 2018 (the “Quarterly Report”), fully complies with the requirements of section 13(a) or 15(d) of the Securities Exchange Act of 1934 (15 U.S.C. 78m or 78o(d)); and</w:t>
      </w:r>
    </w:p>
    <w:p>
      <w:pPr>
        <w:spacing w:after="0" w:line="38" w:lineRule="exact"/>
        <w:rPr>
          <w:rFonts w:ascii="Arial" w:cs="Arial" w:eastAsia="Arial" w:hAnsi="Arial"/>
          <w:sz w:val="17"/>
          <w:szCs w:val="17"/>
          <w:color w:val="auto"/>
        </w:rPr>
      </w:pPr>
    </w:p>
    <w:p>
      <w:pPr>
        <w:ind w:left="660" w:right="420" w:hanging="652"/>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August 2,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34048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John E. Geller, Jr.</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Executive Vice President and Chief Financial and Administrative Officer</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x"/>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lowerRoman"/>
      <w:start w:val="2"/>
    </w:lvl>
  </w:abstractNum>
  <w:abstractNum w:abstractNumId="3">
    <w:nsid w:val="4353D0CD"/>
    <w:multiLevelType w:val="hybridMultilevel"/>
    <w:lvl w:ilvl="0">
      <w:lvlJc w:val="left"/>
      <w:lvlText w:val="(%1)"/>
      <w:numFmt w:val="lowerRoman"/>
      <w:start w:val="4"/>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48" Type="http://schemas.openxmlformats.org/officeDocument/2006/relationships/hyperlink" Target="http://www.sec.gov/Archives/edgar/data/1524358/000119312518144431/d577638dex21.htm" TargetMode="External"/><Relationship Id="rId49" Type="http://schemas.openxmlformats.org/officeDocument/2006/relationships/hyperlink" Target="http://www.sec.gov/Archives/edgar/data/1524358/000119312511320045/d256766dex31.htm" TargetMode="External"/><Relationship Id="rId50" Type="http://schemas.openxmlformats.org/officeDocument/2006/relationships/hyperlink" Target="http://www.sec.gov/Archives/edgar/data/1524358/000119312511320045/d256766dex32.htm" TargetMode="External"/><Relationship Id="rId51" Type="http://schemas.openxmlformats.org/officeDocument/2006/relationships/hyperlink" Target="http://www.sec.gov/Archives/edgar/data/1524358/000119312518144431/d57763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2019-12-28T20:44:57Z</dcterms:created>
  <dcterms:modified xsi:type="dcterms:W3CDTF">2019-12-28T20:44:57Z</dcterms:modified>
</cp:coreProperties>
</file>